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331040" w14:textId="60E7D755" w:rsidR="008F369D" w:rsidRPr="00EC4648" w:rsidRDefault="008F369D" w:rsidP="00063D4E">
      <w:pPr>
        <w:jc w:val="center"/>
        <w:rPr>
          <w:szCs w:val="22"/>
        </w:rPr>
      </w:pPr>
      <w:bookmarkStart w:id="0" w:name="_GoBack"/>
      <w:bookmarkEnd w:id="0"/>
    </w:p>
    <w:p w14:paraId="4836D50B" w14:textId="77777777" w:rsidR="00E2040E" w:rsidRPr="00F332AF" w:rsidRDefault="00E2040E" w:rsidP="008F369D">
      <w:pPr>
        <w:jc w:val="center"/>
        <w:rPr>
          <w:szCs w:val="22"/>
          <w:lang w:val="en-GB"/>
        </w:rPr>
      </w:pPr>
    </w:p>
    <w:p w14:paraId="7C331042" w14:textId="77777777" w:rsidR="008F369D" w:rsidRPr="00F332AF" w:rsidRDefault="008F369D" w:rsidP="008F369D">
      <w:pPr>
        <w:jc w:val="center"/>
        <w:rPr>
          <w:szCs w:val="22"/>
          <w:lang w:val="en-GB"/>
        </w:rPr>
      </w:pPr>
    </w:p>
    <w:p w14:paraId="7C331043" w14:textId="77777777" w:rsidR="008F369D" w:rsidRPr="00F332AF" w:rsidRDefault="008F369D" w:rsidP="008F369D">
      <w:pPr>
        <w:jc w:val="center"/>
        <w:rPr>
          <w:szCs w:val="22"/>
          <w:lang w:val="en-GB"/>
        </w:rPr>
      </w:pPr>
    </w:p>
    <w:p w14:paraId="7C331044" w14:textId="77777777" w:rsidR="008F369D" w:rsidRPr="00F332AF" w:rsidRDefault="008F369D" w:rsidP="008F369D">
      <w:pPr>
        <w:jc w:val="center"/>
        <w:rPr>
          <w:szCs w:val="22"/>
          <w:lang w:val="en-GB"/>
        </w:rPr>
      </w:pPr>
    </w:p>
    <w:p w14:paraId="7C331045" w14:textId="77777777" w:rsidR="008F369D" w:rsidRPr="00F332AF" w:rsidRDefault="008F369D" w:rsidP="008F369D">
      <w:pPr>
        <w:jc w:val="center"/>
        <w:rPr>
          <w:szCs w:val="22"/>
          <w:lang w:val="en-GB"/>
        </w:rPr>
      </w:pPr>
    </w:p>
    <w:p w14:paraId="7C331046" w14:textId="77777777" w:rsidR="008F369D" w:rsidRPr="00F332AF" w:rsidRDefault="008F369D" w:rsidP="008F369D">
      <w:pPr>
        <w:jc w:val="center"/>
        <w:rPr>
          <w:szCs w:val="22"/>
          <w:lang w:val="en-GB"/>
        </w:rPr>
      </w:pPr>
    </w:p>
    <w:p w14:paraId="7C331047" w14:textId="77777777" w:rsidR="008F369D" w:rsidRPr="00F332AF" w:rsidRDefault="008F369D" w:rsidP="008F369D">
      <w:pPr>
        <w:jc w:val="center"/>
        <w:rPr>
          <w:szCs w:val="22"/>
          <w:lang w:val="en-GB"/>
        </w:rPr>
      </w:pPr>
    </w:p>
    <w:p w14:paraId="7C331048" w14:textId="77777777" w:rsidR="008F369D" w:rsidRPr="00F332AF" w:rsidRDefault="008F369D" w:rsidP="008F369D">
      <w:pPr>
        <w:jc w:val="center"/>
        <w:rPr>
          <w:szCs w:val="22"/>
          <w:lang w:val="en-GB"/>
        </w:rPr>
      </w:pPr>
    </w:p>
    <w:p w14:paraId="7C331049" w14:textId="77777777" w:rsidR="008F369D" w:rsidRPr="00F332AF" w:rsidRDefault="008F369D" w:rsidP="008F369D">
      <w:pPr>
        <w:jc w:val="center"/>
        <w:rPr>
          <w:szCs w:val="22"/>
          <w:lang w:val="en-GB"/>
        </w:rPr>
      </w:pPr>
    </w:p>
    <w:p w14:paraId="7C33104A" w14:textId="77777777" w:rsidR="008F369D" w:rsidRPr="00F332AF" w:rsidRDefault="008F369D" w:rsidP="008F369D">
      <w:pPr>
        <w:jc w:val="center"/>
        <w:rPr>
          <w:szCs w:val="22"/>
          <w:lang w:val="en-GB"/>
        </w:rPr>
      </w:pPr>
    </w:p>
    <w:p w14:paraId="7C33104B" w14:textId="77777777" w:rsidR="008F369D" w:rsidRPr="00F332AF" w:rsidRDefault="008F369D" w:rsidP="008F369D">
      <w:pPr>
        <w:jc w:val="center"/>
        <w:rPr>
          <w:szCs w:val="22"/>
          <w:lang w:val="en-GB"/>
        </w:rPr>
      </w:pPr>
    </w:p>
    <w:p w14:paraId="7C33104C" w14:textId="77777777" w:rsidR="008F369D" w:rsidRPr="00F332AF" w:rsidRDefault="008F369D" w:rsidP="008F369D">
      <w:pPr>
        <w:jc w:val="center"/>
        <w:rPr>
          <w:szCs w:val="22"/>
          <w:lang w:val="en-GB"/>
        </w:rPr>
      </w:pPr>
    </w:p>
    <w:p w14:paraId="7C33104D" w14:textId="77777777" w:rsidR="008F369D" w:rsidRPr="00F332AF" w:rsidRDefault="008F369D" w:rsidP="008F369D">
      <w:pPr>
        <w:jc w:val="center"/>
        <w:rPr>
          <w:szCs w:val="22"/>
          <w:lang w:val="en-GB"/>
        </w:rPr>
      </w:pPr>
    </w:p>
    <w:p w14:paraId="7C33104E" w14:textId="77777777" w:rsidR="008F369D" w:rsidRPr="00F332AF" w:rsidRDefault="008F369D" w:rsidP="008F369D">
      <w:pPr>
        <w:jc w:val="center"/>
        <w:rPr>
          <w:szCs w:val="22"/>
          <w:lang w:val="en-GB"/>
        </w:rPr>
      </w:pPr>
    </w:p>
    <w:p w14:paraId="7C33104F" w14:textId="77777777" w:rsidR="008F369D" w:rsidRPr="00F332AF" w:rsidRDefault="008F369D" w:rsidP="008F369D">
      <w:pPr>
        <w:jc w:val="center"/>
        <w:rPr>
          <w:szCs w:val="22"/>
          <w:lang w:val="en-GB"/>
        </w:rPr>
      </w:pPr>
    </w:p>
    <w:p w14:paraId="7C331050" w14:textId="77777777" w:rsidR="008F369D" w:rsidRDefault="008F369D" w:rsidP="008F369D">
      <w:pPr>
        <w:jc w:val="center"/>
        <w:rPr>
          <w:szCs w:val="22"/>
          <w:lang w:val="en-GB"/>
        </w:rPr>
      </w:pPr>
    </w:p>
    <w:p w14:paraId="7C331051" w14:textId="77777777" w:rsidR="00801D3A" w:rsidRDefault="00801D3A" w:rsidP="008F369D">
      <w:pPr>
        <w:jc w:val="center"/>
        <w:rPr>
          <w:szCs w:val="22"/>
          <w:lang w:val="en-GB"/>
        </w:rPr>
      </w:pPr>
    </w:p>
    <w:p w14:paraId="7C331052" w14:textId="77777777" w:rsidR="00801D3A" w:rsidRDefault="00801D3A" w:rsidP="008F369D">
      <w:pPr>
        <w:jc w:val="center"/>
        <w:rPr>
          <w:szCs w:val="22"/>
          <w:lang w:val="en-GB"/>
        </w:rPr>
      </w:pPr>
    </w:p>
    <w:p w14:paraId="7C331053" w14:textId="77777777" w:rsidR="00801D3A" w:rsidRDefault="00801D3A" w:rsidP="008F369D">
      <w:pPr>
        <w:jc w:val="center"/>
        <w:rPr>
          <w:szCs w:val="22"/>
          <w:lang w:val="en-GB"/>
        </w:rPr>
      </w:pPr>
    </w:p>
    <w:p w14:paraId="7C331054" w14:textId="77777777" w:rsidR="00801D3A" w:rsidRDefault="00801D3A" w:rsidP="008F369D">
      <w:pPr>
        <w:jc w:val="center"/>
        <w:rPr>
          <w:szCs w:val="22"/>
          <w:lang w:val="en-GB"/>
        </w:rPr>
      </w:pPr>
    </w:p>
    <w:p w14:paraId="7C331055" w14:textId="77777777" w:rsidR="00801D3A" w:rsidRDefault="00801D3A" w:rsidP="008F369D">
      <w:pPr>
        <w:jc w:val="center"/>
        <w:rPr>
          <w:szCs w:val="22"/>
          <w:lang w:val="en-GB"/>
        </w:rPr>
      </w:pPr>
    </w:p>
    <w:p w14:paraId="7C331056" w14:textId="77777777" w:rsidR="00801D3A" w:rsidRPr="00F332AF" w:rsidRDefault="00801D3A" w:rsidP="008F369D">
      <w:pPr>
        <w:jc w:val="center"/>
        <w:rPr>
          <w:szCs w:val="22"/>
          <w:lang w:val="en-GB"/>
        </w:rPr>
      </w:pPr>
    </w:p>
    <w:p w14:paraId="7C331057" w14:textId="77777777" w:rsidR="008F369D" w:rsidRPr="00F332AF" w:rsidRDefault="00016F29" w:rsidP="008F369D">
      <w:pPr>
        <w:jc w:val="center"/>
        <w:rPr>
          <w:b/>
          <w:szCs w:val="22"/>
          <w:lang w:val="en-GB"/>
        </w:rPr>
      </w:pPr>
      <w:r w:rsidRPr="00F332AF">
        <w:rPr>
          <w:b/>
          <w:szCs w:val="22"/>
          <w:lang w:val="en-GB"/>
        </w:rPr>
        <w:t>ANNEX I</w:t>
      </w:r>
    </w:p>
    <w:p w14:paraId="7C331058" w14:textId="77777777" w:rsidR="008F369D" w:rsidRPr="00F332AF" w:rsidRDefault="008F369D" w:rsidP="008F369D">
      <w:pPr>
        <w:jc w:val="center"/>
        <w:rPr>
          <w:b/>
          <w:szCs w:val="22"/>
          <w:lang w:val="en-GB"/>
        </w:rPr>
      </w:pPr>
    </w:p>
    <w:p w14:paraId="7C33105C" w14:textId="08817B34" w:rsidR="008F369D" w:rsidRPr="00F332AF" w:rsidRDefault="00016F29" w:rsidP="00063D4E">
      <w:pPr>
        <w:pStyle w:val="Annex"/>
        <w:rPr>
          <w:lang w:val="en-GB"/>
        </w:rPr>
      </w:pPr>
      <w:r w:rsidRPr="00F332AF">
        <w:rPr>
          <w:lang w:val="en-GB"/>
        </w:rPr>
        <w:t>SUMMARY OF PRODUCT CHARACTERISTICS</w:t>
      </w:r>
    </w:p>
    <w:p w14:paraId="7C33105D" w14:textId="77777777" w:rsidR="007863DB" w:rsidRDefault="00016F29" w:rsidP="0099733D">
      <w:pPr>
        <w:ind w:left="562" w:hanging="562"/>
        <w:outlineLvl w:val="0"/>
        <w:rPr>
          <w:lang w:val="en-GB"/>
        </w:rPr>
      </w:pPr>
      <w:r w:rsidRPr="00F332AF">
        <w:rPr>
          <w:b/>
          <w:szCs w:val="22"/>
          <w:lang w:val="en-GB"/>
        </w:rPr>
        <w:br w:type="page"/>
      </w:r>
    </w:p>
    <w:p w14:paraId="7C33105E" w14:textId="77777777" w:rsidR="008F369D" w:rsidRPr="00F332AF" w:rsidRDefault="00016F29" w:rsidP="008F369D">
      <w:pPr>
        <w:ind w:left="562" w:hanging="562"/>
        <w:rPr>
          <w:szCs w:val="22"/>
          <w:lang w:val="en-GB"/>
        </w:rPr>
      </w:pPr>
      <w:r w:rsidRPr="00F332AF">
        <w:rPr>
          <w:b/>
          <w:szCs w:val="22"/>
          <w:lang w:val="en-GB"/>
        </w:rPr>
        <w:lastRenderedPageBreak/>
        <w:t>1.</w:t>
      </w:r>
      <w:r w:rsidRPr="00F332AF">
        <w:rPr>
          <w:b/>
          <w:szCs w:val="22"/>
          <w:lang w:val="en-GB"/>
        </w:rPr>
        <w:tab/>
        <w:t>NAME OF THE MEDICINAL PRODUCT</w:t>
      </w:r>
    </w:p>
    <w:p w14:paraId="7C33105F" w14:textId="77777777" w:rsidR="008F369D" w:rsidRPr="005D0EAD" w:rsidRDefault="008F369D" w:rsidP="008F369D">
      <w:pPr>
        <w:ind w:left="562" w:hanging="562"/>
        <w:rPr>
          <w:b/>
          <w:szCs w:val="22"/>
          <w:lang w:val="en-GB"/>
        </w:rPr>
      </w:pPr>
    </w:p>
    <w:p w14:paraId="7C331060" w14:textId="77777777" w:rsidR="008F369D" w:rsidRPr="00F332AF" w:rsidRDefault="00016F29" w:rsidP="00CF536B">
      <w:pPr>
        <w:rPr>
          <w:lang w:val="en-GB"/>
        </w:rPr>
      </w:pPr>
      <w:r w:rsidRPr="00F332AF">
        <w:rPr>
          <w:lang w:val="en-GB"/>
        </w:rPr>
        <w:t>MabThera 100 mg concentrate for solution for infusion</w:t>
      </w:r>
    </w:p>
    <w:p w14:paraId="7C331061" w14:textId="77777777" w:rsidR="00C92EB4" w:rsidRPr="00477319" w:rsidRDefault="00016F29" w:rsidP="00C92EB4">
      <w:r w:rsidRPr="00477319">
        <w:t>MabThera 500</w:t>
      </w:r>
      <w:r w:rsidR="00A95824">
        <w:t> </w:t>
      </w:r>
      <w:r w:rsidRPr="00477319">
        <w:t>mg concentrate for solution for infusion</w:t>
      </w:r>
    </w:p>
    <w:p w14:paraId="7C331062" w14:textId="77777777" w:rsidR="008F369D" w:rsidRPr="00C77511" w:rsidRDefault="008F369D" w:rsidP="008F369D">
      <w:pPr>
        <w:rPr>
          <w:szCs w:val="22"/>
        </w:rPr>
      </w:pPr>
    </w:p>
    <w:p w14:paraId="7C331063" w14:textId="77777777" w:rsidR="008F369D" w:rsidRPr="00F332AF" w:rsidRDefault="008F369D" w:rsidP="008F369D">
      <w:pPr>
        <w:rPr>
          <w:szCs w:val="22"/>
          <w:lang w:val="en-GB"/>
        </w:rPr>
      </w:pPr>
    </w:p>
    <w:p w14:paraId="7C331064" w14:textId="77777777" w:rsidR="008F369D" w:rsidRPr="00F332AF" w:rsidRDefault="00016F29" w:rsidP="008F369D">
      <w:pPr>
        <w:ind w:left="567" w:hanging="567"/>
        <w:outlineLvl w:val="0"/>
        <w:rPr>
          <w:szCs w:val="22"/>
          <w:lang w:val="en-GB"/>
        </w:rPr>
      </w:pPr>
      <w:r w:rsidRPr="00F332AF">
        <w:rPr>
          <w:b/>
          <w:szCs w:val="22"/>
          <w:lang w:val="en-GB"/>
        </w:rPr>
        <w:t>2.</w:t>
      </w:r>
      <w:r w:rsidRPr="00F332AF">
        <w:rPr>
          <w:b/>
          <w:szCs w:val="22"/>
          <w:lang w:val="en-GB"/>
        </w:rPr>
        <w:tab/>
        <w:t>QUALITATIVE AND QUANTITATIVE COMPOSITION</w:t>
      </w:r>
    </w:p>
    <w:p w14:paraId="7C331065" w14:textId="77777777" w:rsidR="008F369D" w:rsidRPr="00F332AF" w:rsidRDefault="008F369D" w:rsidP="008F369D">
      <w:pPr>
        <w:rPr>
          <w:i/>
          <w:szCs w:val="22"/>
          <w:lang w:val="en-GB"/>
        </w:rPr>
      </w:pPr>
    </w:p>
    <w:p w14:paraId="7C331066" w14:textId="2BD4E7FF" w:rsidR="00C92EB4" w:rsidRDefault="00016F29" w:rsidP="00C92EB4">
      <w:pPr>
        <w:rPr>
          <w:u w:val="single"/>
        </w:rPr>
      </w:pPr>
      <w:r w:rsidRPr="00AE6D76">
        <w:rPr>
          <w:u w:val="single"/>
        </w:rPr>
        <w:t>MabThera 100</w:t>
      </w:r>
      <w:r w:rsidR="00A95824">
        <w:rPr>
          <w:u w:val="single"/>
        </w:rPr>
        <w:t> </w:t>
      </w:r>
      <w:r w:rsidRPr="00AE6D76">
        <w:rPr>
          <w:u w:val="single"/>
        </w:rPr>
        <w:t>mg concentrate for solution for infusion</w:t>
      </w:r>
    </w:p>
    <w:p w14:paraId="21D4E9DF" w14:textId="77777777" w:rsidR="00E716AF" w:rsidRPr="00AE6D76" w:rsidRDefault="00E716AF" w:rsidP="00C92EB4">
      <w:pPr>
        <w:rPr>
          <w:u w:val="single"/>
        </w:rPr>
      </w:pPr>
    </w:p>
    <w:p w14:paraId="7C331067" w14:textId="77777777" w:rsidR="008F369D" w:rsidRPr="00525A55" w:rsidRDefault="00016F29" w:rsidP="00CF536B">
      <w:pPr>
        <w:rPr>
          <w:lang w:val="en-GB"/>
        </w:rPr>
      </w:pPr>
      <w:r w:rsidRPr="00F332AF">
        <w:rPr>
          <w:lang w:val="en-GB"/>
        </w:rPr>
        <w:t xml:space="preserve">Each mL contains 10 mg of </w:t>
      </w:r>
      <w:r w:rsidRPr="00294F2D">
        <w:rPr>
          <w:lang w:val="en-GB"/>
        </w:rPr>
        <w:t>r</w:t>
      </w:r>
      <w:r w:rsidRPr="00525A55">
        <w:rPr>
          <w:lang w:val="en-GB"/>
        </w:rPr>
        <w:t>ituximab.</w:t>
      </w:r>
    </w:p>
    <w:p w14:paraId="7C331068" w14:textId="77777777" w:rsidR="008F369D" w:rsidRPr="007C00EF" w:rsidRDefault="00016F29" w:rsidP="00CF536B">
      <w:pPr>
        <w:rPr>
          <w:lang w:val="en-GB"/>
        </w:rPr>
      </w:pPr>
      <w:r w:rsidRPr="00DF4B74">
        <w:rPr>
          <w:lang w:val="en-GB"/>
        </w:rPr>
        <w:t xml:space="preserve">Each </w:t>
      </w:r>
      <w:r w:rsidR="00F02211" w:rsidRPr="00A95824">
        <w:rPr>
          <w:lang w:val="en-GB"/>
        </w:rPr>
        <w:t>10</w:t>
      </w:r>
      <w:r w:rsidR="00A95824">
        <w:rPr>
          <w:lang w:val="en-GB"/>
        </w:rPr>
        <w:t> </w:t>
      </w:r>
      <w:r w:rsidR="00F02211" w:rsidRPr="00A95824">
        <w:rPr>
          <w:lang w:val="en-GB"/>
        </w:rPr>
        <w:t>mL</w:t>
      </w:r>
      <w:r w:rsidR="006B49B7">
        <w:rPr>
          <w:lang w:val="en-GB"/>
        </w:rPr>
        <w:t xml:space="preserve"> </w:t>
      </w:r>
      <w:r w:rsidRPr="008C7921">
        <w:rPr>
          <w:lang w:val="en-GB"/>
        </w:rPr>
        <w:t>vial contain</w:t>
      </w:r>
      <w:r>
        <w:rPr>
          <w:lang w:val="en-GB"/>
        </w:rPr>
        <w:t>s</w:t>
      </w:r>
      <w:r w:rsidRPr="008C7921">
        <w:rPr>
          <w:lang w:val="en-GB"/>
        </w:rPr>
        <w:t xml:space="preserve"> 100 mg</w:t>
      </w:r>
      <w:r w:rsidRPr="006467AE">
        <w:rPr>
          <w:lang w:val="en-GB"/>
        </w:rPr>
        <w:t xml:space="preserve"> of </w:t>
      </w:r>
      <w:r w:rsidRPr="00064CD5">
        <w:rPr>
          <w:lang w:val="en-GB"/>
        </w:rPr>
        <w:t>r</w:t>
      </w:r>
      <w:r w:rsidRPr="002A4163">
        <w:rPr>
          <w:lang w:val="en-GB"/>
        </w:rPr>
        <w:t>ituximab.</w:t>
      </w:r>
    </w:p>
    <w:p w14:paraId="7C331069" w14:textId="77777777" w:rsidR="008F369D" w:rsidRDefault="008F369D" w:rsidP="00CF536B">
      <w:pPr>
        <w:rPr>
          <w:lang w:val="en-GB"/>
        </w:rPr>
      </w:pPr>
    </w:p>
    <w:p w14:paraId="7C33106A" w14:textId="42F1BF54" w:rsidR="00C92EB4" w:rsidRDefault="00016F29" w:rsidP="00C92EB4">
      <w:pPr>
        <w:rPr>
          <w:u w:val="single"/>
        </w:rPr>
      </w:pPr>
      <w:r w:rsidRPr="00477319">
        <w:rPr>
          <w:u w:val="single"/>
        </w:rPr>
        <w:t>MabThera 500</w:t>
      </w:r>
      <w:r w:rsidR="00A95824">
        <w:rPr>
          <w:u w:val="single"/>
        </w:rPr>
        <w:t> </w:t>
      </w:r>
      <w:r w:rsidRPr="00477319">
        <w:rPr>
          <w:u w:val="single"/>
        </w:rPr>
        <w:t xml:space="preserve">mg concentrate for solution for infusion </w:t>
      </w:r>
    </w:p>
    <w:p w14:paraId="4F45D3F4" w14:textId="77777777" w:rsidR="00E716AF" w:rsidRPr="00477319" w:rsidRDefault="00E716AF" w:rsidP="00C92EB4">
      <w:pPr>
        <w:rPr>
          <w:u w:val="single"/>
        </w:rPr>
      </w:pPr>
    </w:p>
    <w:p w14:paraId="7C33106B" w14:textId="77777777" w:rsidR="00C92EB4" w:rsidRDefault="00016F29" w:rsidP="00C92EB4">
      <w:r>
        <w:t>Each mL contains 10</w:t>
      </w:r>
      <w:r w:rsidR="00A95824">
        <w:t> </w:t>
      </w:r>
      <w:r>
        <w:t xml:space="preserve">mg of rituximab. </w:t>
      </w:r>
    </w:p>
    <w:p w14:paraId="7C33106C" w14:textId="77777777" w:rsidR="00C92EB4" w:rsidRPr="00477319" w:rsidRDefault="00016F29" w:rsidP="00C92EB4">
      <w:r>
        <w:t>Each 50</w:t>
      </w:r>
      <w:r w:rsidR="00A95824">
        <w:t> </w:t>
      </w:r>
      <w:r>
        <w:t>mL vial contains 500</w:t>
      </w:r>
      <w:r w:rsidR="00A95824">
        <w:t> </w:t>
      </w:r>
      <w:r>
        <w:t>mg of rituximab.</w:t>
      </w:r>
    </w:p>
    <w:p w14:paraId="7C33106D" w14:textId="77777777" w:rsidR="00C92EB4" w:rsidRPr="00C77511" w:rsidRDefault="00C92EB4" w:rsidP="00CF536B"/>
    <w:p w14:paraId="7C33106E" w14:textId="77777777" w:rsidR="008F369D" w:rsidRPr="005E7A04" w:rsidRDefault="00016F29" w:rsidP="005E7A04">
      <w:pPr>
        <w:rPr>
          <w:lang w:val="en-GB"/>
        </w:rPr>
      </w:pPr>
      <w:r w:rsidRPr="005E7A04">
        <w:rPr>
          <w:lang w:val="en-GB"/>
        </w:rPr>
        <w:t>Rituximab is a genetically engineered chimeric mouse/human monoclonal antibody representing a glycosylated immunoglobulin with human IgG1 constant regions and murine light</w:t>
      </w:r>
      <w:r w:rsidR="000A6DDA" w:rsidRPr="005E7A04">
        <w:rPr>
          <w:lang w:val="en-GB"/>
        </w:rPr>
        <w:noBreakHyphen/>
      </w:r>
      <w:r w:rsidRPr="005E7A04">
        <w:rPr>
          <w:lang w:val="en-GB"/>
        </w:rPr>
        <w:t>chain and heavy</w:t>
      </w:r>
      <w:r w:rsidR="000A6DDA" w:rsidRPr="005E7A04">
        <w:rPr>
          <w:lang w:val="en-GB"/>
        </w:rPr>
        <w:noBreakHyphen/>
      </w:r>
      <w:r w:rsidRPr="005E7A04">
        <w:rPr>
          <w:lang w:val="en-GB"/>
        </w:rPr>
        <w:t>chain variable region sequences. The antibody is produced by mammalian (Chinese hamster ovary) cell suspension culture and purified by affinity chromatography and ion exchange, including specific viral inactivation and removal procedures.</w:t>
      </w:r>
    </w:p>
    <w:p w14:paraId="7C33106F" w14:textId="77777777" w:rsidR="006F2A34" w:rsidRDefault="006F2A34" w:rsidP="006F2A34">
      <w:pPr>
        <w:rPr>
          <w:szCs w:val="22"/>
          <w:u w:val="single"/>
          <w:lang w:val="en-GB"/>
        </w:rPr>
      </w:pPr>
    </w:p>
    <w:p w14:paraId="7C331070" w14:textId="23E08D81" w:rsidR="004226BB" w:rsidRDefault="00016F29" w:rsidP="00CF536B">
      <w:pPr>
        <w:rPr>
          <w:u w:val="single"/>
          <w:lang w:val="en-GB"/>
        </w:rPr>
      </w:pPr>
      <w:r w:rsidRPr="00663CB6">
        <w:rPr>
          <w:u w:val="single"/>
          <w:lang w:val="en-GB"/>
        </w:rPr>
        <w:t>Excipients with known effects</w:t>
      </w:r>
    </w:p>
    <w:p w14:paraId="78A1489B" w14:textId="77777777" w:rsidR="00E716AF" w:rsidRPr="00ED6D93" w:rsidRDefault="00E716AF" w:rsidP="00CF536B">
      <w:pPr>
        <w:rPr>
          <w:lang w:val="en-GB"/>
        </w:rPr>
      </w:pPr>
    </w:p>
    <w:p w14:paraId="7C331071" w14:textId="77777777" w:rsidR="004226BB" w:rsidRDefault="00016F29" w:rsidP="00CF536B">
      <w:pPr>
        <w:rPr>
          <w:lang w:val="en-GB"/>
        </w:rPr>
      </w:pPr>
      <w:r>
        <w:rPr>
          <w:lang w:val="en-GB"/>
        </w:rPr>
        <w:t>Each 10</w:t>
      </w:r>
      <w:r w:rsidR="00A95824">
        <w:rPr>
          <w:lang w:val="en-GB"/>
        </w:rPr>
        <w:t> </w:t>
      </w:r>
      <w:r>
        <w:rPr>
          <w:lang w:val="en-GB"/>
        </w:rPr>
        <w:t>mL vial contains 2.3</w:t>
      </w:r>
      <w:r w:rsidR="00A95824">
        <w:rPr>
          <w:lang w:val="en-GB"/>
        </w:rPr>
        <w:t> </w:t>
      </w:r>
      <w:r>
        <w:rPr>
          <w:lang w:val="en-GB"/>
        </w:rPr>
        <w:t>mmol (52.6</w:t>
      </w:r>
      <w:r w:rsidR="00A95824">
        <w:rPr>
          <w:lang w:val="en-GB"/>
        </w:rPr>
        <w:t> </w:t>
      </w:r>
      <w:r>
        <w:rPr>
          <w:lang w:val="en-GB"/>
        </w:rPr>
        <w:t>mg) sodium.</w:t>
      </w:r>
    </w:p>
    <w:p w14:paraId="7C331072" w14:textId="77777777" w:rsidR="00C92EB4" w:rsidRDefault="00016F29" w:rsidP="00CF536B">
      <w:pPr>
        <w:rPr>
          <w:lang w:val="en-GB"/>
        </w:rPr>
      </w:pPr>
      <w:r>
        <w:rPr>
          <w:lang w:val="en-GB"/>
        </w:rPr>
        <w:t>Each 50</w:t>
      </w:r>
      <w:r w:rsidR="00447C96">
        <w:rPr>
          <w:lang w:val="en-GB"/>
        </w:rPr>
        <w:t> </w:t>
      </w:r>
      <w:r>
        <w:rPr>
          <w:lang w:val="en-GB"/>
        </w:rPr>
        <w:t>mL vial contains 11.5</w:t>
      </w:r>
      <w:r w:rsidR="00A95824">
        <w:rPr>
          <w:lang w:val="en-GB"/>
        </w:rPr>
        <w:t> </w:t>
      </w:r>
      <w:r>
        <w:rPr>
          <w:lang w:val="en-GB"/>
        </w:rPr>
        <w:t>mmol (263.2</w:t>
      </w:r>
      <w:r w:rsidR="00A95824">
        <w:rPr>
          <w:lang w:val="en-GB"/>
        </w:rPr>
        <w:t> </w:t>
      </w:r>
      <w:r>
        <w:rPr>
          <w:lang w:val="en-GB"/>
        </w:rPr>
        <w:t>mg) sodium.</w:t>
      </w:r>
    </w:p>
    <w:p w14:paraId="7C331073" w14:textId="77777777" w:rsidR="008F369D" w:rsidRPr="00F332AF" w:rsidRDefault="008F369D" w:rsidP="00CF536B">
      <w:pPr>
        <w:rPr>
          <w:lang w:val="en-GB"/>
        </w:rPr>
      </w:pPr>
    </w:p>
    <w:p w14:paraId="7C331074" w14:textId="77777777" w:rsidR="008F369D" w:rsidRPr="00F332AF" w:rsidRDefault="00016F29" w:rsidP="00CF536B">
      <w:pPr>
        <w:rPr>
          <w:lang w:val="en-GB"/>
        </w:rPr>
      </w:pPr>
      <w:r w:rsidRPr="00F332AF">
        <w:rPr>
          <w:lang w:val="en-GB"/>
        </w:rPr>
        <w:t xml:space="preserve">For </w:t>
      </w:r>
      <w:r>
        <w:rPr>
          <w:lang w:val="en-GB"/>
        </w:rPr>
        <w:t>the</w:t>
      </w:r>
      <w:r w:rsidRPr="00F332AF">
        <w:rPr>
          <w:lang w:val="en-GB"/>
        </w:rPr>
        <w:t xml:space="preserve"> full list of excipients, see section 6.1.</w:t>
      </w:r>
    </w:p>
    <w:p w14:paraId="7C331075" w14:textId="77777777" w:rsidR="008F369D" w:rsidRPr="00F332AF" w:rsidRDefault="008F369D" w:rsidP="008F369D">
      <w:pPr>
        <w:rPr>
          <w:szCs w:val="22"/>
          <w:lang w:val="en-GB"/>
        </w:rPr>
      </w:pPr>
    </w:p>
    <w:p w14:paraId="7C331076" w14:textId="77777777" w:rsidR="008F369D" w:rsidRPr="00F332AF" w:rsidRDefault="008F369D" w:rsidP="008F369D">
      <w:pPr>
        <w:rPr>
          <w:szCs w:val="22"/>
          <w:lang w:val="en-GB"/>
        </w:rPr>
      </w:pPr>
    </w:p>
    <w:p w14:paraId="7C331077" w14:textId="77777777" w:rsidR="008F369D" w:rsidRPr="00F332AF" w:rsidRDefault="00016F29" w:rsidP="008F369D">
      <w:pPr>
        <w:ind w:left="567" w:hanging="567"/>
        <w:outlineLvl w:val="0"/>
        <w:rPr>
          <w:caps/>
          <w:szCs w:val="22"/>
          <w:lang w:val="en-GB"/>
        </w:rPr>
      </w:pPr>
      <w:r w:rsidRPr="00F332AF">
        <w:rPr>
          <w:b/>
          <w:szCs w:val="22"/>
          <w:lang w:val="en-GB"/>
        </w:rPr>
        <w:t>3.</w:t>
      </w:r>
      <w:r w:rsidRPr="00F332AF">
        <w:rPr>
          <w:b/>
          <w:szCs w:val="22"/>
          <w:lang w:val="en-GB"/>
        </w:rPr>
        <w:tab/>
        <w:t xml:space="preserve">PHARMACEUTICAL </w:t>
      </w:r>
      <w:r w:rsidRPr="00F332AF">
        <w:rPr>
          <w:b/>
          <w:caps/>
          <w:szCs w:val="22"/>
          <w:lang w:val="en-GB"/>
        </w:rPr>
        <w:t>form</w:t>
      </w:r>
    </w:p>
    <w:p w14:paraId="7C331078" w14:textId="77777777" w:rsidR="008F369D" w:rsidRPr="00F332AF" w:rsidRDefault="008F369D" w:rsidP="008F369D">
      <w:pPr>
        <w:rPr>
          <w:szCs w:val="22"/>
          <w:lang w:val="en-GB"/>
        </w:rPr>
      </w:pPr>
    </w:p>
    <w:p w14:paraId="7C331079" w14:textId="77777777" w:rsidR="008F369D" w:rsidRPr="00F332AF" w:rsidRDefault="00016F29" w:rsidP="00CF536B">
      <w:pPr>
        <w:outlineLvl w:val="0"/>
        <w:rPr>
          <w:lang w:val="en-GB"/>
        </w:rPr>
      </w:pPr>
      <w:r w:rsidRPr="00F332AF">
        <w:rPr>
          <w:lang w:val="en-GB"/>
        </w:rPr>
        <w:t>Concentrate for solution for infusion.</w:t>
      </w:r>
    </w:p>
    <w:p w14:paraId="7C33107A" w14:textId="77777777" w:rsidR="008F369D" w:rsidRPr="00F332AF" w:rsidRDefault="008F369D" w:rsidP="008F369D">
      <w:pPr>
        <w:rPr>
          <w:szCs w:val="22"/>
          <w:lang w:val="en-GB"/>
        </w:rPr>
      </w:pPr>
    </w:p>
    <w:p w14:paraId="7C33107B" w14:textId="77777777" w:rsidR="008F369D" w:rsidRPr="00F332AF" w:rsidRDefault="00016F29" w:rsidP="00CF536B">
      <w:pPr>
        <w:rPr>
          <w:lang w:val="en-GB"/>
        </w:rPr>
      </w:pPr>
      <w:r w:rsidRPr="00F332AF">
        <w:rPr>
          <w:lang w:val="en-GB"/>
        </w:rPr>
        <w:t>Clear, colourless liquid</w:t>
      </w:r>
      <w:r w:rsidR="00142420">
        <w:rPr>
          <w:lang w:val="en-GB"/>
        </w:rPr>
        <w:t xml:space="preserve"> </w:t>
      </w:r>
      <w:r w:rsidR="00811833">
        <w:rPr>
          <w:lang w:val="en-GB"/>
        </w:rPr>
        <w:t>with pH of 6.</w:t>
      </w:r>
      <w:r w:rsidR="00811833" w:rsidRPr="00FD5E47">
        <w:rPr>
          <w:lang w:val="en-GB"/>
        </w:rPr>
        <w:t>2 – 6.8</w:t>
      </w:r>
      <w:r w:rsidR="00811833">
        <w:rPr>
          <w:lang w:val="en-GB"/>
        </w:rPr>
        <w:t xml:space="preserve"> and osmolality of </w:t>
      </w:r>
      <w:r w:rsidR="00447C96">
        <w:rPr>
          <w:lang w:val="en-GB"/>
        </w:rPr>
        <w:t>324 - 396 </w:t>
      </w:r>
      <w:r w:rsidR="00811833">
        <w:rPr>
          <w:lang w:val="en-GB"/>
        </w:rPr>
        <w:t xml:space="preserve">mOsmol/kg </w:t>
      </w:r>
      <w:r w:rsidRPr="00F332AF">
        <w:rPr>
          <w:lang w:val="en-GB"/>
        </w:rPr>
        <w:t>.</w:t>
      </w:r>
    </w:p>
    <w:p w14:paraId="7C33107C" w14:textId="77777777" w:rsidR="008F369D" w:rsidRPr="00F332AF" w:rsidRDefault="008F369D" w:rsidP="008F369D">
      <w:pPr>
        <w:rPr>
          <w:bCs/>
          <w:caps/>
          <w:szCs w:val="22"/>
          <w:lang w:val="en-GB"/>
        </w:rPr>
      </w:pPr>
    </w:p>
    <w:p w14:paraId="7C33107D" w14:textId="77777777" w:rsidR="008F369D" w:rsidRPr="00F332AF" w:rsidRDefault="008F369D" w:rsidP="008F369D">
      <w:pPr>
        <w:rPr>
          <w:bCs/>
          <w:caps/>
          <w:szCs w:val="22"/>
          <w:lang w:val="en-GB"/>
        </w:rPr>
      </w:pPr>
    </w:p>
    <w:p w14:paraId="7C33107E" w14:textId="77777777" w:rsidR="008F369D" w:rsidRPr="00F332AF" w:rsidRDefault="00016F29" w:rsidP="008F369D">
      <w:pPr>
        <w:ind w:left="567" w:hanging="567"/>
        <w:outlineLvl w:val="0"/>
        <w:rPr>
          <w:caps/>
          <w:szCs w:val="22"/>
          <w:lang w:val="en-GB"/>
        </w:rPr>
      </w:pPr>
      <w:r w:rsidRPr="00F332AF">
        <w:rPr>
          <w:b/>
          <w:caps/>
          <w:szCs w:val="22"/>
          <w:lang w:val="en-GB"/>
        </w:rPr>
        <w:t>4.</w:t>
      </w:r>
      <w:r w:rsidRPr="00F332AF">
        <w:rPr>
          <w:b/>
          <w:caps/>
          <w:szCs w:val="22"/>
          <w:lang w:val="en-GB"/>
        </w:rPr>
        <w:tab/>
        <w:t>Clinical particulars</w:t>
      </w:r>
    </w:p>
    <w:p w14:paraId="7C33107F" w14:textId="77777777" w:rsidR="008F369D" w:rsidRPr="00F332AF" w:rsidRDefault="008F369D" w:rsidP="008F369D">
      <w:pPr>
        <w:ind w:left="567" w:hanging="567"/>
        <w:rPr>
          <w:szCs w:val="22"/>
          <w:lang w:val="en-GB"/>
        </w:rPr>
      </w:pPr>
    </w:p>
    <w:p w14:paraId="7C331080" w14:textId="77777777" w:rsidR="008F369D" w:rsidRPr="00F638AF" w:rsidRDefault="00016F29" w:rsidP="008F369D">
      <w:pPr>
        <w:ind w:left="567" w:hanging="567"/>
        <w:outlineLvl w:val="0"/>
        <w:rPr>
          <w:b/>
          <w:szCs w:val="22"/>
          <w:lang w:val="en-GB"/>
        </w:rPr>
      </w:pPr>
      <w:r w:rsidRPr="00F332AF">
        <w:rPr>
          <w:b/>
          <w:szCs w:val="22"/>
          <w:lang w:val="en-GB"/>
        </w:rPr>
        <w:t>4.1</w:t>
      </w:r>
      <w:r w:rsidRPr="00F332AF">
        <w:rPr>
          <w:b/>
          <w:szCs w:val="22"/>
          <w:lang w:val="en-GB"/>
        </w:rPr>
        <w:tab/>
      </w:r>
      <w:r w:rsidRPr="00F638AF">
        <w:rPr>
          <w:b/>
          <w:szCs w:val="22"/>
          <w:lang w:val="en-GB"/>
        </w:rPr>
        <w:t>Therapeutic indications</w:t>
      </w:r>
    </w:p>
    <w:p w14:paraId="7C331081" w14:textId="77777777" w:rsidR="008F369D" w:rsidRPr="00F638AF" w:rsidRDefault="008F369D" w:rsidP="008F369D">
      <w:pPr>
        <w:autoSpaceDE w:val="0"/>
        <w:autoSpaceDN w:val="0"/>
        <w:adjustRightInd w:val="0"/>
        <w:jc w:val="both"/>
        <w:rPr>
          <w:szCs w:val="22"/>
          <w:lang w:val="en-GB" w:eastAsia="en-GB"/>
        </w:rPr>
      </w:pPr>
    </w:p>
    <w:p w14:paraId="7C331082" w14:textId="77777777" w:rsidR="008F369D" w:rsidRPr="00F638AF" w:rsidRDefault="00016F29" w:rsidP="005B2928">
      <w:pPr>
        <w:autoSpaceDE w:val="0"/>
        <w:autoSpaceDN w:val="0"/>
        <w:adjustRightInd w:val="0"/>
        <w:rPr>
          <w:szCs w:val="22"/>
          <w:lang w:val="en-GB" w:eastAsia="en-GB"/>
        </w:rPr>
      </w:pPr>
      <w:r w:rsidRPr="00F638AF">
        <w:rPr>
          <w:szCs w:val="22"/>
          <w:lang w:val="en-GB" w:eastAsia="en-GB"/>
        </w:rPr>
        <w:t>MabThera is indicated in adults for the following indications:</w:t>
      </w:r>
    </w:p>
    <w:p w14:paraId="7C331083" w14:textId="77777777" w:rsidR="008F369D" w:rsidRPr="00F638AF" w:rsidRDefault="008F369D" w:rsidP="008F369D">
      <w:pPr>
        <w:rPr>
          <w:szCs w:val="22"/>
          <w:lang w:val="en-GB"/>
        </w:rPr>
      </w:pPr>
    </w:p>
    <w:p w14:paraId="7C331084" w14:textId="77777777" w:rsidR="008F369D" w:rsidRPr="00F638AF" w:rsidRDefault="00016F29" w:rsidP="008F369D">
      <w:pPr>
        <w:ind w:left="567" w:hanging="567"/>
        <w:outlineLvl w:val="0"/>
        <w:rPr>
          <w:szCs w:val="22"/>
          <w:u w:val="single"/>
          <w:lang w:val="en-GB"/>
        </w:rPr>
      </w:pPr>
      <w:r w:rsidRPr="00F638AF">
        <w:rPr>
          <w:szCs w:val="22"/>
          <w:u w:val="single"/>
          <w:lang w:val="en-GB"/>
        </w:rPr>
        <w:t>Non</w:t>
      </w:r>
      <w:r w:rsidR="00E829AA" w:rsidRPr="00F638AF">
        <w:rPr>
          <w:szCs w:val="22"/>
          <w:u w:val="single"/>
          <w:lang w:val="en-GB"/>
        </w:rPr>
        <w:noBreakHyphen/>
      </w:r>
      <w:r w:rsidRPr="00F638AF">
        <w:rPr>
          <w:szCs w:val="22"/>
          <w:u w:val="single"/>
          <w:lang w:val="en-GB"/>
        </w:rPr>
        <w:t>Hodgkin’s lymphoma (NHL)</w:t>
      </w:r>
    </w:p>
    <w:p w14:paraId="7C331085" w14:textId="77777777" w:rsidR="008F369D" w:rsidRPr="00F638AF" w:rsidRDefault="008F369D" w:rsidP="008F369D">
      <w:pPr>
        <w:rPr>
          <w:b/>
          <w:szCs w:val="22"/>
          <w:lang w:val="en-GB"/>
        </w:rPr>
      </w:pPr>
    </w:p>
    <w:p w14:paraId="7C331086" w14:textId="77777777" w:rsidR="008F369D" w:rsidRPr="00F638AF" w:rsidRDefault="00016F29" w:rsidP="008F369D">
      <w:pPr>
        <w:rPr>
          <w:szCs w:val="22"/>
          <w:lang w:val="en-GB"/>
        </w:rPr>
      </w:pPr>
      <w:r w:rsidRPr="00F638AF">
        <w:rPr>
          <w:snapToGrid w:val="0"/>
          <w:szCs w:val="22"/>
          <w:lang w:val="en-GB" w:eastAsia="en-US"/>
        </w:rPr>
        <w:t xml:space="preserve">MabThera is indicated for the treatment of previously untreated </w:t>
      </w:r>
      <w:r w:rsidR="00BE4250" w:rsidRPr="00F638AF">
        <w:rPr>
          <w:snapToGrid w:val="0"/>
          <w:szCs w:val="22"/>
          <w:lang w:val="en-GB" w:eastAsia="en-US"/>
        </w:rPr>
        <w:t xml:space="preserve">adult </w:t>
      </w:r>
      <w:r w:rsidRPr="00F638AF">
        <w:rPr>
          <w:snapToGrid w:val="0"/>
          <w:szCs w:val="22"/>
          <w:lang w:val="en-GB" w:eastAsia="en-US"/>
        </w:rPr>
        <w:t>patients with stage III</w:t>
      </w:r>
      <w:r w:rsidR="000A6DDA" w:rsidRPr="00F638AF">
        <w:rPr>
          <w:snapToGrid w:val="0"/>
          <w:szCs w:val="22"/>
          <w:lang w:val="en-GB" w:eastAsia="en-US"/>
        </w:rPr>
        <w:noBreakHyphen/>
      </w:r>
      <w:r w:rsidRPr="00F638AF">
        <w:rPr>
          <w:snapToGrid w:val="0"/>
          <w:szCs w:val="22"/>
          <w:lang w:val="en-GB" w:eastAsia="en-US"/>
        </w:rPr>
        <w:t xml:space="preserve">IV follicular lymphoma in combination with chemotherapy. </w:t>
      </w:r>
    </w:p>
    <w:p w14:paraId="7C331087" w14:textId="77777777" w:rsidR="008F369D" w:rsidRPr="00F638AF" w:rsidRDefault="008F369D" w:rsidP="008F369D">
      <w:pPr>
        <w:rPr>
          <w:szCs w:val="22"/>
          <w:lang w:val="en-GB"/>
        </w:rPr>
      </w:pPr>
    </w:p>
    <w:p w14:paraId="7C331088" w14:textId="77777777" w:rsidR="008F369D" w:rsidRPr="00F638AF" w:rsidRDefault="00016F29" w:rsidP="008F369D">
      <w:pPr>
        <w:rPr>
          <w:lang w:val="en-GB"/>
        </w:rPr>
      </w:pPr>
      <w:r w:rsidRPr="00F638AF">
        <w:rPr>
          <w:snapToGrid w:val="0"/>
          <w:szCs w:val="22"/>
          <w:lang w:val="en-GB" w:eastAsia="en-US"/>
        </w:rPr>
        <w:t xml:space="preserve">MabThera maintenance therapy is indicated for the treatment of </w:t>
      </w:r>
      <w:r w:rsidR="00BE4250" w:rsidRPr="00F638AF">
        <w:rPr>
          <w:snapToGrid w:val="0"/>
          <w:szCs w:val="22"/>
          <w:lang w:val="en-GB" w:eastAsia="en-US"/>
        </w:rPr>
        <w:t xml:space="preserve">adult </w:t>
      </w:r>
      <w:r w:rsidRPr="00F638AF">
        <w:rPr>
          <w:snapToGrid w:val="0"/>
          <w:szCs w:val="22"/>
          <w:lang w:val="en-GB" w:eastAsia="en-US"/>
        </w:rPr>
        <w:t>follicular lymphoma patients responding to induction therapy.</w:t>
      </w:r>
      <w:r w:rsidRPr="00F638AF">
        <w:rPr>
          <w:lang w:val="en-GB"/>
        </w:rPr>
        <w:t xml:space="preserve"> </w:t>
      </w:r>
    </w:p>
    <w:p w14:paraId="7C331089" w14:textId="77777777" w:rsidR="008F369D" w:rsidRPr="00F638AF" w:rsidRDefault="008F369D" w:rsidP="008F369D">
      <w:pPr>
        <w:rPr>
          <w:lang w:val="en-GB"/>
        </w:rPr>
      </w:pPr>
    </w:p>
    <w:p w14:paraId="7C33108A" w14:textId="77777777" w:rsidR="008F369D" w:rsidRPr="00F638AF" w:rsidRDefault="00016F29" w:rsidP="008F369D">
      <w:pPr>
        <w:rPr>
          <w:szCs w:val="22"/>
          <w:lang w:val="en-GB"/>
        </w:rPr>
      </w:pPr>
      <w:r w:rsidRPr="00F638AF">
        <w:rPr>
          <w:szCs w:val="22"/>
          <w:lang w:val="en-GB"/>
        </w:rPr>
        <w:t>MabThera monotherapy is indicated for treatment of</w:t>
      </w:r>
      <w:r w:rsidR="00BE4250" w:rsidRPr="00F638AF">
        <w:rPr>
          <w:szCs w:val="22"/>
          <w:lang w:val="en-GB"/>
        </w:rPr>
        <w:t xml:space="preserve"> adult</w:t>
      </w:r>
      <w:r w:rsidRPr="00F638AF">
        <w:rPr>
          <w:szCs w:val="22"/>
          <w:lang w:val="en-GB"/>
        </w:rPr>
        <w:t xml:space="preserve"> patients with stage III</w:t>
      </w:r>
      <w:r w:rsidR="00E829AA" w:rsidRPr="00F638AF">
        <w:rPr>
          <w:szCs w:val="22"/>
          <w:lang w:val="en-GB"/>
        </w:rPr>
        <w:noBreakHyphen/>
      </w:r>
      <w:r w:rsidRPr="00F638AF">
        <w:rPr>
          <w:szCs w:val="22"/>
          <w:lang w:val="en-GB"/>
        </w:rPr>
        <w:t xml:space="preserve">IV follicular lymphoma who are chemoresistant or are in their second or subsequent relapse after chemotherapy. </w:t>
      </w:r>
    </w:p>
    <w:p w14:paraId="7C33108B" w14:textId="77777777" w:rsidR="008F369D" w:rsidRPr="00F638AF" w:rsidRDefault="008F369D" w:rsidP="008F369D">
      <w:pPr>
        <w:rPr>
          <w:lang w:val="en-GB"/>
        </w:rPr>
      </w:pPr>
    </w:p>
    <w:p w14:paraId="7C33108C" w14:textId="77777777" w:rsidR="008F369D" w:rsidRPr="00F638AF" w:rsidRDefault="00016F29" w:rsidP="008F369D">
      <w:pPr>
        <w:autoSpaceDE w:val="0"/>
        <w:autoSpaceDN w:val="0"/>
        <w:adjustRightInd w:val="0"/>
        <w:rPr>
          <w:snapToGrid w:val="0"/>
          <w:szCs w:val="22"/>
          <w:lang w:val="en-GB"/>
        </w:rPr>
      </w:pPr>
      <w:r w:rsidRPr="00F638AF">
        <w:rPr>
          <w:szCs w:val="22"/>
          <w:lang w:val="en-GB"/>
        </w:rPr>
        <w:t xml:space="preserve">MabThera is indicated for the treatment of </w:t>
      </w:r>
      <w:r w:rsidR="00BE4250" w:rsidRPr="00F638AF">
        <w:rPr>
          <w:szCs w:val="22"/>
          <w:lang w:val="en-GB"/>
        </w:rPr>
        <w:t xml:space="preserve">adult </w:t>
      </w:r>
      <w:r w:rsidRPr="00F638AF">
        <w:rPr>
          <w:szCs w:val="22"/>
          <w:lang w:val="en-GB"/>
        </w:rPr>
        <w:t>patients with CD20 positive diffuse large B cell non</w:t>
      </w:r>
      <w:r w:rsidR="00E829AA" w:rsidRPr="00F638AF">
        <w:rPr>
          <w:szCs w:val="22"/>
          <w:lang w:val="en-GB"/>
        </w:rPr>
        <w:noBreakHyphen/>
      </w:r>
      <w:r w:rsidRPr="00F638AF">
        <w:rPr>
          <w:szCs w:val="22"/>
          <w:lang w:val="en-GB"/>
        </w:rPr>
        <w:t xml:space="preserve">Hodgkin’s lymphoma in combination with </w:t>
      </w:r>
      <w:r w:rsidRPr="00F638AF">
        <w:rPr>
          <w:rFonts w:eastAsia="PMingLiU"/>
          <w:szCs w:val="22"/>
          <w:lang w:val="en-GB" w:eastAsia="zh-CN"/>
        </w:rPr>
        <w:t>CHOP (cyclophosphamide, doxorubicin, vincristine, prednisolone)</w:t>
      </w:r>
      <w:r w:rsidRPr="00F638AF">
        <w:rPr>
          <w:szCs w:val="22"/>
          <w:lang w:val="en-GB"/>
        </w:rPr>
        <w:t xml:space="preserve"> chemotherapy</w:t>
      </w:r>
      <w:r w:rsidRPr="00F638AF">
        <w:rPr>
          <w:snapToGrid w:val="0"/>
          <w:szCs w:val="22"/>
          <w:lang w:val="en-GB"/>
        </w:rPr>
        <w:t xml:space="preserve">. </w:t>
      </w:r>
    </w:p>
    <w:p w14:paraId="7C33108D" w14:textId="77777777" w:rsidR="00BE4250" w:rsidRPr="0085682F" w:rsidRDefault="00016F29" w:rsidP="00BE4250">
      <w:pPr>
        <w:autoSpaceDE w:val="0"/>
        <w:autoSpaceDN w:val="0"/>
        <w:adjustRightInd w:val="0"/>
        <w:rPr>
          <w:snapToGrid w:val="0"/>
          <w:szCs w:val="22"/>
          <w:lang w:val="en-GB"/>
        </w:rPr>
      </w:pPr>
      <w:r w:rsidRPr="00F638AF">
        <w:rPr>
          <w:snapToGrid w:val="0"/>
          <w:szCs w:val="22"/>
          <w:lang w:val="en-GB"/>
        </w:rPr>
        <w:t xml:space="preserve">MabThera in combination with chemotherapy is indicated for the treatment of paediatric patients (aged ≥ 6 months  to &lt; 18 years old) with previously untreated advanced stage CD20 positive diffuse large B-cell lymphoma (DLBCL), Burkitt lymphoma (BL)/Burkitt leukaemia (mature B-cell acute leukaemia) (BAL) or Burkitt-like lymphoma (BLL). </w:t>
      </w:r>
    </w:p>
    <w:p w14:paraId="7C33108E" w14:textId="77777777" w:rsidR="008F369D" w:rsidRPr="00F332AF" w:rsidRDefault="008F369D" w:rsidP="008F369D">
      <w:pPr>
        <w:autoSpaceDE w:val="0"/>
        <w:autoSpaceDN w:val="0"/>
        <w:adjustRightInd w:val="0"/>
        <w:rPr>
          <w:snapToGrid w:val="0"/>
          <w:szCs w:val="22"/>
          <w:lang w:val="en-GB"/>
        </w:rPr>
      </w:pPr>
    </w:p>
    <w:p w14:paraId="7C33108F" w14:textId="77777777" w:rsidR="008F369D" w:rsidRPr="00F332AF" w:rsidRDefault="00016F29" w:rsidP="008F369D">
      <w:pPr>
        <w:autoSpaceDE w:val="0"/>
        <w:autoSpaceDN w:val="0"/>
        <w:adjustRightInd w:val="0"/>
        <w:outlineLvl w:val="0"/>
        <w:rPr>
          <w:snapToGrid w:val="0"/>
          <w:szCs w:val="22"/>
          <w:u w:val="single"/>
          <w:lang w:val="en-GB"/>
        </w:rPr>
      </w:pPr>
      <w:r w:rsidRPr="00F332AF">
        <w:rPr>
          <w:snapToGrid w:val="0"/>
          <w:szCs w:val="22"/>
          <w:u w:val="single"/>
          <w:lang w:val="en-GB"/>
        </w:rPr>
        <w:t>Chronic lymphocytic leukaemia (CLL)</w:t>
      </w:r>
    </w:p>
    <w:p w14:paraId="7C331090" w14:textId="77777777" w:rsidR="008F369D" w:rsidRPr="00F332AF" w:rsidRDefault="008F369D" w:rsidP="008F369D">
      <w:pPr>
        <w:autoSpaceDE w:val="0"/>
        <w:autoSpaceDN w:val="0"/>
        <w:adjustRightInd w:val="0"/>
        <w:rPr>
          <w:snapToGrid w:val="0"/>
          <w:szCs w:val="22"/>
          <w:lang w:val="en-GB"/>
        </w:rPr>
      </w:pPr>
    </w:p>
    <w:p w14:paraId="7C331091" w14:textId="77777777" w:rsidR="008F369D" w:rsidRPr="00F332AF" w:rsidRDefault="00016F29" w:rsidP="007D4E4A">
      <w:pPr>
        <w:autoSpaceDE w:val="0"/>
        <w:autoSpaceDN w:val="0"/>
        <w:adjustRightInd w:val="0"/>
        <w:rPr>
          <w:snapToGrid w:val="0"/>
          <w:szCs w:val="22"/>
          <w:lang w:val="en-GB"/>
        </w:rPr>
      </w:pPr>
      <w:r w:rsidRPr="006651D5">
        <w:rPr>
          <w:snapToGrid w:val="0"/>
          <w:szCs w:val="22"/>
          <w:lang w:val="en-GB"/>
        </w:rPr>
        <w:t xml:space="preserve">MabThera in combination with chemotherapy is indicated for the treatment of patients with previously untreated and </w:t>
      </w:r>
      <w:r w:rsidRPr="006651D5">
        <w:rPr>
          <w:rFonts w:eastAsia="SimSun"/>
          <w:lang w:val="en-GB" w:eastAsia="zh-CN" w:bidi="th-TH"/>
        </w:rPr>
        <w:t>relapsed/refractory</w:t>
      </w:r>
      <w:r w:rsidR="00BB746D" w:rsidRPr="006651D5">
        <w:rPr>
          <w:rFonts w:eastAsia="SimSun"/>
          <w:lang w:val="en-GB" w:eastAsia="zh-CN" w:bidi="th-TH"/>
        </w:rPr>
        <w:t xml:space="preserve"> CLL</w:t>
      </w:r>
      <w:r w:rsidRPr="006651D5">
        <w:rPr>
          <w:snapToGrid w:val="0"/>
          <w:szCs w:val="22"/>
          <w:lang w:val="en-GB"/>
        </w:rPr>
        <w:t>. Only limited data are available on efficacy and safety for patients previously treated with monoclonal antibodies</w:t>
      </w:r>
      <w:r w:rsidRPr="00F332AF">
        <w:rPr>
          <w:snapToGrid w:val="0"/>
          <w:szCs w:val="22"/>
          <w:lang w:val="en-GB"/>
        </w:rPr>
        <w:t xml:space="preserve"> including MabThera or patients refractory to previous MabThera plus chemotherapy.</w:t>
      </w:r>
    </w:p>
    <w:p w14:paraId="7C331092" w14:textId="77777777" w:rsidR="008F369D" w:rsidRPr="00F332AF" w:rsidRDefault="008F369D" w:rsidP="008F369D">
      <w:pPr>
        <w:rPr>
          <w:snapToGrid w:val="0"/>
          <w:szCs w:val="22"/>
          <w:lang w:val="en-GB"/>
        </w:rPr>
      </w:pPr>
    </w:p>
    <w:p w14:paraId="7C331093" w14:textId="77777777" w:rsidR="008F369D" w:rsidRPr="00F332AF" w:rsidRDefault="00016F29" w:rsidP="00CF536B">
      <w:pPr>
        <w:rPr>
          <w:snapToGrid w:val="0"/>
          <w:lang w:val="en-GB"/>
        </w:rPr>
      </w:pPr>
      <w:r w:rsidRPr="00F332AF">
        <w:rPr>
          <w:snapToGrid w:val="0"/>
          <w:lang w:val="en-GB"/>
        </w:rPr>
        <w:t>See section 5.1 for further information.</w:t>
      </w:r>
    </w:p>
    <w:p w14:paraId="7C331094" w14:textId="77777777" w:rsidR="008F369D" w:rsidRPr="00F332AF" w:rsidRDefault="008F369D" w:rsidP="008F369D">
      <w:pPr>
        <w:rPr>
          <w:snapToGrid w:val="0"/>
          <w:szCs w:val="22"/>
          <w:lang w:val="en-GB"/>
        </w:rPr>
      </w:pPr>
    </w:p>
    <w:p w14:paraId="7C331095" w14:textId="77777777" w:rsidR="008F369D" w:rsidRPr="00F332AF" w:rsidRDefault="00016F29" w:rsidP="008F369D">
      <w:pPr>
        <w:keepNext/>
        <w:keepLines/>
        <w:ind w:left="567" w:hanging="567"/>
        <w:outlineLvl w:val="0"/>
        <w:rPr>
          <w:snapToGrid w:val="0"/>
          <w:szCs w:val="22"/>
          <w:u w:val="single"/>
          <w:lang w:val="en-GB"/>
        </w:rPr>
      </w:pPr>
      <w:r w:rsidRPr="00F332AF">
        <w:rPr>
          <w:snapToGrid w:val="0"/>
          <w:szCs w:val="22"/>
          <w:u w:val="single"/>
          <w:lang w:val="en-GB"/>
        </w:rPr>
        <w:t>Rheumatoid arthritis</w:t>
      </w:r>
    </w:p>
    <w:p w14:paraId="7C331096" w14:textId="77777777" w:rsidR="008F369D" w:rsidRPr="00F332AF" w:rsidRDefault="008F369D" w:rsidP="008F369D">
      <w:pPr>
        <w:rPr>
          <w:szCs w:val="22"/>
          <w:lang w:val="en-GB"/>
        </w:rPr>
      </w:pPr>
    </w:p>
    <w:p w14:paraId="7C331097" w14:textId="77777777" w:rsidR="008F369D" w:rsidRPr="0052111F" w:rsidRDefault="00016F29" w:rsidP="008F369D">
      <w:pPr>
        <w:rPr>
          <w:szCs w:val="22"/>
          <w:lang w:val="en-GB"/>
        </w:rPr>
      </w:pPr>
      <w:r w:rsidRPr="0052111F">
        <w:rPr>
          <w:szCs w:val="22"/>
          <w:lang w:val="en-GB"/>
        </w:rPr>
        <w:t>MabThera in combination with methotrexate is indicated for the treatment of adult patients with severe active rheumatoid arthritis who have had an inadequate response or intolerance to other disease</w:t>
      </w:r>
      <w:r w:rsidR="000A6DDA" w:rsidRPr="0052111F">
        <w:rPr>
          <w:szCs w:val="22"/>
          <w:lang w:val="en-GB"/>
        </w:rPr>
        <w:noBreakHyphen/>
      </w:r>
      <w:r w:rsidRPr="0052111F">
        <w:rPr>
          <w:szCs w:val="22"/>
          <w:lang w:val="en-GB"/>
        </w:rPr>
        <w:t>modifying anti</w:t>
      </w:r>
      <w:r w:rsidR="000A6DDA" w:rsidRPr="0052111F">
        <w:rPr>
          <w:szCs w:val="22"/>
          <w:lang w:val="en-GB"/>
        </w:rPr>
        <w:noBreakHyphen/>
      </w:r>
      <w:r w:rsidRPr="0052111F">
        <w:rPr>
          <w:szCs w:val="22"/>
          <w:lang w:val="en-GB"/>
        </w:rPr>
        <w:t>rheumatic drugs (DMARD) including one or more tumour necrosis factor (TNF) inhibitor therapies.</w:t>
      </w:r>
    </w:p>
    <w:p w14:paraId="7C331098" w14:textId="77777777" w:rsidR="008F369D" w:rsidRPr="0052111F" w:rsidRDefault="008F369D" w:rsidP="008F369D">
      <w:pPr>
        <w:rPr>
          <w:snapToGrid w:val="0"/>
          <w:szCs w:val="22"/>
          <w:lang w:val="en-GB"/>
        </w:rPr>
      </w:pPr>
    </w:p>
    <w:p w14:paraId="7C331099" w14:textId="77777777" w:rsidR="008F369D" w:rsidRPr="00F332AF" w:rsidRDefault="00016F29" w:rsidP="008F369D">
      <w:pPr>
        <w:rPr>
          <w:rFonts w:eastAsia="PMingLiU"/>
          <w:lang w:val="en-GB" w:eastAsia="zh-CN"/>
        </w:rPr>
      </w:pPr>
      <w:r w:rsidRPr="0052111F">
        <w:rPr>
          <w:rFonts w:eastAsia="PMingLiU"/>
          <w:lang w:val="en-GB" w:eastAsia="zh-CN"/>
        </w:rPr>
        <w:t>MabThera has been shown to reduce the rate of progression of joint damage as measured by X</w:t>
      </w:r>
      <w:r w:rsidR="000A6DDA" w:rsidRPr="0052111F">
        <w:rPr>
          <w:rFonts w:eastAsia="PMingLiU"/>
          <w:lang w:val="en-GB" w:eastAsia="zh-CN"/>
        </w:rPr>
        <w:noBreakHyphen/>
      </w:r>
      <w:r w:rsidRPr="0052111F">
        <w:rPr>
          <w:rFonts w:eastAsia="PMingLiU"/>
          <w:lang w:val="en-GB" w:eastAsia="zh-CN"/>
        </w:rPr>
        <w:t>ray</w:t>
      </w:r>
      <w:r w:rsidRPr="00F332AF">
        <w:rPr>
          <w:rFonts w:eastAsia="PMingLiU"/>
          <w:lang w:val="en-GB" w:eastAsia="zh-CN"/>
        </w:rPr>
        <w:t xml:space="preserve"> and to improve physical function, when given in combination with methotrexate.</w:t>
      </w:r>
    </w:p>
    <w:p w14:paraId="7C33109A" w14:textId="77777777" w:rsidR="008F369D" w:rsidRPr="00F332AF" w:rsidRDefault="008F369D" w:rsidP="008F369D">
      <w:pPr>
        <w:rPr>
          <w:rFonts w:eastAsia="PMingLiU"/>
          <w:lang w:val="en-GB" w:eastAsia="zh-CN"/>
        </w:rPr>
      </w:pPr>
    </w:p>
    <w:p w14:paraId="7C33109B" w14:textId="77777777" w:rsidR="008F369D" w:rsidRPr="00F332AF" w:rsidRDefault="00016F29" w:rsidP="00CF536B">
      <w:pPr>
        <w:keepNext/>
        <w:keepLines/>
        <w:ind w:left="567" w:hanging="567"/>
        <w:outlineLvl w:val="0"/>
        <w:rPr>
          <w:rFonts w:eastAsia="PMingLiU"/>
          <w:u w:val="single"/>
          <w:lang w:val="en-GB" w:eastAsia="zh-CN"/>
        </w:rPr>
      </w:pPr>
      <w:r w:rsidRPr="00CF536B">
        <w:rPr>
          <w:snapToGrid w:val="0"/>
          <w:szCs w:val="22"/>
          <w:u w:val="single"/>
          <w:lang w:val="en-GB"/>
        </w:rPr>
        <w:t xml:space="preserve">Granulomatosis with polyangiitis and microscopic polyangiitis </w:t>
      </w:r>
    </w:p>
    <w:p w14:paraId="7C33109C" w14:textId="77777777" w:rsidR="008F369D" w:rsidRPr="00F332AF" w:rsidRDefault="008F369D" w:rsidP="008F369D">
      <w:pPr>
        <w:rPr>
          <w:rFonts w:eastAsia="PMingLiU"/>
          <w:lang w:val="en-GB" w:eastAsia="zh-CN"/>
        </w:rPr>
      </w:pPr>
    </w:p>
    <w:p w14:paraId="7C33109D" w14:textId="77777777" w:rsidR="008F369D" w:rsidRDefault="00016F29" w:rsidP="008F369D">
      <w:pPr>
        <w:rPr>
          <w:lang w:val="en-GB"/>
        </w:rPr>
      </w:pPr>
      <w:r w:rsidRPr="00F332AF">
        <w:rPr>
          <w:lang w:val="en-GB"/>
        </w:rPr>
        <w:t xml:space="preserve">MabThera, in combination with glucocorticoids, is indicated for the </w:t>
      </w:r>
      <w:r w:rsidR="001A0694">
        <w:rPr>
          <w:lang w:val="en-GB"/>
        </w:rPr>
        <w:t>treatment of</w:t>
      </w:r>
      <w:r w:rsidR="001A0694" w:rsidRPr="00F332AF">
        <w:rPr>
          <w:lang w:val="en-GB"/>
        </w:rPr>
        <w:t xml:space="preserve"> </w:t>
      </w:r>
      <w:r w:rsidRPr="00F332AF">
        <w:rPr>
          <w:lang w:val="en-GB"/>
        </w:rPr>
        <w:t xml:space="preserve">adult patients with severe, active </w:t>
      </w:r>
      <w:r>
        <w:rPr>
          <w:lang w:val="en-GB"/>
        </w:rPr>
        <w:t>g</w:t>
      </w:r>
      <w:r w:rsidRPr="00F332AF">
        <w:rPr>
          <w:lang w:val="en-GB"/>
        </w:rPr>
        <w:t xml:space="preserve">ranulomatosis with polyangiitis (Wegener’s) (GPA) and </w:t>
      </w:r>
      <w:r>
        <w:rPr>
          <w:lang w:val="en-GB"/>
        </w:rPr>
        <w:t>m</w:t>
      </w:r>
      <w:r w:rsidRPr="00F332AF">
        <w:rPr>
          <w:lang w:val="en-GB"/>
        </w:rPr>
        <w:t>icroscopic polyangiitis (MPA).</w:t>
      </w:r>
    </w:p>
    <w:p w14:paraId="7C33109E" w14:textId="77777777" w:rsidR="00753B8B" w:rsidRPr="00F332AF" w:rsidRDefault="00753B8B" w:rsidP="008F369D">
      <w:pPr>
        <w:rPr>
          <w:rFonts w:eastAsia="PMingLiU"/>
          <w:lang w:val="en-GB" w:eastAsia="zh-CN"/>
        </w:rPr>
      </w:pPr>
    </w:p>
    <w:p w14:paraId="7C33109F" w14:textId="77777777" w:rsidR="00753B8B" w:rsidRDefault="00016F29" w:rsidP="00753B8B">
      <w:pPr>
        <w:rPr>
          <w:szCs w:val="22"/>
        </w:rPr>
      </w:pPr>
      <w:r w:rsidRPr="00444EE8">
        <w:rPr>
          <w:szCs w:val="22"/>
        </w:rPr>
        <w:t xml:space="preserve">MabThera, in combination with glucocorticoids, is </w:t>
      </w:r>
      <w:r w:rsidRPr="00D301E6">
        <w:rPr>
          <w:szCs w:val="22"/>
        </w:rPr>
        <w:t xml:space="preserve">indicated for the </w:t>
      </w:r>
      <w:r w:rsidR="00B25506" w:rsidRPr="00D301E6">
        <w:rPr>
          <w:szCs w:val="22"/>
        </w:rPr>
        <w:t xml:space="preserve">induction of remission in </w:t>
      </w:r>
      <w:r w:rsidRPr="00D301E6">
        <w:rPr>
          <w:szCs w:val="22"/>
        </w:rPr>
        <w:t xml:space="preserve">paediatric patients (aged ≥ 2 to &lt; 18 years old) with </w:t>
      </w:r>
      <w:r w:rsidR="00C36E10" w:rsidRPr="00D301E6">
        <w:rPr>
          <w:szCs w:val="22"/>
        </w:rPr>
        <w:t xml:space="preserve">severe, </w:t>
      </w:r>
      <w:r w:rsidRPr="00D301E6">
        <w:rPr>
          <w:szCs w:val="22"/>
        </w:rPr>
        <w:t>active GPA (Wegener’s) and MPA.</w:t>
      </w:r>
    </w:p>
    <w:p w14:paraId="7C3310A0" w14:textId="77777777" w:rsidR="008F369D" w:rsidRPr="00753B8B" w:rsidRDefault="008F369D" w:rsidP="008F369D">
      <w:pPr>
        <w:rPr>
          <w:snapToGrid w:val="0"/>
          <w:szCs w:val="22"/>
        </w:rPr>
      </w:pPr>
    </w:p>
    <w:p w14:paraId="7C3310A1" w14:textId="77777777" w:rsidR="007915C3" w:rsidRPr="004D0E44" w:rsidRDefault="00016F29" w:rsidP="007915C3">
      <w:pPr>
        <w:rPr>
          <w:rFonts w:eastAsia="PMingLiU"/>
          <w:u w:val="single"/>
          <w:lang w:val="en-GB" w:eastAsia="zh-CN"/>
        </w:rPr>
      </w:pPr>
      <w:r w:rsidRPr="004D0E44">
        <w:rPr>
          <w:u w:val="single"/>
          <w:lang w:val="en-GB"/>
        </w:rPr>
        <w:t>Pemphigus vulgaris</w:t>
      </w:r>
    </w:p>
    <w:p w14:paraId="7C3310A2" w14:textId="77777777" w:rsidR="007915C3" w:rsidRDefault="007915C3" w:rsidP="007915C3">
      <w:pPr>
        <w:rPr>
          <w:snapToGrid w:val="0"/>
          <w:szCs w:val="22"/>
          <w:lang w:val="en-GB"/>
        </w:rPr>
      </w:pPr>
    </w:p>
    <w:p w14:paraId="7C3310A3" w14:textId="77777777" w:rsidR="007915C3" w:rsidRDefault="00016F29" w:rsidP="007915C3">
      <w:pPr>
        <w:rPr>
          <w:snapToGrid w:val="0"/>
          <w:szCs w:val="22"/>
          <w:lang w:val="en-GB"/>
        </w:rPr>
      </w:pPr>
      <w:r>
        <w:rPr>
          <w:snapToGrid w:val="0"/>
          <w:szCs w:val="22"/>
          <w:lang w:val="en-GB"/>
        </w:rPr>
        <w:t>MabThera is indicated for the treatment of patients with moderate to severe pemphigus vulgaris (PV).</w:t>
      </w:r>
    </w:p>
    <w:p w14:paraId="7C3310A4" w14:textId="77777777" w:rsidR="007915C3" w:rsidRPr="00F332AF" w:rsidRDefault="007915C3" w:rsidP="008F369D">
      <w:pPr>
        <w:rPr>
          <w:snapToGrid w:val="0"/>
          <w:szCs w:val="22"/>
          <w:lang w:val="en-GB"/>
        </w:rPr>
      </w:pPr>
    </w:p>
    <w:p w14:paraId="7C3310A5" w14:textId="77777777" w:rsidR="008F369D" w:rsidRPr="00F332AF" w:rsidRDefault="00016F29" w:rsidP="008F369D">
      <w:pPr>
        <w:ind w:left="567" w:hanging="567"/>
        <w:outlineLvl w:val="0"/>
        <w:rPr>
          <w:szCs w:val="22"/>
          <w:lang w:val="en-GB"/>
        </w:rPr>
      </w:pPr>
      <w:r w:rsidRPr="00F332AF">
        <w:rPr>
          <w:b/>
          <w:szCs w:val="22"/>
          <w:lang w:val="en-GB"/>
        </w:rPr>
        <w:t>4.2</w:t>
      </w:r>
      <w:r w:rsidRPr="00F332AF">
        <w:rPr>
          <w:b/>
          <w:szCs w:val="22"/>
          <w:lang w:val="en-GB"/>
        </w:rPr>
        <w:tab/>
        <w:t>Posology and method of administration</w:t>
      </w:r>
    </w:p>
    <w:p w14:paraId="7C3310A6" w14:textId="77777777" w:rsidR="008F369D" w:rsidRPr="00F332AF" w:rsidRDefault="008F369D" w:rsidP="008F369D">
      <w:pPr>
        <w:rPr>
          <w:b/>
          <w:i/>
          <w:szCs w:val="22"/>
          <w:lang w:val="en-GB"/>
        </w:rPr>
      </w:pPr>
    </w:p>
    <w:p w14:paraId="7C3310A7" w14:textId="77777777" w:rsidR="005526D0" w:rsidRPr="005526D0" w:rsidRDefault="00016F29" w:rsidP="008F369D">
      <w:pPr>
        <w:rPr>
          <w:szCs w:val="22"/>
          <w:lang w:val="en-GB"/>
        </w:rPr>
      </w:pPr>
      <w:r w:rsidRPr="00F332AF">
        <w:rPr>
          <w:szCs w:val="22"/>
          <w:lang w:val="en-GB"/>
        </w:rPr>
        <w:t xml:space="preserve">MabThera should be administered under the close supervision of an experienced </w:t>
      </w:r>
      <w:r w:rsidRPr="00294F2D">
        <w:rPr>
          <w:rFonts w:eastAsia="SimSun"/>
          <w:szCs w:val="22"/>
          <w:lang w:val="en-GB" w:eastAsia="zh-CN"/>
        </w:rPr>
        <w:t>healthcare professional</w:t>
      </w:r>
      <w:r w:rsidRPr="00EF300D">
        <w:rPr>
          <w:szCs w:val="22"/>
          <w:lang w:val="en-GB"/>
        </w:rPr>
        <w:t>, and in an environment where full resuscitation facilities are immediately available</w:t>
      </w:r>
      <w:r w:rsidRPr="00DF4B74">
        <w:rPr>
          <w:szCs w:val="22"/>
          <w:lang w:val="en-GB"/>
        </w:rPr>
        <w:t xml:space="preserve"> </w:t>
      </w:r>
      <w:r w:rsidRPr="0014385D">
        <w:rPr>
          <w:szCs w:val="22"/>
          <w:lang w:val="en-GB"/>
        </w:rPr>
        <w:t>(see section 4.4).</w:t>
      </w:r>
    </w:p>
    <w:p w14:paraId="7C3310A8" w14:textId="77777777" w:rsidR="008F369D" w:rsidRDefault="008F369D" w:rsidP="008F369D">
      <w:pPr>
        <w:rPr>
          <w:szCs w:val="22"/>
          <w:lang w:val="en-GB"/>
        </w:rPr>
      </w:pPr>
    </w:p>
    <w:p w14:paraId="7C3310A9" w14:textId="77777777" w:rsidR="007915C3" w:rsidRPr="00F638AF" w:rsidRDefault="00016F29" w:rsidP="007915C3">
      <w:pPr>
        <w:rPr>
          <w:szCs w:val="22"/>
          <w:u w:val="single"/>
          <w:lang w:val="en-GB"/>
        </w:rPr>
      </w:pPr>
      <w:r w:rsidRPr="00F638AF">
        <w:rPr>
          <w:szCs w:val="22"/>
          <w:u w:val="single"/>
          <w:lang w:val="en-GB"/>
        </w:rPr>
        <w:t>Premedication and prophylactic medications</w:t>
      </w:r>
    </w:p>
    <w:p w14:paraId="7C3310AA" w14:textId="77777777" w:rsidR="007915C3" w:rsidRPr="00F638AF" w:rsidRDefault="007915C3" w:rsidP="008F369D">
      <w:pPr>
        <w:rPr>
          <w:szCs w:val="22"/>
          <w:lang w:val="en-GB"/>
        </w:rPr>
      </w:pPr>
    </w:p>
    <w:p w14:paraId="7C3310AB" w14:textId="77777777" w:rsidR="008F369D" w:rsidRPr="00F638AF" w:rsidRDefault="00016F29" w:rsidP="00CF536B">
      <w:pPr>
        <w:rPr>
          <w:lang w:val="en-GB"/>
        </w:rPr>
      </w:pPr>
      <w:r w:rsidRPr="00F638AF">
        <w:rPr>
          <w:lang w:val="en-GB"/>
        </w:rPr>
        <w:t>Premedication consisting of an anti</w:t>
      </w:r>
      <w:r w:rsidR="000A6DDA" w:rsidRPr="00F638AF">
        <w:rPr>
          <w:lang w:val="en-GB"/>
        </w:rPr>
        <w:noBreakHyphen/>
      </w:r>
      <w:r w:rsidRPr="00F638AF">
        <w:rPr>
          <w:lang w:val="en-GB"/>
        </w:rPr>
        <w:t>pyretic and an antihistaminic, e.g. paracetamol and diphenhydramine, should always be given before each administration of MabThera.</w:t>
      </w:r>
    </w:p>
    <w:p w14:paraId="7C3310AC" w14:textId="77777777" w:rsidR="008F369D" w:rsidRPr="00F638AF" w:rsidRDefault="008F369D" w:rsidP="00CF536B">
      <w:pPr>
        <w:rPr>
          <w:lang w:val="en-GB"/>
        </w:rPr>
      </w:pPr>
    </w:p>
    <w:p w14:paraId="7C3310AD" w14:textId="77777777" w:rsidR="008F369D" w:rsidRPr="00F638AF" w:rsidRDefault="00016F29" w:rsidP="008F369D">
      <w:pPr>
        <w:rPr>
          <w:szCs w:val="22"/>
          <w:lang w:val="en-GB"/>
        </w:rPr>
      </w:pPr>
      <w:r w:rsidRPr="00F638AF">
        <w:rPr>
          <w:szCs w:val="22"/>
          <w:lang w:val="en-GB"/>
        </w:rPr>
        <w:t xml:space="preserve">In </w:t>
      </w:r>
      <w:r w:rsidR="00BE4250" w:rsidRPr="00F638AF">
        <w:rPr>
          <w:szCs w:val="22"/>
          <w:lang w:val="en-GB"/>
        </w:rPr>
        <w:t xml:space="preserve">adult </w:t>
      </w:r>
      <w:r w:rsidRPr="00F638AF">
        <w:rPr>
          <w:szCs w:val="22"/>
          <w:lang w:val="en-GB"/>
        </w:rPr>
        <w:t>patients with non</w:t>
      </w:r>
      <w:r w:rsidR="000A6DDA" w:rsidRPr="00F638AF">
        <w:rPr>
          <w:szCs w:val="22"/>
          <w:lang w:val="en-GB"/>
        </w:rPr>
        <w:noBreakHyphen/>
      </w:r>
      <w:r w:rsidRPr="00F638AF">
        <w:rPr>
          <w:szCs w:val="22"/>
          <w:lang w:val="en-GB"/>
        </w:rPr>
        <w:t xml:space="preserve">Hodgkin’s lymphoma and </w:t>
      </w:r>
      <w:r w:rsidR="007D4E4A" w:rsidRPr="00F638AF">
        <w:rPr>
          <w:szCs w:val="22"/>
          <w:lang w:val="en-GB"/>
        </w:rPr>
        <w:t>CLL</w:t>
      </w:r>
      <w:r w:rsidRPr="00F638AF">
        <w:rPr>
          <w:szCs w:val="22"/>
          <w:lang w:val="en-GB"/>
        </w:rPr>
        <w:t>, premedication with glucocorticoids should be considered if MabThera is not given in combination with glucocorticoid</w:t>
      </w:r>
      <w:r w:rsidR="000A6DDA" w:rsidRPr="00F638AF">
        <w:rPr>
          <w:szCs w:val="22"/>
          <w:lang w:val="en-GB"/>
        </w:rPr>
        <w:noBreakHyphen/>
      </w:r>
      <w:r w:rsidRPr="00F638AF">
        <w:rPr>
          <w:szCs w:val="22"/>
          <w:lang w:val="en-GB"/>
        </w:rPr>
        <w:t xml:space="preserve">containing chemotherapy. </w:t>
      </w:r>
    </w:p>
    <w:p w14:paraId="7C3310AE" w14:textId="77777777" w:rsidR="00BE4250" w:rsidRPr="00F638AF" w:rsidRDefault="00BE4250" w:rsidP="008F369D">
      <w:pPr>
        <w:rPr>
          <w:szCs w:val="22"/>
          <w:lang w:val="en-GB"/>
        </w:rPr>
      </w:pPr>
    </w:p>
    <w:p w14:paraId="7C3310AF" w14:textId="77777777" w:rsidR="00BE4250" w:rsidRPr="00F638AF" w:rsidRDefault="00016F29" w:rsidP="008F369D">
      <w:pPr>
        <w:rPr>
          <w:szCs w:val="22"/>
          <w:lang w:val="en-GB"/>
        </w:rPr>
      </w:pPr>
      <w:r w:rsidRPr="00F638AF">
        <w:rPr>
          <w:szCs w:val="22"/>
          <w:lang w:val="en-GB"/>
        </w:rPr>
        <w:t>In paediatric patients with non Hodgkin’s lymphoma, premedication with paracetamol and H1 antihistamine (= diphenhydramine or equivalent) should be administered 30 to 60 minutes before the start of the infusion of MabThera. In addition, prednisone should be given as indicated in Table 1.</w:t>
      </w:r>
    </w:p>
    <w:p w14:paraId="7C3310B0" w14:textId="77777777" w:rsidR="007915C3" w:rsidRPr="00F638AF" w:rsidRDefault="007915C3" w:rsidP="008F369D">
      <w:pPr>
        <w:rPr>
          <w:b/>
          <w:i/>
          <w:szCs w:val="22"/>
          <w:lang w:val="en-GB"/>
        </w:rPr>
      </w:pPr>
    </w:p>
    <w:p w14:paraId="7C3310B1" w14:textId="77777777" w:rsidR="007915C3" w:rsidRPr="00F638AF" w:rsidRDefault="00016F29" w:rsidP="007915C3">
      <w:pPr>
        <w:keepNext/>
        <w:keepLines/>
        <w:rPr>
          <w:szCs w:val="22"/>
          <w:lang w:val="en-GB"/>
        </w:rPr>
      </w:pPr>
      <w:r w:rsidRPr="00F638AF">
        <w:rPr>
          <w:szCs w:val="22"/>
          <w:lang w:val="en-GB"/>
        </w:rPr>
        <w:t>Prophylaxis with adequate hydration and administration of uricostatics starting 48 hours prior to start of therapy is recommended for CLL patients to reduce the risk of tumour lysis syndrome. For CLL patients whose lymphocyte counts are &gt; 25 x 10</w:t>
      </w:r>
      <w:r w:rsidRPr="00F638AF">
        <w:rPr>
          <w:szCs w:val="22"/>
          <w:vertAlign w:val="superscript"/>
          <w:lang w:val="en-GB"/>
        </w:rPr>
        <w:t>9</w:t>
      </w:r>
      <w:r w:rsidRPr="00F638AF">
        <w:rPr>
          <w:szCs w:val="22"/>
          <w:lang w:val="en-GB"/>
        </w:rPr>
        <w:t>/L it is recommended to administer prednisone/prednisolone 100 mg intravenous shortly before infusion with MabThera to decrease the rate and severity of acute infusion reactions and/or cytokine release syndrome.</w:t>
      </w:r>
    </w:p>
    <w:p w14:paraId="7C3310B2" w14:textId="77777777" w:rsidR="00917DEE" w:rsidRPr="00F638AF" w:rsidRDefault="00917DEE" w:rsidP="008F369D">
      <w:pPr>
        <w:rPr>
          <w:szCs w:val="22"/>
          <w:lang w:val="en-GB"/>
        </w:rPr>
      </w:pPr>
    </w:p>
    <w:p w14:paraId="7C3310B3" w14:textId="77777777" w:rsidR="008F369D" w:rsidRPr="00D301E6" w:rsidRDefault="00016F29" w:rsidP="008F369D">
      <w:pPr>
        <w:rPr>
          <w:szCs w:val="22"/>
          <w:lang w:val="en-GB"/>
        </w:rPr>
      </w:pPr>
      <w:r w:rsidRPr="00F638AF">
        <w:rPr>
          <w:szCs w:val="22"/>
          <w:lang w:val="en-GB"/>
        </w:rPr>
        <w:t>In patients with rheumatoid arthritis</w:t>
      </w:r>
      <w:r w:rsidR="00DC4385" w:rsidRPr="00F638AF">
        <w:rPr>
          <w:szCs w:val="22"/>
          <w:lang w:val="en-GB"/>
        </w:rPr>
        <w:t>,</w:t>
      </w:r>
      <w:r w:rsidR="00F462E4" w:rsidRPr="00F638AF">
        <w:rPr>
          <w:szCs w:val="22"/>
          <w:lang w:val="en-GB"/>
        </w:rPr>
        <w:t xml:space="preserve"> </w:t>
      </w:r>
      <w:r w:rsidR="00753B8B" w:rsidRPr="00F638AF">
        <w:rPr>
          <w:szCs w:val="22"/>
          <w:lang w:val="en-GB"/>
        </w:rPr>
        <w:t>GPA</w:t>
      </w:r>
      <w:r w:rsidR="00F462E4" w:rsidRPr="00F638AF">
        <w:rPr>
          <w:lang w:val="en-GB"/>
        </w:rPr>
        <w:t xml:space="preserve"> or </w:t>
      </w:r>
      <w:r w:rsidR="00753B8B" w:rsidRPr="00F638AF">
        <w:rPr>
          <w:lang w:val="en-GB"/>
        </w:rPr>
        <w:t>MPA</w:t>
      </w:r>
      <w:r w:rsidR="00DC3BC0" w:rsidRPr="00F638AF">
        <w:rPr>
          <w:szCs w:val="22"/>
          <w:lang w:val="en-GB"/>
        </w:rPr>
        <w:t xml:space="preserve"> or pemphigus vulgaris</w:t>
      </w:r>
      <w:r w:rsidRPr="00F638AF">
        <w:rPr>
          <w:szCs w:val="22"/>
          <w:lang w:val="en-GB"/>
        </w:rPr>
        <w:t>, premedication with 100 mg intravenous methylprednisolone should be completed 30 minutes prior</w:t>
      </w:r>
      <w:r w:rsidRPr="00D301E6">
        <w:rPr>
          <w:szCs w:val="22"/>
          <w:lang w:val="en-GB"/>
        </w:rPr>
        <w:t xml:space="preserve"> to </w:t>
      </w:r>
      <w:r w:rsidR="00753B8B" w:rsidRPr="00D301E6">
        <w:rPr>
          <w:szCs w:val="22"/>
          <w:lang w:val="en-GB"/>
        </w:rPr>
        <w:t xml:space="preserve">each infusion of </w:t>
      </w:r>
      <w:r w:rsidRPr="00D301E6">
        <w:rPr>
          <w:szCs w:val="22"/>
          <w:lang w:val="en-GB"/>
        </w:rPr>
        <w:t>MabThera</w:t>
      </w:r>
      <w:r w:rsidR="007830E0" w:rsidRPr="00F332AF">
        <w:rPr>
          <w:szCs w:val="22"/>
          <w:lang w:val="en-GB"/>
        </w:rPr>
        <w:t xml:space="preserve"> </w:t>
      </w:r>
      <w:r w:rsidRPr="00D301E6">
        <w:rPr>
          <w:szCs w:val="22"/>
          <w:lang w:val="en-GB"/>
        </w:rPr>
        <w:t xml:space="preserve">to decrease the incidence and severity of infusion related </w:t>
      </w:r>
      <w:r w:rsidR="00D110B2" w:rsidRPr="00D301E6">
        <w:rPr>
          <w:szCs w:val="22"/>
        </w:rPr>
        <w:t>reactions</w:t>
      </w:r>
      <w:r w:rsidRPr="00D301E6">
        <w:rPr>
          <w:szCs w:val="22"/>
          <w:lang w:val="en-GB"/>
        </w:rPr>
        <w:t xml:space="preserve"> (IRRs).</w:t>
      </w:r>
    </w:p>
    <w:p w14:paraId="7C3310B4" w14:textId="77777777" w:rsidR="008F369D" w:rsidRPr="00D301E6" w:rsidRDefault="008F369D" w:rsidP="008F369D">
      <w:pPr>
        <w:rPr>
          <w:szCs w:val="22"/>
          <w:lang w:val="en-GB"/>
        </w:rPr>
      </w:pPr>
    </w:p>
    <w:p w14:paraId="7C3310B5" w14:textId="77777777" w:rsidR="008F369D" w:rsidRPr="00D301E6" w:rsidRDefault="00016F29" w:rsidP="008F369D">
      <w:pPr>
        <w:rPr>
          <w:color w:val="000000"/>
          <w:szCs w:val="22"/>
          <w:lang w:val="en-GB"/>
        </w:rPr>
      </w:pPr>
      <w:r w:rsidRPr="00D301E6">
        <w:rPr>
          <w:szCs w:val="22"/>
          <w:lang w:val="en-GB"/>
        </w:rPr>
        <w:t xml:space="preserve">In </w:t>
      </w:r>
      <w:r w:rsidR="00753B8B" w:rsidRPr="00D301E6">
        <w:rPr>
          <w:szCs w:val="22"/>
          <w:lang w:val="en-GB"/>
        </w:rPr>
        <w:t xml:space="preserve">adult </w:t>
      </w:r>
      <w:r w:rsidRPr="00D301E6">
        <w:rPr>
          <w:szCs w:val="22"/>
          <w:lang w:val="en-GB"/>
        </w:rPr>
        <w:t>patients with</w:t>
      </w:r>
      <w:r w:rsidRPr="007830E0">
        <w:rPr>
          <w:lang w:val="en-GB"/>
        </w:rPr>
        <w:t xml:space="preserve"> </w:t>
      </w:r>
      <w:r w:rsidR="00753B8B" w:rsidRPr="00F638AF">
        <w:rPr>
          <w:szCs w:val="22"/>
          <w:lang w:val="en-GB"/>
        </w:rPr>
        <w:t>GPA</w:t>
      </w:r>
      <w:r w:rsidRPr="00D301E6">
        <w:rPr>
          <w:lang w:val="en-GB"/>
        </w:rPr>
        <w:t xml:space="preserve"> or </w:t>
      </w:r>
      <w:r w:rsidR="00753B8B" w:rsidRPr="00D301E6">
        <w:rPr>
          <w:lang w:val="en-GB"/>
        </w:rPr>
        <w:t>MPA</w:t>
      </w:r>
      <w:r w:rsidRPr="00D301E6">
        <w:rPr>
          <w:szCs w:val="22"/>
          <w:lang w:val="en-GB"/>
        </w:rPr>
        <w:t>,</w:t>
      </w:r>
      <w:r w:rsidRPr="00D301E6">
        <w:rPr>
          <w:color w:val="000000"/>
          <w:szCs w:val="22"/>
          <w:lang w:val="en-GB"/>
        </w:rPr>
        <w:t xml:space="preserve"> methylprednisolone given intravenously for 1 to 3 days at a dose of 1000</w:t>
      </w:r>
      <w:r w:rsidR="00A95824">
        <w:rPr>
          <w:color w:val="000000"/>
          <w:szCs w:val="22"/>
          <w:lang w:val="en-GB"/>
        </w:rPr>
        <w:t> </w:t>
      </w:r>
      <w:r w:rsidRPr="00D301E6">
        <w:rPr>
          <w:color w:val="000000"/>
          <w:szCs w:val="22"/>
          <w:lang w:val="en-GB"/>
        </w:rPr>
        <w:t>mg per day is recommended prior to the first infusion of MabThera (the last dose of methylprednisolone may be given on the same day as the first infusion of MabThera).  This should be followed by oral prednisone 1</w:t>
      </w:r>
      <w:r w:rsidR="00A95824">
        <w:rPr>
          <w:color w:val="000000"/>
          <w:szCs w:val="22"/>
          <w:lang w:val="en-GB"/>
        </w:rPr>
        <w:t> </w:t>
      </w:r>
      <w:r w:rsidRPr="00D301E6">
        <w:rPr>
          <w:color w:val="000000"/>
          <w:szCs w:val="22"/>
          <w:lang w:val="en-GB"/>
        </w:rPr>
        <w:t>mg/kg/day (not to exceed 80</w:t>
      </w:r>
      <w:r w:rsidR="00A95824">
        <w:rPr>
          <w:color w:val="000000"/>
          <w:szCs w:val="22"/>
          <w:lang w:val="en-GB"/>
        </w:rPr>
        <w:t> </w:t>
      </w:r>
      <w:r w:rsidRPr="00D301E6">
        <w:rPr>
          <w:color w:val="000000"/>
          <w:szCs w:val="22"/>
          <w:lang w:val="en-GB"/>
        </w:rPr>
        <w:t xml:space="preserve">mg/day, and tapered as rapidly as possible based on clinical need) during and after </w:t>
      </w:r>
      <w:r w:rsidR="005D3A47" w:rsidRPr="00D301E6">
        <w:rPr>
          <w:color w:val="000000"/>
          <w:szCs w:val="22"/>
          <w:lang w:val="en-GB"/>
        </w:rPr>
        <w:t xml:space="preserve">the 4 week induction course of </w:t>
      </w:r>
      <w:r w:rsidRPr="00D301E6">
        <w:rPr>
          <w:color w:val="000000"/>
          <w:szCs w:val="22"/>
          <w:lang w:val="en-GB"/>
        </w:rPr>
        <w:t xml:space="preserve">MabThera treatment. </w:t>
      </w:r>
    </w:p>
    <w:p w14:paraId="7C3310B6" w14:textId="77777777" w:rsidR="00753B8B" w:rsidRPr="00D301E6" w:rsidRDefault="00753B8B" w:rsidP="008F369D">
      <w:pPr>
        <w:rPr>
          <w:color w:val="000000"/>
          <w:szCs w:val="22"/>
          <w:lang w:val="en-GB"/>
        </w:rPr>
      </w:pPr>
    </w:p>
    <w:p w14:paraId="7C3310B7" w14:textId="77777777" w:rsidR="007915C3" w:rsidRPr="00D301E6" w:rsidRDefault="00016F29" w:rsidP="007915C3">
      <w:pPr>
        <w:rPr>
          <w:color w:val="000000"/>
          <w:szCs w:val="22"/>
          <w:lang w:val="en-GB"/>
        </w:rPr>
      </w:pPr>
      <w:r w:rsidRPr="00D301E6">
        <w:rPr>
          <w:color w:val="000000"/>
          <w:szCs w:val="22"/>
          <w:lang w:val="en-GB"/>
        </w:rPr>
        <w:t>Pneumocystis jirovecii pneumonia (P</w:t>
      </w:r>
      <w:r w:rsidR="001A36D7" w:rsidRPr="00D301E6">
        <w:rPr>
          <w:color w:val="000000"/>
          <w:szCs w:val="22"/>
          <w:lang w:val="en-GB"/>
        </w:rPr>
        <w:t>J</w:t>
      </w:r>
      <w:r w:rsidRPr="00D301E6">
        <w:rPr>
          <w:color w:val="000000"/>
          <w:szCs w:val="22"/>
          <w:lang w:val="en-GB"/>
        </w:rPr>
        <w:t xml:space="preserve">P) prophylaxis is recommended for </w:t>
      </w:r>
      <w:r w:rsidR="00753B8B" w:rsidRPr="00D301E6">
        <w:rPr>
          <w:color w:val="000000"/>
          <w:szCs w:val="22"/>
          <w:lang w:val="en-GB"/>
        </w:rPr>
        <w:t xml:space="preserve">adult </w:t>
      </w:r>
      <w:r w:rsidRPr="00D301E6">
        <w:rPr>
          <w:color w:val="000000"/>
          <w:szCs w:val="22"/>
          <w:lang w:val="en-GB"/>
        </w:rPr>
        <w:t xml:space="preserve">patients with GPA/MPA or PV </w:t>
      </w:r>
      <w:r w:rsidR="001A36D7" w:rsidRPr="00D301E6">
        <w:rPr>
          <w:color w:val="000000"/>
          <w:szCs w:val="22"/>
          <w:lang w:val="en-GB"/>
        </w:rPr>
        <w:t>during</w:t>
      </w:r>
      <w:r w:rsidRPr="00D301E6">
        <w:rPr>
          <w:color w:val="000000"/>
          <w:szCs w:val="22"/>
          <w:lang w:val="en-GB"/>
        </w:rPr>
        <w:t xml:space="preserve"> and following MabThera treatment, as appropriate according to local clinical practice guidelines.</w:t>
      </w:r>
    </w:p>
    <w:p w14:paraId="7C3310B8" w14:textId="77777777" w:rsidR="00B27CC0" w:rsidRPr="00D301E6" w:rsidRDefault="00B27CC0" w:rsidP="007915C3">
      <w:pPr>
        <w:rPr>
          <w:color w:val="000000"/>
          <w:szCs w:val="22"/>
          <w:lang w:val="en-GB"/>
        </w:rPr>
      </w:pPr>
    </w:p>
    <w:p w14:paraId="7C3310B9" w14:textId="77777777" w:rsidR="00753B8B" w:rsidRPr="00D301E6" w:rsidRDefault="00016F29" w:rsidP="00753B8B">
      <w:pPr>
        <w:pStyle w:val="TextTi12"/>
        <w:spacing w:after="0" w:line="240" w:lineRule="auto"/>
        <w:jc w:val="left"/>
        <w:rPr>
          <w:i/>
          <w:sz w:val="22"/>
        </w:rPr>
      </w:pPr>
      <w:r w:rsidRPr="00D301E6">
        <w:rPr>
          <w:i/>
          <w:sz w:val="22"/>
        </w:rPr>
        <w:t>Paediatric population</w:t>
      </w:r>
    </w:p>
    <w:p w14:paraId="7C3310BA" w14:textId="77777777" w:rsidR="00753B8B" w:rsidRPr="00D301E6" w:rsidRDefault="00016F29" w:rsidP="00753B8B">
      <w:pPr>
        <w:pStyle w:val="TextTi12"/>
        <w:spacing w:after="0" w:line="240" w:lineRule="auto"/>
        <w:jc w:val="left"/>
        <w:rPr>
          <w:sz w:val="22"/>
        </w:rPr>
      </w:pPr>
      <w:r w:rsidRPr="00D301E6">
        <w:rPr>
          <w:sz w:val="22"/>
        </w:rPr>
        <w:t>In paediatric patients with GPA or MPA, prior to the first MabThera IV infusion, methylprednisolone should be given IV for three daily doses of 30</w:t>
      </w:r>
      <w:r w:rsidR="00447C96">
        <w:rPr>
          <w:lang w:val="en-GB"/>
        </w:rPr>
        <w:t> </w:t>
      </w:r>
      <w:r w:rsidRPr="00D301E6">
        <w:rPr>
          <w:sz w:val="22"/>
        </w:rPr>
        <w:t>mg/kg/day (not to exceed 1 g/day) to treat severe vasculitis symptoms. Up to three additional daily doses of 30</w:t>
      </w:r>
      <w:r w:rsidR="00447C96">
        <w:rPr>
          <w:lang w:val="en-GB"/>
        </w:rPr>
        <w:t> </w:t>
      </w:r>
      <w:r w:rsidRPr="00D301E6">
        <w:rPr>
          <w:sz w:val="22"/>
        </w:rPr>
        <w:t>mg/kg IV methylprednisolone can be given prior to the first MabThera infusion.</w:t>
      </w:r>
    </w:p>
    <w:p w14:paraId="7C3310BB" w14:textId="77777777" w:rsidR="00753B8B" w:rsidRPr="007830E0" w:rsidRDefault="00753B8B" w:rsidP="007830E0">
      <w:pPr>
        <w:pStyle w:val="TextTi12"/>
        <w:spacing w:after="0" w:line="240" w:lineRule="auto"/>
        <w:jc w:val="left"/>
        <w:rPr>
          <w:sz w:val="22"/>
        </w:rPr>
      </w:pPr>
    </w:p>
    <w:p w14:paraId="7C3310BC" w14:textId="77777777" w:rsidR="00753B8B" w:rsidRPr="00D301E6" w:rsidRDefault="00016F29" w:rsidP="00753B8B">
      <w:pPr>
        <w:pStyle w:val="TextTi12"/>
        <w:spacing w:after="0" w:line="240" w:lineRule="auto"/>
        <w:jc w:val="left"/>
        <w:rPr>
          <w:sz w:val="22"/>
        </w:rPr>
      </w:pPr>
      <w:r w:rsidRPr="007830E0">
        <w:rPr>
          <w:sz w:val="22"/>
        </w:rPr>
        <w:t xml:space="preserve">Following </w:t>
      </w:r>
      <w:r w:rsidRPr="00D301E6">
        <w:rPr>
          <w:sz w:val="22"/>
        </w:rPr>
        <w:t>completion of IV methylprednisolone administration, patients should receive oral prednisone 1</w:t>
      </w:r>
      <w:r w:rsidR="00447C96">
        <w:rPr>
          <w:lang w:val="en-GB"/>
        </w:rPr>
        <w:t> </w:t>
      </w:r>
      <w:r w:rsidRPr="00D301E6">
        <w:rPr>
          <w:sz w:val="22"/>
        </w:rPr>
        <w:t>mg/kg/day (not to exceed 60</w:t>
      </w:r>
      <w:r w:rsidR="00447C96">
        <w:rPr>
          <w:lang w:val="en-GB"/>
        </w:rPr>
        <w:t> </w:t>
      </w:r>
      <w:r w:rsidRPr="00D301E6">
        <w:rPr>
          <w:sz w:val="22"/>
        </w:rPr>
        <w:t>mg/</w:t>
      </w:r>
      <w:r w:rsidRPr="00F638AF">
        <w:rPr>
          <w:sz w:val="22"/>
        </w:rPr>
        <w:t>day</w:t>
      </w:r>
      <w:r w:rsidRPr="00D301E6">
        <w:rPr>
          <w:sz w:val="22"/>
        </w:rPr>
        <w:t>) and tapered as rapidly as possible per clinical need (see section 5.1).</w:t>
      </w:r>
    </w:p>
    <w:p w14:paraId="7C3310BD" w14:textId="77777777" w:rsidR="00753B8B" w:rsidRPr="00D301E6" w:rsidRDefault="00753B8B" w:rsidP="00753B8B">
      <w:pPr>
        <w:pStyle w:val="TextTi12"/>
        <w:spacing w:after="0" w:line="240" w:lineRule="auto"/>
        <w:jc w:val="left"/>
        <w:rPr>
          <w:sz w:val="22"/>
          <w:u w:val="single"/>
        </w:rPr>
      </w:pPr>
    </w:p>
    <w:p w14:paraId="7C3310BE" w14:textId="77777777" w:rsidR="00753B8B" w:rsidRDefault="00016F29" w:rsidP="00753B8B">
      <w:pPr>
        <w:rPr>
          <w:color w:val="000000"/>
          <w:szCs w:val="22"/>
          <w:lang w:val="en-GB"/>
        </w:rPr>
      </w:pPr>
      <w:r w:rsidRPr="00D301E6">
        <w:t>Pneumocystis jiroveci</w:t>
      </w:r>
      <w:r w:rsidR="00D36BC3" w:rsidRPr="00D301E6">
        <w:t>i</w:t>
      </w:r>
      <w:r w:rsidRPr="00D301E6">
        <w:t xml:space="preserve"> pneumonia (P</w:t>
      </w:r>
      <w:r w:rsidR="001A36D7" w:rsidRPr="00D301E6">
        <w:t>J</w:t>
      </w:r>
      <w:r w:rsidRPr="00D301E6">
        <w:t xml:space="preserve">P) prophylaxis is recommended for paediatric patients with GPA or MPA </w:t>
      </w:r>
      <w:r w:rsidR="001A36D7" w:rsidRPr="00D301E6">
        <w:t>during</w:t>
      </w:r>
      <w:r w:rsidRPr="00D301E6">
        <w:t xml:space="preserve"> and following MabThera treatment, as appropriate.</w:t>
      </w:r>
    </w:p>
    <w:p w14:paraId="7C3310BF" w14:textId="77777777" w:rsidR="00C57168" w:rsidRPr="00027520" w:rsidRDefault="00C57168" w:rsidP="008F369D">
      <w:pPr>
        <w:rPr>
          <w:color w:val="000000"/>
          <w:szCs w:val="22"/>
          <w:lang w:val="en-GB"/>
        </w:rPr>
      </w:pPr>
    </w:p>
    <w:p w14:paraId="7C3310C0" w14:textId="77777777" w:rsidR="008F369D" w:rsidRPr="00F332AF" w:rsidRDefault="00016F29" w:rsidP="008F369D">
      <w:pPr>
        <w:ind w:left="567" w:hanging="567"/>
        <w:outlineLvl w:val="0"/>
        <w:rPr>
          <w:szCs w:val="22"/>
          <w:u w:val="single"/>
          <w:lang w:val="en-GB"/>
        </w:rPr>
      </w:pPr>
      <w:r w:rsidRPr="00F332AF">
        <w:rPr>
          <w:szCs w:val="22"/>
          <w:u w:val="single"/>
          <w:lang w:val="en-GB"/>
        </w:rPr>
        <w:t>Posology</w:t>
      </w:r>
    </w:p>
    <w:p w14:paraId="7C3310C1" w14:textId="77777777" w:rsidR="008F369D" w:rsidRPr="00F332AF" w:rsidRDefault="008F369D" w:rsidP="00CF536B">
      <w:pPr>
        <w:rPr>
          <w:lang w:val="en-GB"/>
        </w:rPr>
      </w:pPr>
    </w:p>
    <w:p w14:paraId="7C3310C2" w14:textId="77777777" w:rsidR="008F369D" w:rsidRPr="00F332AF" w:rsidRDefault="00016F29" w:rsidP="008F369D">
      <w:pPr>
        <w:rPr>
          <w:rFonts w:eastAsia="SimSun"/>
          <w:szCs w:val="24"/>
          <w:lang w:val="en-GB" w:eastAsia="zh-CN"/>
        </w:rPr>
      </w:pPr>
      <w:r w:rsidRPr="00F95061">
        <w:rPr>
          <w:rFonts w:eastAsia="SimSun"/>
          <w:szCs w:val="24"/>
          <w:lang w:val="en-GB" w:eastAsia="zh-CN"/>
        </w:rPr>
        <w:t>It is important to check the medicinal product labels to ensure that the appropriate formulation (intravenous or subcutaneous formulation) is being given to the patient, as prescribed.</w:t>
      </w:r>
    </w:p>
    <w:p w14:paraId="7C3310C3" w14:textId="77777777" w:rsidR="008F369D" w:rsidRPr="00F332AF" w:rsidRDefault="008F369D" w:rsidP="00CF536B">
      <w:pPr>
        <w:rPr>
          <w:lang w:val="en-GB"/>
        </w:rPr>
      </w:pPr>
    </w:p>
    <w:p w14:paraId="7C3310C4" w14:textId="77777777" w:rsidR="008F369D" w:rsidRPr="00E92545" w:rsidRDefault="00016F29" w:rsidP="00E454FF">
      <w:pPr>
        <w:keepNext/>
        <w:keepLines/>
        <w:tabs>
          <w:tab w:val="left" w:pos="993"/>
        </w:tabs>
        <w:ind w:left="567" w:hanging="567"/>
        <w:outlineLvl w:val="0"/>
        <w:rPr>
          <w:szCs w:val="22"/>
          <w:u w:val="single"/>
          <w:lang w:val="fr-FR"/>
        </w:rPr>
      </w:pPr>
      <w:r w:rsidRPr="00E92545">
        <w:rPr>
          <w:szCs w:val="22"/>
          <w:u w:val="single"/>
          <w:lang w:val="fr-FR"/>
        </w:rPr>
        <w:t>Non</w:t>
      </w:r>
      <w:r w:rsidR="000A6DDA" w:rsidRPr="00E92545">
        <w:rPr>
          <w:szCs w:val="22"/>
          <w:u w:val="single"/>
          <w:lang w:val="fr-FR"/>
        </w:rPr>
        <w:noBreakHyphen/>
      </w:r>
      <w:r w:rsidRPr="00E92545">
        <w:rPr>
          <w:szCs w:val="22"/>
          <w:u w:val="single"/>
          <w:lang w:val="fr-FR"/>
        </w:rPr>
        <w:t>Hodgkin’s lymphoma</w:t>
      </w:r>
    </w:p>
    <w:p w14:paraId="7C3310C5" w14:textId="77777777" w:rsidR="008F369D" w:rsidRPr="00E32B42" w:rsidRDefault="008F369D" w:rsidP="00E454FF">
      <w:pPr>
        <w:keepNext/>
        <w:keepLines/>
        <w:rPr>
          <w:lang w:val="fr-FR"/>
        </w:rPr>
      </w:pPr>
    </w:p>
    <w:p w14:paraId="7C3310C6" w14:textId="77777777" w:rsidR="008F369D" w:rsidRPr="00E92545" w:rsidRDefault="00016F29" w:rsidP="00E454FF">
      <w:pPr>
        <w:keepNext/>
        <w:keepLines/>
        <w:outlineLvl w:val="0"/>
        <w:rPr>
          <w:i/>
          <w:szCs w:val="22"/>
          <w:lang w:val="fr-FR"/>
        </w:rPr>
      </w:pPr>
      <w:r w:rsidRPr="00E92545">
        <w:rPr>
          <w:i/>
          <w:szCs w:val="22"/>
          <w:lang w:val="fr-FR"/>
        </w:rPr>
        <w:t>Follicular non</w:t>
      </w:r>
      <w:r w:rsidR="000A6DDA" w:rsidRPr="00E92545">
        <w:rPr>
          <w:i/>
          <w:szCs w:val="22"/>
          <w:lang w:val="fr-FR"/>
        </w:rPr>
        <w:noBreakHyphen/>
      </w:r>
      <w:r w:rsidRPr="00E92545">
        <w:rPr>
          <w:i/>
          <w:szCs w:val="22"/>
          <w:lang w:val="fr-FR"/>
        </w:rPr>
        <w:t>Hodgkin's lymphoma</w:t>
      </w:r>
    </w:p>
    <w:p w14:paraId="7C3310C7" w14:textId="77777777" w:rsidR="008F369D" w:rsidRPr="00E32B42" w:rsidRDefault="008F369D" w:rsidP="00E454FF">
      <w:pPr>
        <w:keepNext/>
        <w:keepLines/>
        <w:rPr>
          <w:lang w:val="fr-FR"/>
        </w:rPr>
      </w:pPr>
    </w:p>
    <w:p w14:paraId="7C3310C8" w14:textId="77777777" w:rsidR="008F369D" w:rsidRPr="00F332AF" w:rsidRDefault="00016F29" w:rsidP="00E454FF">
      <w:pPr>
        <w:keepNext/>
        <w:keepLines/>
        <w:outlineLvl w:val="0"/>
        <w:rPr>
          <w:szCs w:val="22"/>
          <w:lang w:val="en-GB"/>
        </w:rPr>
      </w:pPr>
      <w:r w:rsidRPr="00F332AF">
        <w:rPr>
          <w:szCs w:val="22"/>
          <w:lang w:val="en-GB"/>
        </w:rPr>
        <w:t>Combination therapy</w:t>
      </w:r>
    </w:p>
    <w:p w14:paraId="7C3310C9" w14:textId="77777777" w:rsidR="008F369D" w:rsidRPr="00F332AF" w:rsidRDefault="00016F29" w:rsidP="00E454FF">
      <w:pPr>
        <w:keepNext/>
        <w:keepLines/>
        <w:rPr>
          <w:szCs w:val="22"/>
          <w:lang w:val="en-GB"/>
        </w:rPr>
      </w:pPr>
      <w:r w:rsidRPr="00F332AF">
        <w:rPr>
          <w:szCs w:val="22"/>
          <w:lang w:val="en-GB"/>
        </w:rPr>
        <w:t>The recommended dose of MabThera in combination with chemotherapy for induction treatment of previously untreated or relapsed/refractory patients with follicular lymphoma is: 375 mg/m</w:t>
      </w:r>
      <w:r w:rsidRPr="00F332AF">
        <w:rPr>
          <w:szCs w:val="22"/>
          <w:vertAlign w:val="superscript"/>
          <w:lang w:val="en-GB"/>
        </w:rPr>
        <w:t>2</w:t>
      </w:r>
      <w:r w:rsidRPr="00F332AF">
        <w:rPr>
          <w:szCs w:val="22"/>
          <w:lang w:val="en-GB"/>
        </w:rPr>
        <w:t xml:space="preserve"> body surface area per cycle, for up to 8 cycles.</w:t>
      </w:r>
    </w:p>
    <w:p w14:paraId="7C3310CA" w14:textId="77777777" w:rsidR="008F369D" w:rsidRPr="00F332AF" w:rsidRDefault="008F369D" w:rsidP="008F369D">
      <w:pPr>
        <w:rPr>
          <w:szCs w:val="22"/>
          <w:lang w:val="en-GB"/>
        </w:rPr>
      </w:pPr>
    </w:p>
    <w:p w14:paraId="7C3310CB" w14:textId="77777777" w:rsidR="008F369D" w:rsidRPr="00F332AF" w:rsidRDefault="00016F29" w:rsidP="008F369D">
      <w:pPr>
        <w:rPr>
          <w:szCs w:val="22"/>
          <w:lang w:val="en-GB"/>
        </w:rPr>
      </w:pPr>
      <w:r w:rsidRPr="00F332AF">
        <w:rPr>
          <w:szCs w:val="22"/>
          <w:lang w:val="en-GB"/>
        </w:rPr>
        <w:t>MabThera should be administered on day 1 of each chemotherapy cycle, after intravenous administration of the glucocorticoid component of the chemotherapy if applicable.</w:t>
      </w:r>
    </w:p>
    <w:p w14:paraId="7C3310CC" w14:textId="77777777" w:rsidR="008F369D" w:rsidRPr="00F332AF" w:rsidRDefault="008F369D" w:rsidP="008F369D">
      <w:pPr>
        <w:rPr>
          <w:szCs w:val="22"/>
          <w:lang w:val="en-GB"/>
        </w:rPr>
      </w:pPr>
    </w:p>
    <w:p w14:paraId="7C3310CD" w14:textId="77777777" w:rsidR="008F369D" w:rsidRPr="00F332AF" w:rsidRDefault="00016F29" w:rsidP="008F369D">
      <w:pPr>
        <w:keepNext/>
        <w:keepLines/>
        <w:outlineLvl w:val="0"/>
        <w:rPr>
          <w:szCs w:val="22"/>
          <w:lang w:val="en-GB"/>
        </w:rPr>
      </w:pPr>
      <w:r w:rsidRPr="00F332AF">
        <w:rPr>
          <w:szCs w:val="22"/>
          <w:lang w:val="en-GB"/>
        </w:rPr>
        <w:t>Maintenance therapy</w:t>
      </w:r>
    </w:p>
    <w:p w14:paraId="7C3310CE" w14:textId="77777777" w:rsidR="008F369D" w:rsidRPr="00F95061" w:rsidRDefault="00016F29" w:rsidP="008F369D">
      <w:pPr>
        <w:ind w:left="709"/>
        <w:rPr>
          <w:szCs w:val="22"/>
          <w:lang w:val="en-GB"/>
        </w:rPr>
      </w:pPr>
      <w:r w:rsidRPr="00E06A78">
        <w:rPr>
          <w:rFonts w:ascii="Symbol" w:hAnsi="Symbol"/>
          <w:lang w:val="en-GB"/>
        </w:rPr>
        <w:sym w:font="Symbol" w:char="F0B7"/>
      </w:r>
      <w:r w:rsidRPr="00C50A4F">
        <w:rPr>
          <w:szCs w:val="22"/>
          <w:lang w:val="en-GB"/>
        </w:rPr>
        <w:tab/>
      </w:r>
      <w:r w:rsidRPr="00F95061">
        <w:rPr>
          <w:szCs w:val="22"/>
          <w:lang w:val="en-GB"/>
        </w:rPr>
        <w:t>Previously untreated follicular lymphoma</w:t>
      </w:r>
    </w:p>
    <w:p w14:paraId="7C3310CF" w14:textId="77777777" w:rsidR="008F369D" w:rsidRPr="00F332AF" w:rsidRDefault="00016F29" w:rsidP="008F369D">
      <w:pPr>
        <w:rPr>
          <w:lang w:val="en-GB"/>
        </w:rPr>
      </w:pPr>
      <w:r w:rsidRPr="00F332AF">
        <w:rPr>
          <w:szCs w:val="22"/>
          <w:lang w:val="en-GB"/>
        </w:rPr>
        <w:t xml:space="preserve">The recommended dose of MabThera used as a maintenance treatment for patients with previously untreated follicular lymphoma who have responded to induction treatment is: </w:t>
      </w:r>
      <w:r w:rsidRPr="00F332AF">
        <w:rPr>
          <w:lang w:val="en-GB"/>
        </w:rPr>
        <w:t>375 mg/m</w:t>
      </w:r>
      <w:r w:rsidRPr="00F332AF">
        <w:rPr>
          <w:vertAlign w:val="superscript"/>
          <w:lang w:val="en-GB"/>
        </w:rPr>
        <w:t>2</w:t>
      </w:r>
      <w:r w:rsidRPr="00F332AF">
        <w:rPr>
          <w:lang w:val="en-GB"/>
        </w:rPr>
        <w:t xml:space="preserve"> body surface area once every 2 </w:t>
      </w:r>
      <w:r w:rsidRPr="00F332AF">
        <w:rPr>
          <w:szCs w:val="22"/>
          <w:lang w:val="en-GB"/>
        </w:rPr>
        <w:t>months (starting 2 months after the last dose of induction therapy) until disease</w:t>
      </w:r>
      <w:r w:rsidRPr="00F332AF">
        <w:rPr>
          <w:lang w:val="en-GB"/>
        </w:rPr>
        <w:t xml:space="preserve"> progression or for a maximum period of two years</w:t>
      </w:r>
      <w:r w:rsidR="006F2A34">
        <w:rPr>
          <w:lang w:val="en-GB"/>
        </w:rPr>
        <w:t xml:space="preserve"> (12 infusions in total)</w:t>
      </w:r>
      <w:r w:rsidRPr="00F332AF">
        <w:rPr>
          <w:lang w:val="en-GB"/>
        </w:rPr>
        <w:t>.</w:t>
      </w:r>
    </w:p>
    <w:p w14:paraId="7C3310D0" w14:textId="77777777" w:rsidR="008F369D" w:rsidRPr="00F332AF" w:rsidRDefault="008F369D" w:rsidP="008F369D">
      <w:pPr>
        <w:rPr>
          <w:szCs w:val="22"/>
          <w:lang w:val="en-GB"/>
        </w:rPr>
      </w:pPr>
    </w:p>
    <w:p w14:paraId="7C3310D1" w14:textId="77777777" w:rsidR="008F369D" w:rsidRPr="00F332AF" w:rsidRDefault="00016F29" w:rsidP="008F369D">
      <w:pPr>
        <w:ind w:left="709"/>
        <w:outlineLvl w:val="0"/>
        <w:rPr>
          <w:szCs w:val="22"/>
          <w:lang w:val="en-GB"/>
        </w:rPr>
      </w:pPr>
      <w:r w:rsidRPr="00E06A78">
        <w:rPr>
          <w:rFonts w:ascii="Symbol" w:hAnsi="Symbol"/>
          <w:lang w:val="en-GB"/>
        </w:rPr>
        <w:sym w:font="Symbol" w:char="F0B7"/>
      </w:r>
      <w:r w:rsidRPr="00C50A4F">
        <w:rPr>
          <w:szCs w:val="22"/>
          <w:lang w:val="en-GB"/>
        </w:rPr>
        <w:tab/>
      </w:r>
      <w:r w:rsidRPr="00F95061">
        <w:rPr>
          <w:szCs w:val="22"/>
          <w:lang w:val="en-GB"/>
        </w:rPr>
        <w:t>Relapsed/refractory follicular lymphoma</w:t>
      </w:r>
    </w:p>
    <w:p w14:paraId="7C3310D2" w14:textId="77777777" w:rsidR="008F369D" w:rsidRPr="00F332AF" w:rsidRDefault="00016F29" w:rsidP="008F369D">
      <w:pPr>
        <w:rPr>
          <w:lang w:val="en-GB"/>
        </w:rPr>
      </w:pPr>
      <w:r w:rsidRPr="00F332AF">
        <w:rPr>
          <w:szCs w:val="22"/>
          <w:lang w:val="en-GB"/>
        </w:rPr>
        <w:t xml:space="preserve">The recommended dose of MabThera used as a maintenance treatment for patients with relapsed/refractory follicular lymphoma who have responded to induction treatment is: </w:t>
      </w:r>
      <w:r w:rsidRPr="00F332AF">
        <w:rPr>
          <w:lang w:val="en-GB"/>
        </w:rPr>
        <w:t>375 mg/m</w:t>
      </w:r>
      <w:r w:rsidRPr="00F332AF">
        <w:rPr>
          <w:vertAlign w:val="superscript"/>
          <w:lang w:val="en-GB"/>
        </w:rPr>
        <w:t>2</w:t>
      </w:r>
      <w:r w:rsidRPr="00F332AF">
        <w:rPr>
          <w:lang w:val="en-GB"/>
        </w:rPr>
        <w:t xml:space="preserve"> body surface area once every 3 months </w:t>
      </w:r>
      <w:r w:rsidRPr="00F332AF">
        <w:rPr>
          <w:szCs w:val="22"/>
          <w:lang w:val="en-GB"/>
        </w:rPr>
        <w:t xml:space="preserve">(starting 3 months after the last dose of induction therapy) </w:t>
      </w:r>
      <w:r w:rsidRPr="00F332AF">
        <w:rPr>
          <w:lang w:val="en-GB"/>
        </w:rPr>
        <w:t>until disease progression or for a maximum period of two years</w:t>
      </w:r>
      <w:r w:rsidR="006F2A34">
        <w:rPr>
          <w:lang w:val="en-GB"/>
        </w:rPr>
        <w:t xml:space="preserve"> (8 infusions in total)</w:t>
      </w:r>
      <w:r w:rsidRPr="00F332AF">
        <w:rPr>
          <w:lang w:val="en-GB"/>
        </w:rPr>
        <w:t>.</w:t>
      </w:r>
    </w:p>
    <w:p w14:paraId="7C3310D3" w14:textId="77777777" w:rsidR="008F369D" w:rsidRPr="00F332AF" w:rsidRDefault="008F369D" w:rsidP="008F369D">
      <w:pPr>
        <w:rPr>
          <w:lang w:val="en-GB"/>
        </w:rPr>
      </w:pPr>
    </w:p>
    <w:p w14:paraId="7C3310D4" w14:textId="77777777" w:rsidR="008F369D" w:rsidRPr="00F95061" w:rsidRDefault="00016F29" w:rsidP="008F369D">
      <w:pPr>
        <w:rPr>
          <w:szCs w:val="22"/>
          <w:lang w:val="en-GB"/>
        </w:rPr>
      </w:pPr>
      <w:r w:rsidRPr="00F95061">
        <w:rPr>
          <w:szCs w:val="22"/>
          <w:lang w:val="en-GB"/>
        </w:rPr>
        <w:t>Monotherapy</w:t>
      </w:r>
    </w:p>
    <w:p w14:paraId="7C3310D5" w14:textId="77777777" w:rsidR="008F369D" w:rsidRPr="00F95061" w:rsidRDefault="00016F29" w:rsidP="008F369D">
      <w:pPr>
        <w:ind w:left="709"/>
        <w:rPr>
          <w:szCs w:val="22"/>
          <w:lang w:val="en-GB"/>
        </w:rPr>
      </w:pPr>
      <w:r w:rsidRPr="00E06A78">
        <w:rPr>
          <w:rFonts w:ascii="Symbol" w:hAnsi="Symbol"/>
          <w:lang w:val="en-GB"/>
        </w:rPr>
        <w:sym w:font="Symbol" w:char="F0B7"/>
      </w:r>
      <w:r w:rsidRPr="00C50A4F">
        <w:rPr>
          <w:szCs w:val="22"/>
          <w:lang w:val="en-GB"/>
        </w:rPr>
        <w:tab/>
      </w:r>
      <w:r w:rsidRPr="00F95061">
        <w:rPr>
          <w:szCs w:val="22"/>
          <w:lang w:val="en-GB"/>
        </w:rPr>
        <w:t>Relapsed/refractory follicular lymphoma</w:t>
      </w:r>
    </w:p>
    <w:p w14:paraId="7C3310D6" w14:textId="77777777" w:rsidR="008F369D" w:rsidRPr="0059779C" w:rsidRDefault="00016F29" w:rsidP="008F369D">
      <w:pPr>
        <w:rPr>
          <w:szCs w:val="22"/>
          <w:lang w:val="en-GB"/>
        </w:rPr>
      </w:pPr>
      <w:r w:rsidRPr="0059779C">
        <w:rPr>
          <w:szCs w:val="22"/>
          <w:lang w:val="en-GB"/>
        </w:rPr>
        <w:t>The recommended dose of MabThera monotherapy used as induction treatment for adult patients with stage III</w:t>
      </w:r>
      <w:r w:rsidR="000A6DDA" w:rsidRPr="0059779C">
        <w:rPr>
          <w:szCs w:val="22"/>
          <w:lang w:val="en-GB"/>
        </w:rPr>
        <w:noBreakHyphen/>
      </w:r>
      <w:r w:rsidRPr="0059779C">
        <w:rPr>
          <w:szCs w:val="22"/>
          <w:lang w:val="en-GB"/>
        </w:rPr>
        <w:t>IV follicular lymphoma who are chemoresistant or are in their second or subsequent relapse after chemotherapy is: 375 mg/m</w:t>
      </w:r>
      <w:r w:rsidRPr="0059779C">
        <w:rPr>
          <w:szCs w:val="22"/>
          <w:vertAlign w:val="superscript"/>
          <w:lang w:val="en-GB"/>
        </w:rPr>
        <w:t xml:space="preserve">2 </w:t>
      </w:r>
      <w:r w:rsidRPr="0059779C">
        <w:rPr>
          <w:szCs w:val="22"/>
          <w:lang w:val="en-GB"/>
        </w:rPr>
        <w:t xml:space="preserve">body surface area, administered as an intravenous infusion once weekly for four weeks. </w:t>
      </w:r>
    </w:p>
    <w:p w14:paraId="7C3310D7" w14:textId="77777777" w:rsidR="008F369D" w:rsidRPr="00F332AF" w:rsidRDefault="008F369D" w:rsidP="008F369D">
      <w:pPr>
        <w:rPr>
          <w:szCs w:val="22"/>
          <w:lang w:val="en-GB"/>
        </w:rPr>
      </w:pPr>
    </w:p>
    <w:p w14:paraId="7C3310D8" w14:textId="77777777" w:rsidR="008F369D" w:rsidRPr="00F638AF" w:rsidRDefault="00016F29" w:rsidP="008F369D">
      <w:pPr>
        <w:rPr>
          <w:szCs w:val="22"/>
          <w:lang w:val="en-GB"/>
        </w:rPr>
      </w:pPr>
      <w:r w:rsidRPr="00F332AF">
        <w:rPr>
          <w:szCs w:val="22"/>
          <w:lang w:val="en-GB"/>
        </w:rPr>
        <w:t>For retreatment with MabThera monotherapy for patients who have responded to previous treatment with MabThera monotherapy for relapsed/refractory follicular lymphoma, the recommended dose is: 375 mg/m</w:t>
      </w:r>
      <w:r w:rsidRPr="00F332AF">
        <w:rPr>
          <w:szCs w:val="22"/>
          <w:vertAlign w:val="superscript"/>
          <w:lang w:val="en-GB"/>
        </w:rPr>
        <w:t>2</w:t>
      </w:r>
      <w:r w:rsidRPr="00F332AF">
        <w:rPr>
          <w:szCs w:val="22"/>
          <w:lang w:val="en-GB"/>
        </w:rPr>
        <w:t xml:space="preserve"> body surface area, administered as an intravenous infusion once weekly for four weeks (</w:t>
      </w:r>
      <w:r w:rsidRPr="00F638AF">
        <w:rPr>
          <w:szCs w:val="22"/>
          <w:lang w:val="en-GB"/>
        </w:rPr>
        <w:t xml:space="preserve">see section 5.1). </w:t>
      </w:r>
    </w:p>
    <w:p w14:paraId="7C3310D9" w14:textId="77777777" w:rsidR="008F369D" w:rsidRPr="00F638AF" w:rsidRDefault="008F369D" w:rsidP="008F369D">
      <w:pPr>
        <w:rPr>
          <w:szCs w:val="22"/>
          <w:lang w:val="en-GB"/>
        </w:rPr>
      </w:pPr>
    </w:p>
    <w:p w14:paraId="7C3310DA" w14:textId="77777777" w:rsidR="008F369D" w:rsidRPr="00F638AF" w:rsidRDefault="00016F29" w:rsidP="008F369D">
      <w:pPr>
        <w:outlineLvl w:val="0"/>
        <w:rPr>
          <w:i/>
          <w:szCs w:val="22"/>
          <w:lang w:val="en-GB"/>
        </w:rPr>
      </w:pPr>
      <w:r w:rsidRPr="00F638AF">
        <w:rPr>
          <w:i/>
          <w:szCs w:val="22"/>
          <w:lang w:val="en-GB"/>
        </w:rPr>
        <w:t>Adult Diffuse large B cell non</w:t>
      </w:r>
      <w:r w:rsidR="000A6DDA" w:rsidRPr="00F638AF">
        <w:rPr>
          <w:i/>
          <w:szCs w:val="22"/>
          <w:lang w:val="en-GB"/>
        </w:rPr>
        <w:noBreakHyphen/>
      </w:r>
      <w:r w:rsidRPr="00F638AF">
        <w:rPr>
          <w:i/>
          <w:szCs w:val="22"/>
          <w:lang w:val="en-GB"/>
        </w:rPr>
        <w:t>Hodgkin's lymphoma</w:t>
      </w:r>
    </w:p>
    <w:p w14:paraId="7C3310DB" w14:textId="77777777" w:rsidR="008F369D" w:rsidRPr="00F638AF" w:rsidRDefault="008F369D" w:rsidP="00CF536B">
      <w:pPr>
        <w:rPr>
          <w:lang w:val="en-GB"/>
        </w:rPr>
      </w:pPr>
    </w:p>
    <w:p w14:paraId="7C3310DC" w14:textId="77777777" w:rsidR="008F369D" w:rsidRPr="00F638AF" w:rsidRDefault="00016F29" w:rsidP="008F369D">
      <w:pPr>
        <w:rPr>
          <w:snapToGrid w:val="0"/>
          <w:szCs w:val="22"/>
          <w:lang w:val="en-GB"/>
        </w:rPr>
      </w:pPr>
      <w:r w:rsidRPr="00F638AF">
        <w:rPr>
          <w:szCs w:val="22"/>
          <w:lang w:val="en-GB"/>
        </w:rPr>
        <w:t>MabThera should be used in combination with CHOP chemotherapy. The recommended dosage is 375 mg/m</w:t>
      </w:r>
      <w:r w:rsidRPr="00F638AF">
        <w:rPr>
          <w:szCs w:val="22"/>
          <w:vertAlign w:val="superscript"/>
          <w:lang w:val="en-GB"/>
        </w:rPr>
        <w:t>2</w:t>
      </w:r>
      <w:r w:rsidRPr="00F638AF">
        <w:rPr>
          <w:szCs w:val="22"/>
          <w:lang w:val="en-GB"/>
        </w:rPr>
        <w:t xml:space="preserve"> body surface area, administered on day 1 of each chemotherapy cycle for 8 cycles after intravenous infusion of the glucocorticoid component of CHOP. Safety and efficacy of </w:t>
      </w:r>
      <w:r w:rsidRPr="00F638AF">
        <w:rPr>
          <w:snapToGrid w:val="0"/>
          <w:szCs w:val="22"/>
          <w:lang w:val="en-GB"/>
        </w:rPr>
        <w:t>MabThera have not been established in combination with other chemotherapies in diffuse large B cell non</w:t>
      </w:r>
      <w:r w:rsidR="000A6DDA" w:rsidRPr="00F638AF">
        <w:rPr>
          <w:snapToGrid w:val="0"/>
          <w:szCs w:val="22"/>
          <w:lang w:val="en-GB"/>
        </w:rPr>
        <w:noBreakHyphen/>
      </w:r>
      <w:r w:rsidRPr="00F638AF">
        <w:rPr>
          <w:snapToGrid w:val="0"/>
          <w:szCs w:val="22"/>
          <w:lang w:val="en-GB"/>
        </w:rPr>
        <w:t>Hodgkin’s lymphoma.</w:t>
      </w:r>
    </w:p>
    <w:p w14:paraId="7C3310DD" w14:textId="77777777" w:rsidR="008F369D" w:rsidRPr="00F638AF" w:rsidRDefault="008F369D" w:rsidP="008F369D">
      <w:pPr>
        <w:rPr>
          <w:snapToGrid w:val="0"/>
          <w:szCs w:val="22"/>
          <w:lang w:val="en-GB"/>
        </w:rPr>
      </w:pPr>
    </w:p>
    <w:p w14:paraId="7C3310DE" w14:textId="77777777" w:rsidR="008F369D" w:rsidRPr="00F638AF" w:rsidRDefault="00016F29" w:rsidP="0099733D">
      <w:pPr>
        <w:keepNext/>
        <w:keepLines/>
        <w:outlineLvl w:val="0"/>
        <w:rPr>
          <w:szCs w:val="22"/>
          <w:u w:val="single"/>
          <w:lang w:val="en-GB"/>
        </w:rPr>
      </w:pPr>
      <w:r w:rsidRPr="00F638AF">
        <w:rPr>
          <w:szCs w:val="22"/>
          <w:u w:val="single"/>
          <w:lang w:val="en-GB"/>
        </w:rPr>
        <w:t>Dose adjustments during treatment</w:t>
      </w:r>
    </w:p>
    <w:p w14:paraId="7C3310DF" w14:textId="77777777" w:rsidR="008F369D" w:rsidRPr="00F638AF" w:rsidRDefault="008F369D" w:rsidP="0099733D">
      <w:pPr>
        <w:keepNext/>
        <w:keepLines/>
        <w:rPr>
          <w:lang w:val="en-GB"/>
        </w:rPr>
      </w:pPr>
    </w:p>
    <w:p w14:paraId="7C3310E0" w14:textId="77777777" w:rsidR="008F369D" w:rsidRPr="00131C64" w:rsidRDefault="00016F29" w:rsidP="0099733D">
      <w:pPr>
        <w:keepNext/>
        <w:keepLines/>
        <w:rPr>
          <w:snapToGrid w:val="0"/>
          <w:szCs w:val="22"/>
          <w:lang w:val="en-GB"/>
        </w:rPr>
      </w:pPr>
      <w:r w:rsidRPr="00F638AF">
        <w:rPr>
          <w:szCs w:val="22"/>
          <w:lang w:val="en-GB"/>
        </w:rPr>
        <w:t>No dose reductions of MabThera are recommended. When MabThera is given in combination with chemotherapy, standard dose reductions for the chemotherapeutic medicinal products should be applied.</w:t>
      </w:r>
    </w:p>
    <w:p w14:paraId="7C3310E1" w14:textId="77777777" w:rsidR="008F369D" w:rsidRPr="00F332AF" w:rsidRDefault="008F369D" w:rsidP="008F369D">
      <w:pPr>
        <w:rPr>
          <w:snapToGrid w:val="0"/>
          <w:szCs w:val="22"/>
          <w:lang w:val="en-GB"/>
        </w:rPr>
      </w:pPr>
    </w:p>
    <w:p w14:paraId="7C3310E2" w14:textId="77777777" w:rsidR="008F369D" w:rsidRPr="00F95061" w:rsidRDefault="00016F29" w:rsidP="00E454FF">
      <w:pPr>
        <w:keepNext/>
        <w:keepLines/>
        <w:outlineLvl w:val="0"/>
        <w:rPr>
          <w:snapToGrid w:val="0"/>
          <w:szCs w:val="22"/>
          <w:u w:val="single"/>
          <w:lang w:val="en-GB"/>
        </w:rPr>
      </w:pPr>
      <w:r w:rsidRPr="00F95061">
        <w:rPr>
          <w:snapToGrid w:val="0"/>
          <w:szCs w:val="22"/>
          <w:u w:val="single"/>
          <w:lang w:val="en-GB"/>
        </w:rPr>
        <w:t>Chronic lymphocytic leukaemia</w:t>
      </w:r>
    </w:p>
    <w:p w14:paraId="7C3310E3" w14:textId="77777777" w:rsidR="008F369D" w:rsidRPr="00F332AF" w:rsidRDefault="008F369D" w:rsidP="00E454FF">
      <w:pPr>
        <w:keepNext/>
        <w:keepLines/>
        <w:rPr>
          <w:snapToGrid w:val="0"/>
          <w:lang w:val="en-GB"/>
        </w:rPr>
      </w:pPr>
    </w:p>
    <w:p w14:paraId="7C3310E4" w14:textId="77777777" w:rsidR="008F369D" w:rsidRDefault="00016F29" w:rsidP="008F369D">
      <w:pPr>
        <w:rPr>
          <w:szCs w:val="22"/>
          <w:lang w:val="en-GB"/>
        </w:rPr>
      </w:pPr>
      <w:r w:rsidRPr="00F332AF">
        <w:rPr>
          <w:szCs w:val="22"/>
          <w:lang w:val="en-GB"/>
        </w:rPr>
        <w:t xml:space="preserve">The recommended dosage of MabThera in combination with chemotherapy </w:t>
      </w:r>
      <w:r w:rsidRPr="00F332AF">
        <w:rPr>
          <w:lang w:val="en-GB"/>
        </w:rPr>
        <w:t>for previously untreated and relapsed/refractory patients</w:t>
      </w:r>
      <w:r w:rsidRPr="00F332AF">
        <w:rPr>
          <w:szCs w:val="22"/>
          <w:lang w:val="en-GB"/>
        </w:rPr>
        <w:t xml:space="preserve"> is 375 mg/m</w:t>
      </w:r>
      <w:r w:rsidRPr="00F332AF">
        <w:rPr>
          <w:szCs w:val="22"/>
          <w:vertAlign w:val="superscript"/>
          <w:lang w:val="en-GB"/>
        </w:rPr>
        <w:t>2</w:t>
      </w:r>
      <w:r w:rsidRPr="00F332AF">
        <w:rPr>
          <w:szCs w:val="22"/>
          <w:lang w:val="en-GB"/>
        </w:rPr>
        <w:t xml:space="preserve"> body surface area administered on day 0 of the first treatment cycle followed by 500 mg/m</w:t>
      </w:r>
      <w:r w:rsidRPr="00F332AF">
        <w:rPr>
          <w:szCs w:val="22"/>
          <w:vertAlign w:val="superscript"/>
          <w:lang w:val="en-GB"/>
        </w:rPr>
        <w:t xml:space="preserve">2 </w:t>
      </w:r>
      <w:r w:rsidRPr="00F332AF">
        <w:rPr>
          <w:szCs w:val="22"/>
          <w:lang w:val="en-GB"/>
        </w:rPr>
        <w:t>body surface area administered on day 1 of each subsequent cycle for 6 cycles in total. The chemotherapy should be given after MabThera infusion.</w:t>
      </w:r>
    </w:p>
    <w:p w14:paraId="7C3310E5" w14:textId="77777777" w:rsidR="008F369D" w:rsidRPr="00F332AF" w:rsidRDefault="008F369D" w:rsidP="008F369D">
      <w:pPr>
        <w:rPr>
          <w:szCs w:val="22"/>
          <w:lang w:val="en-GB"/>
        </w:rPr>
      </w:pPr>
    </w:p>
    <w:p w14:paraId="7C3310E6" w14:textId="77777777" w:rsidR="008F369D" w:rsidRPr="009F51CA" w:rsidRDefault="00016F29" w:rsidP="00AA7B51">
      <w:pPr>
        <w:keepNext/>
        <w:keepLines/>
        <w:rPr>
          <w:szCs w:val="22"/>
          <w:lang w:val="en-GB"/>
        </w:rPr>
      </w:pPr>
      <w:r w:rsidRPr="00F95061">
        <w:rPr>
          <w:snapToGrid w:val="0"/>
          <w:szCs w:val="22"/>
          <w:u w:val="single"/>
          <w:lang w:val="en-GB"/>
        </w:rPr>
        <w:t>Rheumatoid arthritis</w:t>
      </w:r>
    </w:p>
    <w:p w14:paraId="7C3310E7" w14:textId="77777777" w:rsidR="008F369D" w:rsidRPr="00F332AF" w:rsidRDefault="008F369D" w:rsidP="00AA7B51">
      <w:pPr>
        <w:keepNext/>
        <w:keepLines/>
        <w:rPr>
          <w:szCs w:val="22"/>
          <w:lang w:val="en-GB"/>
        </w:rPr>
      </w:pPr>
    </w:p>
    <w:p w14:paraId="7C3310E8" w14:textId="77777777" w:rsidR="008F369D" w:rsidRPr="00F332AF" w:rsidRDefault="00016F29" w:rsidP="00AA7B51">
      <w:pPr>
        <w:keepNext/>
        <w:keepLines/>
        <w:rPr>
          <w:szCs w:val="22"/>
          <w:lang w:val="en-GB"/>
        </w:rPr>
      </w:pPr>
      <w:r w:rsidRPr="00F332AF">
        <w:rPr>
          <w:szCs w:val="22"/>
          <w:lang w:val="en-GB"/>
        </w:rPr>
        <w:t xml:space="preserve">Patients treated with MabThera must be given the patient alert card with </w:t>
      </w:r>
      <w:r w:rsidRPr="00F95061">
        <w:rPr>
          <w:szCs w:val="22"/>
          <w:lang w:val="en-GB"/>
        </w:rPr>
        <w:t>each infusion</w:t>
      </w:r>
      <w:r w:rsidRPr="006A1520">
        <w:rPr>
          <w:szCs w:val="22"/>
          <w:lang w:val="en-GB"/>
        </w:rPr>
        <w:t>.</w:t>
      </w:r>
    </w:p>
    <w:p w14:paraId="7C3310E9" w14:textId="77777777" w:rsidR="008F369D" w:rsidRPr="00F332AF" w:rsidRDefault="008F369D" w:rsidP="008F369D">
      <w:pPr>
        <w:rPr>
          <w:rFonts w:eastAsia="MS Mincho"/>
          <w:szCs w:val="22"/>
          <w:lang w:val="en-GB"/>
        </w:rPr>
      </w:pPr>
    </w:p>
    <w:p w14:paraId="7C3310EA" w14:textId="77777777" w:rsidR="008F369D" w:rsidRPr="00F332AF" w:rsidRDefault="00016F29" w:rsidP="008F369D">
      <w:pPr>
        <w:rPr>
          <w:szCs w:val="22"/>
          <w:lang w:val="en-GB"/>
        </w:rPr>
      </w:pPr>
      <w:r w:rsidRPr="00F332AF">
        <w:rPr>
          <w:szCs w:val="22"/>
          <w:lang w:val="en-GB"/>
        </w:rPr>
        <w:t>A course of MabThera consists of two 1000 mg intravenous infusions. The recommended dosage of MabThera is 1000 mg by intravenous infusion followed by a second 1000 mg intravenous infusion two weeks later.</w:t>
      </w:r>
    </w:p>
    <w:p w14:paraId="7C3310EB" w14:textId="77777777" w:rsidR="008F369D" w:rsidRPr="00F332AF" w:rsidRDefault="008F369D" w:rsidP="008F369D">
      <w:pPr>
        <w:rPr>
          <w:szCs w:val="22"/>
          <w:lang w:val="en-GB"/>
        </w:rPr>
      </w:pPr>
    </w:p>
    <w:p w14:paraId="7C3310EC" w14:textId="77777777" w:rsidR="008F369D" w:rsidRPr="00F332AF" w:rsidRDefault="00016F29" w:rsidP="008F369D">
      <w:pPr>
        <w:autoSpaceDE w:val="0"/>
        <w:autoSpaceDN w:val="0"/>
        <w:adjustRightInd w:val="0"/>
        <w:rPr>
          <w:szCs w:val="22"/>
          <w:lang w:val="en-GB" w:eastAsia="zh-CN"/>
        </w:rPr>
      </w:pPr>
      <w:r w:rsidRPr="00F332AF">
        <w:rPr>
          <w:szCs w:val="22"/>
          <w:lang w:val="en-GB" w:eastAsia="zh-CN"/>
        </w:rPr>
        <w:t>The</w:t>
      </w:r>
      <w:r w:rsidRPr="00F332AF">
        <w:rPr>
          <w:sz w:val="16"/>
          <w:szCs w:val="16"/>
          <w:lang w:val="en-GB" w:eastAsia="zh-CN"/>
        </w:rPr>
        <w:t xml:space="preserve"> </w:t>
      </w:r>
      <w:r w:rsidRPr="00F332AF">
        <w:rPr>
          <w:szCs w:val="22"/>
          <w:lang w:val="en-GB" w:eastAsia="zh-CN"/>
        </w:rPr>
        <w:t>need for further courses should be evaluated 24 weeks following the previous course. Retreatment should be given at that time if residual disease activity remains, otherwise retreatment should be delayed until disease activity returns.</w:t>
      </w:r>
    </w:p>
    <w:p w14:paraId="7C3310ED" w14:textId="77777777" w:rsidR="008F369D" w:rsidRPr="00F332AF" w:rsidRDefault="008F369D" w:rsidP="008F369D">
      <w:pPr>
        <w:autoSpaceDE w:val="0"/>
        <w:autoSpaceDN w:val="0"/>
        <w:adjustRightInd w:val="0"/>
        <w:rPr>
          <w:rFonts w:ascii="Arial" w:hAnsi="Arial" w:cs="Arial"/>
          <w:sz w:val="20"/>
          <w:lang w:val="en-GB" w:eastAsia="zh-CN"/>
        </w:rPr>
      </w:pPr>
    </w:p>
    <w:p w14:paraId="7C3310EE" w14:textId="77777777" w:rsidR="008F369D" w:rsidRPr="00F332AF" w:rsidRDefault="00016F29" w:rsidP="008F369D">
      <w:pPr>
        <w:rPr>
          <w:szCs w:val="22"/>
          <w:lang w:val="en-GB"/>
        </w:rPr>
      </w:pPr>
      <w:r w:rsidRPr="00015B1B">
        <w:rPr>
          <w:lang w:val="en-GB"/>
        </w:rPr>
        <w:t xml:space="preserve">Available data suggest that clinical response is usually achieved within 16 </w:t>
      </w:r>
      <w:r w:rsidR="000A6DDA" w:rsidRPr="00015B1B">
        <w:rPr>
          <w:lang w:val="en-GB"/>
        </w:rPr>
        <w:noBreakHyphen/>
      </w:r>
      <w:r w:rsidRPr="00015B1B">
        <w:rPr>
          <w:lang w:val="en-GB"/>
        </w:rPr>
        <w:t xml:space="preserve"> 24 weeks of an initial</w:t>
      </w:r>
      <w:r w:rsidRPr="00F332AF">
        <w:rPr>
          <w:lang w:val="en-GB"/>
        </w:rPr>
        <w:t xml:space="preserve"> treatment course. Continued therapy should be carefully reconsidered in patients who show no evidence of therapeutic benefit within this time period</w:t>
      </w:r>
      <w:r w:rsidRPr="00F332AF">
        <w:rPr>
          <w:szCs w:val="22"/>
          <w:lang w:val="en-GB"/>
        </w:rPr>
        <w:t>.</w:t>
      </w:r>
    </w:p>
    <w:p w14:paraId="7C3310EF" w14:textId="77777777" w:rsidR="008F369D" w:rsidRPr="00F332AF" w:rsidRDefault="008F369D" w:rsidP="00CF536B">
      <w:pPr>
        <w:rPr>
          <w:lang w:val="en-GB"/>
        </w:rPr>
      </w:pPr>
    </w:p>
    <w:p w14:paraId="7C3310F0" w14:textId="77777777" w:rsidR="008F369D" w:rsidRPr="0007744A" w:rsidRDefault="00016F29" w:rsidP="00E06A78">
      <w:pPr>
        <w:keepNext/>
        <w:keepLines/>
        <w:rPr>
          <w:snapToGrid w:val="0"/>
          <w:szCs w:val="22"/>
          <w:u w:val="single"/>
          <w:lang w:val="en-GB"/>
        </w:rPr>
      </w:pPr>
      <w:r w:rsidRPr="0007744A">
        <w:rPr>
          <w:snapToGrid w:val="0"/>
          <w:szCs w:val="22"/>
          <w:u w:val="single"/>
          <w:lang w:val="en-GB"/>
        </w:rPr>
        <w:t xml:space="preserve">Granulomatosis with polyangiitis </w:t>
      </w:r>
      <w:r w:rsidR="00753B8B">
        <w:rPr>
          <w:snapToGrid w:val="0"/>
          <w:szCs w:val="22"/>
          <w:u w:val="single"/>
          <w:lang w:val="en-GB"/>
        </w:rPr>
        <w:t xml:space="preserve">(GPA) </w:t>
      </w:r>
      <w:r w:rsidRPr="0007744A">
        <w:rPr>
          <w:snapToGrid w:val="0"/>
          <w:szCs w:val="22"/>
          <w:u w:val="single"/>
          <w:lang w:val="en-GB"/>
        </w:rPr>
        <w:t xml:space="preserve">and </w:t>
      </w:r>
      <w:r>
        <w:rPr>
          <w:snapToGrid w:val="0"/>
          <w:szCs w:val="22"/>
          <w:u w:val="single"/>
          <w:lang w:val="en-GB"/>
        </w:rPr>
        <w:t>m</w:t>
      </w:r>
      <w:r w:rsidRPr="0007744A">
        <w:rPr>
          <w:snapToGrid w:val="0"/>
          <w:szCs w:val="22"/>
          <w:u w:val="single"/>
          <w:lang w:val="en-GB"/>
        </w:rPr>
        <w:t>icroscopic polyangiitis</w:t>
      </w:r>
      <w:r w:rsidR="00753B8B">
        <w:rPr>
          <w:snapToGrid w:val="0"/>
          <w:szCs w:val="22"/>
          <w:u w:val="single"/>
          <w:lang w:val="en-GB"/>
        </w:rPr>
        <w:t xml:space="preserve"> (MPA)</w:t>
      </w:r>
    </w:p>
    <w:p w14:paraId="7C3310F1" w14:textId="77777777" w:rsidR="008F369D" w:rsidRPr="00F332AF" w:rsidRDefault="008F369D" w:rsidP="00E06A78">
      <w:pPr>
        <w:keepNext/>
        <w:keepLines/>
        <w:rPr>
          <w:szCs w:val="22"/>
          <w:lang w:val="en-GB"/>
        </w:rPr>
      </w:pPr>
    </w:p>
    <w:p w14:paraId="7C3310F2" w14:textId="77777777" w:rsidR="008F369D" w:rsidRPr="00F332AF" w:rsidRDefault="00016F29" w:rsidP="00E06A78">
      <w:pPr>
        <w:keepNext/>
        <w:keepLines/>
        <w:rPr>
          <w:szCs w:val="22"/>
          <w:lang w:val="en-GB"/>
        </w:rPr>
      </w:pPr>
      <w:r w:rsidRPr="00F332AF">
        <w:rPr>
          <w:szCs w:val="22"/>
          <w:lang w:val="en-GB"/>
        </w:rPr>
        <w:t>Patients treated with MabThera must be given the patient alert card with each infusion</w:t>
      </w:r>
      <w:r>
        <w:rPr>
          <w:szCs w:val="22"/>
          <w:lang w:val="en-GB"/>
        </w:rPr>
        <w:t>.</w:t>
      </w:r>
      <w:r w:rsidRPr="00F332AF">
        <w:rPr>
          <w:szCs w:val="22"/>
          <w:lang w:val="en-GB"/>
        </w:rPr>
        <w:t xml:space="preserve"> </w:t>
      </w:r>
    </w:p>
    <w:p w14:paraId="7C3310F3" w14:textId="77777777" w:rsidR="008F369D" w:rsidRDefault="008F369D" w:rsidP="008F369D">
      <w:pPr>
        <w:rPr>
          <w:szCs w:val="22"/>
          <w:lang w:val="en-GB"/>
        </w:rPr>
      </w:pPr>
    </w:p>
    <w:p w14:paraId="7C3310F4" w14:textId="77777777" w:rsidR="004A4C89" w:rsidRPr="004A4C89" w:rsidRDefault="00016F29" w:rsidP="008F369D">
      <w:pPr>
        <w:rPr>
          <w:i/>
          <w:szCs w:val="22"/>
          <w:lang w:val="en-GB"/>
        </w:rPr>
      </w:pPr>
      <w:r>
        <w:rPr>
          <w:i/>
          <w:szCs w:val="22"/>
          <w:lang w:val="en-GB"/>
        </w:rPr>
        <w:t>Adult induction of remission</w:t>
      </w:r>
    </w:p>
    <w:p w14:paraId="7C3310F5" w14:textId="77777777" w:rsidR="008F369D" w:rsidRPr="00D301E6" w:rsidRDefault="00016F29" w:rsidP="008F369D">
      <w:pPr>
        <w:rPr>
          <w:color w:val="000000"/>
          <w:szCs w:val="22"/>
          <w:lang w:val="en-GB"/>
        </w:rPr>
      </w:pPr>
      <w:r w:rsidRPr="00FC18FC">
        <w:rPr>
          <w:color w:val="000000"/>
          <w:szCs w:val="22"/>
          <w:lang w:val="en-GB"/>
        </w:rPr>
        <w:t xml:space="preserve">The recommended dosage of MabThera for induction of remission </w:t>
      </w:r>
      <w:r w:rsidRPr="00D301E6">
        <w:rPr>
          <w:color w:val="000000"/>
          <w:szCs w:val="22"/>
          <w:lang w:val="en-GB"/>
        </w:rPr>
        <w:t xml:space="preserve">therapy  </w:t>
      </w:r>
      <w:r w:rsidR="00143ECF" w:rsidRPr="00D301E6">
        <w:rPr>
          <w:color w:val="000000"/>
          <w:szCs w:val="22"/>
          <w:lang w:val="en-GB"/>
        </w:rPr>
        <w:t xml:space="preserve">in adult patients with </w:t>
      </w:r>
      <w:r w:rsidR="00753B8B" w:rsidRPr="00D301E6">
        <w:rPr>
          <w:color w:val="000000"/>
          <w:szCs w:val="22"/>
          <w:lang w:val="en-GB"/>
        </w:rPr>
        <w:t>GPA</w:t>
      </w:r>
      <w:r w:rsidRPr="00D301E6">
        <w:rPr>
          <w:color w:val="000000"/>
          <w:szCs w:val="22"/>
          <w:lang w:val="en-GB"/>
        </w:rPr>
        <w:t xml:space="preserve"> and </w:t>
      </w:r>
      <w:r w:rsidR="00753B8B" w:rsidRPr="00D301E6">
        <w:rPr>
          <w:color w:val="000000"/>
          <w:szCs w:val="22"/>
          <w:lang w:val="en-GB"/>
        </w:rPr>
        <w:t>MPA</w:t>
      </w:r>
      <w:r w:rsidRPr="00D301E6">
        <w:rPr>
          <w:color w:val="000000"/>
          <w:szCs w:val="22"/>
          <w:lang w:val="en-GB"/>
        </w:rPr>
        <w:t xml:space="preserve"> is 375 mg/m</w:t>
      </w:r>
      <w:r w:rsidRPr="00D301E6">
        <w:rPr>
          <w:color w:val="000000"/>
          <w:szCs w:val="22"/>
          <w:vertAlign w:val="superscript"/>
          <w:lang w:val="en-GB"/>
        </w:rPr>
        <w:t>2</w:t>
      </w:r>
      <w:r w:rsidRPr="00D301E6">
        <w:rPr>
          <w:color w:val="000000"/>
          <w:szCs w:val="22"/>
          <w:lang w:val="en-GB"/>
        </w:rPr>
        <w:t xml:space="preserve"> body surface area, administered as an intravenous infusion once weekly for 4 weeks (four infusions in total). </w:t>
      </w:r>
    </w:p>
    <w:p w14:paraId="7C3310F6" w14:textId="77777777" w:rsidR="008F369D" w:rsidRPr="00D301E6" w:rsidRDefault="008F369D" w:rsidP="008F369D">
      <w:pPr>
        <w:rPr>
          <w:color w:val="000000"/>
          <w:szCs w:val="22"/>
          <w:lang w:val="en-GB"/>
        </w:rPr>
      </w:pPr>
    </w:p>
    <w:p w14:paraId="7C3310F7" w14:textId="77777777" w:rsidR="004A4C89" w:rsidRPr="00D301E6" w:rsidRDefault="00016F29" w:rsidP="008F369D">
      <w:pPr>
        <w:rPr>
          <w:i/>
          <w:szCs w:val="22"/>
          <w:lang w:val="en-GB"/>
        </w:rPr>
      </w:pPr>
      <w:r w:rsidRPr="00D301E6">
        <w:rPr>
          <w:i/>
          <w:szCs w:val="22"/>
          <w:lang w:val="en-GB"/>
        </w:rPr>
        <w:t>Adult maintenance treatment</w:t>
      </w:r>
    </w:p>
    <w:p w14:paraId="7C3310F8" w14:textId="77777777" w:rsidR="004A4C89" w:rsidRPr="00D301E6" w:rsidRDefault="00016F29" w:rsidP="004A4C89">
      <w:pPr>
        <w:pStyle w:val="TextTi12"/>
        <w:spacing w:after="0" w:line="240" w:lineRule="auto"/>
        <w:jc w:val="left"/>
        <w:rPr>
          <w:sz w:val="22"/>
        </w:rPr>
      </w:pPr>
      <w:r w:rsidRPr="00D301E6">
        <w:rPr>
          <w:sz w:val="22"/>
        </w:rPr>
        <w:t xml:space="preserve">Following induction of remission with MabThera, maintenance treatment </w:t>
      </w:r>
      <w:r w:rsidR="00143ECF" w:rsidRPr="00D301E6">
        <w:rPr>
          <w:sz w:val="22"/>
        </w:rPr>
        <w:t xml:space="preserve">in adult patients with GPA and MPA </w:t>
      </w:r>
      <w:r w:rsidRPr="00D301E6">
        <w:rPr>
          <w:sz w:val="22"/>
        </w:rPr>
        <w:t>should be initiated no sooner than 16 weeks after the last MabThera infusion.</w:t>
      </w:r>
    </w:p>
    <w:p w14:paraId="7C3310F9" w14:textId="77777777" w:rsidR="004F6EA2" w:rsidRPr="00D301E6" w:rsidRDefault="004F6EA2" w:rsidP="004A4C89">
      <w:pPr>
        <w:pStyle w:val="TextTi12"/>
        <w:spacing w:after="0" w:line="240" w:lineRule="auto"/>
        <w:jc w:val="left"/>
        <w:rPr>
          <w:sz w:val="22"/>
        </w:rPr>
      </w:pPr>
    </w:p>
    <w:p w14:paraId="7C3310FA" w14:textId="77777777" w:rsidR="004A4C89" w:rsidRPr="004F6EA2" w:rsidRDefault="00016F29" w:rsidP="004F6EA2">
      <w:pPr>
        <w:pStyle w:val="TextTi12"/>
        <w:spacing w:after="0" w:line="240" w:lineRule="auto"/>
        <w:jc w:val="left"/>
        <w:rPr>
          <w:sz w:val="22"/>
        </w:rPr>
      </w:pPr>
      <w:r w:rsidRPr="00D301E6">
        <w:rPr>
          <w:sz w:val="22"/>
        </w:rPr>
        <w:t>Following induction of remission with other standard of care immunosuppressants, MabThera maintenance treatment should be initiated during the 4 week period that follows</w:t>
      </w:r>
      <w:r w:rsidRPr="004F6EA2">
        <w:rPr>
          <w:sz w:val="22"/>
        </w:rPr>
        <w:t xml:space="preserve"> disease remission. </w:t>
      </w:r>
    </w:p>
    <w:p w14:paraId="7C3310FB" w14:textId="77777777" w:rsidR="004F6EA2" w:rsidRPr="004F6EA2" w:rsidRDefault="004F6EA2" w:rsidP="004F6EA2">
      <w:pPr>
        <w:pStyle w:val="TextTi12"/>
        <w:spacing w:after="0" w:line="240" w:lineRule="auto"/>
        <w:jc w:val="left"/>
        <w:rPr>
          <w:sz w:val="22"/>
        </w:rPr>
      </w:pPr>
    </w:p>
    <w:p w14:paraId="7C3310FC" w14:textId="77777777" w:rsidR="002C172C" w:rsidRPr="004F6EA2" w:rsidRDefault="00016F29" w:rsidP="002C172C">
      <w:pPr>
        <w:pStyle w:val="TextTi12"/>
        <w:spacing w:after="0" w:line="240" w:lineRule="auto"/>
        <w:jc w:val="left"/>
        <w:rPr>
          <w:sz w:val="22"/>
        </w:rPr>
      </w:pPr>
      <w:r w:rsidRPr="004F6EA2">
        <w:rPr>
          <w:sz w:val="22"/>
        </w:rPr>
        <w:t xml:space="preserve">MabThera </w:t>
      </w:r>
      <w:r>
        <w:rPr>
          <w:sz w:val="22"/>
        </w:rPr>
        <w:t xml:space="preserve">should be administered </w:t>
      </w:r>
      <w:r w:rsidRPr="004F6EA2">
        <w:rPr>
          <w:sz w:val="22"/>
        </w:rPr>
        <w:t>as two 500 mg IV infusions separated by two weeks, followed by a 500 mg IV infusion every 6 months thereafter.</w:t>
      </w:r>
      <w:r w:rsidR="009807E9">
        <w:rPr>
          <w:sz w:val="22"/>
        </w:rPr>
        <w:t xml:space="preserve"> </w:t>
      </w:r>
      <w:r w:rsidR="009807E9" w:rsidRPr="009807E9">
        <w:rPr>
          <w:sz w:val="22"/>
        </w:rPr>
        <w:t xml:space="preserve">Patients should receive MabThera for at least 24 months after achievement of remission (absence of clinical signs and symptoms).  For patients who may be at higher risk for relapse, physicians should consider a longer duration </w:t>
      </w:r>
      <w:r w:rsidR="009807E9" w:rsidRPr="007551E3">
        <w:rPr>
          <w:sz w:val="22"/>
        </w:rPr>
        <w:t xml:space="preserve">of </w:t>
      </w:r>
      <w:r w:rsidR="0018325D" w:rsidRPr="00E454FF">
        <w:rPr>
          <w:sz w:val="22"/>
        </w:rPr>
        <w:t>MabThera</w:t>
      </w:r>
      <w:r w:rsidR="009807E9" w:rsidRPr="009807E9">
        <w:rPr>
          <w:sz w:val="22"/>
        </w:rPr>
        <w:t xml:space="preserve"> maintenance therapy, up to 5 years.</w:t>
      </w:r>
      <w:r w:rsidR="00211233">
        <w:rPr>
          <w:sz w:val="22"/>
        </w:rPr>
        <w:t xml:space="preserve"> </w:t>
      </w:r>
    </w:p>
    <w:p w14:paraId="7C3310FD" w14:textId="77777777" w:rsidR="008F369D" w:rsidRDefault="008F369D" w:rsidP="008F369D">
      <w:pPr>
        <w:rPr>
          <w:szCs w:val="22"/>
          <w:lang w:val="en-GB"/>
        </w:rPr>
      </w:pPr>
    </w:p>
    <w:p w14:paraId="7C3310FE" w14:textId="77777777" w:rsidR="007915C3" w:rsidRDefault="00016F29" w:rsidP="00A47FF6">
      <w:pPr>
        <w:keepNext/>
        <w:keepLines/>
        <w:rPr>
          <w:color w:val="000000"/>
          <w:szCs w:val="22"/>
          <w:u w:val="single"/>
          <w:lang w:val="en-GB"/>
        </w:rPr>
      </w:pPr>
      <w:r w:rsidRPr="005C1F5A">
        <w:rPr>
          <w:color w:val="000000"/>
          <w:szCs w:val="22"/>
          <w:u w:val="single"/>
          <w:lang w:val="en-GB"/>
        </w:rPr>
        <w:t>Pemphigus vulgaris</w:t>
      </w:r>
    </w:p>
    <w:p w14:paraId="7C3310FF" w14:textId="77777777" w:rsidR="007915C3" w:rsidRPr="00F7023E" w:rsidRDefault="007915C3" w:rsidP="00A47FF6">
      <w:pPr>
        <w:keepNext/>
        <w:keepLines/>
        <w:rPr>
          <w:color w:val="000000"/>
          <w:szCs w:val="22"/>
          <w:u w:val="single"/>
          <w:lang w:val="en-GB"/>
        </w:rPr>
      </w:pPr>
    </w:p>
    <w:p w14:paraId="7C331100" w14:textId="77777777" w:rsidR="007915C3" w:rsidRPr="006809B9" w:rsidRDefault="00016F29" w:rsidP="00C77511">
      <w:pPr>
        <w:keepNext/>
        <w:keepLines/>
        <w:rPr>
          <w:szCs w:val="22"/>
          <w:lang w:val="en-GB"/>
        </w:rPr>
      </w:pPr>
      <w:r w:rsidRPr="0099733D">
        <w:rPr>
          <w:szCs w:val="22"/>
          <w:lang w:val="en-GB"/>
        </w:rPr>
        <w:t>Patients treated with MabThera must be given the patient alert card with each infusion</w:t>
      </w:r>
      <w:r w:rsidRPr="009878B8">
        <w:rPr>
          <w:szCs w:val="22"/>
          <w:lang w:val="en-GB"/>
        </w:rPr>
        <w:t>.</w:t>
      </w:r>
    </w:p>
    <w:p w14:paraId="7C331101" w14:textId="77777777" w:rsidR="007915C3" w:rsidRPr="009878B8" w:rsidRDefault="007915C3" w:rsidP="007915C3">
      <w:pPr>
        <w:rPr>
          <w:color w:val="000000"/>
          <w:szCs w:val="22"/>
          <w:lang w:val="en-GB"/>
        </w:rPr>
      </w:pPr>
    </w:p>
    <w:p w14:paraId="7C331102" w14:textId="77777777" w:rsidR="007915C3" w:rsidRPr="009878B8" w:rsidRDefault="00016F29" w:rsidP="007915C3">
      <w:pPr>
        <w:rPr>
          <w:rFonts w:ascii="Times" w:hAnsi="Times"/>
          <w:szCs w:val="22"/>
        </w:rPr>
      </w:pPr>
      <w:r w:rsidRPr="009878B8">
        <w:rPr>
          <w:rFonts w:ascii="Times" w:hAnsi="Times"/>
          <w:szCs w:val="22"/>
        </w:rPr>
        <w:t>The recommended dosage of MabThera for the treatment of pemphigus vulgaris is 1000 mg administered as an IV infusion followed two weeks later by a second 1000 mg IV infusion in combination with a tapering course of glucocorticoids.</w:t>
      </w:r>
    </w:p>
    <w:p w14:paraId="7C331103" w14:textId="77777777" w:rsidR="007915C3" w:rsidRPr="00082069" w:rsidRDefault="007915C3" w:rsidP="007915C3">
      <w:pPr>
        <w:pStyle w:val="TextTi12"/>
        <w:keepNext/>
        <w:spacing w:after="0" w:line="240" w:lineRule="atLeast"/>
        <w:jc w:val="left"/>
        <w:rPr>
          <w:rFonts w:ascii="Times" w:hAnsi="Times"/>
          <w:sz w:val="22"/>
          <w:szCs w:val="22"/>
        </w:rPr>
      </w:pPr>
    </w:p>
    <w:p w14:paraId="7C331104" w14:textId="77777777" w:rsidR="007915C3" w:rsidRPr="00082990" w:rsidRDefault="00016F29" w:rsidP="007915C3">
      <w:pPr>
        <w:pStyle w:val="TextTi12"/>
        <w:keepNext/>
        <w:spacing w:after="0" w:line="240" w:lineRule="atLeast"/>
        <w:jc w:val="left"/>
        <w:rPr>
          <w:rFonts w:ascii="Times" w:hAnsi="Times"/>
          <w:i/>
          <w:sz w:val="22"/>
          <w:szCs w:val="22"/>
        </w:rPr>
      </w:pPr>
      <w:r w:rsidRPr="00082990">
        <w:rPr>
          <w:rFonts w:ascii="Times" w:hAnsi="Times"/>
          <w:i/>
          <w:sz w:val="22"/>
          <w:szCs w:val="22"/>
        </w:rPr>
        <w:t>Maintenance treatment</w:t>
      </w:r>
    </w:p>
    <w:p w14:paraId="7C331105" w14:textId="77777777" w:rsidR="007915C3" w:rsidRPr="004D3756" w:rsidRDefault="00016F29" w:rsidP="007915C3">
      <w:pPr>
        <w:pStyle w:val="CommentText"/>
        <w:rPr>
          <w:rFonts w:ascii="Times" w:eastAsia="SimSun" w:hAnsi="Times"/>
          <w:sz w:val="22"/>
          <w:szCs w:val="22"/>
          <w:lang w:eastAsia="zh-CN"/>
        </w:rPr>
      </w:pPr>
      <w:r w:rsidRPr="008C78AA">
        <w:rPr>
          <w:rFonts w:ascii="Times" w:eastAsia="SimSun" w:hAnsi="Times"/>
          <w:sz w:val="22"/>
          <w:szCs w:val="22"/>
          <w:lang w:eastAsia="zh-CN"/>
        </w:rPr>
        <w:t>A maintenance infusion of 500 mg IV should be administered at months 12 and 18, and then every 6 months thereafter if needed, based on clinical evaluation.</w:t>
      </w:r>
    </w:p>
    <w:p w14:paraId="7C331106" w14:textId="77777777" w:rsidR="007915C3" w:rsidRDefault="007915C3" w:rsidP="007915C3">
      <w:pPr>
        <w:pStyle w:val="TextTi12"/>
        <w:keepNext/>
        <w:spacing w:after="0" w:line="240" w:lineRule="atLeast"/>
        <w:jc w:val="left"/>
        <w:rPr>
          <w:rFonts w:ascii="Times" w:hAnsi="Times"/>
          <w:sz w:val="22"/>
          <w:szCs w:val="22"/>
        </w:rPr>
      </w:pPr>
    </w:p>
    <w:p w14:paraId="7C331107" w14:textId="77777777" w:rsidR="007915C3" w:rsidRPr="00DC2651" w:rsidRDefault="00016F29" w:rsidP="007915C3">
      <w:pPr>
        <w:pStyle w:val="TextTi12"/>
        <w:keepNext/>
        <w:spacing w:after="0" w:line="240" w:lineRule="atLeast"/>
        <w:jc w:val="left"/>
        <w:rPr>
          <w:rFonts w:ascii="Times" w:hAnsi="Times"/>
          <w:i/>
          <w:sz w:val="22"/>
          <w:szCs w:val="22"/>
        </w:rPr>
      </w:pPr>
      <w:r w:rsidRPr="00DC2651">
        <w:rPr>
          <w:rFonts w:ascii="Times" w:hAnsi="Times"/>
          <w:i/>
          <w:sz w:val="22"/>
          <w:szCs w:val="22"/>
        </w:rPr>
        <w:t>Treatment of relapse</w:t>
      </w:r>
    </w:p>
    <w:p w14:paraId="7C331108" w14:textId="77777777" w:rsidR="007915C3" w:rsidRDefault="00016F29" w:rsidP="007915C3">
      <w:pPr>
        <w:pStyle w:val="NormalWeb"/>
        <w:spacing w:before="0" w:beforeAutospacing="0" w:after="0" w:afterAutospacing="0"/>
        <w:rPr>
          <w:rFonts w:ascii="Times" w:hAnsi="Times"/>
          <w:sz w:val="22"/>
          <w:szCs w:val="22"/>
          <w:lang w:val="en-GB"/>
        </w:rPr>
      </w:pPr>
      <w:r w:rsidRPr="004D3756">
        <w:rPr>
          <w:rFonts w:ascii="Times" w:hAnsi="Times"/>
          <w:sz w:val="22"/>
          <w:szCs w:val="22"/>
          <w:lang w:val="en-GB"/>
        </w:rPr>
        <w:t xml:space="preserve">In the event of relapse, patients may receive 1000 mg IV.  The healthcare provider should also consider resuming or increasing the patient’s </w:t>
      </w:r>
      <w:r>
        <w:rPr>
          <w:rFonts w:ascii="Times" w:hAnsi="Times"/>
          <w:sz w:val="22"/>
          <w:szCs w:val="22"/>
          <w:lang w:val="en-GB"/>
        </w:rPr>
        <w:t xml:space="preserve">glucocorticoid dose </w:t>
      </w:r>
      <w:r w:rsidRPr="004D3756">
        <w:rPr>
          <w:rFonts w:ascii="Times" w:hAnsi="Times"/>
          <w:sz w:val="22"/>
          <w:szCs w:val="22"/>
          <w:lang w:val="en-GB"/>
        </w:rPr>
        <w:t xml:space="preserve">based on clinical evaluation. </w:t>
      </w:r>
    </w:p>
    <w:p w14:paraId="7C331109" w14:textId="77777777" w:rsidR="007915C3" w:rsidRPr="00C917D9" w:rsidRDefault="007915C3" w:rsidP="007915C3">
      <w:pPr>
        <w:pStyle w:val="NormalWeb"/>
        <w:spacing w:before="0" w:beforeAutospacing="0" w:after="0" w:afterAutospacing="0"/>
        <w:rPr>
          <w:rFonts w:ascii="Times" w:hAnsi="Times"/>
          <w:sz w:val="22"/>
          <w:szCs w:val="22"/>
          <w:lang w:val="en-GB"/>
        </w:rPr>
      </w:pPr>
    </w:p>
    <w:p w14:paraId="7C33110A" w14:textId="77777777" w:rsidR="007915C3" w:rsidRPr="00C917D9" w:rsidRDefault="00016F29" w:rsidP="007915C3">
      <w:pPr>
        <w:pStyle w:val="TextTi12"/>
        <w:spacing w:after="0" w:line="240" w:lineRule="atLeast"/>
        <w:jc w:val="left"/>
        <w:rPr>
          <w:rFonts w:ascii="Times" w:hAnsi="Times" w:cs="Arial"/>
          <w:sz w:val="22"/>
          <w:szCs w:val="22"/>
        </w:rPr>
      </w:pPr>
      <w:r w:rsidRPr="004D3756">
        <w:rPr>
          <w:rFonts w:ascii="Times" w:hAnsi="Times" w:cs="Arial"/>
          <w:sz w:val="22"/>
          <w:szCs w:val="22"/>
        </w:rPr>
        <w:t>Subsequent infusions may be administered no sooner than 16 weeks following the previous infusion.</w:t>
      </w:r>
    </w:p>
    <w:p w14:paraId="7C33110B" w14:textId="77777777" w:rsidR="007915C3" w:rsidRPr="007915C3" w:rsidRDefault="007915C3" w:rsidP="008F369D">
      <w:pPr>
        <w:rPr>
          <w:szCs w:val="22"/>
        </w:rPr>
      </w:pPr>
    </w:p>
    <w:p w14:paraId="7C33110C" w14:textId="77777777" w:rsidR="008F369D" w:rsidRPr="00130D02" w:rsidRDefault="00016F29" w:rsidP="00E454FF">
      <w:pPr>
        <w:keepNext/>
        <w:keepLines/>
        <w:ind w:left="567" w:hanging="567"/>
        <w:outlineLvl w:val="0"/>
        <w:rPr>
          <w:szCs w:val="22"/>
          <w:u w:val="single"/>
          <w:lang w:val="en-GB"/>
        </w:rPr>
      </w:pPr>
      <w:r w:rsidRPr="00130D02">
        <w:rPr>
          <w:szCs w:val="22"/>
          <w:u w:val="single"/>
          <w:lang w:val="en-GB"/>
        </w:rPr>
        <w:t>Special populations</w:t>
      </w:r>
    </w:p>
    <w:p w14:paraId="7C33110D" w14:textId="77777777" w:rsidR="008F369D" w:rsidRPr="00F332AF" w:rsidRDefault="008F369D" w:rsidP="00E454FF">
      <w:pPr>
        <w:keepNext/>
        <w:keepLines/>
        <w:rPr>
          <w:b/>
          <w:szCs w:val="22"/>
          <w:lang w:val="en-GB"/>
        </w:rPr>
      </w:pPr>
    </w:p>
    <w:p w14:paraId="7C33110E" w14:textId="77777777" w:rsidR="008F369D" w:rsidRPr="00E06A78" w:rsidRDefault="00016F29" w:rsidP="00E454FF">
      <w:pPr>
        <w:keepNext/>
        <w:keepLines/>
        <w:outlineLvl w:val="0"/>
        <w:rPr>
          <w:i/>
          <w:lang w:val="en-GB"/>
        </w:rPr>
      </w:pPr>
      <w:r w:rsidRPr="00F638AF">
        <w:rPr>
          <w:i/>
          <w:szCs w:val="22"/>
          <w:lang w:val="en-GB"/>
        </w:rPr>
        <w:t>Paediatric population</w:t>
      </w:r>
    </w:p>
    <w:p w14:paraId="7C33110F" w14:textId="77777777" w:rsidR="00753B8B" w:rsidRPr="00F638AF" w:rsidRDefault="00753B8B" w:rsidP="00E454FF">
      <w:pPr>
        <w:keepNext/>
        <w:keepLines/>
        <w:outlineLvl w:val="0"/>
        <w:rPr>
          <w:szCs w:val="22"/>
          <w:lang w:val="en-GB"/>
        </w:rPr>
      </w:pPr>
    </w:p>
    <w:p w14:paraId="7C331110" w14:textId="77777777" w:rsidR="00C90C8C" w:rsidRPr="00F638AF" w:rsidRDefault="00016F29" w:rsidP="00C90C8C">
      <w:pPr>
        <w:rPr>
          <w:szCs w:val="22"/>
          <w:u w:val="single"/>
          <w:lang w:val="en-GB" w:eastAsia="en-US"/>
        </w:rPr>
      </w:pPr>
      <w:r w:rsidRPr="00F638AF">
        <w:rPr>
          <w:szCs w:val="22"/>
          <w:u w:val="single"/>
          <w:lang w:val="en-GB" w:eastAsia="en-US"/>
        </w:rPr>
        <w:t>Non-Hodgkin’s lymphoma</w:t>
      </w:r>
    </w:p>
    <w:p w14:paraId="7C331111" w14:textId="77777777" w:rsidR="00C90C8C" w:rsidRPr="00F638AF" w:rsidRDefault="00C90C8C" w:rsidP="00C90C8C">
      <w:pPr>
        <w:rPr>
          <w:szCs w:val="22"/>
          <w:lang w:val="en-GB" w:eastAsia="en-US"/>
        </w:rPr>
      </w:pPr>
    </w:p>
    <w:p w14:paraId="7C331112" w14:textId="77777777" w:rsidR="00C90C8C" w:rsidRPr="00F638AF" w:rsidRDefault="00016F29" w:rsidP="00C90C8C">
      <w:pPr>
        <w:rPr>
          <w:szCs w:val="22"/>
          <w:lang w:val="en-GB" w:eastAsia="en-US"/>
        </w:rPr>
      </w:pPr>
      <w:r w:rsidRPr="00F638AF">
        <w:rPr>
          <w:szCs w:val="22"/>
          <w:lang w:val="en-GB" w:eastAsia="en-US"/>
        </w:rPr>
        <w:t>In paediatric patients from ≥ 6 months to &lt; 18 years of age with previously untreated, advanced stage CD20 positive DLBCL/BL/BAL/BLL, MabThera should be used in combination with systemic Lymphome Malin B (LMB) chemotherapy (see Tables 1 and 2). The recommended dosage of MabThera is 375mg/m2 BSA, administered as an IV infusion. No MabThera dose adjustments, other than by BSA, are required.</w:t>
      </w:r>
    </w:p>
    <w:p w14:paraId="7C331113" w14:textId="77777777" w:rsidR="00C90C8C" w:rsidRPr="00F638AF" w:rsidRDefault="00C90C8C" w:rsidP="00C90C8C">
      <w:pPr>
        <w:rPr>
          <w:szCs w:val="22"/>
          <w:lang w:val="en-GB" w:eastAsia="en-US"/>
        </w:rPr>
      </w:pPr>
    </w:p>
    <w:p w14:paraId="7C331114" w14:textId="77777777" w:rsidR="00C90C8C" w:rsidRPr="00F638AF" w:rsidRDefault="00016F29" w:rsidP="00C90C8C">
      <w:pPr>
        <w:rPr>
          <w:szCs w:val="22"/>
          <w:lang w:val="en-GB" w:eastAsia="en-US"/>
        </w:rPr>
      </w:pPr>
      <w:r w:rsidRPr="00F638AF">
        <w:rPr>
          <w:szCs w:val="22"/>
          <w:lang w:val="en-GB" w:eastAsia="en-US"/>
        </w:rPr>
        <w:t xml:space="preserve">The safety and efficacy of MabThera paediatric patients ≥ 6 months to &lt; 18 years of age has not been established in indications other than previously untreated advanced stage CD20 positive DLBCL/BL/BAL/BLL. Only limited data are available for patients under 3 years of age. See section 5.1 for further information. </w:t>
      </w:r>
    </w:p>
    <w:p w14:paraId="7C331115" w14:textId="77777777" w:rsidR="00C90C8C" w:rsidRPr="00F638AF" w:rsidRDefault="00C90C8C" w:rsidP="00C90C8C">
      <w:pPr>
        <w:rPr>
          <w:szCs w:val="22"/>
          <w:lang w:val="en-GB" w:eastAsia="en-US"/>
        </w:rPr>
      </w:pPr>
    </w:p>
    <w:p w14:paraId="7C331116" w14:textId="77777777" w:rsidR="00C90C8C" w:rsidRDefault="00016F29" w:rsidP="00A56CE7">
      <w:pPr>
        <w:spacing w:line="259" w:lineRule="auto"/>
        <w:rPr>
          <w:szCs w:val="22"/>
          <w:lang w:val="en-GB" w:eastAsia="en-US"/>
        </w:rPr>
      </w:pPr>
      <w:r w:rsidRPr="00F638AF">
        <w:rPr>
          <w:szCs w:val="22"/>
          <w:lang w:val="en-GB" w:eastAsia="en-US"/>
        </w:rPr>
        <w:t>MabThera should not be used in paediatric patients from birth to &lt; 6 months of age with CD20 positive diffuse large B-cell lymphoma (see section 5.1)</w:t>
      </w:r>
    </w:p>
    <w:p w14:paraId="7C331117" w14:textId="77777777" w:rsidR="008479F9" w:rsidRPr="00F638AF" w:rsidRDefault="008479F9" w:rsidP="00A56CE7">
      <w:pPr>
        <w:spacing w:line="259" w:lineRule="auto"/>
        <w:rPr>
          <w:szCs w:val="22"/>
          <w:lang w:val="en-GB" w:eastAsia="en-US"/>
        </w:rPr>
      </w:pPr>
    </w:p>
    <w:p w14:paraId="7C331118" w14:textId="77777777" w:rsidR="00C90C8C" w:rsidRDefault="00016F29">
      <w:pPr>
        <w:keepNext/>
        <w:keepLines/>
        <w:ind w:left="1134" w:hanging="1134"/>
        <w:rPr>
          <w:b/>
          <w:szCs w:val="22"/>
          <w:lang w:val="en-GB" w:eastAsia="en-US"/>
        </w:rPr>
      </w:pPr>
      <w:r w:rsidRPr="00F638AF">
        <w:rPr>
          <w:b/>
          <w:szCs w:val="22"/>
          <w:lang w:val="en-GB" w:eastAsia="en-US"/>
        </w:rPr>
        <w:t>Table 1</w:t>
      </w:r>
      <w:r w:rsidRPr="00F638AF">
        <w:rPr>
          <w:b/>
          <w:szCs w:val="22"/>
          <w:lang w:val="en-GB" w:eastAsia="en-US"/>
        </w:rPr>
        <w:tab/>
        <w:t>Posology of MabThera administration for Non-Hodgkin’s lymphoma paediatric patients</w:t>
      </w:r>
    </w:p>
    <w:tbl>
      <w:tblPr>
        <w:tblW w:w="9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9"/>
        <w:gridCol w:w="2476"/>
        <w:gridCol w:w="4656"/>
      </w:tblGrid>
      <w:tr w:rsidR="003A788B" w14:paraId="7C33111C" w14:textId="77777777" w:rsidTr="00365ACB">
        <w:trPr>
          <w:trHeight w:val="471"/>
        </w:trPr>
        <w:tc>
          <w:tcPr>
            <w:tcW w:w="1929" w:type="dxa"/>
            <w:shd w:val="clear" w:color="auto" w:fill="auto"/>
          </w:tcPr>
          <w:p w14:paraId="7C331119" w14:textId="77777777" w:rsidR="00C90C8C" w:rsidRPr="00F638AF" w:rsidRDefault="00016F29" w:rsidP="00365ACB">
            <w:pPr>
              <w:rPr>
                <w:b/>
                <w:szCs w:val="22"/>
                <w:lang w:val="en-GB" w:eastAsia="en-US"/>
              </w:rPr>
            </w:pPr>
            <w:r w:rsidRPr="00F638AF">
              <w:rPr>
                <w:b/>
                <w:szCs w:val="22"/>
                <w:lang w:val="en-GB" w:eastAsia="en-US"/>
              </w:rPr>
              <w:t>Cycle</w:t>
            </w:r>
          </w:p>
        </w:tc>
        <w:tc>
          <w:tcPr>
            <w:tcW w:w="2476" w:type="dxa"/>
            <w:shd w:val="clear" w:color="auto" w:fill="auto"/>
          </w:tcPr>
          <w:p w14:paraId="7C33111A" w14:textId="77777777" w:rsidR="00C90C8C" w:rsidRPr="00F638AF" w:rsidRDefault="00016F29" w:rsidP="00365ACB">
            <w:pPr>
              <w:rPr>
                <w:b/>
                <w:szCs w:val="22"/>
                <w:lang w:val="en-GB" w:eastAsia="en-US"/>
              </w:rPr>
            </w:pPr>
            <w:r w:rsidRPr="00F638AF">
              <w:rPr>
                <w:b/>
                <w:szCs w:val="22"/>
                <w:lang w:val="en-GB" w:eastAsia="en-US"/>
              </w:rPr>
              <w:t>Day of treatment</w:t>
            </w:r>
          </w:p>
        </w:tc>
        <w:tc>
          <w:tcPr>
            <w:tcW w:w="4656" w:type="dxa"/>
            <w:shd w:val="clear" w:color="auto" w:fill="auto"/>
          </w:tcPr>
          <w:p w14:paraId="7C33111B" w14:textId="77777777" w:rsidR="00C90C8C" w:rsidRPr="00F638AF" w:rsidRDefault="00016F29" w:rsidP="00365ACB">
            <w:pPr>
              <w:rPr>
                <w:b/>
                <w:szCs w:val="22"/>
                <w:lang w:val="en-GB" w:eastAsia="en-US"/>
              </w:rPr>
            </w:pPr>
            <w:r w:rsidRPr="00F638AF">
              <w:rPr>
                <w:b/>
                <w:szCs w:val="22"/>
                <w:lang w:val="en-GB" w:eastAsia="en-US"/>
              </w:rPr>
              <w:t>Administration details</w:t>
            </w:r>
          </w:p>
        </w:tc>
      </w:tr>
      <w:tr w:rsidR="003A788B" w14:paraId="7C331120" w14:textId="77777777" w:rsidTr="00365ACB">
        <w:trPr>
          <w:trHeight w:val="471"/>
        </w:trPr>
        <w:tc>
          <w:tcPr>
            <w:tcW w:w="1929" w:type="dxa"/>
            <w:shd w:val="clear" w:color="auto" w:fill="auto"/>
          </w:tcPr>
          <w:p w14:paraId="7C33111D" w14:textId="77777777" w:rsidR="00C90C8C" w:rsidRPr="00F638AF" w:rsidRDefault="00016F29" w:rsidP="00365ACB">
            <w:pPr>
              <w:rPr>
                <w:szCs w:val="22"/>
                <w:lang w:val="en-GB" w:eastAsia="en-US"/>
              </w:rPr>
            </w:pPr>
            <w:r w:rsidRPr="00F638AF">
              <w:rPr>
                <w:szCs w:val="22"/>
                <w:lang w:val="en-GB" w:eastAsia="en-US"/>
              </w:rPr>
              <w:t>Prephase (COP)</w:t>
            </w:r>
          </w:p>
        </w:tc>
        <w:tc>
          <w:tcPr>
            <w:tcW w:w="2476" w:type="dxa"/>
            <w:shd w:val="clear" w:color="auto" w:fill="auto"/>
          </w:tcPr>
          <w:p w14:paraId="7C33111E" w14:textId="77777777" w:rsidR="00C90C8C" w:rsidRPr="00F638AF" w:rsidRDefault="00016F29" w:rsidP="00365ACB">
            <w:pPr>
              <w:rPr>
                <w:szCs w:val="22"/>
                <w:lang w:val="en-GB" w:eastAsia="en-US"/>
              </w:rPr>
            </w:pPr>
            <w:r w:rsidRPr="00F638AF">
              <w:rPr>
                <w:szCs w:val="22"/>
                <w:lang w:val="en-GB" w:eastAsia="en-US"/>
              </w:rPr>
              <w:t>No MabThera given</w:t>
            </w:r>
          </w:p>
        </w:tc>
        <w:tc>
          <w:tcPr>
            <w:tcW w:w="4656" w:type="dxa"/>
            <w:shd w:val="clear" w:color="auto" w:fill="auto"/>
          </w:tcPr>
          <w:p w14:paraId="7C33111F" w14:textId="77777777" w:rsidR="00C90C8C" w:rsidRPr="00F638AF" w:rsidRDefault="00016F29" w:rsidP="00365ACB">
            <w:pPr>
              <w:rPr>
                <w:szCs w:val="22"/>
                <w:lang w:val="en-GB" w:eastAsia="en-US"/>
              </w:rPr>
            </w:pPr>
            <w:r w:rsidRPr="00F638AF">
              <w:rPr>
                <w:szCs w:val="22"/>
                <w:lang w:val="en-GB" w:eastAsia="en-US"/>
              </w:rPr>
              <w:t>-</w:t>
            </w:r>
          </w:p>
        </w:tc>
      </w:tr>
      <w:tr w:rsidR="003A788B" w14:paraId="7C331128" w14:textId="77777777" w:rsidTr="00365ACB">
        <w:trPr>
          <w:trHeight w:val="471"/>
        </w:trPr>
        <w:tc>
          <w:tcPr>
            <w:tcW w:w="1929" w:type="dxa"/>
            <w:vMerge w:val="restart"/>
            <w:shd w:val="clear" w:color="auto" w:fill="auto"/>
          </w:tcPr>
          <w:p w14:paraId="7C331121" w14:textId="77777777" w:rsidR="00C90C8C" w:rsidRPr="00F638AF" w:rsidRDefault="00016F29" w:rsidP="00365ACB">
            <w:pPr>
              <w:rPr>
                <w:szCs w:val="22"/>
                <w:lang w:val="en-GB" w:eastAsia="en-US"/>
              </w:rPr>
            </w:pPr>
            <w:r w:rsidRPr="00F638AF">
              <w:rPr>
                <w:szCs w:val="22"/>
                <w:lang w:val="en-GB" w:eastAsia="en-US"/>
              </w:rPr>
              <w:t>Induction course 1</w:t>
            </w:r>
          </w:p>
          <w:p w14:paraId="7C331122" w14:textId="77777777" w:rsidR="00C90C8C" w:rsidRPr="00F638AF" w:rsidRDefault="00016F29" w:rsidP="00365ACB">
            <w:pPr>
              <w:rPr>
                <w:szCs w:val="22"/>
                <w:lang w:val="en-GB" w:eastAsia="en-US"/>
              </w:rPr>
            </w:pPr>
            <w:r w:rsidRPr="00F638AF">
              <w:rPr>
                <w:szCs w:val="22"/>
                <w:lang w:val="en-GB" w:eastAsia="en-US"/>
              </w:rPr>
              <w:t>(COPDAM1)</w:t>
            </w:r>
          </w:p>
        </w:tc>
        <w:tc>
          <w:tcPr>
            <w:tcW w:w="2476" w:type="dxa"/>
            <w:shd w:val="clear" w:color="auto" w:fill="auto"/>
          </w:tcPr>
          <w:p w14:paraId="7C331123" w14:textId="77777777" w:rsidR="00C90C8C" w:rsidRPr="00F638AF" w:rsidRDefault="00016F29" w:rsidP="00365ACB">
            <w:pPr>
              <w:rPr>
                <w:szCs w:val="22"/>
                <w:lang w:val="en-GB" w:eastAsia="en-US"/>
              </w:rPr>
            </w:pPr>
            <w:r w:rsidRPr="00F638AF">
              <w:rPr>
                <w:szCs w:val="22"/>
                <w:lang w:val="en-GB" w:eastAsia="en-US"/>
              </w:rPr>
              <w:t>Day -2</w:t>
            </w:r>
          </w:p>
          <w:p w14:paraId="7C331124" w14:textId="77777777" w:rsidR="00C90C8C" w:rsidRPr="00F638AF" w:rsidRDefault="00016F29" w:rsidP="00365ACB">
            <w:pPr>
              <w:rPr>
                <w:szCs w:val="22"/>
                <w:lang w:val="en-GB" w:eastAsia="en-US"/>
              </w:rPr>
            </w:pPr>
            <w:r w:rsidRPr="00F638AF">
              <w:rPr>
                <w:szCs w:val="22"/>
                <w:lang w:val="en-GB" w:eastAsia="en-US"/>
              </w:rPr>
              <w:t>(corresponding to day 6 of the prephase)</w:t>
            </w:r>
          </w:p>
          <w:p w14:paraId="7C331125" w14:textId="77777777" w:rsidR="00C90C8C" w:rsidRPr="00F638AF" w:rsidRDefault="00016F29" w:rsidP="00365ACB">
            <w:pPr>
              <w:rPr>
                <w:szCs w:val="22"/>
                <w:lang w:val="en-GB" w:eastAsia="en-US"/>
              </w:rPr>
            </w:pPr>
            <w:r w:rsidRPr="00F638AF">
              <w:rPr>
                <w:szCs w:val="22"/>
                <w:lang w:val="en-GB" w:eastAsia="en-US"/>
              </w:rPr>
              <w:t>1</w:t>
            </w:r>
            <w:r w:rsidRPr="00F638AF">
              <w:rPr>
                <w:szCs w:val="22"/>
                <w:vertAlign w:val="superscript"/>
                <w:lang w:val="en-GB" w:eastAsia="en-US"/>
              </w:rPr>
              <w:t>st</w:t>
            </w:r>
            <w:r w:rsidRPr="00F638AF">
              <w:rPr>
                <w:szCs w:val="22"/>
                <w:lang w:val="en-GB" w:eastAsia="en-US"/>
              </w:rPr>
              <w:t xml:space="preserve"> MabThera infusion</w:t>
            </w:r>
          </w:p>
        </w:tc>
        <w:tc>
          <w:tcPr>
            <w:tcW w:w="4656" w:type="dxa"/>
            <w:shd w:val="clear" w:color="auto" w:fill="auto"/>
          </w:tcPr>
          <w:p w14:paraId="7C331126" w14:textId="77777777" w:rsidR="00C90C8C" w:rsidRPr="00F638AF" w:rsidRDefault="00C90C8C" w:rsidP="00365ACB">
            <w:pPr>
              <w:rPr>
                <w:szCs w:val="22"/>
                <w:lang w:val="en-GB" w:eastAsia="en-US"/>
              </w:rPr>
            </w:pPr>
          </w:p>
          <w:p w14:paraId="7C331127" w14:textId="77777777" w:rsidR="00C90C8C" w:rsidRPr="00F638AF" w:rsidRDefault="00016F29" w:rsidP="00365ACB">
            <w:pPr>
              <w:rPr>
                <w:szCs w:val="22"/>
                <w:lang w:val="en-GB" w:eastAsia="en-US"/>
              </w:rPr>
            </w:pPr>
            <w:r w:rsidRPr="00F638AF">
              <w:rPr>
                <w:szCs w:val="22"/>
                <w:lang w:val="en-GB" w:eastAsia="en-US"/>
              </w:rPr>
              <w:t>During the 1</w:t>
            </w:r>
            <w:r w:rsidRPr="00F638AF">
              <w:rPr>
                <w:szCs w:val="22"/>
                <w:vertAlign w:val="superscript"/>
                <w:lang w:val="en-GB" w:eastAsia="en-US"/>
              </w:rPr>
              <w:t>st</w:t>
            </w:r>
            <w:r w:rsidRPr="00F638AF">
              <w:rPr>
                <w:szCs w:val="22"/>
                <w:lang w:val="en-GB" w:eastAsia="en-US"/>
              </w:rPr>
              <w:t xml:space="preserve"> induction course, prednisone is given as part of the chemotherapy course, and should be administered prior to MabThera.</w:t>
            </w:r>
          </w:p>
        </w:tc>
      </w:tr>
      <w:tr w:rsidR="003A788B" w14:paraId="7C33112E" w14:textId="77777777" w:rsidTr="00365ACB">
        <w:trPr>
          <w:trHeight w:val="471"/>
        </w:trPr>
        <w:tc>
          <w:tcPr>
            <w:tcW w:w="1929" w:type="dxa"/>
            <w:vMerge/>
            <w:shd w:val="clear" w:color="auto" w:fill="auto"/>
          </w:tcPr>
          <w:p w14:paraId="7C331129" w14:textId="77777777" w:rsidR="00C90C8C" w:rsidRPr="00F638AF" w:rsidRDefault="00C90C8C" w:rsidP="00365ACB">
            <w:pPr>
              <w:widowControl w:val="0"/>
              <w:pBdr>
                <w:top w:val="nil"/>
                <w:left w:val="nil"/>
                <w:bottom w:val="nil"/>
                <w:right w:val="nil"/>
                <w:between w:val="nil"/>
              </w:pBdr>
              <w:spacing w:line="276" w:lineRule="auto"/>
              <w:rPr>
                <w:szCs w:val="22"/>
                <w:lang w:val="en-GB" w:eastAsia="en-US"/>
              </w:rPr>
            </w:pPr>
          </w:p>
        </w:tc>
        <w:tc>
          <w:tcPr>
            <w:tcW w:w="2476" w:type="dxa"/>
            <w:shd w:val="clear" w:color="auto" w:fill="auto"/>
          </w:tcPr>
          <w:p w14:paraId="7C33112A" w14:textId="77777777" w:rsidR="00C90C8C" w:rsidRPr="00F638AF" w:rsidRDefault="00016F29" w:rsidP="00365ACB">
            <w:pPr>
              <w:rPr>
                <w:szCs w:val="22"/>
                <w:lang w:val="en-GB" w:eastAsia="en-US"/>
              </w:rPr>
            </w:pPr>
            <w:r w:rsidRPr="00F638AF">
              <w:rPr>
                <w:szCs w:val="22"/>
                <w:lang w:val="en-GB" w:eastAsia="en-US"/>
              </w:rPr>
              <w:t>Day 1</w:t>
            </w:r>
          </w:p>
          <w:p w14:paraId="7C33112B" w14:textId="77777777" w:rsidR="00C90C8C" w:rsidRPr="00F638AF" w:rsidRDefault="00016F29" w:rsidP="00365ACB">
            <w:pPr>
              <w:rPr>
                <w:szCs w:val="22"/>
                <w:lang w:val="en-GB" w:eastAsia="en-US"/>
              </w:rPr>
            </w:pPr>
            <w:r w:rsidRPr="00F638AF">
              <w:rPr>
                <w:szCs w:val="22"/>
                <w:lang w:val="en-GB" w:eastAsia="en-US"/>
              </w:rPr>
              <w:t>2</w:t>
            </w:r>
            <w:r w:rsidRPr="00F638AF">
              <w:rPr>
                <w:szCs w:val="22"/>
                <w:vertAlign w:val="superscript"/>
                <w:lang w:val="en-GB" w:eastAsia="en-US"/>
              </w:rPr>
              <w:t>nd</w:t>
            </w:r>
            <w:r w:rsidRPr="00F638AF">
              <w:rPr>
                <w:szCs w:val="22"/>
                <w:lang w:val="en-GB" w:eastAsia="en-US"/>
              </w:rPr>
              <w:t xml:space="preserve"> MabThera infusion</w:t>
            </w:r>
          </w:p>
        </w:tc>
        <w:tc>
          <w:tcPr>
            <w:tcW w:w="4656" w:type="dxa"/>
            <w:shd w:val="clear" w:color="auto" w:fill="auto"/>
          </w:tcPr>
          <w:p w14:paraId="7C33112C" w14:textId="77777777" w:rsidR="00C90C8C" w:rsidRPr="00F638AF" w:rsidRDefault="00C90C8C" w:rsidP="00365ACB">
            <w:pPr>
              <w:rPr>
                <w:szCs w:val="22"/>
                <w:lang w:val="en-GB" w:eastAsia="en-US"/>
              </w:rPr>
            </w:pPr>
          </w:p>
          <w:p w14:paraId="7C33112D" w14:textId="77777777" w:rsidR="00C90C8C" w:rsidRPr="00F638AF" w:rsidRDefault="00016F29" w:rsidP="00365ACB">
            <w:pPr>
              <w:rPr>
                <w:szCs w:val="22"/>
                <w:lang w:val="en-GB" w:eastAsia="en-US"/>
              </w:rPr>
            </w:pPr>
            <w:r w:rsidRPr="00F638AF">
              <w:rPr>
                <w:szCs w:val="22"/>
                <w:lang w:val="en-GB" w:eastAsia="en-US"/>
              </w:rPr>
              <w:t>MabThera will be given 48 hours after thefirst infusion of MabThera.</w:t>
            </w:r>
          </w:p>
        </w:tc>
      </w:tr>
      <w:tr w:rsidR="003A788B" w14:paraId="7C331135" w14:textId="77777777" w:rsidTr="00365ACB">
        <w:trPr>
          <w:trHeight w:val="471"/>
        </w:trPr>
        <w:tc>
          <w:tcPr>
            <w:tcW w:w="1929" w:type="dxa"/>
            <w:vMerge w:val="restart"/>
            <w:shd w:val="clear" w:color="auto" w:fill="auto"/>
          </w:tcPr>
          <w:p w14:paraId="7C33112F" w14:textId="77777777" w:rsidR="00C90C8C" w:rsidRPr="00F638AF" w:rsidRDefault="00016F29" w:rsidP="00365ACB">
            <w:pPr>
              <w:rPr>
                <w:szCs w:val="22"/>
                <w:lang w:val="en-GB" w:eastAsia="en-US"/>
              </w:rPr>
            </w:pPr>
            <w:r w:rsidRPr="00F638AF">
              <w:rPr>
                <w:szCs w:val="22"/>
                <w:lang w:val="en-GB" w:eastAsia="en-US"/>
              </w:rPr>
              <w:t>Induction course 2</w:t>
            </w:r>
          </w:p>
          <w:p w14:paraId="7C331130" w14:textId="77777777" w:rsidR="00C90C8C" w:rsidRPr="00F638AF" w:rsidRDefault="00016F29" w:rsidP="00365ACB">
            <w:pPr>
              <w:rPr>
                <w:szCs w:val="22"/>
                <w:lang w:val="en-GB" w:eastAsia="en-US"/>
              </w:rPr>
            </w:pPr>
            <w:r w:rsidRPr="00F638AF">
              <w:rPr>
                <w:szCs w:val="22"/>
                <w:lang w:val="en-GB" w:eastAsia="en-US"/>
              </w:rPr>
              <w:t>(COPDAM2)</w:t>
            </w:r>
          </w:p>
        </w:tc>
        <w:tc>
          <w:tcPr>
            <w:tcW w:w="2476" w:type="dxa"/>
            <w:shd w:val="clear" w:color="auto" w:fill="auto"/>
          </w:tcPr>
          <w:p w14:paraId="7C331131" w14:textId="77777777" w:rsidR="00C90C8C" w:rsidRPr="00F638AF" w:rsidRDefault="00016F29" w:rsidP="00365ACB">
            <w:pPr>
              <w:rPr>
                <w:szCs w:val="22"/>
                <w:lang w:val="en-GB" w:eastAsia="en-US"/>
              </w:rPr>
            </w:pPr>
            <w:r w:rsidRPr="00F638AF">
              <w:rPr>
                <w:szCs w:val="22"/>
                <w:lang w:val="en-GB" w:eastAsia="en-US"/>
              </w:rPr>
              <w:t>Day -2</w:t>
            </w:r>
          </w:p>
          <w:p w14:paraId="7C331132" w14:textId="77777777" w:rsidR="00C90C8C" w:rsidRPr="00F638AF" w:rsidRDefault="00016F29" w:rsidP="00365ACB">
            <w:pPr>
              <w:rPr>
                <w:szCs w:val="22"/>
                <w:lang w:val="en-GB" w:eastAsia="en-US"/>
              </w:rPr>
            </w:pPr>
            <w:r w:rsidRPr="00F638AF">
              <w:rPr>
                <w:szCs w:val="22"/>
                <w:lang w:val="en-GB" w:eastAsia="en-US"/>
              </w:rPr>
              <w:t>3</w:t>
            </w:r>
            <w:r w:rsidRPr="00F638AF">
              <w:rPr>
                <w:szCs w:val="22"/>
                <w:vertAlign w:val="superscript"/>
                <w:lang w:val="en-GB" w:eastAsia="en-US"/>
              </w:rPr>
              <w:t>rd</w:t>
            </w:r>
            <w:r w:rsidRPr="00F638AF">
              <w:rPr>
                <w:szCs w:val="22"/>
                <w:lang w:val="en-GB" w:eastAsia="en-US"/>
              </w:rPr>
              <w:t xml:space="preserve"> MabThera infusion</w:t>
            </w:r>
          </w:p>
        </w:tc>
        <w:tc>
          <w:tcPr>
            <w:tcW w:w="4656" w:type="dxa"/>
            <w:shd w:val="clear" w:color="auto" w:fill="auto"/>
          </w:tcPr>
          <w:p w14:paraId="7C331133" w14:textId="77777777" w:rsidR="00C90C8C" w:rsidRPr="00F638AF" w:rsidRDefault="00C90C8C" w:rsidP="00365ACB">
            <w:pPr>
              <w:rPr>
                <w:szCs w:val="22"/>
                <w:lang w:val="en-GB" w:eastAsia="en-US"/>
              </w:rPr>
            </w:pPr>
          </w:p>
          <w:p w14:paraId="7C331134" w14:textId="77777777" w:rsidR="00C90C8C" w:rsidRPr="00F638AF" w:rsidRDefault="00016F29" w:rsidP="00365ACB">
            <w:pPr>
              <w:rPr>
                <w:szCs w:val="22"/>
                <w:lang w:val="en-GB" w:eastAsia="en-US"/>
              </w:rPr>
            </w:pPr>
            <w:r w:rsidRPr="00F638AF">
              <w:rPr>
                <w:szCs w:val="22"/>
                <w:lang w:val="en-GB" w:eastAsia="en-US"/>
              </w:rPr>
              <w:t>In the 2</w:t>
            </w:r>
            <w:r w:rsidRPr="00F638AF">
              <w:rPr>
                <w:szCs w:val="22"/>
                <w:vertAlign w:val="superscript"/>
                <w:lang w:val="en-GB" w:eastAsia="en-US"/>
              </w:rPr>
              <w:t>nd</w:t>
            </w:r>
            <w:r w:rsidRPr="00F638AF">
              <w:rPr>
                <w:szCs w:val="22"/>
                <w:lang w:val="en-GB" w:eastAsia="en-US"/>
              </w:rPr>
              <w:t xml:space="preserve"> induction course, prednisone is not given at the time of MabThera administration.</w:t>
            </w:r>
          </w:p>
        </w:tc>
      </w:tr>
      <w:tr w:rsidR="003A788B" w14:paraId="7C33113B" w14:textId="77777777" w:rsidTr="00365ACB">
        <w:trPr>
          <w:trHeight w:val="471"/>
        </w:trPr>
        <w:tc>
          <w:tcPr>
            <w:tcW w:w="1929" w:type="dxa"/>
            <w:vMerge/>
            <w:shd w:val="clear" w:color="auto" w:fill="auto"/>
          </w:tcPr>
          <w:p w14:paraId="7C331136" w14:textId="77777777" w:rsidR="00C90C8C" w:rsidRPr="00F638AF" w:rsidRDefault="00C90C8C" w:rsidP="00365ACB">
            <w:pPr>
              <w:widowControl w:val="0"/>
              <w:pBdr>
                <w:top w:val="nil"/>
                <w:left w:val="nil"/>
                <w:bottom w:val="nil"/>
                <w:right w:val="nil"/>
                <w:between w:val="nil"/>
              </w:pBdr>
              <w:spacing w:line="276" w:lineRule="auto"/>
              <w:rPr>
                <w:szCs w:val="22"/>
                <w:lang w:val="en-GB" w:eastAsia="en-US"/>
              </w:rPr>
            </w:pPr>
          </w:p>
        </w:tc>
        <w:tc>
          <w:tcPr>
            <w:tcW w:w="2476" w:type="dxa"/>
            <w:shd w:val="clear" w:color="auto" w:fill="auto"/>
          </w:tcPr>
          <w:p w14:paraId="7C331137" w14:textId="77777777" w:rsidR="00C90C8C" w:rsidRPr="00F638AF" w:rsidRDefault="00016F29" w:rsidP="00365ACB">
            <w:pPr>
              <w:rPr>
                <w:szCs w:val="22"/>
                <w:lang w:val="en-GB" w:eastAsia="en-US"/>
              </w:rPr>
            </w:pPr>
            <w:r w:rsidRPr="00F638AF">
              <w:rPr>
                <w:szCs w:val="22"/>
                <w:lang w:val="en-GB" w:eastAsia="en-US"/>
              </w:rPr>
              <w:t>Day 1</w:t>
            </w:r>
          </w:p>
          <w:p w14:paraId="7C331138" w14:textId="77777777" w:rsidR="00C90C8C" w:rsidRPr="00F638AF" w:rsidRDefault="00016F29" w:rsidP="00365ACB">
            <w:pPr>
              <w:rPr>
                <w:szCs w:val="22"/>
                <w:lang w:val="en-GB" w:eastAsia="en-US"/>
              </w:rPr>
            </w:pPr>
            <w:r w:rsidRPr="00F638AF">
              <w:rPr>
                <w:szCs w:val="22"/>
                <w:lang w:val="en-GB" w:eastAsia="en-US"/>
              </w:rPr>
              <w:t>4</w:t>
            </w:r>
            <w:r w:rsidRPr="00F638AF">
              <w:rPr>
                <w:szCs w:val="22"/>
                <w:vertAlign w:val="superscript"/>
                <w:lang w:val="en-GB" w:eastAsia="en-US"/>
              </w:rPr>
              <w:t>th</w:t>
            </w:r>
            <w:r w:rsidRPr="00F638AF">
              <w:rPr>
                <w:szCs w:val="22"/>
                <w:lang w:val="en-GB" w:eastAsia="en-US"/>
              </w:rPr>
              <w:t xml:space="preserve"> MabThera infusion</w:t>
            </w:r>
          </w:p>
        </w:tc>
        <w:tc>
          <w:tcPr>
            <w:tcW w:w="4656" w:type="dxa"/>
            <w:shd w:val="clear" w:color="auto" w:fill="auto"/>
          </w:tcPr>
          <w:p w14:paraId="7C331139" w14:textId="77777777" w:rsidR="00C90C8C" w:rsidRPr="00F638AF" w:rsidRDefault="00C90C8C" w:rsidP="00365ACB">
            <w:pPr>
              <w:rPr>
                <w:szCs w:val="22"/>
                <w:lang w:val="en-GB" w:eastAsia="en-US"/>
              </w:rPr>
            </w:pPr>
          </w:p>
          <w:p w14:paraId="7C33113A" w14:textId="77777777" w:rsidR="00C90C8C" w:rsidRPr="00F638AF" w:rsidRDefault="00016F29" w:rsidP="00365ACB">
            <w:pPr>
              <w:rPr>
                <w:szCs w:val="22"/>
                <w:lang w:val="en-GB" w:eastAsia="en-US"/>
              </w:rPr>
            </w:pPr>
            <w:r w:rsidRPr="00F638AF">
              <w:rPr>
                <w:szCs w:val="22"/>
                <w:lang w:val="en-GB" w:eastAsia="en-US"/>
              </w:rPr>
              <w:t>MabThera will be given 48 hours after the third infusion of MabThera.</w:t>
            </w:r>
          </w:p>
        </w:tc>
      </w:tr>
      <w:tr w:rsidR="003A788B" w14:paraId="7C331142" w14:textId="77777777" w:rsidTr="00365ACB">
        <w:trPr>
          <w:trHeight w:val="471"/>
        </w:trPr>
        <w:tc>
          <w:tcPr>
            <w:tcW w:w="1929" w:type="dxa"/>
            <w:shd w:val="clear" w:color="auto" w:fill="auto"/>
          </w:tcPr>
          <w:p w14:paraId="7C33113C" w14:textId="77777777" w:rsidR="00C90C8C" w:rsidRPr="00F638AF" w:rsidRDefault="00016F29" w:rsidP="00365ACB">
            <w:pPr>
              <w:rPr>
                <w:szCs w:val="22"/>
                <w:lang w:val="en-GB" w:eastAsia="en-US"/>
              </w:rPr>
            </w:pPr>
            <w:r w:rsidRPr="00F638AF">
              <w:rPr>
                <w:szCs w:val="22"/>
                <w:lang w:val="en-GB" w:eastAsia="en-US"/>
              </w:rPr>
              <w:t>Consolidation course 1</w:t>
            </w:r>
          </w:p>
          <w:p w14:paraId="7C33113D" w14:textId="77777777" w:rsidR="00C90C8C" w:rsidRPr="00F638AF" w:rsidRDefault="00016F29" w:rsidP="00365ACB">
            <w:pPr>
              <w:rPr>
                <w:szCs w:val="22"/>
                <w:lang w:val="en-GB" w:eastAsia="en-US"/>
              </w:rPr>
            </w:pPr>
            <w:r w:rsidRPr="00F638AF">
              <w:rPr>
                <w:szCs w:val="22"/>
                <w:lang w:val="en-GB" w:eastAsia="en-US"/>
              </w:rPr>
              <w:t>(CYM/CYVE)</w:t>
            </w:r>
          </w:p>
        </w:tc>
        <w:tc>
          <w:tcPr>
            <w:tcW w:w="2476" w:type="dxa"/>
            <w:shd w:val="clear" w:color="auto" w:fill="auto"/>
          </w:tcPr>
          <w:p w14:paraId="7C33113E" w14:textId="77777777" w:rsidR="00C90C8C" w:rsidRPr="00F638AF" w:rsidRDefault="00016F29" w:rsidP="00365ACB">
            <w:pPr>
              <w:rPr>
                <w:szCs w:val="22"/>
                <w:lang w:val="en-GB" w:eastAsia="en-US"/>
              </w:rPr>
            </w:pPr>
            <w:r w:rsidRPr="00F638AF">
              <w:rPr>
                <w:szCs w:val="22"/>
                <w:lang w:val="en-GB" w:eastAsia="en-US"/>
              </w:rPr>
              <w:t>Day 1</w:t>
            </w:r>
          </w:p>
          <w:p w14:paraId="7C33113F" w14:textId="77777777" w:rsidR="00C90C8C" w:rsidRPr="00F638AF" w:rsidRDefault="00016F29" w:rsidP="00365ACB">
            <w:pPr>
              <w:rPr>
                <w:szCs w:val="22"/>
                <w:lang w:val="en-GB" w:eastAsia="en-US"/>
              </w:rPr>
            </w:pPr>
            <w:r w:rsidRPr="00F638AF">
              <w:rPr>
                <w:szCs w:val="22"/>
                <w:lang w:val="en-GB" w:eastAsia="en-US"/>
              </w:rPr>
              <w:t>5</w:t>
            </w:r>
            <w:r w:rsidRPr="00F638AF">
              <w:rPr>
                <w:szCs w:val="22"/>
                <w:vertAlign w:val="superscript"/>
                <w:lang w:val="en-GB" w:eastAsia="en-US"/>
              </w:rPr>
              <w:t>th</w:t>
            </w:r>
            <w:r w:rsidRPr="00F638AF">
              <w:rPr>
                <w:szCs w:val="22"/>
                <w:lang w:val="en-GB" w:eastAsia="en-US"/>
              </w:rPr>
              <w:t xml:space="preserve"> MabThera infusion</w:t>
            </w:r>
          </w:p>
        </w:tc>
        <w:tc>
          <w:tcPr>
            <w:tcW w:w="4656" w:type="dxa"/>
            <w:shd w:val="clear" w:color="auto" w:fill="auto"/>
          </w:tcPr>
          <w:p w14:paraId="7C331140" w14:textId="77777777" w:rsidR="00C90C8C" w:rsidRPr="00F638AF" w:rsidRDefault="00C90C8C" w:rsidP="00365ACB">
            <w:pPr>
              <w:rPr>
                <w:szCs w:val="22"/>
                <w:lang w:val="en-GB" w:eastAsia="en-US"/>
              </w:rPr>
            </w:pPr>
          </w:p>
          <w:p w14:paraId="7C331141" w14:textId="77777777" w:rsidR="00C90C8C" w:rsidRPr="00F638AF" w:rsidRDefault="00016F29" w:rsidP="00365ACB">
            <w:pPr>
              <w:rPr>
                <w:szCs w:val="22"/>
                <w:lang w:val="en-GB" w:eastAsia="en-US"/>
              </w:rPr>
            </w:pPr>
            <w:r w:rsidRPr="00F638AF">
              <w:rPr>
                <w:szCs w:val="22"/>
                <w:lang w:val="en-GB" w:eastAsia="en-US"/>
              </w:rPr>
              <w:t>Prednisone is not given at the time of MabThera administration.</w:t>
            </w:r>
          </w:p>
        </w:tc>
      </w:tr>
      <w:tr w:rsidR="003A788B" w14:paraId="7C331149" w14:textId="77777777" w:rsidTr="00365ACB">
        <w:trPr>
          <w:trHeight w:val="471"/>
        </w:trPr>
        <w:tc>
          <w:tcPr>
            <w:tcW w:w="1929" w:type="dxa"/>
            <w:shd w:val="clear" w:color="auto" w:fill="auto"/>
          </w:tcPr>
          <w:p w14:paraId="7C331143" w14:textId="77777777" w:rsidR="00C90C8C" w:rsidRPr="00F638AF" w:rsidRDefault="00016F29" w:rsidP="00365ACB">
            <w:pPr>
              <w:rPr>
                <w:szCs w:val="22"/>
                <w:lang w:val="en-GB" w:eastAsia="en-US"/>
              </w:rPr>
            </w:pPr>
            <w:r w:rsidRPr="00F638AF">
              <w:rPr>
                <w:szCs w:val="22"/>
                <w:lang w:val="en-GB" w:eastAsia="en-US"/>
              </w:rPr>
              <w:t>Consolidation course 2</w:t>
            </w:r>
          </w:p>
          <w:p w14:paraId="7C331144" w14:textId="77777777" w:rsidR="00C90C8C" w:rsidRPr="00F638AF" w:rsidRDefault="00016F29" w:rsidP="00365ACB">
            <w:pPr>
              <w:rPr>
                <w:szCs w:val="22"/>
                <w:lang w:val="en-GB" w:eastAsia="en-US"/>
              </w:rPr>
            </w:pPr>
            <w:r w:rsidRPr="00F638AF">
              <w:rPr>
                <w:szCs w:val="22"/>
                <w:lang w:val="en-GB" w:eastAsia="en-US"/>
              </w:rPr>
              <w:t>(CYM/CYVE)</w:t>
            </w:r>
          </w:p>
        </w:tc>
        <w:tc>
          <w:tcPr>
            <w:tcW w:w="2476" w:type="dxa"/>
            <w:shd w:val="clear" w:color="auto" w:fill="auto"/>
          </w:tcPr>
          <w:p w14:paraId="7C331145" w14:textId="77777777" w:rsidR="00C90C8C" w:rsidRPr="00F638AF" w:rsidRDefault="00016F29" w:rsidP="00365ACB">
            <w:pPr>
              <w:rPr>
                <w:szCs w:val="22"/>
                <w:lang w:val="en-GB" w:eastAsia="en-US"/>
              </w:rPr>
            </w:pPr>
            <w:r w:rsidRPr="00F638AF">
              <w:rPr>
                <w:szCs w:val="22"/>
                <w:lang w:val="en-GB" w:eastAsia="en-US"/>
              </w:rPr>
              <w:t>Day 1</w:t>
            </w:r>
          </w:p>
          <w:p w14:paraId="7C331146" w14:textId="77777777" w:rsidR="00C90C8C" w:rsidRPr="00F638AF" w:rsidRDefault="00016F29" w:rsidP="00365ACB">
            <w:pPr>
              <w:rPr>
                <w:szCs w:val="22"/>
                <w:lang w:val="en-GB" w:eastAsia="en-US"/>
              </w:rPr>
            </w:pPr>
            <w:r w:rsidRPr="00F638AF">
              <w:rPr>
                <w:szCs w:val="22"/>
                <w:lang w:val="en-GB" w:eastAsia="en-US"/>
              </w:rPr>
              <w:t>6</w:t>
            </w:r>
            <w:r w:rsidRPr="00F638AF">
              <w:rPr>
                <w:szCs w:val="22"/>
                <w:vertAlign w:val="superscript"/>
                <w:lang w:val="en-GB" w:eastAsia="en-US"/>
              </w:rPr>
              <w:t>th</w:t>
            </w:r>
            <w:r w:rsidRPr="00F638AF">
              <w:rPr>
                <w:szCs w:val="22"/>
                <w:lang w:val="en-GB" w:eastAsia="en-US"/>
              </w:rPr>
              <w:t xml:space="preserve"> MabThera infusion</w:t>
            </w:r>
          </w:p>
        </w:tc>
        <w:tc>
          <w:tcPr>
            <w:tcW w:w="4656" w:type="dxa"/>
            <w:shd w:val="clear" w:color="auto" w:fill="auto"/>
          </w:tcPr>
          <w:p w14:paraId="7C331147" w14:textId="77777777" w:rsidR="00C90C8C" w:rsidRPr="00F638AF" w:rsidRDefault="00C90C8C" w:rsidP="00365ACB">
            <w:pPr>
              <w:rPr>
                <w:szCs w:val="22"/>
                <w:lang w:val="en-GB" w:eastAsia="en-US"/>
              </w:rPr>
            </w:pPr>
          </w:p>
          <w:p w14:paraId="7C331148" w14:textId="77777777" w:rsidR="00C90C8C" w:rsidRPr="00F638AF" w:rsidRDefault="00016F29" w:rsidP="00365ACB">
            <w:pPr>
              <w:rPr>
                <w:szCs w:val="22"/>
                <w:lang w:val="en-GB" w:eastAsia="en-US"/>
              </w:rPr>
            </w:pPr>
            <w:r w:rsidRPr="00F638AF">
              <w:rPr>
                <w:szCs w:val="22"/>
                <w:lang w:val="en-GB" w:eastAsia="en-US"/>
              </w:rPr>
              <w:t>Prednisone is not given at the time of MabThera administration.</w:t>
            </w:r>
          </w:p>
        </w:tc>
      </w:tr>
      <w:tr w:rsidR="003A788B" w14:paraId="7C33114F" w14:textId="77777777" w:rsidTr="00365ACB">
        <w:trPr>
          <w:trHeight w:val="471"/>
        </w:trPr>
        <w:tc>
          <w:tcPr>
            <w:tcW w:w="1929" w:type="dxa"/>
            <w:shd w:val="clear" w:color="auto" w:fill="auto"/>
          </w:tcPr>
          <w:p w14:paraId="7C33114A" w14:textId="77777777" w:rsidR="00C90C8C" w:rsidRPr="00F638AF" w:rsidRDefault="00016F29" w:rsidP="00365ACB">
            <w:pPr>
              <w:rPr>
                <w:szCs w:val="22"/>
                <w:lang w:val="en-GB" w:eastAsia="en-US"/>
              </w:rPr>
            </w:pPr>
            <w:r w:rsidRPr="00F638AF">
              <w:rPr>
                <w:szCs w:val="22"/>
                <w:lang w:val="en-GB" w:eastAsia="en-US"/>
              </w:rPr>
              <w:t>Maintenance course 1 (M1)</w:t>
            </w:r>
          </w:p>
        </w:tc>
        <w:tc>
          <w:tcPr>
            <w:tcW w:w="2476" w:type="dxa"/>
            <w:shd w:val="clear" w:color="auto" w:fill="auto"/>
          </w:tcPr>
          <w:p w14:paraId="7C33114B" w14:textId="77777777" w:rsidR="00C90C8C" w:rsidRPr="00F638AF" w:rsidRDefault="00016F29" w:rsidP="00365ACB">
            <w:pPr>
              <w:rPr>
                <w:szCs w:val="22"/>
                <w:lang w:val="en-GB" w:eastAsia="en-US"/>
              </w:rPr>
            </w:pPr>
            <w:r w:rsidRPr="00F638AF">
              <w:rPr>
                <w:szCs w:val="22"/>
                <w:lang w:val="en-GB" w:eastAsia="en-US"/>
              </w:rPr>
              <w:t>Day 25 to 28 of consolidation course 2 (CYVE)</w:t>
            </w:r>
          </w:p>
          <w:p w14:paraId="7C33114C" w14:textId="77777777" w:rsidR="00C90C8C" w:rsidRPr="00F638AF" w:rsidRDefault="00016F29" w:rsidP="00365ACB">
            <w:pPr>
              <w:rPr>
                <w:szCs w:val="22"/>
                <w:lang w:val="en-GB" w:eastAsia="en-US"/>
              </w:rPr>
            </w:pPr>
            <w:r w:rsidRPr="00F638AF">
              <w:rPr>
                <w:szCs w:val="22"/>
                <w:lang w:val="en-GB" w:eastAsia="en-US"/>
              </w:rPr>
              <w:t>No MabThera given</w:t>
            </w:r>
          </w:p>
        </w:tc>
        <w:tc>
          <w:tcPr>
            <w:tcW w:w="4656" w:type="dxa"/>
            <w:shd w:val="clear" w:color="auto" w:fill="auto"/>
          </w:tcPr>
          <w:p w14:paraId="7C33114D" w14:textId="77777777" w:rsidR="00C90C8C" w:rsidRPr="00F638AF" w:rsidRDefault="00C90C8C" w:rsidP="00365ACB">
            <w:pPr>
              <w:rPr>
                <w:szCs w:val="22"/>
                <w:lang w:val="en-GB" w:eastAsia="en-US"/>
              </w:rPr>
            </w:pPr>
          </w:p>
          <w:p w14:paraId="7C33114E" w14:textId="77777777" w:rsidR="00C90C8C" w:rsidRPr="00F638AF" w:rsidRDefault="00016F29" w:rsidP="00365ACB">
            <w:pPr>
              <w:rPr>
                <w:szCs w:val="22"/>
                <w:lang w:val="en-GB" w:eastAsia="en-US"/>
              </w:rPr>
            </w:pPr>
            <w:r w:rsidRPr="00F638AF">
              <w:rPr>
                <w:szCs w:val="22"/>
                <w:lang w:val="en-GB" w:eastAsia="en-US"/>
              </w:rPr>
              <w:t>Starts when peripheral counts have recovered from consolidation course 2 (CYVE) with ANC&gt; 1.0 x 10</w:t>
            </w:r>
            <w:r w:rsidRPr="00F638AF">
              <w:rPr>
                <w:szCs w:val="22"/>
                <w:vertAlign w:val="superscript"/>
                <w:lang w:val="en-GB" w:eastAsia="en-US"/>
              </w:rPr>
              <w:t>9</w:t>
            </w:r>
            <w:r w:rsidRPr="00F638AF">
              <w:rPr>
                <w:szCs w:val="22"/>
                <w:lang w:val="en-GB" w:eastAsia="en-US"/>
              </w:rPr>
              <w:t>/l and platelets &gt; 100 x 10</w:t>
            </w:r>
            <w:r w:rsidRPr="00F638AF">
              <w:rPr>
                <w:szCs w:val="22"/>
                <w:vertAlign w:val="superscript"/>
                <w:lang w:val="en-GB" w:eastAsia="en-US"/>
              </w:rPr>
              <w:t>9</w:t>
            </w:r>
            <w:r w:rsidRPr="00F638AF">
              <w:rPr>
                <w:szCs w:val="22"/>
                <w:lang w:val="en-GB" w:eastAsia="en-US"/>
              </w:rPr>
              <w:t xml:space="preserve">/l </w:t>
            </w:r>
          </w:p>
        </w:tc>
      </w:tr>
      <w:tr w:rsidR="003A788B" w14:paraId="7C331154" w14:textId="77777777" w:rsidTr="00365ACB">
        <w:trPr>
          <w:trHeight w:val="471"/>
        </w:trPr>
        <w:tc>
          <w:tcPr>
            <w:tcW w:w="1929" w:type="dxa"/>
            <w:shd w:val="clear" w:color="auto" w:fill="auto"/>
          </w:tcPr>
          <w:p w14:paraId="7C331150" w14:textId="77777777" w:rsidR="00C90C8C" w:rsidRPr="00F638AF" w:rsidRDefault="00016F29" w:rsidP="00365ACB">
            <w:pPr>
              <w:rPr>
                <w:szCs w:val="22"/>
                <w:lang w:val="en-GB" w:eastAsia="en-US"/>
              </w:rPr>
            </w:pPr>
            <w:r w:rsidRPr="00F638AF">
              <w:rPr>
                <w:szCs w:val="22"/>
                <w:lang w:val="en-GB" w:eastAsia="en-US"/>
              </w:rPr>
              <w:t>Maintenance course 2 (M2)</w:t>
            </w:r>
          </w:p>
        </w:tc>
        <w:tc>
          <w:tcPr>
            <w:tcW w:w="2476" w:type="dxa"/>
            <w:shd w:val="clear" w:color="auto" w:fill="auto"/>
          </w:tcPr>
          <w:p w14:paraId="7C331151" w14:textId="77777777" w:rsidR="00C90C8C" w:rsidRPr="00F638AF" w:rsidRDefault="00016F29" w:rsidP="00365ACB">
            <w:pPr>
              <w:rPr>
                <w:szCs w:val="22"/>
                <w:lang w:val="en-GB" w:eastAsia="en-US"/>
              </w:rPr>
            </w:pPr>
            <w:r w:rsidRPr="00F638AF">
              <w:rPr>
                <w:szCs w:val="22"/>
                <w:lang w:val="en-GB" w:eastAsia="en-US"/>
              </w:rPr>
              <w:t>Day 28 of maintenance course 1 (M1)</w:t>
            </w:r>
          </w:p>
          <w:p w14:paraId="7C331152" w14:textId="77777777" w:rsidR="00C90C8C" w:rsidRPr="00F638AF" w:rsidRDefault="00016F29" w:rsidP="00365ACB">
            <w:pPr>
              <w:rPr>
                <w:szCs w:val="22"/>
                <w:lang w:val="en-GB" w:eastAsia="en-US"/>
              </w:rPr>
            </w:pPr>
            <w:r w:rsidRPr="00F638AF">
              <w:rPr>
                <w:szCs w:val="22"/>
                <w:lang w:val="en-GB" w:eastAsia="en-US"/>
              </w:rPr>
              <w:t>No MabThera given</w:t>
            </w:r>
          </w:p>
        </w:tc>
        <w:tc>
          <w:tcPr>
            <w:tcW w:w="4656" w:type="dxa"/>
            <w:shd w:val="clear" w:color="auto" w:fill="auto"/>
          </w:tcPr>
          <w:p w14:paraId="7C331153" w14:textId="77777777" w:rsidR="00C90C8C" w:rsidRPr="00F638AF" w:rsidRDefault="00016F29" w:rsidP="00365ACB">
            <w:pPr>
              <w:rPr>
                <w:szCs w:val="22"/>
                <w:lang w:val="en-GB" w:eastAsia="en-US"/>
              </w:rPr>
            </w:pPr>
            <w:r w:rsidRPr="00F638AF">
              <w:rPr>
                <w:szCs w:val="22"/>
                <w:lang w:val="en-GB" w:eastAsia="en-US"/>
              </w:rPr>
              <w:t>-</w:t>
            </w:r>
          </w:p>
        </w:tc>
      </w:tr>
      <w:tr w:rsidR="003A788B" w14:paraId="7C331156" w14:textId="77777777" w:rsidTr="00365ACB">
        <w:trPr>
          <w:trHeight w:val="471"/>
        </w:trPr>
        <w:tc>
          <w:tcPr>
            <w:tcW w:w="9061" w:type="dxa"/>
            <w:gridSpan w:val="3"/>
            <w:shd w:val="clear" w:color="auto" w:fill="auto"/>
          </w:tcPr>
          <w:p w14:paraId="7C331155" w14:textId="77777777" w:rsidR="00C90C8C" w:rsidRPr="00F638AF" w:rsidRDefault="00016F29" w:rsidP="00365ACB">
            <w:pPr>
              <w:spacing w:after="160" w:line="259" w:lineRule="auto"/>
              <w:rPr>
                <w:sz w:val="18"/>
                <w:szCs w:val="18"/>
                <w:lang w:val="en-GB" w:eastAsia="en-US"/>
              </w:rPr>
            </w:pPr>
            <w:r w:rsidRPr="00F638AF">
              <w:rPr>
                <w:sz w:val="18"/>
                <w:szCs w:val="18"/>
                <w:lang w:val="en-GB" w:eastAsia="en-US"/>
              </w:rPr>
              <w:t xml:space="preserve">ANC = Absolute Neutrophil Count; COP = Cyclophosphamide, Vincristine, Prednisone; COPDAM = Cyclophosphamide, Vincristine, Prednisolone, Doxorubicin, Methotrexate; CYM = CYtarabine (Aracytine, Ara-C), Methotrexate; CYVE = CYtarabine (Aracytine, Ara-C), VEposide (VP16) </w:t>
            </w:r>
          </w:p>
        </w:tc>
      </w:tr>
    </w:tbl>
    <w:p w14:paraId="7C331157" w14:textId="77777777" w:rsidR="00C90C8C" w:rsidRPr="00F638AF" w:rsidRDefault="00C90C8C" w:rsidP="00A56CE7">
      <w:pPr>
        <w:widowControl w:val="0"/>
        <w:ind w:left="1134" w:hanging="1134"/>
        <w:rPr>
          <w:b/>
          <w:szCs w:val="22"/>
          <w:lang w:val="en-GB" w:eastAsia="en-US"/>
        </w:rPr>
      </w:pPr>
    </w:p>
    <w:p w14:paraId="7C331158" w14:textId="77777777" w:rsidR="00C90C8C" w:rsidRPr="00F638AF" w:rsidRDefault="00016F29">
      <w:pPr>
        <w:keepNext/>
        <w:keepLines/>
        <w:ind w:left="1134" w:hanging="1134"/>
        <w:rPr>
          <w:b/>
          <w:szCs w:val="22"/>
          <w:lang w:val="en-GB" w:eastAsia="en-US"/>
        </w:rPr>
      </w:pPr>
      <w:r w:rsidRPr="00F638AF">
        <w:rPr>
          <w:b/>
          <w:szCs w:val="22"/>
          <w:lang w:val="en-GB" w:eastAsia="en-US"/>
        </w:rPr>
        <w:t>Table 2</w:t>
      </w:r>
      <w:r w:rsidRPr="00F638AF">
        <w:rPr>
          <w:b/>
          <w:szCs w:val="22"/>
          <w:lang w:val="en-GB" w:eastAsia="en-US"/>
        </w:rPr>
        <w:tab/>
        <w:t xml:space="preserve">Treatment Plan for Non-Hodgkin’s lymphoma paediatric patients: Concomitant Chemotherapy with MabThera </w:t>
      </w:r>
    </w:p>
    <w:tbl>
      <w:tblPr>
        <w:tblW w:w="9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0"/>
        <w:gridCol w:w="3702"/>
        <w:gridCol w:w="4119"/>
      </w:tblGrid>
      <w:tr w:rsidR="003A788B" w14:paraId="7C33115C" w14:textId="77777777" w:rsidTr="00365ACB">
        <w:trPr>
          <w:trHeight w:val="471"/>
        </w:trPr>
        <w:tc>
          <w:tcPr>
            <w:tcW w:w="1240" w:type="dxa"/>
            <w:shd w:val="clear" w:color="auto" w:fill="auto"/>
          </w:tcPr>
          <w:p w14:paraId="7C331159" w14:textId="77777777" w:rsidR="00C90C8C" w:rsidRPr="00F638AF" w:rsidRDefault="00016F29" w:rsidP="00E06A78">
            <w:pPr>
              <w:keepNext/>
              <w:keepLines/>
              <w:rPr>
                <w:b/>
                <w:szCs w:val="22"/>
                <w:lang w:val="en-GB" w:eastAsia="en-US"/>
              </w:rPr>
            </w:pPr>
            <w:r w:rsidRPr="00F638AF">
              <w:rPr>
                <w:b/>
                <w:szCs w:val="22"/>
                <w:lang w:val="en-GB" w:eastAsia="en-US"/>
              </w:rPr>
              <w:t>Treatment Plan</w:t>
            </w:r>
          </w:p>
        </w:tc>
        <w:tc>
          <w:tcPr>
            <w:tcW w:w="3702" w:type="dxa"/>
            <w:shd w:val="clear" w:color="auto" w:fill="auto"/>
          </w:tcPr>
          <w:p w14:paraId="7C33115A" w14:textId="77777777" w:rsidR="00C90C8C" w:rsidRPr="00F638AF" w:rsidRDefault="00016F29" w:rsidP="00E06A78">
            <w:pPr>
              <w:keepNext/>
              <w:keepLines/>
              <w:rPr>
                <w:b/>
                <w:szCs w:val="22"/>
                <w:lang w:val="en-GB" w:eastAsia="en-US"/>
              </w:rPr>
            </w:pPr>
            <w:r w:rsidRPr="00F638AF">
              <w:rPr>
                <w:b/>
                <w:szCs w:val="22"/>
                <w:lang w:val="en-GB" w:eastAsia="en-US"/>
              </w:rPr>
              <w:t>Patient Staging</w:t>
            </w:r>
          </w:p>
        </w:tc>
        <w:tc>
          <w:tcPr>
            <w:tcW w:w="4119" w:type="dxa"/>
            <w:shd w:val="clear" w:color="auto" w:fill="auto"/>
          </w:tcPr>
          <w:p w14:paraId="7C33115B" w14:textId="77777777" w:rsidR="00C90C8C" w:rsidRPr="00F638AF" w:rsidRDefault="00016F29" w:rsidP="00E06A78">
            <w:pPr>
              <w:keepNext/>
              <w:keepLines/>
              <w:rPr>
                <w:b/>
                <w:szCs w:val="22"/>
                <w:lang w:val="en-GB" w:eastAsia="en-US"/>
              </w:rPr>
            </w:pPr>
            <w:r w:rsidRPr="00F638AF">
              <w:rPr>
                <w:b/>
                <w:szCs w:val="22"/>
                <w:lang w:val="en-GB" w:eastAsia="en-US"/>
              </w:rPr>
              <w:t>Administration details</w:t>
            </w:r>
          </w:p>
        </w:tc>
      </w:tr>
      <w:tr w:rsidR="003A788B" w14:paraId="7C331162" w14:textId="77777777" w:rsidTr="00365ACB">
        <w:trPr>
          <w:trHeight w:val="471"/>
        </w:trPr>
        <w:tc>
          <w:tcPr>
            <w:tcW w:w="1240" w:type="dxa"/>
            <w:shd w:val="clear" w:color="auto" w:fill="auto"/>
          </w:tcPr>
          <w:p w14:paraId="7C33115D" w14:textId="77777777" w:rsidR="00C90C8C" w:rsidRPr="00F638AF" w:rsidRDefault="00016F29" w:rsidP="00E06A78">
            <w:pPr>
              <w:keepNext/>
              <w:keepLines/>
              <w:rPr>
                <w:szCs w:val="22"/>
                <w:lang w:val="en-GB" w:eastAsia="en-US"/>
              </w:rPr>
            </w:pPr>
            <w:r w:rsidRPr="00F638AF">
              <w:rPr>
                <w:szCs w:val="22"/>
                <w:lang w:val="en-GB" w:eastAsia="en-US"/>
              </w:rPr>
              <w:t>Group B</w:t>
            </w:r>
          </w:p>
        </w:tc>
        <w:tc>
          <w:tcPr>
            <w:tcW w:w="3702" w:type="dxa"/>
            <w:shd w:val="clear" w:color="auto" w:fill="auto"/>
          </w:tcPr>
          <w:p w14:paraId="7C33115E" w14:textId="77777777" w:rsidR="00C90C8C" w:rsidRPr="00F638AF" w:rsidRDefault="00016F29" w:rsidP="00E06A78">
            <w:pPr>
              <w:keepNext/>
              <w:keepLines/>
              <w:rPr>
                <w:szCs w:val="22"/>
                <w:lang w:val="en-GB" w:eastAsia="en-US"/>
              </w:rPr>
            </w:pPr>
            <w:r w:rsidRPr="00F638AF">
              <w:rPr>
                <w:szCs w:val="22"/>
                <w:lang w:val="en-GB" w:eastAsia="en-US"/>
              </w:rPr>
              <w:t>Stage III with high LDH level (&gt; N x 2),</w:t>
            </w:r>
          </w:p>
          <w:p w14:paraId="7C33115F" w14:textId="77777777" w:rsidR="00C90C8C" w:rsidRPr="00F638AF" w:rsidRDefault="00016F29" w:rsidP="00E06A78">
            <w:pPr>
              <w:keepNext/>
              <w:keepLines/>
              <w:rPr>
                <w:szCs w:val="22"/>
                <w:lang w:val="en-GB" w:eastAsia="en-US"/>
              </w:rPr>
            </w:pPr>
            <w:r w:rsidRPr="00F638AF">
              <w:rPr>
                <w:szCs w:val="22"/>
                <w:lang w:val="en-GB" w:eastAsia="en-US"/>
              </w:rPr>
              <w:t>Stage IV CNS negative</w:t>
            </w:r>
          </w:p>
        </w:tc>
        <w:tc>
          <w:tcPr>
            <w:tcW w:w="4119" w:type="dxa"/>
            <w:shd w:val="clear" w:color="auto" w:fill="auto"/>
          </w:tcPr>
          <w:p w14:paraId="7C331160" w14:textId="77777777" w:rsidR="00C90C8C" w:rsidRPr="00F638AF" w:rsidRDefault="00016F29" w:rsidP="00E06A78">
            <w:pPr>
              <w:keepNext/>
              <w:keepLines/>
              <w:rPr>
                <w:szCs w:val="22"/>
                <w:lang w:val="en-GB" w:eastAsia="en-US"/>
              </w:rPr>
            </w:pPr>
            <w:r w:rsidRPr="00F638AF">
              <w:rPr>
                <w:szCs w:val="22"/>
                <w:lang w:val="en-GB" w:eastAsia="en-US"/>
              </w:rPr>
              <w:t xml:space="preserve">Prephase followed by 4 courses: </w:t>
            </w:r>
          </w:p>
          <w:p w14:paraId="7C331161" w14:textId="77777777" w:rsidR="00C90C8C" w:rsidRPr="00F638AF" w:rsidRDefault="00016F29" w:rsidP="00E06A78">
            <w:pPr>
              <w:keepNext/>
              <w:keepLines/>
              <w:rPr>
                <w:szCs w:val="22"/>
                <w:lang w:val="en-GB" w:eastAsia="en-US"/>
              </w:rPr>
            </w:pPr>
            <w:r w:rsidRPr="00F638AF">
              <w:rPr>
                <w:szCs w:val="22"/>
                <w:lang w:val="en-GB" w:eastAsia="en-US"/>
              </w:rPr>
              <w:t>2 induction courses (COPADM) with HDMTX 3g/m</w:t>
            </w:r>
            <w:r w:rsidRPr="00F638AF">
              <w:rPr>
                <w:szCs w:val="22"/>
                <w:vertAlign w:val="superscript"/>
                <w:lang w:val="en-GB" w:eastAsia="en-US"/>
              </w:rPr>
              <w:t xml:space="preserve">2 </w:t>
            </w:r>
            <w:r w:rsidRPr="00F638AF">
              <w:rPr>
                <w:szCs w:val="22"/>
                <w:lang w:val="en-GB" w:eastAsia="en-US"/>
              </w:rPr>
              <w:t xml:space="preserve">and 2 consolidation courses (CYM) </w:t>
            </w:r>
          </w:p>
        </w:tc>
      </w:tr>
      <w:tr w:rsidR="003A788B" w14:paraId="7C331168" w14:textId="77777777" w:rsidTr="00365ACB">
        <w:trPr>
          <w:trHeight w:val="471"/>
        </w:trPr>
        <w:tc>
          <w:tcPr>
            <w:tcW w:w="1240" w:type="dxa"/>
            <w:vMerge w:val="restart"/>
            <w:shd w:val="clear" w:color="auto" w:fill="auto"/>
          </w:tcPr>
          <w:p w14:paraId="7C331163" w14:textId="77777777" w:rsidR="00C90C8C" w:rsidRPr="00F638AF" w:rsidRDefault="00016F29" w:rsidP="00E06A78">
            <w:pPr>
              <w:keepNext/>
              <w:keepLines/>
              <w:rPr>
                <w:szCs w:val="22"/>
                <w:lang w:val="en-GB" w:eastAsia="en-US"/>
              </w:rPr>
            </w:pPr>
            <w:r w:rsidRPr="00F638AF">
              <w:rPr>
                <w:szCs w:val="22"/>
                <w:lang w:val="en-GB" w:eastAsia="en-US"/>
              </w:rPr>
              <w:t>Group C</w:t>
            </w:r>
          </w:p>
        </w:tc>
        <w:tc>
          <w:tcPr>
            <w:tcW w:w="3702" w:type="dxa"/>
            <w:shd w:val="clear" w:color="auto" w:fill="auto"/>
          </w:tcPr>
          <w:p w14:paraId="7C331164" w14:textId="77777777" w:rsidR="00C90C8C" w:rsidRPr="00F638AF" w:rsidRDefault="00016F29" w:rsidP="00E06A78">
            <w:pPr>
              <w:keepNext/>
              <w:keepLines/>
              <w:rPr>
                <w:szCs w:val="22"/>
                <w:lang w:val="en-GB" w:eastAsia="en-US"/>
              </w:rPr>
            </w:pPr>
            <w:r w:rsidRPr="00F638AF">
              <w:rPr>
                <w:szCs w:val="22"/>
                <w:lang w:val="en-GB" w:eastAsia="en-US"/>
              </w:rPr>
              <w:t>Group C1:</w:t>
            </w:r>
          </w:p>
          <w:p w14:paraId="7C331165" w14:textId="77777777" w:rsidR="00C90C8C" w:rsidRPr="00F638AF" w:rsidRDefault="00016F29" w:rsidP="00E06A78">
            <w:pPr>
              <w:keepNext/>
              <w:keepLines/>
              <w:rPr>
                <w:szCs w:val="22"/>
                <w:lang w:val="en-GB" w:eastAsia="en-US"/>
              </w:rPr>
            </w:pPr>
            <w:r w:rsidRPr="00F638AF">
              <w:rPr>
                <w:szCs w:val="22"/>
                <w:lang w:val="en-GB" w:eastAsia="en-US"/>
              </w:rPr>
              <w:t>B- AL CNS negative, Stage IV &amp; BAL CNS positive and CSF negative</w:t>
            </w:r>
          </w:p>
        </w:tc>
        <w:tc>
          <w:tcPr>
            <w:tcW w:w="4119" w:type="dxa"/>
            <w:vMerge w:val="restart"/>
            <w:shd w:val="clear" w:color="auto" w:fill="auto"/>
          </w:tcPr>
          <w:p w14:paraId="7C331166" w14:textId="77777777" w:rsidR="00C90C8C" w:rsidRPr="00F638AF" w:rsidRDefault="00016F29" w:rsidP="00E06A78">
            <w:pPr>
              <w:keepNext/>
              <w:keepLines/>
              <w:rPr>
                <w:szCs w:val="22"/>
                <w:lang w:val="en-GB" w:eastAsia="en-US"/>
              </w:rPr>
            </w:pPr>
            <w:r w:rsidRPr="00F638AF">
              <w:rPr>
                <w:szCs w:val="22"/>
                <w:lang w:val="en-GB" w:eastAsia="en-US"/>
              </w:rPr>
              <w:t xml:space="preserve">Prephase followed by 6 courses: </w:t>
            </w:r>
          </w:p>
          <w:p w14:paraId="7C331167" w14:textId="77777777" w:rsidR="00C90C8C" w:rsidRPr="00F638AF" w:rsidRDefault="00016F29" w:rsidP="00E06A78">
            <w:pPr>
              <w:keepNext/>
              <w:keepLines/>
              <w:rPr>
                <w:szCs w:val="22"/>
                <w:lang w:val="en-GB" w:eastAsia="en-US"/>
              </w:rPr>
            </w:pPr>
            <w:r w:rsidRPr="00F638AF">
              <w:rPr>
                <w:szCs w:val="22"/>
                <w:lang w:val="en-GB" w:eastAsia="en-US"/>
              </w:rPr>
              <w:t xml:space="preserve">2 induction courses (COPADM) with HDMTX 8g/m², 2 consolidation courses (CYVE) and 2 maintenance courses  (M1 and M2) </w:t>
            </w:r>
          </w:p>
        </w:tc>
      </w:tr>
      <w:tr w:rsidR="003A788B" w14:paraId="7C33116D" w14:textId="77777777" w:rsidTr="00365ACB">
        <w:trPr>
          <w:trHeight w:val="471"/>
        </w:trPr>
        <w:tc>
          <w:tcPr>
            <w:tcW w:w="1240" w:type="dxa"/>
            <w:vMerge/>
            <w:shd w:val="clear" w:color="auto" w:fill="auto"/>
          </w:tcPr>
          <w:p w14:paraId="7C331169" w14:textId="77777777" w:rsidR="00C90C8C" w:rsidRPr="00F638AF" w:rsidRDefault="00C90C8C" w:rsidP="00E06A78">
            <w:pPr>
              <w:keepNext/>
              <w:keepLines/>
              <w:pBdr>
                <w:top w:val="nil"/>
                <w:left w:val="nil"/>
                <w:bottom w:val="nil"/>
                <w:right w:val="nil"/>
                <w:between w:val="nil"/>
              </w:pBdr>
              <w:spacing w:line="276" w:lineRule="auto"/>
              <w:rPr>
                <w:szCs w:val="22"/>
                <w:lang w:val="en-GB" w:eastAsia="en-US"/>
              </w:rPr>
            </w:pPr>
          </w:p>
        </w:tc>
        <w:tc>
          <w:tcPr>
            <w:tcW w:w="3702" w:type="dxa"/>
            <w:shd w:val="clear" w:color="auto" w:fill="auto"/>
          </w:tcPr>
          <w:p w14:paraId="7C33116A" w14:textId="77777777" w:rsidR="00C90C8C" w:rsidRPr="00F638AF" w:rsidRDefault="00016F29" w:rsidP="00E06A78">
            <w:pPr>
              <w:keepNext/>
              <w:keepLines/>
              <w:rPr>
                <w:szCs w:val="22"/>
                <w:lang w:val="en-GB" w:eastAsia="en-US"/>
              </w:rPr>
            </w:pPr>
            <w:r w:rsidRPr="00F638AF">
              <w:rPr>
                <w:szCs w:val="22"/>
                <w:lang w:val="en-GB" w:eastAsia="en-US"/>
              </w:rPr>
              <w:t>Group C3:</w:t>
            </w:r>
          </w:p>
          <w:p w14:paraId="7C33116B" w14:textId="77777777" w:rsidR="00C90C8C" w:rsidRPr="00F638AF" w:rsidRDefault="00016F29" w:rsidP="00E06A78">
            <w:pPr>
              <w:keepNext/>
              <w:keepLines/>
              <w:rPr>
                <w:szCs w:val="22"/>
                <w:lang w:val="en-GB" w:eastAsia="en-US"/>
              </w:rPr>
            </w:pPr>
            <w:r w:rsidRPr="00F638AF">
              <w:rPr>
                <w:szCs w:val="22"/>
                <w:lang w:val="en-GB" w:eastAsia="en-US"/>
              </w:rPr>
              <w:t>BAL CSF positive, Stage IV CSF positive</w:t>
            </w:r>
          </w:p>
        </w:tc>
        <w:tc>
          <w:tcPr>
            <w:tcW w:w="4119" w:type="dxa"/>
            <w:vMerge/>
            <w:shd w:val="clear" w:color="auto" w:fill="auto"/>
          </w:tcPr>
          <w:p w14:paraId="7C33116C" w14:textId="77777777" w:rsidR="00C90C8C" w:rsidRPr="00F638AF" w:rsidRDefault="00C90C8C" w:rsidP="00E06A78">
            <w:pPr>
              <w:keepNext/>
              <w:keepLines/>
              <w:pBdr>
                <w:top w:val="nil"/>
                <w:left w:val="nil"/>
                <w:bottom w:val="nil"/>
                <w:right w:val="nil"/>
                <w:between w:val="nil"/>
              </w:pBdr>
              <w:spacing w:line="276" w:lineRule="auto"/>
              <w:rPr>
                <w:szCs w:val="22"/>
                <w:lang w:val="en-GB" w:eastAsia="en-US"/>
              </w:rPr>
            </w:pPr>
          </w:p>
        </w:tc>
      </w:tr>
      <w:tr w:rsidR="003A788B" w14:paraId="7C33116F" w14:textId="77777777" w:rsidTr="00365ACB">
        <w:trPr>
          <w:trHeight w:val="471"/>
        </w:trPr>
        <w:tc>
          <w:tcPr>
            <w:tcW w:w="9061" w:type="dxa"/>
            <w:gridSpan w:val="3"/>
            <w:shd w:val="clear" w:color="auto" w:fill="auto"/>
          </w:tcPr>
          <w:p w14:paraId="7C33116E" w14:textId="77777777" w:rsidR="00C90C8C" w:rsidRPr="00F638AF" w:rsidRDefault="00016F29" w:rsidP="00E06A78">
            <w:pPr>
              <w:keepNext/>
              <w:keepLines/>
              <w:rPr>
                <w:szCs w:val="22"/>
                <w:lang w:val="en-GB" w:eastAsia="en-US"/>
              </w:rPr>
            </w:pPr>
            <w:r w:rsidRPr="00F638AF">
              <w:rPr>
                <w:szCs w:val="22"/>
                <w:lang w:val="en-GB" w:eastAsia="en-US"/>
              </w:rPr>
              <w:t>Consecutive courses should be given as soon as blood count recovery and patient’s condition allows except for the maintenance courses which are given at 28 day intervals</w:t>
            </w:r>
          </w:p>
        </w:tc>
      </w:tr>
      <w:tr w:rsidR="003A788B" w14:paraId="7C331171" w14:textId="77777777" w:rsidTr="00365ACB">
        <w:trPr>
          <w:trHeight w:val="471"/>
        </w:trPr>
        <w:tc>
          <w:tcPr>
            <w:tcW w:w="9061" w:type="dxa"/>
            <w:gridSpan w:val="3"/>
            <w:shd w:val="clear" w:color="auto" w:fill="auto"/>
          </w:tcPr>
          <w:p w14:paraId="7C331170" w14:textId="77777777" w:rsidR="00C90C8C" w:rsidRPr="00F638AF" w:rsidRDefault="00016F29" w:rsidP="00E06A78">
            <w:pPr>
              <w:keepNext/>
              <w:keepLines/>
              <w:spacing w:after="160" w:line="259" w:lineRule="auto"/>
              <w:rPr>
                <w:sz w:val="18"/>
                <w:szCs w:val="18"/>
                <w:lang w:val="en-GB" w:eastAsia="en-US"/>
              </w:rPr>
            </w:pPr>
            <w:r w:rsidRPr="00F638AF">
              <w:rPr>
                <w:sz w:val="18"/>
                <w:szCs w:val="18"/>
                <w:lang w:val="en-GB" w:eastAsia="en-US"/>
              </w:rPr>
              <w:t>BAL = Burkitt leukaemia (mature B-cell acute leukaemia); CSF = Cerebrospinal  Fluid; CNS = Central Nervous System; HDMTX = High-dose Methotrexate; LDH = Lactic Acid Dehydrogenase</w:t>
            </w:r>
          </w:p>
        </w:tc>
      </w:tr>
    </w:tbl>
    <w:p w14:paraId="7C331172" w14:textId="77777777" w:rsidR="00C90C8C" w:rsidRPr="00F638AF" w:rsidRDefault="00C90C8C" w:rsidP="00F638AF">
      <w:pPr>
        <w:rPr>
          <w:szCs w:val="22"/>
          <w:lang w:val="en-GB"/>
        </w:rPr>
      </w:pPr>
    </w:p>
    <w:p w14:paraId="7C331173" w14:textId="77777777" w:rsidR="00753B8B" w:rsidRPr="00F638AF" w:rsidRDefault="00016F29" w:rsidP="00A56CE7">
      <w:pPr>
        <w:pStyle w:val="TextTi12"/>
        <w:spacing w:after="0"/>
        <w:rPr>
          <w:snapToGrid w:val="0"/>
          <w:sz w:val="22"/>
          <w:szCs w:val="22"/>
          <w:u w:val="single"/>
          <w:lang w:val="en-GB"/>
        </w:rPr>
      </w:pPr>
      <w:r w:rsidRPr="00F638AF">
        <w:rPr>
          <w:snapToGrid w:val="0"/>
          <w:sz w:val="22"/>
          <w:szCs w:val="22"/>
          <w:u w:val="single"/>
          <w:lang w:val="en-GB"/>
        </w:rPr>
        <w:t>Granulomatosis with polyangiitis (GPA) and microscopic polyangiitis (MPA)</w:t>
      </w:r>
    </w:p>
    <w:p w14:paraId="7C331174" w14:textId="77777777" w:rsidR="00753B8B" w:rsidRPr="00F638AF" w:rsidRDefault="00016F29" w:rsidP="00A56CE7">
      <w:pPr>
        <w:pStyle w:val="TextTi12"/>
        <w:spacing w:after="0"/>
        <w:rPr>
          <w:i/>
          <w:snapToGrid w:val="0"/>
          <w:sz w:val="22"/>
          <w:szCs w:val="22"/>
          <w:u w:val="single"/>
          <w:lang w:val="en-GB"/>
        </w:rPr>
      </w:pPr>
      <w:r w:rsidRPr="00F638AF">
        <w:rPr>
          <w:i/>
          <w:snapToGrid w:val="0"/>
          <w:sz w:val="22"/>
          <w:szCs w:val="22"/>
          <w:u w:val="single"/>
          <w:lang w:val="en-GB"/>
        </w:rPr>
        <w:t>Induction of remission</w:t>
      </w:r>
    </w:p>
    <w:p w14:paraId="7C331175" w14:textId="351F8CAA" w:rsidR="00753B8B" w:rsidRDefault="00016F29" w:rsidP="00063D4E">
      <w:pPr>
        <w:pStyle w:val="TextTi12"/>
        <w:spacing w:after="0"/>
        <w:rPr>
          <w:sz w:val="22"/>
          <w:szCs w:val="22"/>
        </w:rPr>
      </w:pPr>
      <w:r w:rsidRPr="00D301E6">
        <w:rPr>
          <w:sz w:val="22"/>
          <w:szCs w:val="22"/>
        </w:rPr>
        <w:t xml:space="preserve">The recommended dosage of MabThera for </w:t>
      </w:r>
      <w:r w:rsidR="00143ECF" w:rsidRPr="00D301E6">
        <w:rPr>
          <w:sz w:val="22"/>
          <w:szCs w:val="22"/>
        </w:rPr>
        <w:t xml:space="preserve">induction of remission therapy in </w:t>
      </w:r>
      <w:r w:rsidRPr="00D301E6">
        <w:rPr>
          <w:sz w:val="22"/>
          <w:szCs w:val="22"/>
        </w:rPr>
        <w:t xml:space="preserve">paediatric patients with </w:t>
      </w:r>
      <w:r w:rsidR="00EB7F8F" w:rsidRPr="00D301E6">
        <w:rPr>
          <w:sz w:val="22"/>
          <w:szCs w:val="22"/>
        </w:rPr>
        <w:t xml:space="preserve">severe, </w:t>
      </w:r>
      <w:r w:rsidRPr="00D301E6">
        <w:rPr>
          <w:sz w:val="22"/>
          <w:szCs w:val="22"/>
        </w:rPr>
        <w:t>active GPA or MPA is 375 mg/m</w:t>
      </w:r>
      <w:r w:rsidRPr="00D301E6">
        <w:rPr>
          <w:sz w:val="22"/>
          <w:szCs w:val="22"/>
          <w:vertAlign w:val="superscript"/>
        </w:rPr>
        <w:t>2</w:t>
      </w:r>
      <w:r w:rsidRPr="00D301E6">
        <w:rPr>
          <w:sz w:val="22"/>
          <w:szCs w:val="22"/>
        </w:rPr>
        <w:t xml:space="preserve"> BSA, administered as an IV infusion once weekly for 4 weeks.</w:t>
      </w:r>
    </w:p>
    <w:p w14:paraId="16642BEE" w14:textId="77777777" w:rsidR="00A3583B" w:rsidRPr="00D301E6" w:rsidRDefault="00A3583B" w:rsidP="00063D4E">
      <w:pPr>
        <w:pStyle w:val="TextTi12"/>
        <w:spacing w:after="0"/>
        <w:rPr>
          <w:sz w:val="22"/>
          <w:szCs w:val="22"/>
        </w:rPr>
      </w:pPr>
    </w:p>
    <w:p w14:paraId="7C331176" w14:textId="77777777" w:rsidR="008F369D" w:rsidRPr="00D301E6" w:rsidRDefault="00016F29" w:rsidP="008F369D">
      <w:pPr>
        <w:rPr>
          <w:szCs w:val="22"/>
          <w:lang w:val="en-GB"/>
        </w:rPr>
      </w:pPr>
      <w:r w:rsidRPr="00D301E6">
        <w:rPr>
          <w:szCs w:val="22"/>
          <w:lang w:val="en-GB"/>
        </w:rPr>
        <w:t xml:space="preserve">The safety and efficacy of MabThera in </w:t>
      </w:r>
      <w:r w:rsidR="00753B8B" w:rsidRPr="00D301E6">
        <w:rPr>
          <w:szCs w:val="22"/>
          <w:lang w:val="en-GB"/>
        </w:rPr>
        <w:t>paediatric patients (≥ 2 to &lt; 18 years of age)</w:t>
      </w:r>
      <w:r w:rsidRPr="00D301E6">
        <w:rPr>
          <w:szCs w:val="22"/>
          <w:lang w:val="en-GB"/>
        </w:rPr>
        <w:t xml:space="preserve"> has not been established</w:t>
      </w:r>
      <w:r w:rsidR="00753B8B" w:rsidRPr="00D301E6">
        <w:rPr>
          <w:szCs w:val="22"/>
          <w:lang w:val="en-GB"/>
        </w:rPr>
        <w:t xml:space="preserve"> in indications other than </w:t>
      </w:r>
      <w:r w:rsidR="00EB7F8F" w:rsidRPr="00D301E6">
        <w:rPr>
          <w:szCs w:val="22"/>
          <w:lang w:val="en-GB"/>
        </w:rPr>
        <w:t xml:space="preserve">severe, </w:t>
      </w:r>
      <w:r w:rsidR="00753B8B" w:rsidRPr="00D301E6">
        <w:rPr>
          <w:szCs w:val="22"/>
          <w:lang w:val="en-GB"/>
        </w:rPr>
        <w:t>active GPA or MPA</w:t>
      </w:r>
      <w:r w:rsidRPr="00D301E6">
        <w:rPr>
          <w:szCs w:val="22"/>
          <w:lang w:val="en-GB"/>
        </w:rPr>
        <w:t>.</w:t>
      </w:r>
    </w:p>
    <w:p w14:paraId="7C331177" w14:textId="77777777" w:rsidR="00753B8B" w:rsidRDefault="00016F29" w:rsidP="00753B8B">
      <w:pPr>
        <w:rPr>
          <w:rFonts w:cs="Arial"/>
          <w:szCs w:val="22"/>
        </w:rPr>
      </w:pPr>
      <w:r w:rsidRPr="00D301E6">
        <w:rPr>
          <w:rFonts w:cs="Arial"/>
          <w:szCs w:val="22"/>
        </w:rPr>
        <w:t xml:space="preserve">MabThera should not be used in paediatric patients less than 2 years of age with </w:t>
      </w:r>
      <w:r w:rsidR="00EB7F8F" w:rsidRPr="00D301E6">
        <w:rPr>
          <w:rFonts w:cs="Arial"/>
          <w:szCs w:val="22"/>
        </w:rPr>
        <w:t xml:space="preserve">severe, </w:t>
      </w:r>
      <w:r w:rsidRPr="00D301E6">
        <w:rPr>
          <w:rFonts w:cs="Arial"/>
          <w:szCs w:val="22"/>
        </w:rPr>
        <w:t>active GPA or MPA as there is a possibility of an inadequate immune response towards childhood vaccinations against common, vaccine preventable childhood diseases (e.g. measles, mumps, rubella, and poliomyelitis) (see section 5.1).</w:t>
      </w:r>
    </w:p>
    <w:p w14:paraId="7C331178" w14:textId="77777777" w:rsidR="005E56D5" w:rsidRDefault="005E56D5" w:rsidP="00753B8B">
      <w:pPr>
        <w:rPr>
          <w:szCs w:val="22"/>
          <w:lang w:val="en-GB"/>
        </w:rPr>
      </w:pPr>
    </w:p>
    <w:p w14:paraId="7C331179" w14:textId="77777777" w:rsidR="008F369D" w:rsidRPr="00F332AF" w:rsidRDefault="00016F29" w:rsidP="008F369D">
      <w:pPr>
        <w:outlineLvl w:val="0"/>
        <w:rPr>
          <w:i/>
          <w:szCs w:val="22"/>
          <w:lang w:val="en-GB"/>
        </w:rPr>
      </w:pPr>
      <w:r w:rsidRPr="00F332AF">
        <w:rPr>
          <w:i/>
          <w:szCs w:val="22"/>
          <w:lang w:val="en-GB"/>
        </w:rPr>
        <w:t>Elderly</w:t>
      </w:r>
    </w:p>
    <w:p w14:paraId="7C33117A" w14:textId="77777777" w:rsidR="008F369D" w:rsidRPr="00F332AF" w:rsidRDefault="00016F29" w:rsidP="008F369D">
      <w:pPr>
        <w:rPr>
          <w:szCs w:val="22"/>
          <w:lang w:val="en-GB"/>
        </w:rPr>
      </w:pPr>
      <w:r w:rsidRPr="00F332AF">
        <w:rPr>
          <w:szCs w:val="22"/>
          <w:lang w:val="en-GB"/>
        </w:rPr>
        <w:t>No dose adjustment is required in elderly patients (aged &gt;65 years).</w:t>
      </w:r>
    </w:p>
    <w:p w14:paraId="7C33117B" w14:textId="77777777" w:rsidR="008F369D" w:rsidRPr="00F332AF" w:rsidRDefault="008F369D" w:rsidP="008F369D">
      <w:pPr>
        <w:rPr>
          <w:szCs w:val="22"/>
          <w:lang w:val="en-GB"/>
        </w:rPr>
      </w:pPr>
    </w:p>
    <w:p w14:paraId="7C33117C" w14:textId="77777777" w:rsidR="008F369D" w:rsidRPr="00F332AF" w:rsidRDefault="00016F29" w:rsidP="00E454FF">
      <w:pPr>
        <w:keepNext/>
        <w:keepLines/>
        <w:ind w:left="567" w:hanging="567"/>
        <w:outlineLvl w:val="0"/>
        <w:rPr>
          <w:szCs w:val="22"/>
          <w:u w:val="single"/>
          <w:lang w:val="en-GB"/>
        </w:rPr>
      </w:pPr>
      <w:r w:rsidRPr="00F332AF">
        <w:rPr>
          <w:szCs w:val="22"/>
          <w:u w:val="single"/>
          <w:lang w:val="en-GB"/>
        </w:rPr>
        <w:t>Method of administration</w:t>
      </w:r>
    </w:p>
    <w:p w14:paraId="7C33117D" w14:textId="77777777" w:rsidR="008F369D" w:rsidRPr="00F332AF" w:rsidRDefault="008F369D" w:rsidP="00E454FF">
      <w:pPr>
        <w:keepNext/>
        <w:keepLines/>
        <w:rPr>
          <w:lang w:val="en-GB"/>
        </w:rPr>
      </w:pPr>
    </w:p>
    <w:p w14:paraId="7C33117E" w14:textId="77777777" w:rsidR="008F369D" w:rsidRPr="00F332AF" w:rsidRDefault="00016F29" w:rsidP="00E454FF">
      <w:pPr>
        <w:keepNext/>
        <w:keepLines/>
        <w:rPr>
          <w:b/>
          <w:szCs w:val="22"/>
          <w:lang w:val="en-GB"/>
        </w:rPr>
      </w:pPr>
      <w:r w:rsidRPr="00F332AF">
        <w:rPr>
          <w:szCs w:val="22"/>
          <w:lang w:val="en-GB"/>
        </w:rPr>
        <w:t>The prepared MabThera solution should be administered as an intravenous infusion through a dedicated line. It should not be administered as an intravenous push or bolus.</w:t>
      </w:r>
    </w:p>
    <w:p w14:paraId="7C33117F" w14:textId="77777777" w:rsidR="008F369D" w:rsidRPr="00F332AF" w:rsidRDefault="008F369D" w:rsidP="008F369D">
      <w:pPr>
        <w:rPr>
          <w:b/>
          <w:szCs w:val="22"/>
          <w:lang w:val="en-GB"/>
        </w:rPr>
      </w:pPr>
    </w:p>
    <w:p w14:paraId="7C331180" w14:textId="77777777" w:rsidR="008F369D" w:rsidRPr="00015B1B" w:rsidRDefault="00016F29" w:rsidP="008F369D">
      <w:pPr>
        <w:rPr>
          <w:szCs w:val="22"/>
          <w:lang w:val="en-GB"/>
        </w:rPr>
      </w:pPr>
      <w:r w:rsidRPr="00015B1B">
        <w:rPr>
          <w:szCs w:val="22"/>
          <w:lang w:val="en-GB"/>
        </w:rPr>
        <w:t>Patients should be closely monitored for the onset of cytokine release syndrome (see section 4.4). Patients who develop evidence of severe reactions, especially severe dyspnoea, bronchospasm or hypoxia should have the infusion interrupted immediately. Patients with non</w:t>
      </w:r>
      <w:r w:rsidR="000A6DDA" w:rsidRPr="00015B1B">
        <w:rPr>
          <w:szCs w:val="22"/>
          <w:lang w:val="en-GB"/>
        </w:rPr>
        <w:noBreakHyphen/>
      </w:r>
      <w:r w:rsidRPr="00015B1B">
        <w:rPr>
          <w:szCs w:val="22"/>
          <w:lang w:val="en-GB"/>
        </w:rPr>
        <w:t>Hodgkin’s lymphoma should then be evaluated for evidence of tumour lysis syndrome including appropriate laboratory tests and, for pulmonary infiltration, with a chest X</w:t>
      </w:r>
      <w:r w:rsidR="000A6DDA" w:rsidRPr="00015B1B">
        <w:rPr>
          <w:szCs w:val="22"/>
          <w:lang w:val="en-GB"/>
        </w:rPr>
        <w:noBreakHyphen/>
      </w:r>
      <w:r w:rsidRPr="00015B1B">
        <w:rPr>
          <w:szCs w:val="22"/>
          <w:lang w:val="en-GB"/>
        </w:rPr>
        <w:t>ray. In all patients, the infusion should not be restarted until complete resolution of all symptoms, and normalisation of laboratory values and chest X</w:t>
      </w:r>
      <w:r w:rsidR="000A6DDA" w:rsidRPr="00015B1B">
        <w:rPr>
          <w:szCs w:val="22"/>
          <w:lang w:val="en-GB"/>
        </w:rPr>
        <w:noBreakHyphen/>
      </w:r>
      <w:r w:rsidRPr="00015B1B">
        <w:rPr>
          <w:szCs w:val="22"/>
          <w:lang w:val="en-GB"/>
        </w:rPr>
        <w:t>ray</w:t>
      </w:r>
      <w:r w:rsidRPr="00F332AF">
        <w:rPr>
          <w:szCs w:val="22"/>
          <w:lang w:val="en-GB"/>
        </w:rPr>
        <w:t xml:space="preserve"> </w:t>
      </w:r>
      <w:r w:rsidRPr="00015B1B">
        <w:rPr>
          <w:szCs w:val="22"/>
          <w:lang w:val="en-GB"/>
        </w:rPr>
        <w:t>findings. At this time, the infusion can be initially resumed at not more than one</w:t>
      </w:r>
      <w:r w:rsidR="000A6DDA" w:rsidRPr="00015B1B">
        <w:rPr>
          <w:szCs w:val="22"/>
          <w:lang w:val="en-GB"/>
        </w:rPr>
        <w:noBreakHyphen/>
      </w:r>
      <w:r w:rsidRPr="00015B1B">
        <w:rPr>
          <w:szCs w:val="22"/>
          <w:lang w:val="en-GB"/>
        </w:rPr>
        <w:t>half the previous rate. If the same severe adverse reactions occur for a second time, the decision to stop the treatment should be seriously considered on a case by case basis.</w:t>
      </w:r>
    </w:p>
    <w:p w14:paraId="7C331181" w14:textId="77777777" w:rsidR="008F369D" w:rsidRPr="00F332AF" w:rsidRDefault="008F369D" w:rsidP="008F369D">
      <w:pPr>
        <w:rPr>
          <w:szCs w:val="22"/>
          <w:lang w:val="en-GB"/>
        </w:rPr>
      </w:pPr>
    </w:p>
    <w:p w14:paraId="7C331182" w14:textId="77777777" w:rsidR="008F369D" w:rsidRPr="00015B1B" w:rsidRDefault="00016F29" w:rsidP="008F369D">
      <w:pPr>
        <w:keepNext/>
        <w:keepLines/>
        <w:rPr>
          <w:szCs w:val="22"/>
          <w:lang w:val="en-GB"/>
        </w:rPr>
      </w:pPr>
      <w:r w:rsidRPr="00015B1B">
        <w:rPr>
          <w:szCs w:val="22"/>
          <w:lang w:val="en-GB"/>
        </w:rPr>
        <w:t>Mild or moderate infusion</w:t>
      </w:r>
      <w:r w:rsidR="000A6DDA" w:rsidRPr="00015B1B">
        <w:rPr>
          <w:szCs w:val="22"/>
          <w:lang w:val="en-GB"/>
        </w:rPr>
        <w:noBreakHyphen/>
      </w:r>
      <w:r w:rsidRPr="00015B1B">
        <w:rPr>
          <w:szCs w:val="22"/>
          <w:lang w:val="en-GB"/>
        </w:rPr>
        <w:t xml:space="preserve">related reactions (IRR) (section 4.8) usually respond to a reduction in the rate of infusion. The infusion rate may be increased upon improvement of symptoms. </w:t>
      </w:r>
    </w:p>
    <w:p w14:paraId="7C331183" w14:textId="77777777" w:rsidR="008F369D" w:rsidRPr="00015B1B" w:rsidRDefault="008F369D" w:rsidP="008F369D">
      <w:pPr>
        <w:rPr>
          <w:szCs w:val="22"/>
          <w:lang w:val="en-GB"/>
        </w:rPr>
      </w:pPr>
    </w:p>
    <w:p w14:paraId="7C331184" w14:textId="77777777" w:rsidR="008F369D" w:rsidRPr="00B27B84" w:rsidRDefault="00016F29" w:rsidP="008F369D">
      <w:pPr>
        <w:keepNext/>
        <w:keepLines/>
        <w:rPr>
          <w:szCs w:val="22"/>
          <w:u w:val="single"/>
          <w:lang w:val="en-GB"/>
        </w:rPr>
      </w:pPr>
      <w:r w:rsidRPr="00B27B84">
        <w:rPr>
          <w:szCs w:val="22"/>
          <w:u w:val="single"/>
          <w:lang w:val="en-GB"/>
        </w:rPr>
        <w:t>First infusion</w:t>
      </w:r>
    </w:p>
    <w:p w14:paraId="7C331185" w14:textId="77777777" w:rsidR="008F369D" w:rsidRDefault="008F369D" w:rsidP="008F369D">
      <w:pPr>
        <w:keepNext/>
        <w:keepLines/>
        <w:rPr>
          <w:szCs w:val="22"/>
          <w:lang w:val="en-GB"/>
        </w:rPr>
      </w:pPr>
    </w:p>
    <w:p w14:paraId="7C331186" w14:textId="77777777" w:rsidR="008F369D" w:rsidRPr="00F332AF" w:rsidRDefault="00016F29" w:rsidP="008F369D">
      <w:pPr>
        <w:keepNext/>
        <w:keepLines/>
        <w:rPr>
          <w:szCs w:val="22"/>
          <w:lang w:val="en-GB"/>
        </w:rPr>
      </w:pPr>
      <w:r w:rsidRPr="00F332AF">
        <w:rPr>
          <w:szCs w:val="22"/>
          <w:lang w:val="en-GB"/>
        </w:rPr>
        <w:t>The recommended initial rate for infusion is 50 mg/h; after the first 30 minutes, it can be escalated in 50 mg/h increments every 30 minutes, to a maximum of 400 mg/h.</w:t>
      </w:r>
    </w:p>
    <w:p w14:paraId="7C331187" w14:textId="77777777" w:rsidR="008F369D" w:rsidRPr="00F332AF" w:rsidRDefault="008F369D" w:rsidP="008F369D">
      <w:pPr>
        <w:rPr>
          <w:szCs w:val="22"/>
          <w:lang w:val="en-GB"/>
        </w:rPr>
      </w:pPr>
    </w:p>
    <w:p w14:paraId="7C331188" w14:textId="77777777" w:rsidR="008F369D" w:rsidRPr="006A1520" w:rsidRDefault="00016F29" w:rsidP="008F369D">
      <w:pPr>
        <w:keepNext/>
        <w:keepLines/>
        <w:rPr>
          <w:i/>
          <w:szCs w:val="22"/>
          <w:lang w:val="en-GB"/>
        </w:rPr>
      </w:pPr>
      <w:r w:rsidRPr="00B27B84">
        <w:rPr>
          <w:szCs w:val="22"/>
          <w:u w:val="single"/>
          <w:lang w:val="en-GB"/>
        </w:rPr>
        <w:t>Subseque</w:t>
      </w:r>
      <w:r w:rsidRPr="006A1520">
        <w:rPr>
          <w:szCs w:val="22"/>
          <w:u w:val="single"/>
          <w:lang w:val="en-GB"/>
        </w:rPr>
        <w:t xml:space="preserve">nt infusions </w:t>
      </w:r>
    </w:p>
    <w:p w14:paraId="7C331189" w14:textId="77777777" w:rsidR="008F369D" w:rsidRPr="006A1520" w:rsidRDefault="008F369D" w:rsidP="008F369D">
      <w:pPr>
        <w:rPr>
          <w:i/>
          <w:szCs w:val="22"/>
          <w:lang w:val="en-GB"/>
        </w:rPr>
      </w:pPr>
    </w:p>
    <w:p w14:paraId="7C33118A" w14:textId="77777777" w:rsidR="008F369D" w:rsidRPr="00F638AF" w:rsidRDefault="00016F29" w:rsidP="008F369D">
      <w:pPr>
        <w:rPr>
          <w:i/>
          <w:szCs w:val="22"/>
          <w:lang w:val="en-GB"/>
        </w:rPr>
      </w:pPr>
      <w:r w:rsidRPr="00F638AF">
        <w:rPr>
          <w:i/>
          <w:szCs w:val="22"/>
          <w:lang w:val="en-GB"/>
        </w:rPr>
        <w:t>All indications</w:t>
      </w:r>
    </w:p>
    <w:p w14:paraId="7C33118B" w14:textId="77777777" w:rsidR="008F369D" w:rsidRPr="00F638AF" w:rsidRDefault="008F369D" w:rsidP="008F369D">
      <w:pPr>
        <w:rPr>
          <w:szCs w:val="22"/>
          <w:lang w:val="en-GB"/>
        </w:rPr>
      </w:pPr>
    </w:p>
    <w:p w14:paraId="7C33118C" w14:textId="77777777" w:rsidR="008F369D" w:rsidRPr="00F638AF" w:rsidRDefault="00016F29" w:rsidP="008F369D">
      <w:pPr>
        <w:rPr>
          <w:szCs w:val="22"/>
          <w:lang w:val="en-GB"/>
        </w:rPr>
      </w:pPr>
      <w:r w:rsidRPr="00F638AF">
        <w:rPr>
          <w:szCs w:val="22"/>
          <w:lang w:val="en-GB"/>
        </w:rPr>
        <w:t>Subsequent doses of MabThera can be infused at an initial rate of 100 mg/h, and increased by 100 mg/h increments at 30 minute intervals, to a maximum of 400 mg/h.</w:t>
      </w:r>
    </w:p>
    <w:p w14:paraId="7C33118D" w14:textId="77777777" w:rsidR="00176335" w:rsidRPr="00A47FF6" w:rsidRDefault="00176335" w:rsidP="008F369D">
      <w:pPr>
        <w:rPr>
          <w:lang w:val="en-GB"/>
        </w:rPr>
      </w:pPr>
    </w:p>
    <w:p w14:paraId="7C33118E" w14:textId="77777777" w:rsidR="00176335" w:rsidRPr="00F638AF" w:rsidRDefault="00016F29" w:rsidP="00176335">
      <w:pPr>
        <w:rPr>
          <w:i/>
          <w:szCs w:val="22"/>
          <w:lang w:val="en-GB"/>
        </w:rPr>
      </w:pPr>
      <w:r w:rsidRPr="00F638AF">
        <w:rPr>
          <w:i/>
          <w:szCs w:val="22"/>
          <w:lang w:val="en-GB"/>
        </w:rPr>
        <w:t>Paediatric patients – non-Hodgkin’s lymphoma</w:t>
      </w:r>
    </w:p>
    <w:p w14:paraId="7C33118F" w14:textId="77777777" w:rsidR="00176335" w:rsidRPr="00F638AF" w:rsidRDefault="00176335" w:rsidP="00176335">
      <w:pPr>
        <w:rPr>
          <w:szCs w:val="22"/>
          <w:lang w:val="en-GB"/>
        </w:rPr>
      </w:pPr>
    </w:p>
    <w:p w14:paraId="7C331190" w14:textId="77777777" w:rsidR="00176335" w:rsidRPr="00F638AF" w:rsidRDefault="00016F29" w:rsidP="00176335">
      <w:pPr>
        <w:rPr>
          <w:szCs w:val="22"/>
          <w:lang w:val="en-GB"/>
        </w:rPr>
      </w:pPr>
      <w:r w:rsidRPr="00F638AF">
        <w:rPr>
          <w:szCs w:val="22"/>
          <w:lang w:val="en-GB"/>
        </w:rPr>
        <w:t xml:space="preserve">First infusion </w:t>
      </w:r>
    </w:p>
    <w:p w14:paraId="7C331191" w14:textId="77777777" w:rsidR="00176335" w:rsidRPr="00F638AF" w:rsidRDefault="00176335" w:rsidP="00176335">
      <w:pPr>
        <w:rPr>
          <w:szCs w:val="22"/>
          <w:lang w:val="en-GB"/>
        </w:rPr>
      </w:pPr>
    </w:p>
    <w:p w14:paraId="7C331192" w14:textId="77777777" w:rsidR="00176335" w:rsidRPr="00F638AF" w:rsidRDefault="00016F29" w:rsidP="00176335">
      <w:pPr>
        <w:rPr>
          <w:szCs w:val="22"/>
          <w:lang w:val="en-GB"/>
        </w:rPr>
      </w:pPr>
      <w:r w:rsidRPr="00F638AF">
        <w:rPr>
          <w:szCs w:val="22"/>
          <w:lang w:val="en-GB"/>
        </w:rPr>
        <w:t>The recommended initial rate for infusion is 0.5 mg/kg/h (maximum 50 mg/h); it can be escalated by 0.5 mg/kg/h every 30 minutes if there is no hypersensitivity or infusion-related reactions, to a maximum of 400 mg/h.</w:t>
      </w:r>
    </w:p>
    <w:p w14:paraId="7C331193" w14:textId="77777777" w:rsidR="00176335" w:rsidRPr="00F638AF" w:rsidRDefault="00176335" w:rsidP="00176335">
      <w:pPr>
        <w:rPr>
          <w:szCs w:val="22"/>
          <w:lang w:val="en-GB"/>
        </w:rPr>
      </w:pPr>
    </w:p>
    <w:p w14:paraId="7C331194" w14:textId="77777777" w:rsidR="00176335" w:rsidRPr="00F638AF" w:rsidRDefault="00016F29" w:rsidP="00176335">
      <w:pPr>
        <w:rPr>
          <w:szCs w:val="22"/>
          <w:lang w:val="en-GB"/>
        </w:rPr>
      </w:pPr>
      <w:r w:rsidRPr="00F638AF">
        <w:rPr>
          <w:szCs w:val="22"/>
          <w:lang w:val="en-GB"/>
        </w:rPr>
        <w:t xml:space="preserve">Subsequent infusions </w:t>
      </w:r>
    </w:p>
    <w:p w14:paraId="7C331195" w14:textId="77777777" w:rsidR="00176335" w:rsidRPr="00F638AF" w:rsidRDefault="00176335" w:rsidP="00176335">
      <w:pPr>
        <w:rPr>
          <w:szCs w:val="22"/>
          <w:lang w:val="en-GB"/>
        </w:rPr>
      </w:pPr>
    </w:p>
    <w:p w14:paraId="7C331196" w14:textId="77777777" w:rsidR="00176335" w:rsidRPr="006A1520" w:rsidRDefault="00016F29" w:rsidP="00176335">
      <w:pPr>
        <w:rPr>
          <w:szCs w:val="22"/>
          <w:lang w:val="en-GB"/>
        </w:rPr>
      </w:pPr>
      <w:r w:rsidRPr="00F638AF">
        <w:rPr>
          <w:szCs w:val="22"/>
          <w:lang w:val="en-GB"/>
        </w:rPr>
        <w:t>Subsequent doses of MabThera can be infused at an initial rate of 1 mg/kg/h (maximum 50 mg/h); it can be increased by 1 mg/kg/h every 30 minutes to a maximum of 400 mg/h.</w:t>
      </w:r>
    </w:p>
    <w:p w14:paraId="7C331197" w14:textId="77777777" w:rsidR="008F369D" w:rsidRPr="006A1520" w:rsidRDefault="008F369D" w:rsidP="008F369D">
      <w:pPr>
        <w:rPr>
          <w:i/>
          <w:lang w:val="en-GB"/>
        </w:rPr>
      </w:pPr>
    </w:p>
    <w:p w14:paraId="7C331198" w14:textId="77777777" w:rsidR="008F369D" w:rsidRPr="006A1520" w:rsidRDefault="00016F29" w:rsidP="0099733D">
      <w:pPr>
        <w:keepNext/>
        <w:keepLines/>
        <w:rPr>
          <w:i/>
          <w:szCs w:val="22"/>
          <w:lang w:val="en-GB"/>
        </w:rPr>
      </w:pPr>
      <w:r w:rsidRPr="006A1520">
        <w:rPr>
          <w:i/>
          <w:szCs w:val="22"/>
          <w:lang w:val="en-GB"/>
        </w:rPr>
        <w:t xml:space="preserve">Rheumatoid arthritis only </w:t>
      </w:r>
    </w:p>
    <w:p w14:paraId="7C331199" w14:textId="77777777" w:rsidR="008F369D" w:rsidRPr="0053610E" w:rsidRDefault="008F369D" w:rsidP="0099733D">
      <w:pPr>
        <w:keepNext/>
        <w:keepLines/>
        <w:rPr>
          <w:i/>
          <w:lang w:val="en-GB"/>
        </w:rPr>
      </w:pPr>
    </w:p>
    <w:p w14:paraId="7C33119A" w14:textId="77777777" w:rsidR="008F369D" w:rsidRPr="006A1520" w:rsidRDefault="00016F29" w:rsidP="0099733D">
      <w:pPr>
        <w:keepNext/>
        <w:keepLines/>
        <w:rPr>
          <w:szCs w:val="22"/>
          <w:lang w:val="en-GB"/>
        </w:rPr>
      </w:pPr>
      <w:r w:rsidRPr="006A1520">
        <w:rPr>
          <w:szCs w:val="22"/>
          <w:lang w:val="en-GB"/>
        </w:rPr>
        <w:t>Alternative subsequent, faster, infusion schedule</w:t>
      </w:r>
    </w:p>
    <w:p w14:paraId="7C33119B" w14:textId="77777777" w:rsidR="008F369D" w:rsidRPr="006A1520" w:rsidRDefault="008F369D" w:rsidP="0099733D">
      <w:pPr>
        <w:keepNext/>
        <w:keepLines/>
        <w:rPr>
          <w:szCs w:val="22"/>
          <w:lang w:val="en-GB"/>
        </w:rPr>
      </w:pPr>
    </w:p>
    <w:p w14:paraId="7C33119C" w14:textId="77777777" w:rsidR="008F369D" w:rsidRPr="006A1520" w:rsidRDefault="00016F29" w:rsidP="0099733D">
      <w:pPr>
        <w:keepNext/>
        <w:keepLines/>
        <w:rPr>
          <w:szCs w:val="22"/>
          <w:lang w:val="en-GB"/>
        </w:rPr>
      </w:pPr>
      <w:r w:rsidRPr="006A1520">
        <w:rPr>
          <w:szCs w:val="22"/>
          <w:lang w:val="en-GB"/>
        </w:rPr>
        <w:t>If patients did not experience a serious infusion</w:t>
      </w:r>
      <w:r w:rsidR="00990498">
        <w:rPr>
          <w:szCs w:val="22"/>
          <w:lang w:val="en-GB"/>
        </w:rPr>
        <w:t>-</w:t>
      </w:r>
      <w:r w:rsidRPr="006A1520">
        <w:rPr>
          <w:szCs w:val="22"/>
          <w:lang w:val="en-GB"/>
        </w:rPr>
        <w:t>related reaction with their first or subsequent infusions</w:t>
      </w:r>
      <w:r w:rsidR="00A95824">
        <w:rPr>
          <w:szCs w:val="22"/>
          <w:lang w:val="en-GB"/>
        </w:rPr>
        <w:t xml:space="preserve"> </w:t>
      </w:r>
      <w:r w:rsidRPr="006A1520">
        <w:rPr>
          <w:szCs w:val="22"/>
          <w:lang w:val="en-GB"/>
        </w:rPr>
        <w:t>of a dose of 1000</w:t>
      </w:r>
      <w:r w:rsidR="00A95824">
        <w:rPr>
          <w:szCs w:val="22"/>
          <w:lang w:val="en-GB"/>
        </w:rPr>
        <w:t> </w:t>
      </w:r>
      <w:r w:rsidRPr="006A1520">
        <w:rPr>
          <w:szCs w:val="22"/>
          <w:lang w:val="en-GB"/>
        </w:rPr>
        <w:t>mg MabThera administered over the standard infusion schedule, a more rapid</w:t>
      </w:r>
      <w:r w:rsidR="00A95824">
        <w:rPr>
          <w:szCs w:val="22"/>
          <w:lang w:val="en-GB"/>
        </w:rPr>
        <w:t xml:space="preserve"> </w:t>
      </w:r>
      <w:r w:rsidRPr="006A1520">
        <w:rPr>
          <w:szCs w:val="22"/>
          <w:lang w:val="en-GB"/>
        </w:rPr>
        <w:t>infusion can be administered for</w:t>
      </w:r>
      <w:r w:rsidR="00A95824">
        <w:rPr>
          <w:szCs w:val="22"/>
          <w:lang w:val="en-GB"/>
        </w:rPr>
        <w:t xml:space="preserve"> </w:t>
      </w:r>
      <w:r w:rsidRPr="006A1520">
        <w:rPr>
          <w:szCs w:val="22"/>
          <w:lang w:val="en-GB"/>
        </w:rPr>
        <w:t>second and</w:t>
      </w:r>
      <w:r w:rsidR="00A95824">
        <w:rPr>
          <w:szCs w:val="22"/>
          <w:lang w:val="en-GB"/>
        </w:rPr>
        <w:t xml:space="preserve"> </w:t>
      </w:r>
      <w:r w:rsidRPr="006A1520">
        <w:rPr>
          <w:szCs w:val="22"/>
          <w:lang w:val="en-GB"/>
        </w:rPr>
        <w:t>subsequent infusions using the same concentration as in previous infusions (4</w:t>
      </w:r>
      <w:r w:rsidR="00A95824">
        <w:rPr>
          <w:szCs w:val="22"/>
          <w:lang w:val="en-GB"/>
        </w:rPr>
        <w:t> </w:t>
      </w:r>
      <w:r w:rsidRPr="006A1520">
        <w:rPr>
          <w:szCs w:val="22"/>
          <w:lang w:val="en-GB"/>
        </w:rPr>
        <w:t>mg/mL in a</w:t>
      </w:r>
      <w:r w:rsidR="00A95824">
        <w:rPr>
          <w:szCs w:val="22"/>
          <w:lang w:val="en-GB"/>
        </w:rPr>
        <w:t xml:space="preserve"> </w:t>
      </w:r>
      <w:r w:rsidRPr="006A1520">
        <w:rPr>
          <w:szCs w:val="22"/>
          <w:lang w:val="en-GB"/>
        </w:rPr>
        <w:t>250</w:t>
      </w:r>
      <w:r w:rsidR="00A95824">
        <w:rPr>
          <w:szCs w:val="22"/>
          <w:lang w:val="en-GB"/>
        </w:rPr>
        <w:t> </w:t>
      </w:r>
      <w:r w:rsidRPr="006A1520">
        <w:rPr>
          <w:szCs w:val="22"/>
          <w:lang w:val="en-GB"/>
        </w:rPr>
        <w:t xml:space="preserve">mL volume). Initiate at a rate of </w:t>
      </w:r>
      <w:r w:rsidR="007830E0" w:rsidRPr="006A1520">
        <w:rPr>
          <w:szCs w:val="22"/>
          <w:lang w:val="en-GB"/>
        </w:rPr>
        <w:t>250</w:t>
      </w:r>
      <w:r w:rsidR="00A95824">
        <w:rPr>
          <w:szCs w:val="22"/>
          <w:lang w:val="en-GB"/>
        </w:rPr>
        <w:t> </w:t>
      </w:r>
      <w:r w:rsidR="007830E0" w:rsidRPr="006A1520">
        <w:rPr>
          <w:szCs w:val="22"/>
          <w:lang w:val="en-GB"/>
        </w:rPr>
        <w:t>mg</w:t>
      </w:r>
      <w:r w:rsidRPr="006A1520">
        <w:rPr>
          <w:szCs w:val="22"/>
          <w:lang w:val="en-GB"/>
        </w:rPr>
        <w:t>/hour for the first 30 minutes and then 600</w:t>
      </w:r>
      <w:r w:rsidR="00A95824">
        <w:rPr>
          <w:szCs w:val="22"/>
          <w:lang w:val="en-GB"/>
        </w:rPr>
        <w:t> </w:t>
      </w:r>
      <w:r w:rsidRPr="006A1520">
        <w:rPr>
          <w:szCs w:val="22"/>
          <w:lang w:val="en-GB"/>
        </w:rPr>
        <w:t>mg/hour for the next 90 minutes. If the more rapid infusion is tolerated, this infusion schedule can be used when administering subsequent infusions.</w:t>
      </w:r>
    </w:p>
    <w:p w14:paraId="7C33119D" w14:textId="77777777" w:rsidR="008F369D" w:rsidRPr="006A1520" w:rsidRDefault="008F369D" w:rsidP="008F369D">
      <w:pPr>
        <w:rPr>
          <w:szCs w:val="22"/>
          <w:lang w:val="en-GB"/>
        </w:rPr>
      </w:pPr>
    </w:p>
    <w:p w14:paraId="7C33119E" w14:textId="77777777" w:rsidR="008F369D" w:rsidRPr="006A1520" w:rsidRDefault="00016F29" w:rsidP="008F369D">
      <w:pPr>
        <w:rPr>
          <w:szCs w:val="22"/>
          <w:lang w:val="en-GB"/>
        </w:rPr>
      </w:pPr>
      <w:r w:rsidRPr="006A1520">
        <w:rPr>
          <w:szCs w:val="22"/>
          <w:lang w:val="en-GB"/>
        </w:rPr>
        <w:t>Patients who have clinically significant cardiovascular disease, including arrhythmias, or previous serious infusion reactions to any prior biologic therapy or to rituximab, should not be administered the more rapid infusion.</w:t>
      </w:r>
    </w:p>
    <w:p w14:paraId="7C33119F" w14:textId="77777777" w:rsidR="008F369D" w:rsidRPr="00F332AF" w:rsidRDefault="008F369D" w:rsidP="008F369D">
      <w:pPr>
        <w:rPr>
          <w:szCs w:val="22"/>
          <w:lang w:val="en-GB"/>
        </w:rPr>
      </w:pPr>
    </w:p>
    <w:p w14:paraId="7C3311A0" w14:textId="77777777" w:rsidR="008F369D" w:rsidRPr="00F332AF" w:rsidRDefault="00016F29" w:rsidP="00E454FF">
      <w:pPr>
        <w:keepNext/>
        <w:keepLines/>
        <w:ind w:left="567" w:hanging="567"/>
        <w:outlineLvl w:val="0"/>
        <w:rPr>
          <w:szCs w:val="22"/>
          <w:lang w:val="en-GB"/>
        </w:rPr>
      </w:pPr>
      <w:r w:rsidRPr="00F332AF">
        <w:rPr>
          <w:b/>
          <w:szCs w:val="22"/>
          <w:lang w:val="en-GB"/>
        </w:rPr>
        <w:t>4.3</w:t>
      </w:r>
      <w:r w:rsidRPr="00F332AF">
        <w:rPr>
          <w:b/>
          <w:szCs w:val="22"/>
          <w:lang w:val="en-GB"/>
        </w:rPr>
        <w:tab/>
        <w:t>Contraindications</w:t>
      </w:r>
    </w:p>
    <w:p w14:paraId="7C3311A1" w14:textId="77777777" w:rsidR="008F369D" w:rsidRPr="00F332AF" w:rsidRDefault="008F369D" w:rsidP="00E454FF">
      <w:pPr>
        <w:keepNext/>
        <w:keepLines/>
        <w:ind w:left="567" w:hanging="567"/>
        <w:rPr>
          <w:szCs w:val="22"/>
          <w:lang w:val="en-GB"/>
        </w:rPr>
      </w:pPr>
    </w:p>
    <w:p w14:paraId="7C3311A2" w14:textId="77777777" w:rsidR="008F369D" w:rsidRPr="00015B1B" w:rsidRDefault="00016F29" w:rsidP="00E454FF">
      <w:pPr>
        <w:keepNext/>
        <w:keepLines/>
        <w:ind w:left="567" w:hanging="567"/>
        <w:outlineLvl w:val="0"/>
        <w:rPr>
          <w:szCs w:val="22"/>
          <w:u w:val="single"/>
          <w:lang w:val="en-GB"/>
        </w:rPr>
      </w:pPr>
      <w:r w:rsidRPr="00015B1B">
        <w:rPr>
          <w:u w:val="single"/>
          <w:lang w:val="en-GB"/>
        </w:rPr>
        <w:t>Contraindications for use in non</w:t>
      </w:r>
      <w:r w:rsidR="000A6DDA" w:rsidRPr="00015B1B">
        <w:rPr>
          <w:u w:val="single"/>
          <w:lang w:val="en-GB"/>
        </w:rPr>
        <w:noBreakHyphen/>
      </w:r>
      <w:r w:rsidRPr="00015B1B">
        <w:rPr>
          <w:u w:val="single"/>
          <w:lang w:val="en-GB"/>
        </w:rPr>
        <w:t>Hodgkin’s lymphoma and chronic lymphocytic leukaemia</w:t>
      </w:r>
      <w:r w:rsidRPr="00015B1B">
        <w:rPr>
          <w:szCs w:val="22"/>
          <w:u w:val="single"/>
          <w:lang w:val="en-GB"/>
        </w:rPr>
        <w:t xml:space="preserve"> </w:t>
      </w:r>
    </w:p>
    <w:p w14:paraId="7C3311A3" w14:textId="77777777" w:rsidR="008F369D" w:rsidRPr="00F332AF" w:rsidRDefault="008F369D" w:rsidP="00E454FF">
      <w:pPr>
        <w:keepNext/>
        <w:keepLines/>
        <w:rPr>
          <w:b/>
          <w:szCs w:val="22"/>
          <w:lang w:val="en-GB"/>
        </w:rPr>
      </w:pPr>
    </w:p>
    <w:p w14:paraId="7C3311A4" w14:textId="77777777" w:rsidR="008F369D" w:rsidRPr="00F332AF" w:rsidRDefault="00016F29" w:rsidP="008F369D">
      <w:pPr>
        <w:outlineLvl w:val="0"/>
        <w:rPr>
          <w:szCs w:val="22"/>
          <w:lang w:val="en-GB"/>
        </w:rPr>
      </w:pPr>
      <w:r w:rsidRPr="00F332AF">
        <w:rPr>
          <w:szCs w:val="22"/>
          <w:lang w:val="en-GB"/>
        </w:rPr>
        <w:t>Hypersensitivity to the active substance or to murine proteins</w:t>
      </w:r>
      <w:r>
        <w:rPr>
          <w:szCs w:val="22"/>
          <w:lang w:val="en-GB"/>
        </w:rPr>
        <w:t>,</w:t>
      </w:r>
      <w:r w:rsidRPr="00F332AF">
        <w:rPr>
          <w:szCs w:val="22"/>
          <w:lang w:val="en-GB"/>
        </w:rPr>
        <w:t xml:space="preserve"> or to any of the </w:t>
      </w:r>
      <w:r>
        <w:rPr>
          <w:szCs w:val="22"/>
          <w:lang w:val="en-GB"/>
        </w:rPr>
        <w:t xml:space="preserve">other </w:t>
      </w:r>
      <w:r w:rsidRPr="00F332AF">
        <w:rPr>
          <w:szCs w:val="22"/>
          <w:lang w:val="en-GB"/>
        </w:rPr>
        <w:t>excipients listed in section 6.1.</w:t>
      </w:r>
    </w:p>
    <w:p w14:paraId="7C3311A5" w14:textId="77777777" w:rsidR="008F369D" w:rsidRPr="00F332AF" w:rsidRDefault="008F369D" w:rsidP="006522A3">
      <w:pPr>
        <w:rPr>
          <w:lang w:val="en-GB"/>
        </w:rPr>
      </w:pPr>
    </w:p>
    <w:p w14:paraId="7C3311A6" w14:textId="77777777" w:rsidR="008F369D" w:rsidRPr="00F332AF" w:rsidRDefault="00016F29" w:rsidP="008F369D">
      <w:pPr>
        <w:outlineLvl w:val="0"/>
        <w:rPr>
          <w:szCs w:val="22"/>
          <w:lang w:val="en-GB"/>
        </w:rPr>
      </w:pPr>
      <w:r w:rsidRPr="00F332AF">
        <w:rPr>
          <w:szCs w:val="22"/>
          <w:lang w:val="en-GB"/>
        </w:rPr>
        <w:t>Active, severe infections (see section 4.4).</w:t>
      </w:r>
    </w:p>
    <w:p w14:paraId="7C3311A7" w14:textId="77777777" w:rsidR="008F369D" w:rsidRPr="00F332AF" w:rsidRDefault="008F369D" w:rsidP="006522A3">
      <w:pPr>
        <w:rPr>
          <w:lang w:val="en-GB"/>
        </w:rPr>
      </w:pPr>
    </w:p>
    <w:p w14:paraId="7C3311A8" w14:textId="77777777" w:rsidR="008F369D" w:rsidRPr="00F332AF" w:rsidRDefault="00016F29" w:rsidP="008F369D">
      <w:pPr>
        <w:ind w:left="567" w:hanging="567"/>
        <w:outlineLvl w:val="0"/>
        <w:rPr>
          <w:lang w:val="en-GB"/>
        </w:rPr>
      </w:pPr>
      <w:r w:rsidRPr="00F332AF">
        <w:rPr>
          <w:lang w:val="en-GB"/>
        </w:rPr>
        <w:t>Patients in a severely immunocompromised state</w:t>
      </w:r>
      <w:r>
        <w:rPr>
          <w:lang w:val="en-GB"/>
        </w:rPr>
        <w:t>.</w:t>
      </w:r>
    </w:p>
    <w:p w14:paraId="7C3311A9" w14:textId="77777777" w:rsidR="008F369D" w:rsidRPr="00F332AF" w:rsidRDefault="008F369D" w:rsidP="008F369D">
      <w:pPr>
        <w:rPr>
          <w:szCs w:val="22"/>
          <w:lang w:val="en-GB"/>
        </w:rPr>
      </w:pPr>
    </w:p>
    <w:p w14:paraId="7C3311AA" w14:textId="77777777" w:rsidR="008F369D" w:rsidRPr="00F332AF" w:rsidRDefault="00016F29" w:rsidP="008F369D">
      <w:pPr>
        <w:outlineLvl w:val="0"/>
        <w:rPr>
          <w:szCs w:val="22"/>
          <w:u w:val="single"/>
          <w:lang w:val="en-GB"/>
        </w:rPr>
      </w:pPr>
      <w:r w:rsidRPr="00F332AF">
        <w:rPr>
          <w:u w:val="single"/>
          <w:lang w:val="en-GB"/>
        </w:rPr>
        <w:t xml:space="preserve">Contraindications for use in rheumatoid arthritis, </w:t>
      </w:r>
      <w:r>
        <w:rPr>
          <w:snapToGrid w:val="0"/>
          <w:szCs w:val="22"/>
          <w:u w:val="single"/>
          <w:lang w:val="en-GB"/>
        </w:rPr>
        <w:t>g</w:t>
      </w:r>
      <w:r w:rsidRPr="00F332AF">
        <w:rPr>
          <w:snapToGrid w:val="0"/>
          <w:szCs w:val="22"/>
          <w:u w:val="single"/>
          <w:lang w:val="en-GB"/>
        </w:rPr>
        <w:t>ranulomatosis with polyangiitis</w:t>
      </w:r>
      <w:r w:rsidR="00990498">
        <w:rPr>
          <w:snapToGrid w:val="0"/>
          <w:szCs w:val="22"/>
          <w:u w:val="single"/>
          <w:lang w:val="en-GB"/>
        </w:rPr>
        <w:t>,</w:t>
      </w:r>
      <w:r w:rsidRPr="00F332AF">
        <w:rPr>
          <w:snapToGrid w:val="0"/>
          <w:szCs w:val="22"/>
          <w:u w:val="single"/>
          <w:lang w:val="en-GB"/>
        </w:rPr>
        <w:t xml:space="preserve"> </w:t>
      </w:r>
      <w:r>
        <w:rPr>
          <w:snapToGrid w:val="0"/>
          <w:szCs w:val="22"/>
          <w:u w:val="single"/>
          <w:lang w:val="en-GB"/>
        </w:rPr>
        <w:t>m</w:t>
      </w:r>
      <w:r w:rsidRPr="00F332AF">
        <w:rPr>
          <w:snapToGrid w:val="0"/>
          <w:szCs w:val="22"/>
          <w:u w:val="single"/>
          <w:lang w:val="en-GB"/>
        </w:rPr>
        <w:t>icroscopic polyangiitis</w:t>
      </w:r>
      <w:r w:rsidRPr="00F332AF">
        <w:rPr>
          <w:szCs w:val="22"/>
          <w:u w:val="single"/>
          <w:lang w:val="en-GB"/>
        </w:rPr>
        <w:t xml:space="preserve"> </w:t>
      </w:r>
      <w:r w:rsidR="00990498">
        <w:rPr>
          <w:snapToGrid w:val="0"/>
          <w:szCs w:val="22"/>
          <w:u w:val="single"/>
          <w:lang w:val="en-GB"/>
        </w:rPr>
        <w:t>and</w:t>
      </w:r>
      <w:r w:rsidR="00990498">
        <w:rPr>
          <w:szCs w:val="22"/>
          <w:u w:val="single"/>
          <w:lang w:val="en-GB"/>
        </w:rPr>
        <w:t xml:space="preserve"> pemphigus vulgaris</w:t>
      </w:r>
    </w:p>
    <w:p w14:paraId="7C3311AB" w14:textId="77777777" w:rsidR="008F369D" w:rsidRPr="00F332AF" w:rsidRDefault="008F369D" w:rsidP="008F369D">
      <w:pPr>
        <w:rPr>
          <w:b/>
          <w:szCs w:val="22"/>
          <w:lang w:val="en-GB"/>
        </w:rPr>
      </w:pPr>
    </w:p>
    <w:p w14:paraId="7C3311AC" w14:textId="77777777" w:rsidR="008F369D" w:rsidRPr="00F332AF" w:rsidRDefault="00016F29" w:rsidP="008F369D">
      <w:pPr>
        <w:outlineLvl w:val="0"/>
        <w:rPr>
          <w:szCs w:val="22"/>
          <w:lang w:val="en-GB"/>
        </w:rPr>
      </w:pPr>
      <w:r w:rsidRPr="00F332AF">
        <w:rPr>
          <w:szCs w:val="22"/>
          <w:lang w:val="en-GB"/>
        </w:rPr>
        <w:t>Hypersensitivity to the active substance or to murine proteins</w:t>
      </w:r>
      <w:r>
        <w:rPr>
          <w:szCs w:val="22"/>
          <w:lang w:val="en-GB"/>
        </w:rPr>
        <w:t>,</w:t>
      </w:r>
      <w:r w:rsidRPr="00F332AF">
        <w:rPr>
          <w:szCs w:val="22"/>
          <w:lang w:val="en-GB"/>
        </w:rPr>
        <w:t xml:space="preserve"> or to any of the </w:t>
      </w:r>
      <w:r>
        <w:rPr>
          <w:szCs w:val="22"/>
          <w:lang w:val="en-GB"/>
        </w:rPr>
        <w:t xml:space="preserve">other </w:t>
      </w:r>
      <w:r w:rsidRPr="00F332AF">
        <w:rPr>
          <w:szCs w:val="22"/>
          <w:lang w:val="en-GB"/>
        </w:rPr>
        <w:t>excipients listed in section 6.1.</w:t>
      </w:r>
    </w:p>
    <w:p w14:paraId="7C3311AD" w14:textId="77777777" w:rsidR="008F369D" w:rsidRPr="00F332AF" w:rsidRDefault="008F369D" w:rsidP="008F369D">
      <w:pPr>
        <w:rPr>
          <w:szCs w:val="22"/>
          <w:lang w:val="en-GB"/>
        </w:rPr>
      </w:pPr>
    </w:p>
    <w:p w14:paraId="7C3311AE" w14:textId="77777777" w:rsidR="008F369D" w:rsidRPr="00F332AF" w:rsidRDefault="00016F29" w:rsidP="008F369D">
      <w:pPr>
        <w:outlineLvl w:val="0"/>
        <w:rPr>
          <w:szCs w:val="22"/>
          <w:lang w:val="en-GB"/>
        </w:rPr>
      </w:pPr>
      <w:r w:rsidRPr="00F332AF">
        <w:rPr>
          <w:szCs w:val="22"/>
          <w:lang w:val="en-GB"/>
        </w:rPr>
        <w:t>Active, severe infections (see section 4.4).</w:t>
      </w:r>
    </w:p>
    <w:p w14:paraId="7C3311AF" w14:textId="77777777" w:rsidR="008F369D" w:rsidRPr="00F332AF" w:rsidRDefault="008F369D" w:rsidP="006522A3">
      <w:pPr>
        <w:rPr>
          <w:lang w:val="en-GB"/>
        </w:rPr>
      </w:pPr>
    </w:p>
    <w:p w14:paraId="7C3311B0" w14:textId="77777777" w:rsidR="008F369D" w:rsidRPr="00F332AF" w:rsidRDefault="00016F29" w:rsidP="008F369D">
      <w:pPr>
        <w:ind w:left="567" w:hanging="567"/>
        <w:outlineLvl w:val="0"/>
        <w:rPr>
          <w:lang w:val="en-GB"/>
        </w:rPr>
      </w:pPr>
      <w:r w:rsidRPr="00F332AF">
        <w:rPr>
          <w:lang w:val="en-GB"/>
        </w:rPr>
        <w:t>Patients in a severely immunocompromised state</w:t>
      </w:r>
      <w:r>
        <w:rPr>
          <w:lang w:val="en-GB"/>
        </w:rPr>
        <w:t>.</w:t>
      </w:r>
    </w:p>
    <w:p w14:paraId="7C3311B1" w14:textId="77777777" w:rsidR="008F369D" w:rsidRPr="00F332AF" w:rsidRDefault="008F369D" w:rsidP="008F369D">
      <w:pPr>
        <w:rPr>
          <w:szCs w:val="22"/>
          <w:lang w:val="en-GB"/>
        </w:rPr>
      </w:pPr>
    </w:p>
    <w:p w14:paraId="7C3311B2" w14:textId="77777777" w:rsidR="008F369D" w:rsidRDefault="00016F29" w:rsidP="008F369D">
      <w:pPr>
        <w:outlineLvl w:val="0"/>
        <w:rPr>
          <w:szCs w:val="22"/>
          <w:lang w:val="en-GB" w:eastAsia="zh-CN"/>
        </w:rPr>
      </w:pPr>
      <w:r w:rsidRPr="00F332AF">
        <w:rPr>
          <w:szCs w:val="22"/>
          <w:lang w:val="en-GB" w:eastAsia="zh-CN"/>
        </w:rPr>
        <w:t xml:space="preserve">Severe heart failure (New York Heart Association Class IV) or severe, uncontrolled cardiac disease </w:t>
      </w:r>
      <w:r w:rsidRPr="00F332AF">
        <w:rPr>
          <w:szCs w:val="22"/>
          <w:lang w:val="en-GB"/>
        </w:rPr>
        <w:t>(see section 4.4 regarding other cardiovascular diseases)</w:t>
      </w:r>
      <w:r w:rsidRPr="00F332AF">
        <w:rPr>
          <w:szCs w:val="22"/>
          <w:lang w:val="en-GB" w:eastAsia="zh-CN"/>
        </w:rPr>
        <w:t>.</w:t>
      </w:r>
    </w:p>
    <w:p w14:paraId="7C3311B3" w14:textId="77777777" w:rsidR="00447C96" w:rsidRPr="00F332AF" w:rsidRDefault="00447C96" w:rsidP="008F369D">
      <w:pPr>
        <w:outlineLvl w:val="0"/>
        <w:rPr>
          <w:szCs w:val="22"/>
          <w:lang w:val="en-GB" w:eastAsia="zh-CN"/>
        </w:rPr>
      </w:pPr>
    </w:p>
    <w:p w14:paraId="7C3311B4" w14:textId="77777777" w:rsidR="008F369D" w:rsidRPr="00F332AF" w:rsidRDefault="00016F29" w:rsidP="008F369D">
      <w:pPr>
        <w:rPr>
          <w:lang w:val="en-GB"/>
        </w:rPr>
      </w:pPr>
      <w:r w:rsidRPr="00F332AF">
        <w:rPr>
          <w:b/>
          <w:szCs w:val="22"/>
          <w:lang w:val="en-GB"/>
        </w:rPr>
        <w:t>4.4</w:t>
      </w:r>
      <w:r w:rsidRPr="00F332AF">
        <w:rPr>
          <w:b/>
          <w:szCs w:val="22"/>
          <w:lang w:val="en-GB"/>
        </w:rPr>
        <w:tab/>
        <w:t>Special warnings and precautions for use</w:t>
      </w:r>
    </w:p>
    <w:p w14:paraId="7C3311B5" w14:textId="77777777" w:rsidR="008F369D" w:rsidRPr="00F332AF" w:rsidRDefault="008F369D" w:rsidP="008F369D">
      <w:pPr>
        <w:rPr>
          <w:lang w:val="en-GB"/>
        </w:rPr>
      </w:pPr>
    </w:p>
    <w:p w14:paraId="7C3311B6" w14:textId="77777777" w:rsidR="006249A4" w:rsidRPr="00811833" w:rsidRDefault="00016F29" w:rsidP="008F369D">
      <w:r w:rsidRPr="00811833">
        <w:t xml:space="preserve">Traceability </w:t>
      </w:r>
    </w:p>
    <w:p w14:paraId="7C3311B7" w14:textId="77777777" w:rsidR="006F2A34" w:rsidRDefault="00016F29" w:rsidP="006F2A34">
      <w:pPr>
        <w:rPr>
          <w:lang w:val="en-GB"/>
        </w:rPr>
      </w:pPr>
      <w:r w:rsidRPr="006651D5">
        <w:rPr>
          <w:lang w:val="en-GB"/>
        </w:rPr>
        <w:t>In order to improve traceability of biological medicinal products</w:t>
      </w:r>
      <w:r w:rsidRPr="001F63EB">
        <w:rPr>
          <w:bCs/>
          <w:lang w:val="en-GB"/>
        </w:rPr>
        <w:t>,</w:t>
      </w:r>
      <w:r w:rsidR="00A95824" w:rsidRPr="00811833">
        <w:rPr>
          <w:bCs/>
          <w:lang w:val="en-GB"/>
        </w:rPr>
        <w:t xml:space="preserve"> </w:t>
      </w:r>
      <w:r w:rsidRPr="005E4C1A">
        <w:rPr>
          <w:lang w:val="en-GB"/>
        </w:rPr>
        <w:t>the tradename</w:t>
      </w:r>
      <w:r w:rsidR="00A95824" w:rsidRPr="00811833">
        <w:rPr>
          <w:lang w:val="en-GB"/>
        </w:rPr>
        <w:t xml:space="preserve"> </w:t>
      </w:r>
      <w:r w:rsidR="00947AD1" w:rsidRPr="00A3054B">
        <w:rPr>
          <w:lang w:val="en-GB"/>
        </w:rPr>
        <w:t>and</w:t>
      </w:r>
      <w:r w:rsidR="00947AD1" w:rsidRPr="005B6EE0">
        <w:rPr>
          <w:lang w:val="en-GB"/>
        </w:rPr>
        <w:t xml:space="preserve"> batch</w:t>
      </w:r>
      <w:r w:rsidR="00777A52" w:rsidRPr="006651D5">
        <w:rPr>
          <w:lang w:val="en-GB"/>
        </w:rPr>
        <w:t xml:space="preserve"> number</w:t>
      </w:r>
      <w:r w:rsidR="00947AD1" w:rsidRPr="006651D5">
        <w:rPr>
          <w:lang w:val="en-GB"/>
        </w:rPr>
        <w:t xml:space="preserve"> </w:t>
      </w:r>
      <w:r w:rsidRPr="001F63EB">
        <w:rPr>
          <w:lang w:val="en-GB"/>
        </w:rPr>
        <w:t>of the administered product should be clearly recorded</w:t>
      </w:r>
      <w:r w:rsidR="00110BC3" w:rsidRPr="00811833">
        <w:rPr>
          <w:lang w:val="en-GB"/>
        </w:rPr>
        <w:t>.</w:t>
      </w:r>
      <w:r w:rsidRPr="006F2A34">
        <w:rPr>
          <w:lang w:val="en-GB"/>
        </w:rPr>
        <w:t xml:space="preserve"> </w:t>
      </w:r>
    </w:p>
    <w:p w14:paraId="7C3311B8" w14:textId="77777777" w:rsidR="008F369D" w:rsidRPr="006651D5" w:rsidRDefault="00016F29" w:rsidP="006522A3">
      <w:pPr>
        <w:rPr>
          <w:lang w:val="en-GB"/>
        </w:rPr>
      </w:pPr>
      <w:r>
        <w:rPr>
          <w:szCs w:val="22"/>
          <w:lang w:val="en-GB"/>
        </w:rPr>
        <w:t xml:space="preserve">  </w:t>
      </w:r>
    </w:p>
    <w:p w14:paraId="7C3311B9" w14:textId="77777777" w:rsidR="008F369D" w:rsidRPr="00F332AF" w:rsidRDefault="00016F29" w:rsidP="008F369D">
      <w:pPr>
        <w:ind w:left="567" w:hanging="567"/>
        <w:rPr>
          <w:szCs w:val="22"/>
          <w:u w:val="single"/>
          <w:lang w:val="en-GB"/>
        </w:rPr>
      </w:pPr>
      <w:r w:rsidRPr="006651D5">
        <w:rPr>
          <w:szCs w:val="22"/>
          <w:u w:val="single"/>
          <w:lang w:val="en-GB"/>
        </w:rPr>
        <w:t>Progressive multifocal leukoencephalopathy</w:t>
      </w:r>
    </w:p>
    <w:p w14:paraId="7C3311BA" w14:textId="77777777" w:rsidR="008F369D" w:rsidRPr="00F332AF" w:rsidRDefault="008F369D" w:rsidP="008F369D">
      <w:pPr>
        <w:ind w:left="567" w:hanging="567"/>
        <w:rPr>
          <w:szCs w:val="22"/>
          <w:lang w:val="en-GB"/>
        </w:rPr>
      </w:pPr>
    </w:p>
    <w:p w14:paraId="7C3311BB" w14:textId="77777777" w:rsidR="008F369D" w:rsidRPr="00F332AF" w:rsidRDefault="00016F29" w:rsidP="008F369D">
      <w:pPr>
        <w:rPr>
          <w:szCs w:val="22"/>
          <w:lang w:val="en-GB"/>
        </w:rPr>
      </w:pPr>
      <w:r w:rsidRPr="00F332AF">
        <w:rPr>
          <w:szCs w:val="22"/>
          <w:lang w:val="en-GB"/>
        </w:rPr>
        <w:t xml:space="preserve">All patients treated with MabThera for rheumatoid arthritis, </w:t>
      </w:r>
      <w:r w:rsidR="00753B8B">
        <w:rPr>
          <w:szCs w:val="22"/>
          <w:lang w:val="en-GB"/>
        </w:rPr>
        <w:t>GPA</w:t>
      </w:r>
      <w:r w:rsidR="00990498">
        <w:rPr>
          <w:snapToGrid w:val="0"/>
          <w:szCs w:val="22"/>
          <w:lang w:val="en-GB"/>
        </w:rPr>
        <w:t>,</w:t>
      </w:r>
      <w:r w:rsidRPr="00F332AF">
        <w:rPr>
          <w:snapToGrid w:val="0"/>
          <w:szCs w:val="22"/>
          <w:lang w:val="en-GB"/>
        </w:rPr>
        <w:t xml:space="preserve"> </w:t>
      </w:r>
      <w:r w:rsidR="00753B8B">
        <w:rPr>
          <w:snapToGrid w:val="0"/>
          <w:szCs w:val="22"/>
          <w:lang w:val="en-GB"/>
        </w:rPr>
        <w:t>MPA</w:t>
      </w:r>
      <w:r w:rsidRPr="00F332AF">
        <w:rPr>
          <w:szCs w:val="22"/>
          <w:lang w:val="en-GB"/>
        </w:rPr>
        <w:t xml:space="preserve"> </w:t>
      </w:r>
      <w:r w:rsidR="00990498">
        <w:rPr>
          <w:szCs w:val="22"/>
          <w:lang w:val="en-GB"/>
        </w:rPr>
        <w:t xml:space="preserve">or pemphigus vulgaris </w:t>
      </w:r>
      <w:r w:rsidRPr="00F332AF">
        <w:rPr>
          <w:szCs w:val="22"/>
          <w:lang w:val="en-GB"/>
        </w:rPr>
        <w:t>must be given the patient alert card with each infusion. The alert card contains important safety information for patients regarding potential increased risk of infections, including progressive multifocal leukoencephalopathy (PML).</w:t>
      </w:r>
    </w:p>
    <w:p w14:paraId="7C3311BC" w14:textId="77777777" w:rsidR="008F369D" w:rsidRPr="00F332AF" w:rsidRDefault="008F369D" w:rsidP="008F369D">
      <w:pPr>
        <w:ind w:left="567" w:hanging="567"/>
        <w:rPr>
          <w:szCs w:val="22"/>
          <w:lang w:val="en-GB"/>
        </w:rPr>
      </w:pPr>
    </w:p>
    <w:p w14:paraId="7C3311BD" w14:textId="77777777" w:rsidR="008F369D" w:rsidRPr="0014385D" w:rsidRDefault="00016F29" w:rsidP="008F369D">
      <w:pPr>
        <w:rPr>
          <w:szCs w:val="22"/>
          <w:lang w:val="en-GB"/>
        </w:rPr>
      </w:pPr>
      <w:r w:rsidRPr="00F332AF">
        <w:rPr>
          <w:szCs w:val="22"/>
          <w:lang w:val="en-GB"/>
        </w:rPr>
        <w:t xml:space="preserve">Very rare cases of fatal PML have been reported following use of MabThera. </w:t>
      </w:r>
      <w:r w:rsidRPr="00F332AF">
        <w:rPr>
          <w:iCs/>
          <w:szCs w:val="22"/>
          <w:lang w:val="en-GB"/>
        </w:rPr>
        <w:t xml:space="preserve">Patients must be monitored at regular intervals for any new or worsening neurological symptoms or signs that may be suggestive of PML. If PML is suspected, further dosing must be suspended until PML has been excluded. </w:t>
      </w:r>
      <w:r w:rsidRPr="0014385D">
        <w:rPr>
          <w:szCs w:val="22"/>
          <w:lang w:val="en-GB"/>
        </w:rPr>
        <w:t>The clinician should evaluate the patient to determine if the symptoms are indicative of neurological dysfunction, and if so, whether these symptoms are possibly suggestive of PML.</w:t>
      </w:r>
      <w:r w:rsidRPr="00F332AF">
        <w:rPr>
          <w:szCs w:val="22"/>
          <w:lang w:val="en-GB"/>
        </w:rPr>
        <w:t xml:space="preserve"> Consultation with a Neurologist should be considered as clinically indicated</w:t>
      </w:r>
      <w:r w:rsidRPr="0014385D">
        <w:rPr>
          <w:szCs w:val="22"/>
          <w:lang w:val="en-GB"/>
        </w:rPr>
        <w:t>.</w:t>
      </w:r>
    </w:p>
    <w:p w14:paraId="7C3311BE" w14:textId="77777777" w:rsidR="008F369D" w:rsidRPr="0014385D" w:rsidRDefault="008F369D" w:rsidP="008F369D">
      <w:pPr>
        <w:rPr>
          <w:szCs w:val="22"/>
          <w:lang w:val="en-GB"/>
        </w:rPr>
      </w:pPr>
    </w:p>
    <w:p w14:paraId="7C3311BF" w14:textId="77777777" w:rsidR="008F369D" w:rsidRPr="0014385D" w:rsidRDefault="00016F29" w:rsidP="008F369D">
      <w:pPr>
        <w:rPr>
          <w:szCs w:val="22"/>
          <w:lang w:val="en-GB"/>
        </w:rPr>
      </w:pPr>
      <w:r w:rsidRPr="0014385D">
        <w:rPr>
          <w:szCs w:val="22"/>
          <w:lang w:val="en-GB"/>
        </w:rPr>
        <w:t xml:space="preserve">If any doubt exists, further evaluation, including MRI scan preferably with contrast, </w:t>
      </w:r>
      <w:r w:rsidRPr="00C501E3">
        <w:rPr>
          <w:szCs w:val="22"/>
          <w:lang w:val="en-GB"/>
        </w:rPr>
        <w:t>cerebrospinal fluid (CSF)</w:t>
      </w:r>
      <w:r w:rsidRPr="0014385D">
        <w:rPr>
          <w:szCs w:val="22"/>
          <w:lang w:val="en-GB"/>
        </w:rPr>
        <w:t xml:space="preserve"> testing for JC Viral DNA and repeat neurological assessments, should be considered. </w:t>
      </w:r>
    </w:p>
    <w:p w14:paraId="7C3311C0" w14:textId="77777777" w:rsidR="008F369D" w:rsidRPr="00F332AF" w:rsidRDefault="008F369D" w:rsidP="008F369D">
      <w:pPr>
        <w:autoSpaceDE w:val="0"/>
        <w:autoSpaceDN w:val="0"/>
        <w:adjustRightInd w:val="0"/>
        <w:rPr>
          <w:iCs/>
          <w:szCs w:val="22"/>
          <w:lang w:val="en-GB"/>
        </w:rPr>
      </w:pPr>
    </w:p>
    <w:p w14:paraId="7C3311C1" w14:textId="77777777" w:rsidR="008F369D" w:rsidRPr="0014385D" w:rsidRDefault="00016F29" w:rsidP="008F369D">
      <w:pPr>
        <w:keepNext/>
        <w:keepLines/>
        <w:autoSpaceDE w:val="0"/>
        <w:autoSpaceDN w:val="0"/>
        <w:adjustRightInd w:val="0"/>
        <w:rPr>
          <w:szCs w:val="22"/>
          <w:lang w:val="en-GB"/>
        </w:rPr>
      </w:pPr>
      <w:r w:rsidRPr="00F332AF">
        <w:rPr>
          <w:iCs/>
          <w:szCs w:val="22"/>
          <w:lang w:val="en-GB"/>
        </w:rPr>
        <w:t xml:space="preserve">The physician should be particularly alert to symptoms suggestive of PML that the patient may not notice (e.g. cognitive, neurological or psychiatric symptoms). </w:t>
      </w:r>
      <w:r w:rsidRPr="0014385D">
        <w:rPr>
          <w:szCs w:val="22"/>
          <w:lang w:val="en-GB"/>
        </w:rPr>
        <w:t>Patients should also be advised to inform their partner or caregivers about their treatment, since they may notice symptoms that the patient is not aware of.</w:t>
      </w:r>
    </w:p>
    <w:p w14:paraId="7C3311C2" w14:textId="77777777" w:rsidR="008F369D" w:rsidRPr="0014385D" w:rsidRDefault="008F369D" w:rsidP="008F369D">
      <w:pPr>
        <w:autoSpaceDE w:val="0"/>
        <w:autoSpaceDN w:val="0"/>
        <w:adjustRightInd w:val="0"/>
        <w:rPr>
          <w:szCs w:val="22"/>
          <w:lang w:val="en-GB"/>
        </w:rPr>
      </w:pPr>
    </w:p>
    <w:p w14:paraId="7C3311C3" w14:textId="77777777" w:rsidR="008F369D" w:rsidRPr="00F332AF" w:rsidRDefault="00016F29" w:rsidP="008F369D">
      <w:pPr>
        <w:rPr>
          <w:iCs/>
          <w:szCs w:val="22"/>
          <w:lang w:val="en-GB"/>
        </w:rPr>
      </w:pPr>
      <w:r w:rsidRPr="00F332AF">
        <w:rPr>
          <w:iCs/>
          <w:szCs w:val="22"/>
          <w:lang w:val="en-GB"/>
        </w:rPr>
        <w:t xml:space="preserve">If a patient develops PML, the dosing of MabThera must be permanently discontinued. </w:t>
      </w:r>
    </w:p>
    <w:p w14:paraId="7C3311C4" w14:textId="77777777" w:rsidR="008F369D" w:rsidRPr="00F332AF" w:rsidRDefault="008F369D" w:rsidP="008F369D">
      <w:pPr>
        <w:rPr>
          <w:szCs w:val="22"/>
          <w:lang w:val="en-GB"/>
        </w:rPr>
      </w:pPr>
    </w:p>
    <w:p w14:paraId="7C3311C5" w14:textId="77777777" w:rsidR="008F369D" w:rsidRPr="0014385D" w:rsidRDefault="00016F29" w:rsidP="008F369D">
      <w:pPr>
        <w:rPr>
          <w:szCs w:val="22"/>
          <w:lang w:val="en-GB"/>
        </w:rPr>
      </w:pPr>
      <w:r w:rsidRPr="0014385D">
        <w:rPr>
          <w:szCs w:val="22"/>
          <w:lang w:val="en-GB"/>
        </w:rPr>
        <w:t>Following reconstitution of the immune system in immunocompromised patients with PML, stabilisation or improved outcome has been seen. It remains unknown if early detection of PML and suspension of MabThera therapy may lead to similar stabilisation or improved outcome.</w:t>
      </w:r>
    </w:p>
    <w:p w14:paraId="7C3311C6" w14:textId="77777777" w:rsidR="008F369D" w:rsidRPr="0014385D" w:rsidRDefault="008F369D" w:rsidP="006522A3">
      <w:pPr>
        <w:rPr>
          <w:lang w:val="en-GB"/>
        </w:rPr>
      </w:pPr>
    </w:p>
    <w:p w14:paraId="7C3311C7" w14:textId="77777777" w:rsidR="008F369D" w:rsidRPr="00015B1B" w:rsidRDefault="00016F29" w:rsidP="008F369D">
      <w:pPr>
        <w:ind w:left="567" w:hanging="567"/>
        <w:outlineLvl w:val="0"/>
        <w:rPr>
          <w:szCs w:val="22"/>
          <w:u w:val="single"/>
          <w:lang w:val="en-GB"/>
        </w:rPr>
      </w:pPr>
      <w:r w:rsidRPr="00015B1B">
        <w:rPr>
          <w:szCs w:val="22"/>
          <w:u w:val="single"/>
          <w:lang w:val="en-GB"/>
        </w:rPr>
        <w:t>Non</w:t>
      </w:r>
      <w:r w:rsidR="000A6DDA" w:rsidRPr="00015B1B">
        <w:rPr>
          <w:szCs w:val="22"/>
          <w:u w:val="single"/>
          <w:lang w:val="en-GB"/>
        </w:rPr>
        <w:noBreakHyphen/>
      </w:r>
      <w:r w:rsidRPr="00015B1B">
        <w:rPr>
          <w:szCs w:val="22"/>
          <w:u w:val="single"/>
          <w:lang w:val="en-GB"/>
        </w:rPr>
        <w:t>Hodgkin’s lymphoma and chronic lymphocytic leukaemia</w:t>
      </w:r>
    </w:p>
    <w:p w14:paraId="7C3311C8" w14:textId="77777777" w:rsidR="008F369D" w:rsidRPr="0014385D" w:rsidRDefault="008F369D" w:rsidP="008F369D">
      <w:pPr>
        <w:rPr>
          <w:b/>
          <w:szCs w:val="22"/>
          <w:lang w:val="en-GB"/>
        </w:rPr>
      </w:pPr>
    </w:p>
    <w:p w14:paraId="7C3311C9" w14:textId="77777777" w:rsidR="008F369D" w:rsidRPr="00A14052" w:rsidRDefault="00016F29" w:rsidP="008F369D">
      <w:pPr>
        <w:rPr>
          <w:szCs w:val="22"/>
          <w:u w:val="single"/>
          <w:lang w:val="en-GB"/>
        </w:rPr>
      </w:pPr>
      <w:r w:rsidRPr="00B55F04">
        <w:rPr>
          <w:i/>
          <w:szCs w:val="22"/>
          <w:lang w:val="en-GB"/>
        </w:rPr>
        <w:t>Infusion</w:t>
      </w:r>
      <w:r w:rsidR="00990498">
        <w:rPr>
          <w:i/>
          <w:szCs w:val="22"/>
          <w:lang w:val="en-GB"/>
        </w:rPr>
        <w:t>-</w:t>
      </w:r>
      <w:r>
        <w:rPr>
          <w:i/>
          <w:szCs w:val="22"/>
          <w:lang w:val="en-GB"/>
        </w:rPr>
        <w:t xml:space="preserve">related </w:t>
      </w:r>
      <w:r w:rsidRPr="00B55F04">
        <w:rPr>
          <w:i/>
          <w:szCs w:val="22"/>
          <w:lang w:val="en-GB"/>
        </w:rPr>
        <w:t>reactions</w:t>
      </w:r>
    </w:p>
    <w:p w14:paraId="7C3311CA" w14:textId="77777777" w:rsidR="008F369D" w:rsidRDefault="00016F29" w:rsidP="008F369D">
      <w:pPr>
        <w:rPr>
          <w:rFonts w:cs="Arial"/>
          <w:lang w:val="en-GB"/>
        </w:rPr>
      </w:pPr>
      <w:r w:rsidRPr="00C501E3">
        <w:rPr>
          <w:rFonts w:cs="Arial"/>
          <w:lang w:val="en-GB"/>
        </w:rPr>
        <w:t>MabThera is associated with infusion</w:t>
      </w:r>
      <w:r w:rsidR="006F2A34">
        <w:rPr>
          <w:rFonts w:cs="Arial"/>
          <w:lang w:val="en-GB"/>
        </w:rPr>
        <w:t>-</w:t>
      </w:r>
      <w:r w:rsidRPr="00C501E3">
        <w:rPr>
          <w:rFonts w:cs="Arial"/>
          <w:lang w:val="en-GB"/>
        </w:rPr>
        <w:t>related reactions, which may be related to release of cytokines and/or other chemical mediators. Cytokine release syndrome may be clinically indistinguishable from acute hypersensitivity reactions.</w:t>
      </w:r>
    </w:p>
    <w:p w14:paraId="7C3311CB" w14:textId="77777777" w:rsidR="008F369D" w:rsidRDefault="008F369D" w:rsidP="008F369D">
      <w:pPr>
        <w:rPr>
          <w:rFonts w:cs="Arial"/>
          <w:lang w:val="en-GB"/>
        </w:rPr>
      </w:pPr>
    </w:p>
    <w:p w14:paraId="7C3311CC" w14:textId="77777777" w:rsidR="008F369D" w:rsidRDefault="00016F29" w:rsidP="008F369D">
      <w:pPr>
        <w:rPr>
          <w:rFonts w:cs="Arial"/>
          <w:lang w:val="en-GB"/>
        </w:rPr>
      </w:pPr>
      <w:r w:rsidRPr="00C501E3">
        <w:rPr>
          <w:rFonts w:cs="Arial"/>
          <w:lang w:val="en-GB"/>
        </w:rPr>
        <w:t>This set of reactions which includes syndrome of cytokine release, tumo</w:t>
      </w:r>
      <w:r>
        <w:rPr>
          <w:rFonts w:cs="Arial"/>
          <w:lang w:val="en-GB"/>
        </w:rPr>
        <w:t>u</w:t>
      </w:r>
      <w:r w:rsidRPr="00C501E3">
        <w:rPr>
          <w:rFonts w:cs="Arial"/>
          <w:lang w:val="en-GB"/>
        </w:rPr>
        <w:t>r lysis syndrome and anaphylactic and hypersensitivity reactions are described below. They are not specifically related to the route of administration of MabThera and can be observed with both formulations.</w:t>
      </w:r>
    </w:p>
    <w:p w14:paraId="7C3311CD" w14:textId="77777777" w:rsidR="008F369D" w:rsidRPr="00C501E3" w:rsidRDefault="008F369D" w:rsidP="008F369D">
      <w:pPr>
        <w:rPr>
          <w:rFonts w:cs="Arial"/>
          <w:lang w:val="en-GB"/>
        </w:rPr>
      </w:pPr>
    </w:p>
    <w:p w14:paraId="7C3311CE" w14:textId="77777777" w:rsidR="008F369D" w:rsidRDefault="00016F29" w:rsidP="008F369D">
      <w:pPr>
        <w:rPr>
          <w:lang w:val="en-GB"/>
        </w:rPr>
      </w:pPr>
      <w:r w:rsidRPr="00015B1B">
        <w:rPr>
          <w:lang w:val="en-GB"/>
        </w:rPr>
        <w:t>Severe infusion</w:t>
      </w:r>
      <w:r w:rsidR="000A6DDA" w:rsidRPr="00015B1B">
        <w:rPr>
          <w:lang w:val="en-GB"/>
        </w:rPr>
        <w:noBreakHyphen/>
      </w:r>
      <w:r w:rsidRPr="00015B1B">
        <w:rPr>
          <w:lang w:val="en-GB"/>
        </w:rPr>
        <w:t>related reactions with fatal outcome have been reported during post</w:t>
      </w:r>
      <w:r w:rsidR="000A6DDA" w:rsidRPr="00015B1B">
        <w:rPr>
          <w:lang w:val="en-GB"/>
        </w:rPr>
        <w:noBreakHyphen/>
      </w:r>
      <w:r w:rsidRPr="00015B1B">
        <w:rPr>
          <w:lang w:val="en-GB"/>
        </w:rPr>
        <w:t>marketing use</w:t>
      </w:r>
      <w:r w:rsidRPr="006651D5">
        <w:rPr>
          <w:lang w:val="en-GB"/>
        </w:rPr>
        <w:t xml:space="preserve"> of the MabThera intravenous formulation, with an onset ranging within 30 minutes to 2 hours after starting the first MabThera </w:t>
      </w:r>
      <w:r w:rsidR="00BB4A97" w:rsidRPr="006651D5">
        <w:rPr>
          <w:lang w:val="en-GB"/>
        </w:rPr>
        <w:t xml:space="preserve">intravenous </w:t>
      </w:r>
      <w:r w:rsidRPr="006651D5">
        <w:rPr>
          <w:lang w:val="en-GB"/>
        </w:rPr>
        <w:t>infusion</w:t>
      </w:r>
      <w:r w:rsidRPr="00C501E3">
        <w:rPr>
          <w:lang w:val="en-GB"/>
        </w:rPr>
        <w:t>. They were characteri</w:t>
      </w:r>
      <w:r w:rsidR="00990498">
        <w:rPr>
          <w:lang w:val="en-GB"/>
        </w:rPr>
        <w:t>s</w:t>
      </w:r>
      <w:r w:rsidRPr="00C501E3">
        <w:rPr>
          <w:lang w:val="en-GB"/>
        </w:rPr>
        <w:t>ed by pulmonary events and in some cases included rapid tumour lysis and features of tumour lysis syndrome in addition to fever, chills, rigors, hypotension, urticaria, angioedema and other symptoms (see section 4.8).</w:t>
      </w:r>
    </w:p>
    <w:p w14:paraId="7C3311CF" w14:textId="77777777" w:rsidR="008F369D" w:rsidRPr="0014385D" w:rsidRDefault="008F369D" w:rsidP="008F369D">
      <w:pPr>
        <w:rPr>
          <w:szCs w:val="22"/>
          <w:lang w:val="en-GB"/>
        </w:rPr>
      </w:pPr>
    </w:p>
    <w:p w14:paraId="7C3311D0" w14:textId="77777777" w:rsidR="008F369D" w:rsidRDefault="00016F29" w:rsidP="008F369D">
      <w:pPr>
        <w:rPr>
          <w:szCs w:val="22"/>
          <w:lang w:val="en-GB"/>
        </w:rPr>
      </w:pPr>
      <w:r w:rsidRPr="00B55F04">
        <w:rPr>
          <w:szCs w:val="22"/>
          <w:lang w:val="en-GB"/>
        </w:rPr>
        <w:t>Severe cytokine release syndrome</w:t>
      </w:r>
      <w:r w:rsidRPr="0014385D">
        <w:rPr>
          <w:szCs w:val="22"/>
          <w:lang w:val="en-GB"/>
        </w:rPr>
        <w:t xml:space="preserve"> is characterised by severe dyspn</w:t>
      </w:r>
      <w:r w:rsidRPr="0053610E">
        <w:rPr>
          <w:szCs w:val="22"/>
          <w:lang w:val="en-GB"/>
        </w:rPr>
        <w:t>o</w:t>
      </w:r>
      <w:r w:rsidRPr="0014385D">
        <w:rPr>
          <w:szCs w:val="22"/>
          <w:lang w:val="en-GB"/>
        </w:rPr>
        <w:t xml:space="preserve">ea, often accompanied by bronchospasm and hypoxia, in addition to fever, chills, rigors, urticaria, and angioedema. This syndrome may be associated with some features of </w:t>
      </w:r>
      <w:r w:rsidRPr="00B55F04">
        <w:rPr>
          <w:szCs w:val="22"/>
          <w:lang w:val="en-GB"/>
        </w:rPr>
        <w:t>tumour lysis syndrome</w:t>
      </w:r>
      <w:r w:rsidRPr="0014385D">
        <w:rPr>
          <w:szCs w:val="22"/>
          <w:lang w:val="en-GB"/>
        </w:rPr>
        <w:t xml:space="preserve"> such as hyperuricaemia, hyperkalaemia, hypocalcaemia, hyperphosphat</w:t>
      </w:r>
      <w:r w:rsidRPr="0053610E">
        <w:rPr>
          <w:szCs w:val="22"/>
          <w:lang w:val="en-GB"/>
        </w:rPr>
        <w:t>a</w:t>
      </w:r>
      <w:r w:rsidRPr="0014385D">
        <w:rPr>
          <w:szCs w:val="22"/>
          <w:lang w:val="en-GB"/>
        </w:rPr>
        <w:t xml:space="preserve">emia, acute renal failure, elevated lactate dehydrogenase (LDH) and may be associated with acute respiratory failure and death. The acute respiratory failure may be accompanied by events such as pulmonary interstitial infiltration or oedema, </w:t>
      </w:r>
      <w:r w:rsidRPr="00015B1B">
        <w:rPr>
          <w:szCs w:val="22"/>
          <w:lang w:val="en-GB"/>
        </w:rPr>
        <w:t>visible on a chest X</w:t>
      </w:r>
      <w:r w:rsidR="000A6DDA" w:rsidRPr="00015B1B">
        <w:rPr>
          <w:szCs w:val="22"/>
          <w:lang w:val="en-GB"/>
        </w:rPr>
        <w:noBreakHyphen/>
      </w:r>
      <w:r w:rsidRPr="00015B1B">
        <w:rPr>
          <w:szCs w:val="22"/>
          <w:lang w:val="en-GB"/>
        </w:rPr>
        <w:t>ray. The syndrome frequently manifests itself within one or two hours of</w:t>
      </w:r>
      <w:r w:rsidRPr="0014385D">
        <w:rPr>
          <w:szCs w:val="22"/>
          <w:lang w:val="en-GB"/>
        </w:rPr>
        <w:t xml:space="preserve"> initiating the first infusion. Patients with a history of pulmonary insufficiency or those with pulmonary tumour infiltration may be at greater risk of poor outcome and should be treated with increased caution. Patients who develop severe cytokine release syndrome should have their infusion interrupted immediately (see section 4.2) and should receive aggressive symptomatic treatment. Since initial improvement of clinical symptoms may be followed by deterioration, these patients should be closely monitored until tumour lysis syndrome and pulmonary infiltration have been resolved or ruled out. Further treatment of patients after complete resolution of signs and symptoms has rarely resulted in repeated severe cytokine release syndrome.</w:t>
      </w:r>
    </w:p>
    <w:p w14:paraId="7C3311D1" w14:textId="77777777" w:rsidR="008F369D" w:rsidRPr="0014385D" w:rsidRDefault="008F369D" w:rsidP="008F369D">
      <w:pPr>
        <w:rPr>
          <w:szCs w:val="22"/>
          <w:lang w:val="en-GB"/>
        </w:rPr>
      </w:pPr>
    </w:p>
    <w:p w14:paraId="7C3311D2" w14:textId="77777777" w:rsidR="008F369D" w:rsidRPr="0014385D" w:rsidRDefault="00016F29" w:rsidP="008F369D">
      <w:pPr>
        <w:rPr>
          <w:szCs w:val="22"/>
          <w:lang w:val="en-GB"/>
        </w:rPr>
      </w:pPr>
      <w:r w:rsidRPr="0014385D">
        <w:rPr>
          <w:szCs w:val="22"/>
          <w:lang w:val="en-GB"/>
        </w:rPr>
        <w:t>Patients with a high tumour burden or with a high number (≥25 x 10</w:t>
      </w:r>
      <w:r w:rsidRPr="0014385D">
        <w:rPr>
          <w:szCs w:val="22"/>
          <w:vertAlign w:val="superscript"/>
          <w:lang w:val="en-GB"/>
        </w:rPr>
        <w:t>9</w:t>
      </w:r>
      <w:r w:rsidRPr="0014385D">
        <w:rPr>
          <w:szCs w:val="22"/>
          <w:lang w:val="en-GB"/>
        </w:rPr>
        <w:t>/</w:t>
      </w:r>
      <w:r>
        <w:rPr>
          <w:szCs w:val="22"/>
          <w:lang w:val="en-GB"/>
        </w:rPr>
        <w:t>L</w:t>
      </w:r>
      <w:r w:rsidRPr="0014385D">
        <w:rPr>
          <w:szCs w:val="22"/>
          <w:lang w:val="en-GB"/>
        </w:rPr>
        <w:t xml:space="preserve">) of circulating malignant cells such as patients with CLL, who may be at higher risk of especially severe cytokine release syndrome, </w:t>
      </w:r>
      <w:r w:rsidRPr="006651D5">
        <w:rPr>
          <w:szCs w:val="22"/>
          <w:lang w:val="en-GB"/>
        </w:rPr>
        <w:t>should be</w:t>
      </w:r>
      <w:r w:rsidRPr="0014385D">
        <w:rPr>
          <w:szCs w:val="22"/>
          <w:lang w:val="en-GB"/>
        </w:rPr>
        <w:t xml:space="preserve"> treated with extreme caution. These patients should be very closely monitored throughout the first infusion. Consideration should be given to the use of a reduced infusion rate for the first infusion in these patients or a split dosing over two days during the first cycle</w:t>
      </w:r>
      <w:r w:rsidRPr="0014385D">
        <w:rPr>
          <w:lang w:val="en-GB"/>
        </w:rPr>
        <w:t xml:space="preserve"> and any subsequent cycles if the lymphocyte count is still &gt;25 x 10</w:t>
      </w:r>
      <w:r w:rsidRPr="0014385D">
        <w:rPr>
          <w:vertAlign w:val="superscript"/>
          <w:lang w:val="en-GB"/>
        </w:rPr>
        <w:t>9</w:t>
      </w:r>
      <w:r w:rsidRPr="0014385D">
        <w:rPr>
          <w:lang w:val="en-GB"/>
        </w:rPr>
        <w:t>/L</w:t>
      </w:r>
      <w:r w:rsidRPr="0014385D">
        <w:rPr>
          <w:szCs w:val="22"/>
          <w:lang w:val="en-GB"/>
        </w:rPr>
        <w:t>.</w:t>
      </w:r>
    </w:p>
    <w:p w14:paraId="7C3311D3" w14:textId="77777777" w:rsidR="008F369D" w:rsidRPr="0014385D" w:rsidRDefault="008F369D" w:rsidP="008F369D">
      <w:pPr>
        <w:rPr>
          <w:szCs w:val="22"/>
          <w:lang w:val="en-GB"/>
        </w:rPr>
      </w:pPr>
    </w:p>
    <w:p w14:paraId="7C3311D4" w14:textId="77777777" w:rsidR="008F369D" w:rsidRPr="0014385D" w:rsidRDefault="00016F29" w:rsidP="008F369D">
      <w:pPr>
        <w:rPr>
          <w:szCs w:val="22"/>
          <w:lang w:val="en-GB"/>
        </w:rPr>
      </w:pPr>
      <w:r w:rsidRPr="0014385D">
        <w:rPr>
          <w:szCs w:val="22"/>
          <w:lang w:val="en-GB"/>
        </w:rPr>
        <w:t>Infusion</w:t>
      </w:r>
      <w:r w:rsidR="00990498">
        <w:rPr>
          <w:szCs w:val="22"/>
          <w:lang w:val="en-GB"/>
        </w:rPr>
        <w:t>-</w:t>
      </w:r>
      <w:r w:rsidRPr="0014385D">
        <w:rPr>
          <w:szCs w:val="22"/>
          <w:lang w:val="en-GB"/>
        </w:rPr>
        <w:t xml:space="preserve">related adverse reactions of all kinds have been observed in 77% of patients treated with MabThera (including cytokine release syndrome accompanied by hypotension and bronchospasm in 10% of patients) see section 4.8. These symptoms are usually reversible with interruption of </w:t>
      </w:r>
      <w:r w:rsidRPr="00015B1B">
        <w:rPr>
          <w:szCs w:val="22"/>
          <w:lang w:val="en-GB"/>
        </w:rPr>
        <w:t>MabThera infusion and administration of an anti</w:t>
      </w:r>
      <w:r w:rsidR="000A6DDA" w:rsidRPr="00015B1B">
        <w:rPr>
          <w:szCs w:val="22"/>
          <w:lang w:val="en-GB"/>
        </w:rPr>
        <w:noBreakHyphen/>
      </w:r>
      <w:r w:rsidRPr="00015B1B">
        <w:rPr>
          <w:szCs w:val="22"/>
          <w:lang w:val="en-GB"/>
        </w:rPr>
        <w:t>pyretic, an antihistaminic and occasionally oxygen, intravenous saline or bronchodilators, and glucocorticoids if required. Please see cytokine</w:t>
      </w:r>
      <w:r w:rsidRPr="0014385D">
        <w:rPr>
          <w:szCs w:val="22"/>
          <w:lang w:val="en-GB"/>
        </w:rPr>
        <w:t xml:space="preserve"> release syndrome above for severe reactions.</w:t>
      </w:r>
    </w:p>
    <w:p w14:paraId="7C3311D5" w14:textId="77777777" w:rsidR="008F369D" w:rsidRPr="0014385D" w:rsidRDefault="008F369D" w:rsidP="008F369D">
      <w:pPr>
        <w:rPr>
          <w:szCs w:val="22"/>
          <w:lang w:val="en-GB"/>
        </w:rPr>
      </w:pPr>
    </w:p>
    <w:p w14:paraId="7C3311D6" w14:textId="77777777" w:rsidR="008F369D" w:rsidRPr="0014385D" w:rsidRDefault="00016F29" w:rsidP="008F369D">
      <w:pPr>
        <w:rPr>
          <w:szCs w:val="22"/>
          <w:lang w:val="en-GB"/>
        </w:rPr>
      </w:pPr>
      <w:r w:rsidRPr="0014385D">
        <w:rPr>
          <w:szCs w:val="22"/>
          <w:lang w:val="en-GB"/>
        </w:rPr>
        <w:t>Anaphylactic and other hypersensitivity reactions have been reported following the intravenous administration of proteins to patients. In contrast to cytokine release syndrome, true hypersensitivity reactions typically occur within minutes after starting infusion. Medicinal products for the treatment of hypersensitivity reactions, e.g. epinephrine (adrenaline), antihistamines and glucocorticoids, should be available for immediate use in the event of an allergic reaction during administration of MabThera. Clinical manifestations of anaphylaxis may appear similar to clinical manifestations of the cytokine release syndrome (described above). Reactions attributed to hypersensitivity have been reported less frequently than those attributed to cytokine release.</w:t>
      </w:r>
    </w:p>
    <w:p w14:paraId="7C3311D7" w14:textId="77777777" w:rsidR="008F369D" w:rsidRPr="0014385D" w:rsidRDefault="008F369D" w:rsidP="008F369D">
      <w:pPr>
        <w:rPr>
          <w:szCs w:val="22"/>
          <w:lang w:val="en-GB"/>
        </w:rPr>
      </w:pPr>
    </w:p>
    <w:p w14:paraId="7C3311D8" w14:textId="77777777" w:rsidR="008F369D" w:rsidRPr="0014385D" w:rsidRDefault="00016F29" w:rsidP="008F369D">
      <w:pPr>
        <w:rPr>
          <w:szCs w:val="22"/>
          <w:lang w:val="en-GB"/>
        </w:rPr>
      </w:pPr>
      <w:r w:rsidRPr="0014385D">
        <w:rPr>
          <w:szCs w:val="22"/>
          <w:lang w:val="en-GB"/>
        </w:rPr>
        <w:t>Additional reactions reported in some cases were myocardial infarction, atrial fibrillation, pulmonary oedema and acute reversible thrombocytopenia.</w:t>
      </w:r>
    </w:p>
    <w:p w14:paraId="7C3311D9" w14:textId="77777777" w:rsidR="008F369D" w:rsidRPr="00015B1B" w:rsidRDefault="008F369D" w:rsidP="008F369D">
      <w:pPr>
        <w:rPr>
          <w:szCs w:val="22"/>
          <w:lang w:val="en-GB"/>
        </w:rPr>
      </w:pPr>
    </w:p>
    <w:p w14:paraId="7C3311DA" w14:textId="77777777" w:rsidR="008F369D" w:rsidRPr="00015B1B" w:rsidRDefault="00016F29" w:rsidP="008F369D">
      <w:pPr>
        <w:rPr>
          <w:szCs w:val="22"/>
          <w:lang w:val="en-GB"/>
        </w:rPr>
      </w:pPr>
      <w:r w:rsidRPr="00015B1B">
        <w:rPr>
          <w:szCs w:val="22"/>
          <w:lang w:val="en-GB"/>
        </w:rPr>
        <w:t>Since hypotension may occur during MabThera administration, consideration should be given to withholding anti</w:t>
      </w:r>
      <w:r w:rsidR="000A6DDA" w:rsidRPr="00015B1B">
        <w:rPr>
          <w:szCs w:val="22"/>
          <w:lang w:val="en-GB"/>
        </w:rPr>
        <w:noBreakHyphen/>
      </w:r>
      <w:r w:rsidRPr="00015B1B">
        <w:rPr>
          <w:szCs w:val="22"/>
          <w:lang w:val="en-GB"/>
        </w:rPr>
        <w:t>hypertensive medicines 12 hours prior to the MabThera infusion.</w:t>
      </w:r>
    </w:p>
    <w:p w14:paraId="7C3311DB" w14:textId="77777777" w:rsidR="008F369D" w:rsidRPr="0014385D" w:rsidRDefault="008F369D" w:rsidP="008F369D">
      <w:pPr>
        <w:rPr>
          <w:szCs w:val="22"/>
          <w:lang w:val="en-GB"/>
        </w:rPr>
      </w:pPr>
    </w:p>
    <w:p w14:paraId="7C3311DC" w14:textId="77777777" w:rsidR="008F369D" w:rsidRPr="00B055D4" w:rsidRDefault="00016F29" w:rsidP="00E454FF">
      <w:pPr>
        <w:keepNext/>
        <w:keepLines/>
        <w:rPr>
          <w:szCs w:val="22"/>
          <w:u w:val="single"/>
          <w:lang w:val="en-GB"/>
        </w:rPr>
      </w:pPr>
      <w:r w:rsidRPr="00B55F04">
        <w:rPr>
          <w:i/>
          <w:szCs w:val="22"/>
          <w:lang w:val="en-GB"/>
        </w:rPr>
        <w:t>Cardiac disorders</w:t>
      </w:r>
    </w:p>
    <w:p w14:paraId="7C3311DD" w14:textId="77777777" w:rsidR="008F369D" w:rsidRPr="0014385D" w:rsidRDefault="00016F29" w:rsidP="00E454FF">
      <w:pPr>
        <w:keepNext/>
        <w:keepLines/>
        <w:rPr>
          <w:szCs w:val="22"/>
          <w:lang w:val="en-GB"/>
        </w:rPr>
      </w:pPr>
      <w:r w:rsidRPr="0014385D">
        <w:rPr>
          <w:szCs w:val="22"/>
          <w:lang w:val="en-GB"/>
        </w:rPr>
        <w:t>Angina pectoris, cardiac arrhythmias</w:t>
      </w:r>
      <w:r w:rsidRPr="0014385D">
        <w:rPr>
          <w:b/>
          <w:szCs w:val="22"/>
          <w:lang w:val="en-GB"/>
        </w:rPr>
        <w:t xml:space="preserve"> </w:t>
      </w:r>
      <w:r w:rsidRPr="0014385D">
        <w:rPr>
          <w:szCs w:val="22"/>
          <w:lang w:val="en-GB"/>
        </w:rPr>
        <w:t>such as atrial flutter and fibrillation, heart failure and/or myocardial infarction have occurred in patients treated with MabThera. Therefore patients with a history of cardiac disease and/or cardiotoxic chemotherapy should be monitored closely.</w:t>
      </w:r>
    </w:p>
    <w:p w14:paraId="7C3311DE" w14:textId="77777777" w:rsidR="008F369D" w:rsidRPr="0014385D" w:rsidRDefault="008F369D" w:rsidP="008F369D">
      <w:pPr>
        <w:rPr>
          <w:b/>
          <w:szCs w:val="22"/>
          <w:lang w:val="en-GB"/>
        </w:rPr>
      </w:pPr>
    </w:p>
    <w:p w14:paraId="7C3311DF" w14:textId="77777777" w:rsidR="008F369D" w:rsidRPr="00B055D4" w:rsidRDefault="00016F29" w:rsidP="008F369D">
      <w:pPr>
        <w:rPr>
          <w:szCs w:val="22"/>
          <w:u w:val="single"/>
          <w:lang w:val="en-GB"/>
        </w:rPr>
      </w:pPr>
      <w:r w:rsidRPr="00B55F04">
        <w:rPr>
          <w:i/>
          <w:szCs w:val="22"/>
          <w:lang w:val="en-GB"/>
        </w:rPr>
        <w:t>Haematological toxicities</w:t>
      </w:r>
    </w:p>
    <w:p w14:paraId="7C3311E0" w14:textId="77777777" w:rsidR="008F369D" w:rsidRPr="0014385D" w:rsidRDefault="00016F29" w:rsidP="008F369D">
      <w:pPr>
        <w:rPr>
          <w:szCs w:val="22"/>
          <w:lang w:val="en-GB"/>
        </w:rPr>
      </w:pPr>
      <w:r w:rsidRPr="0014385D">
        <w:rPr>
          <w:szCs w:val="22"/>
          <w:lang w:val="en-GB"/>
        </w:rPr>
        <w:t>Although MabThera is not myelosuppressive in monotherapy, caution should be exercised when considering treatment of patients with neutrophils &lt; 1.5 x 10</w:t>
      </w:r>
      <w:r w:rsidRPr="0014385D">
        <w:rPr>
          <w:szCs w:val="22"/>
          <w:vertAlign w:val="superscript"/>
          <w:lang w:val="en-GB"/>
        </w:rPr>
        <w:t>9</w:t>
      </w:r>
      <w:r w:rsidRPr="0014385D">
        <w:rPr>
          <w:szCs w:val="22"/>
          <w:lang w:val="en-GB"/>
        </w:rPr>
        <w:t>/</w:t>
      </w:r>
      <w:r>
        <w:rPr>
          <w:szCs w:val="22"/>
          <w:lang w:val="en-GB"/>
        </w:rPr>
        <w:t>L</w:t>
      </w:r>
      <w:r w:rsidRPr="0014385D">
        <w:rPr>
          <w:szCs w:val="22"/>
          <w:lang w:val="en-GB"/>
        </w:rPr>
        <w:t xml:space="preserve"> and/or platelet counts &lt; 75 x 10</w:t>
      </w:r>
      <w:r w:rsidRPr="0014385D">
        <w:rPr>
          <w:szCs w:val="22"/>
          <w:vertAlign w:val="superscript"/>
          <w:lang w:val="en-GB"/>
        </w:rPr>
        <w:t>9</w:t>
      </w:r>
      <w:r w:rsidRPr="0014385D">
        <w:rPr>
          <w:szCs w:val="22"/>
          <w:lang w:val="en-GB"/>
        </w:rPr>
        <w:t>/</w:t>
      </w:r>
      <w:r>
        <w:rPr>
          <w:szCs w:val="22"/>
          <w:lang w:val="en-GB"/>
        </w:rPr>
        <w:t>L</w:t>
      </w:r>
      <w:r w:rsidRPr="0014385D">
        <w:rPr>
          <w:szCs w:val="22"/>
          <w:lang w:val="en-GB"/>
        </w:rPr>
        <w:t xml:space="preserve"> as clinical experience in this population is limited</w:t>
      </w:r>
      <w:r w:rsidRPr="0014385D">
        <w:rPr>
          <w:i/>
          <w:szCs w:val="22"/>
          <w:lang w:val="en-GB"/>
        </w:rPr>
        <w:t xml:space="preserve">. </w:t>
      </w:r>
      <w:r w:rsidRPr="0014385D">
        <w:rPr>
          <w:szCs w:val="22"/>
          <w:lang w:val="en-GB"/>
        </w:rPr>
        <w:t>MabThera has been used in 21 patients who underwent autologous bone marrow transplantation and other risk groups with a presumable reduced bone marrow function without inducing myelotoxicity.</w:t>
      </w:r>
    </w:p>
    <w:p w14:paraId="7C3311E1" w14:textId="77777777" w:rsidR="008F369D" w:rsidRPr="0014385D" w:rsidRDefault="008F369D" w:rsidP="008F369D">
      <w:pPr>
        <w:rPr>
          <w:szCs w:val="22"/>
          <w:lang w:val="en-GB"/>
        </w:rPr>
      </w:pPr>
    </w:p>
    <w:p w14:paraId="7C3311E2" w14:textId="77777777" w:rsidR="008F369D" w:rsidRPr="0014385D" w:rsidRDefault="00016F29" w:rsidP="008F369D">
      <w:pPr>
        <w:rPr>
          <w:szCs w:val="22"/>
          <w:lang w:val="en-GB"/>
        </w:rPr>
      </w:pPr>
      <w:r w:rsidRPr="0014385D">
        <w:rPr>
          <w:szCs w:val="22"/>
          <w:lang w:val="en-GB"/>
        </w:rPr>
        <w:t xml:space="preserve">Regular full blood counts, including neutrophil and platelet counts, should be performed during MabThera therapy. </w:t>
      </w:r>
    </w:p>
    <w:p w14:paraId="7C3311E3" w14:textId="77777777" w:rsidR="008F369D" w:rsidRPr="00F332AF" w:rsidRDefault="008F369D" w:rsidP="008F369D">
      <w:pPr>
        <w:rPr>
          <w:rFonts w:eastAsia="MS Mincho"/>
          <w:szCs w:val="22"/>
          <w:lang w:val="en-GB"/>
        </w:rPr>
      </w:pPr>
    </w:p>
    <w:p w14:paraId="7C3311E4" w14:textId="77777777" w:rsidR="008F369D" w:rsidRPr="00B055D4" w:rsidRDefault="00016F29" w:rsidP="008F369D">
      <w:pPr>
        <w:rPr>
          <w:rFonts w:eastAsia="MS Mincho"/>
          <w:szCs w:val="22"/>
          <w:u w:val="single"/>
          <w:lang w:val="en-GB"/>
        </w:rPr>
      </w:pPr>
      <w:r w:rsidRPr="00B55F04">
        <w:rPr>
          <w:rFonts w:eastAsia="MS Mincho"/>
          <w:i/>
          <w:szCs w:val="22"/>
          <w:lang w:val="en-GB"/>
        </w:rPr>
        <w:t>Infections</w:t>
      </w:r>
    </w:p>
    <w:p w14:paraId="7C3311E5" w14:textId="77777777" w:rsidR="008F369D" w:rsidRPr="00455307" w:rsidRDefault="00016F29" w:rsidP="008F369D">
      <w:pPr>
        <w:rPr>
          <w:szCs w:val="22"/>
          <w:lang w:val="en-GB"/>
        </w:rPr>
      </w:pPr>
      <w:bookmarkStart w:id="1" w:name="OLE_LINK1"/>
      <w:bookmarkStart w:id="2" w:name="OLE_LINK2"/>
      <w:r w:rsidRPr="00455307">
        <w:rPr>
          <w:szCs w:val="22"/>
          <w:lang w:val="en-GB"/>
        </w:rPr>
        <w:t>Serious infections, including fatalities, can occur during therapy with MabThera</w:t>
      </w:r>
      <w:r w:rsidRPr="00455307">
        <w:rPr>
          <w:rFonts w:hAnsi="Times New Roman Bold"/>
          <w:szCs w:val="22"/>
          <w:lang w:val="en-GB"/>
        </w:rPr>
        <w:t xml:space="preserve"> (see section 4.8).</w:t>
      </w:r>
      <w:r w:rsidRPr="00455307">
        <w:rPr>
          <w:rFonts w:ascii="Times New Roman Bold" w:hAnsi="Times New Roman Bold"/>
          <w:b/>
          <w:i/>
          <w:szCs w:val="22"/>
          <w:lang w:val="en-GB"/>
        </w:rPr>
        <w:t xml:space="preserve"> </w:t>
      </w:r>
      <w:r w:rsidRPr="00455307">
        <w:rPr>
          <w:szCs w:val="22"/>
          <w:lang w:val="en-GB"/>
        </w:rPr>
        <w:t>MabThera should not be administered to patients with an active, severe infection (e.g. tuberculosis, sepsis and opportunistic infections, see section 4.3).</w:t>
      </w:r>
    </w:p>
    <w:p w14:paraId="7C3311E6" w14:textId="77777777" w:rsidR="008F369D" w:rsidRPr="00455307" w:rsidRDefault="008F369D" w:rsidP="008F369D">
      <w:pPr>
        <w:rPr>
          <w:szCs w:val="22"/>
          <w:lang w:val="en-GB"/>
        </w:rPr>
      </w:pPr>
    </w:p>
    <w:bookmarkEnd w:id="1"/>
    <w:bookmarkEnd w:id="2"/>
    <w:p w14:paraId="7C3311E7" w14:textId="77777777" w:rsidR="008F369D" w:rsidRPr="00455307" w:rsidRDefault="00016F29" w:rsidP="008F369D">
      <w:pPr>
        <w:rPr>
          <w:szCs w:val="22"/>
          <w:lang w:val="en-GB"/>
        </w:rPr>
      </w:pPr>
      <w:r w:rsidRPr="00455307">
        <w:rPr>
          <w:szCs w:val="22"/>
          <w:lang w:val="en-GB"/>
        </w:rPr>
        <w:t xml:space="preserve">Physicians should exercise caution when considering the use of MabThera in patients with a history of recurring or chronic infections or with underlying conditions which may further predispose patients to serious infection (see section 4.8). </w:t>
      </w:r>
    </w:p>
    <w:p w14:paraId="7C3311E8" w14:textId="77777777" w:rsidR="008F369D" w:rsidRPr="00F332AF" w:rsidRDefault="008F369D" w:rsidP="008F369D">
      <w:pPr>
        <w:rPr>
          <w:rFonts w:eastAsia="MS Mincho"/>
          <w:szCs w:val="22"/>
          <w:lang w:val="en-GB"/>
        </w:rPr>
      </w:pPr>
    </w:p>
    <w:p w14:paraId="7C3311E9" w14:textId="77777777" w:rsidR="008F369D" w:rsidRPr="00015B1B" w:rsidRDefault="00016F29" w:rsidP="008F369D">
      <w:pPr>
        <w:rPr>
          <w:rFonts w:eastAsia="MS Mincho"/>
          <w:szCs w:val="22"/>
          <w:lang w:val="en-GB"/>
        </w:rPr>
      </w:pPr>
      <w:r w:rsidRPr="00F332AF">
        <w:rPr>
          <w:rFonts w:eastAsia="MS Mincho"/>
          <w:szCs w:val="22"/>
          <w:lang w:val="en-GB"/>
        </w:rPr>
        <w:t xml:space="preserve">Cases of hepatitis B reactivation have been reported in subjects receiving MabThera </w:t>
      </w:r>
      <w:r w:rsidRPr="00525A55">
        <w:rPr>
          <w:rFonts w:eastAsia="MS Mincho"/>
          <w:szCs w:val="22"/>
          <w:lang w:val="en-GB"/>
        </w:rPr>
        <w:t xml:space="preserve">including fulminant hepatitis with fatal outcome. The majority of these subjects were also exposed to cytotoxic chemotherapy. </w:t>
      </w:r>
      <w:r w:rsidRPr="00EF300D">
        <w:rPr>
          <w:rFonts w:eastAsia="MS Mincho"/>
          <w:lang w:val="en-GB"/>
        </w:rPr>
        <w:t>Limited information from one study in relapsed/refractory CLL patients suggest</w:t>
      </w:r>
      <w:r w:rsidRPr="00DF4B74">
        <w:rPr>
          <w:rFonts w:eastAsia="MS Mincho"/>
          <w:lang w:val="en-GB"/>
        </w:rPr>
        <w:t>s</w:t>
      </w:r>
      <w:r w:rsidRPr="00964018">
        <w:rPr>
          <w:rFonts w:eastAsia="MS Mincho"/>
          <w:lang w:val="en-GB"/>
        </w:rPr>
        <w:t xml:space="preserve"> that </w:t>
      </w:r>
      <w:r w:rsidRPr="0014385D">
        <w:rPr>
          <w:rFonts w:eastAsia="MS Mincho"/>
          <w:lang w:val="en-GB"/>
        </w:rPr>
        <w:t>MabThera treatment may also worsen the outcome of primary hepatitis B infections.</w:t>
      </w:r>
      <w:r w:rsidRPr="008C7921">
        <w:rPr>
          <w:rFonts w:eastAsia="MS Mincho"/>
          <w:szCs w:val="22"/>
          <w:lang w:val="en-GB"/>
        </w:rPr>
        <w:t xml:space="preserve"> </w:t>
      </w:r>
      <w:r w:rsidRPr="006E7408">
        <w:rPr>
          <w:rFonts w:eastAsia="MS Mincho"/>
          <w:lang w:val="en-GB"/>
        </w:rPr>
        <w:t>Hepatitis B virus (HBV) screening should be performed in all patients</w:t>
      </w:r>
      <w:r w:rsidRPr="00B228A0">
        <w:rPr>
          <w:rFonts w:eastAsia="MS Mincho"/>
          <w:lang w:val="en-GB"/>
        </w:rPr>
        <w:t xml:space="preserve"> before initiation of treatment with MabThera.</w:t>
      </w:r>
      <w:r>
        <w:rPr>
          <w:rFonts w:eastAsia="MS Mincho"/>
          <w:lang w:val="en-GB"/>
        </w:rPr>
        <w:t xml:space="preserve"> </w:t>
      </w:r>
      <w:r w:rsidRPr="00B228A0">
        <w:rPr>
          <w:rFonts w:eastAsia="MS Mincho"/>
          <w:lang w:val="en-GB"/>
        </w:rPr>
        <w:t xml:space="preserve">At </w:t>
      </w:r>
      <w:r w:rsidRPr="00015B1B">
        <w:rPr>
          <w:rFonts w:eastAsia="MS Mincho"/>
          <w:lang w:val="en-GB"/>
        </w:rPr>
        <w:t>minimum this should include HBsAg</w:t>
      </w:r>
      <w:r w:rsidR="000A6DDA" w:rsidRPr="00015B1B">
        <w:rPr>
          <w:rFonts w:eastAsia="MS Mincho"/>
          <w:lang w:val="en-GB"/>
        </w:rPr>
        <w:noBreakHyphen/>
      </w:r>
      <w:r w:rsidRPr="00015B1B">
        <w:rPr>
          <w:rFonts w:eastAsia="MS Mincho"/>
          <w:lang w:val="en-GB"/>
        </w:rPr>
        <w:t>status and HBcAb</w:t>
      </w:r>
      <w:r w:rsidR="000A6DDA" w:rsidRPr="00015B1B">
        <w:rPr>
          <w:rFonts w:eastAsia="MS Mincho"/>
          <w:lang w:val="en-GB"/>
        </w:rPr>
        <w:noBreakHyphen/>
      </w:r>
      <w:r w:rsidRPr="00015B1B">
        <w:rPr>
          <w:rFonts w:eastAsia="MS Mincho"/>
          <w:lang w:val="en-GB"/>
        </w:rPr>
        <w:t>status. These can be complemented with other appropriate markers as per local guidelines. Patients with active hepatitis B disease should not be treated with MabThera. Patients with positive hepatitis B serology (either HBsAg or HBcAb) should consult liver disease experts before start of treatment and should be monitored and managed following local medical standards to prevent hepatitis B reactivation.</w:t>
      </w:r>
    </w:p>
    <w:p w14:paraId="7C3311EA" w14:textId="77777777" w:rsidR="008F369D" w:rsidRPr="00015B1B" w:rsidRDefault="008F369D" w:rsidP="008F369D">
      <w:pPr>
        <w:rPr>
          <w:szCs w:val="22"/>
          <w:lang w:val="en-GB"/>
        </w:rPr>
      </w:pPr>
    </w:p>
    <w:p w14:paraId="7C3311EB" w14:textId="77777777" w:rsidR="008F369D" w:rsidRPr="00F332AF" w:rsidRDefault="00016F29" w:rsidP="008F369D">
      <w:pPr>
        <w:rPr>
          <w:lang w:val="en-GB"/>
        </w:rPr>
      </w:pPr>
      <w:r w:rsidRPr="00015B1B">
        <w:rPr>
          <w:lang w:val="en-GB"/>
        </w:rPr>
        <w:t>Very rare cases of progressive multifocal leukoencephalopathy (PML) have been reported during post</w:t>
      </w:r>
      <w:r w:rsidR="000A6DDA" w:rsidRPr="00015B1B">
        <w:rPr>
          <w:lang w:val="en-GB"/>
        </w:rPr>
        <w:noBreakHyphen/>
      </w:r>
      <w:r w:rsidRPr="00015B1B">
        <w:rPr>
          <w:lang w:val="en-GB"/>
        </w:rPr>
        <w:t>marketing use of MabThera in NHL and CLL (see section 4.8). The majority of patients had received</w:t>
      </w:r>
      <w:r w:rsidRPr="005C000E">
        <w:rPr>
          <w:lang w:val="en-GB"/>
        </w:rPr>
        <w:t xml:space="preserve"> MabThera in combination with chemotherapy or as part of a hematopoietic stem cell transplant. </w:t>
      </w:r>
    </w:p>
    <w:p w14:paraId="7C3311EC" w14:textId="77777777" w:rsidR="008F369D" w:rsidRPr="005C000E" w:rsidRDefault="008F369D" w:rsidP="008F369D">
      <w:pPr>
        <w:rPr>
          <w:i/>
          <w:szCs w:val="22"/>
          <w:lang w:val="en-GB"/>
        </w:rPr>
      </w:pPr>
    </w:p>
    <w:p w14:paraId="7C3311ED" w14:textId="77777777" w:rsidR="008F369D" w:rsidRDefault="00016F29" w:rsidP="008F369D">
      <w:pPr>
        <w:rPr>
          <w:szCs w:val="22"/>
          <w:u w:val="single"/>
          <w:lang w:val="en-GB"/>
        </w:rPr>
      </w:pPr>
      <w:r w:rsidRPr="00B55F04">
        <w:rPr>
          <w:i/>
          <w:szCs w:val="22"/>
          <w:lang w:val="en-GB"/>
        </w:rPr>
        <w:t>Immuni</w:t>
      </w:r>
      <w:r w:rsidRPr="00B338AB">
        <w:rPr>
          <w:i/>
          <w:szCs w:val="22"/>
          <w:lang w:val="en-GB"/>
        </w:rPr>
        <w:t>sations</w:t>
      </w:r>
    </w:p>
    <w:p w14:paraId="7C3311EE" w14:textId="77777777" w:rsidR="008F369D" w:rsidRPr="00F638AF" w:rsidRDefault="00016F29" w:rsidP="008F369D">
      <w:pPr>
        <w:rPr>
          <w:szCs w:val="22"/>
          <w:lang w:val="en-GB"/>
        </w:rPr>
      </w:pPr>
      <w:r w:rsidRPr="005C000E">
        <w:rPr>
          <w:lang w:val="en-GB"/>
        </w:rPr>
        <w:t>The safety of immuni</w:t>
      </w:r>
      <w:r>
        <w:rPr>
          <w:lang w:val="en-GB"/>
        </w:rPr>
        <w:t>s</w:t>
      </w:r>
      <w:r w:rsidRPr="005C000E">
        <w:rPr>
          <w:lang w:val="en-GB"/>
        </w:rPr>
        <w:t xml:space="preserve">ation with </w:t>
      </w:r>
      <w:r w:rsidRPr="005C000E">
        <w:rPr>
          <w:szCs w:val="22"/>
          <w:lang w:val="en-GB"/>
        </w:rPr>
        <w:t>live viral vaccines, following MabThera therapy has not been studied for NHL and CLL patients</w:t>
      </w:r>
      <w:r w:rsidRPr="005C000E">
        <w:rPr>
          <w:i/>
          <w:szCs w:val="22"/>
          <w:lang w:val="en-GB"/>
        </w:rPr>
        <w:t xml:space="preserve"> </w:t>
      </w:r>
      <w:r w:rsidRPr="005C000E">
        <w:rPr>
          <w:szCs w:val="22"/>
          <w:lang w:val="en-GB"/>
        </w:rPr>
        <w:t xml:space="preserve">and </w:t>
      </w:r>
      <w:r w:rsidRPr="00F638AF">
        <w:rPr>
          <w:szCs w:val="22"/>
          <w:lang w:val="en-GB"/>
        </w:rPr>
        <w:t>vaccination with live virus vaccines is not recommended. Patients treated with MabThera may receive non</w:t>
      </w:r>
      <w:r w:rsidR="000A6DDA" w:rsidRPr="00F638AF">
        <w:rPr>
          <w:szCs w:val="22"/>
          <w:lang w:val="en-GB"/>
        </w:rPr>
        <w:noBreakHyphen/>
      </w:r>
      <w:r w:rsidRPr="00F638AF">
        <w:rPr>
          <w:szCs w:val="22"/>
          <w:lang w:val="en-GB"/>
        </w:rPr>
        <w:t>live vaccinations</w:t>
      </w:r>
      <w:r w:rsidR="007B5727">
        <w:rPr>
          <w:szCs w:val="22"/>
          <w:lang w:val="en-GB"/>
        </w:rPr>
        <w:t xml:space="preserve">; </w:t>
      </w:r>
      <w:r w:rsidR="00807DC7">
        <w:rPr>
          <w:szCs w:val="22"/>
          <w:lang w:val="en-GB"/>
        </w:rPr>
        <w:t>h</w:t>
      </w:r>
      <w:r w:rsidR="007830E0" w:rsidRPr="00015B1B">
        <w:rPr>
          <w:szCs w:val="22"/>
          <w:lang w:val="en-GB"/>
        </w:rPr>
        <w:t>owever</w:t>
      </w:r>
      <w:r w:rsidR="00811833">
        <w:rPr>
          <w:szCs w:val="22"/>
          <w:lang w:val="en-GB"/>
        </w:rPr>
        <w:t>,</w:t>
      </w:r>
      <w:r w:rsidRPr="00F638AF">
        <w:rPr>
          <w:szCs w:val="22"/>
          <w:lang w:val="en-GB"/>
        </w:rPr>
        <w:t xml:space="preserve"> with non</w:t>
      </w:r>
      <w:r w:rsidR="000A6DDA" w:rsidRPr="00F638AF">
        <w:rPr>
          <w:szCs w:val="22"/>
          <w:lang w:val="en-GB"/>
        </w:rPr>
        <w:noBreakHyphen/>
      </w:r>
      <w:r w:rsidRPr="00F638AF">
        <w:rPr>
          <w:szCs w:val="22"/>
          <w:lang w:val="en-GB"/>
        </w:rPr>
        <w:t>live vaccines response rates may be reduced. In a non</w:t>
      </w:r>
      <w:r w:rsidR="000A6DDA" w:rsidRPr="00F638AF">
        <w:rPr>
          <w:szCs w:val="22"/>
          <w:lang w:val="en-GB"/>
        </w:rPr>
        <w:noBreakHyphen/>
      </w:r>
      <w:r w:rsidRPr="00F638AF">
        <w:rPr>
          <w:szCs w:val="22"/>
          <w:lang w:val="en-GB"/>
        </w:rPr>
        <w:t xml:space="preserve">randomised study, </w:t>
      </w:r>
      <w:r w:rsidR="004B2F6E" w:rsidRPr="00F638AF">
        <w:rPr>
          <w:szCs w:val="22"/>
          <w:lang w:val="en-GB"/>
        </w:rPr>
        <w:t xml:space="preserve">adult </w:t>
      </w:r>
      <w:r w:rsidRPr="00F638AF">
        <w:rPr>
          <w:szCs w:val="22"/>
          <w:lang w:val="en-GB"/>
        </w:rPr>
        <w:t>patients with relapsed low</w:t>
      </w:r>
      <w:r w:rsidR="000A6DDA" w:rsidRPr="00F638AF">
        <w:rPr>
          <w:szCs w:val="22"/>
          <w:lang w:val="en-GB"/>
        </w:rPr>
        <w:noBreakHyphen/>
      </w:r>
      <w:r w:rsidRPr="00F638AF">
        <w:rPr>
          <w:szCs w:val="22"/>
          <w:lang w:val="en-GB"/>
        </w:rPr>
        <w:t>grade NHL who received MabThera monotherapy when compared to healthy untreated controls had a lower rate of response to vaccination with tetanus recall antigen (16% vs. 81%) and Keyhole Limpet Haemocyanin (KLH) neoantigen (4% vs. 76% when assessed for &gt;2</w:t>
      </w:r>
      <w:r w:rsidR="000A6DDA" w:rsidRPr="00F638AF">
        <w:rPr>
          <w:szCs w:val="22"/>
          <w:lang w:val="en-GB"/>
        </w:rPr>
        <w:noBreakHyphen/>
      </w:r>
      <w:r w:rsidRPr="00F638AF">
        <w:rPr>
          <w:szCs w:val="22"/>
          <w:lang w:val="en-GB"/>
        </w:rPr>
        <w:t>fold increase in antibody titer). For CLL patients</w:t>
      </w:r>
      <w:r w:rsidR="00E95D74">
        <w:rPr>
          <w:szCs w:val="22"/>
          <w:lang w:val="en-GB"/>
        </w:rPr>
        <w:t>,</w:t>
      </w:r>
      <w:r w:rsidRPr="00F638AF">
        <w:rPr>
          <w:szCs w:val="22"/>
          <w:lang w:val="en-GB"/>
        </w:rPr>
        <w:t xml:space="preserve"> similar results are assumable considering similarities between both diseases but that has not been investigated in clinical trials.</w:t>
      </w:r>
    </w:p>
    <w:p w14:paraId="7C3311EF" w14:textId="77777777" w:rsidR="008F369D" w:rsidRPr="00F638AF" w:rsidRDefault="008F369D" w:rsidP="008F369D">
      <w:pPr>
        <w:rPr>
          <w:szCs w:val="22"/>
          <w:lang w:val="en-GB"/>
        </w:rPr>
      </w:pPr>
    </w:p>
    <w:p w14:paraId="7C3311F0" w14:textId="77777777" w:rsidR="008F369D" w:rsidRPr="00F638AF" w:rsidRDefault="00016F29" w:rsidP="008F369D">
      <w:pPr>
        <w:rPr>
          <w:lang w:val="en-GB"/>
        </w:rPr>
      </w:pPr>
      <w:r w:rsidRPr="00F638AF">
        <w:rPr>
          <w:lang w:val="en-GB"/>
        </w:rPr>
        <w:t>Mean pre</w:t>
      </w:r>
      <w:r w:rsidR="000A6DDA" w:rsidRPr="00F638AF">
        <w:rPr>
          <w:lang w:val="en-GB"/>
        </w:rPr>
        <w:noBreakHyphen/>
      </w:r>
      <w:r w:rsidRPr="00F638AF">
        <w:rPr>
          <w:lang w:val="en-GB"/>
        </w:rPr>
        <w:t>therapeutic antibody</w:t>
      </w:r>
      <w:r w:rsidRPr="00F638AF">
        <w:rPr>
          <w:szCs w:val="22"/>
          <w:lang w:val="en-GB"/>
        </w:rPr>
        <w:t xml:space="preserve"> titres against a panel of antigens (Streptococcus pneumoniae, influenza A, mumps, rubella, varicella) were maint</w:t>
      </w:r>
      <w:r w:rsidRPr="00F638AF">
        <w:rPr>
          <w:lang w:val="en-GB"/>
        </w:rPr>
        <w:t xml:space="preserve">ained for at least 6 months after treatment with MabThera. </w:t>
      </w:r>
    </w:p>
    <w:p w14:paraId="7C3311F1" w14:textId="77777777" w:rsidR="008F369D" w:rsidRPr="00F638AF" w:rsidRDefault="008F369D" w:rsidP="008F369D">
      <w:pPr>
        <w:rPr>
          <w:lang w:val="en-GB"/>
        </w:rPr>
      </w:pPr>
    </w:p>
    <w:p w14:paraId="7C3311F2" w14:textId="77777777" w:rsidR="008F369D" w:rsidRPr="00F638AF" w:rsidRDefault="00016F29" w:rsidP="00E454FF">
      <w:pPr>
        <w:keepNext/>
        <w:keepLines/>
        <w:rPr>
          <w:iCs/>
          <w:u w:val="single"/>
          <w:lang w:val="en-GB"/>
        </w:rPr>
      </w:pPr>
      <w:r w:rsidRPr="00F638AF">
        <w:rPr>
          <w:i/>
          <w:iCs/>
          <w:lang w:val="en-GB"/>
        </w:rPr>
        <w:t>Skin reactions</w:t>
      </w:r>
    </w:p>
    <w:p w14:paraId="7C3311F3" w14:textId="77777777" w:rsidR="008F369D" w:rsidRPr="00E06A78" w:rsidRDefault="00016F29" w:rsidP="00E454FF">
      <w:pPr>
        <w:keepNext/>
        <w:keepLines/>
        <w:rPr>
          <w:lang w:val="en-GB"/>
        </w:rPr>
      </w:pPr>
      <w:r w:rsidRPr="00F638AF">
        <w:rPr>
          <w:iCs/>
          <w:lang w:val="en-GB"/>
        </w:rPr>
        <w:t>Severe skin reactions such as Toxic Epidermal Necrolysis (Lyell’s syndrome) and Stevens</w:t>
      </w:r>
      <w:r w:rsidR="000A6DDA" w:rsidRPr="00F638AF">
        <w:rPr>
          <w:iCs/>
          <w:lang w:val="en-GB"/>
        </w:rPr>
        <w:noBreakHyphen/>
      </w:r>
      <w:r w:rsidRPr="00F638AF">
        <w:rPr>
          <w:iCs/>
          <w:lang w:val="en-GB"/>
        </w:rPr>
        <w:t>Johnson syndrome, some with fatal outcome, have been reported</w:t>
      </w:r>
      <w:r w:rsidRPr="00F638AF">
        <w:rPr>
          <w:i/>
          <w:iCs/>
          <w:lang w:val="en-GB"/>
        </w:rPr>
        <w:t xml:space="preserve"> </w:t>
      </w:r>
      <w:r w:rsidRPr="00F638AF">
        <w:rPr>
          <w:iCs/>
          <w:lang w:val="en-GB"/>
        </w:rPr>
        <w:t>(see section 4.8).</w:t>
      </w:r>
      <w:r w:rsidRPr="00F638AF">
        <w:rPr>
          <w:i/>
          <w:iCs/>
          <w:lang w:val="en-GB"/>
        </w:rPr>
        <w:t xml:space="preserve"> </w:t>
      </w:r>
      <w:r w:rsidRPr="00F638AF">
        <w:rPr>
          <w:iCs/>
          <w:lang w:val="en-GB"/>
        </w:rPr>
        <w:t xml:space="preserve">In case of such an event, with a suspected relationship to MabThera, treatment should be permanently discontinued. </w:t>
      </w:r>
    </w:p>
    <w:p w14:paraId="7C3311F4" w14:textId="77777777" w:rsidR="00521BC2" w:rsidRPr="00A47FF6" w:rsidRDefault="00521BC2" w:rsidP="00A47FF6">
      <w:pPr>
        <w:keepNext/>
        <w:keepLines/>
        <w:rPr>
          <w:i/>
          <w:lang w:val="en-GB"/>
        </w:rPr>
      </w:pPr>
    </w:p>
    <w:p w14:paraId="7C3311F5" w14:textId="77777777" w:rsidR="00521BC2" w:rsidRPr="00F638AF" w:rsidRDefault="00016F29" w:rsidP="00521BC2">
      <w:pPr>
        <w:keepNext/>
        <w:keepLines/>
        <w:rPr>
          <w:i/>
          <w:iCs/>
          <w:lang w:val="en-GB"/>
        </w:rPr>
      </w:pPr>
      <w:r w:rsidRPr="00F638AF">
        <w:rPr>
          <w:i/>
          <w:iCs/>
          <w:lang w:val="en-GB"/>
        </w:rPr>
        <w:t>Paediatric population</w:t>
      </w:r>
    </w:p>
    <w:p w14:paraId="7C3311F6" w14:textId="77777777" w:rsidR="00521BC2" w:rsidRPr="00521BC2" w:rsidRDefault="00016F29" w:rsidP="00521BC2">
      <w:pPr>
        <w:keepNext/>
        <w:keepLines/>
        <w:rPr>
          <w:iCs/>
          <w:lang w:val="en-GB"/>
        </w:rPr>
      </w:pPr>
      <w:r w:rsidRPr="00F638AF">
        <w:rPr>
          <w:iCs/>
          <w:lang w:val="en-GB"/>
        </w:rPr>
        <w:t>Only limited data are available for patients under 3 years of age. See section 5.1 for further information.</w:t>
      </w:r>
    </w:p>
    <w:p w14:paraId="7C3311F7" w14:textId="77777777" w:rsidR="008F369D" w:rsidRPr="005C000E" w:rsidRDefault="008F369D" w:rsidP="008F369D">
      <w:pPr>
        <w:rPr>
          <w:lang w:val="en-GB"/>
        </w:rPr>
      </w:pPr>
    </w:p>
    <w:p w14:paraId="7C3311F8" w14:textId="77777777" w:rsidR="008F369D" w:rsidRPr="00B055D4" w:rsidRDefault="00016F29" w:rsidP="00E06A78">
      <w:pPr>
        <w:keepNext/>
        <w:keepLines/>
        <w:outlineLvl w:val="0"/>
        <w:rPr>
          <w:szCs w:val="22"/>
          <w:u w:val="single"/>
          <w:lang w:val="en-GB"/>
        </w:rPr>
      </w:pPr>
      <w:r w:rsidRPr="00A14052">
        <w:rPr>
          <w:szCs w:val="22"/>
          <w:u w:val="single"/>
          <w:lang w:val="en-GB"/>
        </w:rPr>
        <w:t>Rheumatoid arthritis,</w:t>
      </w:r>
      <w:r w:rsidRPr="00A14052">
        <w:rPr>
          <w:i/>
          <w:snapToGrid w:val="0"/>
          <w:szCs w:val="22"/>
          <w:u w:val="single"/>
          <w:lang w:val="en-GB"/>
        </w:rPr>
        <w:t xml:space="preserve"> </w:t>
      </w:r>
      <w:r>
        <w:rPr>
          <w:snapToGrid w:val="0"/>
          <w:szCs w:val="22"/>
          <w:u w:val="single"/>
          <w:lang w:val="en-GB"/>
        </w:rPr>
        <w:t>g</w:t>
      </w:r>
      <w:r w:rsidRPr="00B055D4">
        <w:rPr>
          <w:snapToGrid w:val="0"/>
          <w:szCs w:val="22"/>
          <w:u w:val="single"/>
          <w:lang w:val="en-GB"/>
        </w:rPr>
        <w:t>ranulomatosis with polyangiitis</w:t>
      </w:r>
      <w:r w:rsidR="00753B8B">
        <w:rPr>
          <w:snapToGrid w:val="0"/>
          <w:szCs w:val="22"/>
          <w:u w:val="single"/>
          <w:lang w:val="en-GB"/>
        </w:rPr>
        <w:t xml:space="preserve"> (GPA)</w:t>
      </w:r>
      <w:r w:rsidRPr="00B055D4">
        <w:rPr>
          <w:snapToGrid w:val="0"/>
          <w:szCs w:val="22"/>
          <w:u w:val="single"/>
          <w:lang w:val="en-GB"/>
        </w:rPr>
        <w:t xml:space="preserve"> and </w:t>
      </w:r>
      <w:r>
        <w:rPr>
          <w:snapToGrid w:val="0"/>
          <w:szCs w:val="22"/>
          <w:u w:val="single"/>
          <w:lang w:val="en-GB"/>
        </w:rPr>
        <w:t>m</w:t>
      </w:r>
      <w:r w:rsidRPr="00B055D4">
        <w:rPr>
          <w:snapToGrid w:val="0"/>
          <w:szCs w:val="22"/>
          <w:u w:val="single"/>
          <w:lang w:val="en-GB"/>
        </w:rPr>
        <w:t>icroscopic polyangiitis</w:t>
      </w:r>
      <w:r w:rsidR="00753B8B">
        <w:rPr>
          <w:snapToGrid w:val="0"/>
          <w:szCs w:val="22"/>
          <w:u w:val="single"/>
          <w:lang w:val="en-GB"/>
        </w:rPr>
        <w:t xml:space="preserve"> (MPA)</w:t>
      </w:r>
      <w:r w:rsidR="00990498">
        <w:rPr>
          <w:snapToGrid w:val="0"/>
          <w:szCs w:val="22"/>
          <w:u w:val="single"/>
          <w:lang w:val="en-GB"/>
        </w:rPr>
        <w:t>,</w:t>
      </w:r>
      <w:r w:rsidR="00990498" w:rsidRPr="00990498">
        <w:rPr>
          <w:snapToGrid w:val="0"/>
          <w:szCs w:val="22"/>
          <w:u w:val="single"/>
          <w:lang w:val="en-GB"/>
        </w:rPr>
        <w:t xml:space="preserve"> </w:t>
      </w:r>
      <w:r w:rsidR="00990498">
        <w:rPr>
          <w:snapToGrid w:val="0"/>
          <w:szCs w:val="22"/>
          <w:u w:val="single"/>
          <w:lang w:val="en-GB"/>
        </w:rPr>
        <w:t>and</w:t>
      </w:r>
      <w:r w:rsidR="00990498" w:rsidRPr="00D715DC">
        <w:rPr>
          <w:snapToGrid w:val="0"/>
          <w:szCs w:val="22"/>
          <w:u w:val="single"/>
          <w:lang w:val="en-GB"/>
        </w:rPr>
        <w:t xml:space="preserve"> </w:t>
      </w:r>
      <w:r w:rsidR="00990498" w:rsidRPr="00EB258F">
        <w:rPr>
          <w:snapToGrid w:val="0"/>
          <w:szCs w:val="22"/>
          <w:u w:val="single"/>
          <w:lang w:val="en-GB"/>
        </w:rPr>
        <w:t>pemphigus vulgaris</w:t>
      </w:r>
    </w:p>
    <w:p w14:paraId="7C3311F9" w14:textId="77777777" w:rsidR="008F369D" w:rsidRPr="005C000E" w:rsidRDefault="008F369D" w:rsidP="00E06A78">
      <w:pPr>
        <w:keepNext/>
        <w:keepLines/>
        <w:rPr>
          <w:b/>
          <w:szCs w:val="22"/>
          <w:lang w:val="en-GB"/>
        </w:rPr>
      </w:pPr>
    </w:p>
    <w:p w14:paraId="7C3311FA" w14:textId="77777777" w:rsidR="008F369D" w:rsidRDefault="00016F29" w:rsidP="00E06A78">
      <w:pPr>
        <w:keepNext/>
        <w:keepLines/>
        <w:rPr>
          <w:szCs w:val="22"/>
          <w:u w:val="single"/>
          <w:lang w:val="en-GB"/>
        </w:rPr>
      </w:pPr>
      <w:r w:rsidRPr="00C32A0B">
        <w:rPr>
          <w:i/>
          <w:szCs w:val="22"/>
          <w:lang w:val="en-GB"/>
        </w:rPr>
        <w:t xml:space="preserve">Methotrexate (MTX) naïve populations with </w:t>
      </w:r>
      <w:r>
        <w:rPr>
          <w:i/>
          <w:szCs w:val="22"/>
          <w:lang w:val="en-GB"/>
        </w:rPr>
        <w:t>r</w:t>
      </w:r>
      <w:r w:rsidRPr="00C32A0B">
        <w:rPr>
          <w:i/>
          <w:szCs w:val="22"/>
          <w:lang w:val="en-GB"/>
        </w:rPr>
        <w:t>heumatoid arthritis</w:t>
      </w:r>
    </w:p>
    <w:p w14:paraId="7C3311FB" w14:textId="77777777" w:rsidR="008F369D" w:rsidRPr="00015B1B" w:rsidRDefault="00016F29" w:rsidP="00E06A78">
      <w:pPr>
        <w:keepNext/>
        <w:keepLines/>
        <w:rPr>
          <w:szCs w:val="22"/>
          <w:lang w:val="en-GB"/>
        </w:rPr>
      </w:pPr>
      <w:r w:rsidRPr="00015B1B">
        <w:rPr>
          <w:szCs w:val="22"/>
          <w:lang w:val="en-GB"/>
        </w:rPr>
        <w:t>The use of MabThera is not recommended in MTX</w:t>
      </w:r>
      <w:r w:rsidR="000A6DDA" w:rsidRPr="00015B1B">
        <w:rPr>
          <w:szCs w:val="22"/>
          <w:lang w:val="en-GB"/>
        </w:rPr>
        <w:noBreakHyphen/>
      </w:r>
      <w:r w:rsidRPr="00015B1B">
        <w:rPr>
          <w:szCs w:val="22"/>
          <w:lang w:val="en-GB"/>
        </w:rPr>
        <w:t>naïve patients since a favourable benefit risk relationship has not been established.</w:t>
      </w:r>
    </w:p>
    <w:p w14:paraId="7C3311FC" w14:textId="77777777" w:rsidR="008F369D" w:rsidRPr="00015B1B" w:rsidRDefault="008F369D" w:rsidP="008F369D">
      <w:pPr>
        <w:rPr>
          <w:b/>
          <w:szCs w:val="22"/>
          <w:lang w:val="en-GB"/>
        </w:rPr>
      </w:pPr>
    </w:p>
    <w:p w14:paraId="7C3311FD" w14:textId="77777777" w:rsidR="008F369D" w:rsidRPr="00015B1B" w:rsidRDefault="00016F29" w:rsidP="00BB33F3">
      <w:pPr>
        <w:outlineLvl w:val="0"/>
        <w:rPr>
          <w:szCs w:val="22"/>
          <w:u w:val="single"/>
          <w:lang w:val="en-GB"/>
        </w:rPr>
      </w:pPr>
      <w:r w:rsidRPr="00015B1B">
        <w:rPr>
          <w:i/>
          <w:szCs w:val="22"/>
          <w:lang w:val="en-GB"/>
        </w:rPr>
        <w:t>Infusion</w:t>
      </w:r>
      <w:r w:rsidR="00990498">
        <w:rPr>
          <w:i/>
          <w:szCs w:val="22"/>
          <w:lang w:val="en-GB"/>
        </w:rPr>
        <w:t>-</w:t>
      </w:r>
      <w:r w:rsidRPr="00015B1B">
        <w:rPr>
          <w:i/>
          <w:szCs w:val="22"/>
          <w:lang w:val="en-GB"/>
        </w:rPr>
        <w:t>related reactions</w:t>
      </w:r>
    </w:p>
    <w:p w14:paraId="7C3311FE" w14:textId="77777777" w:rsidR="008F369D" w:rsidRPr="005C000E" w:rsidRDefault="00016F29" w:rsidP="00BB33F3">
      <w:pPr>
        <w:rPr>
          <w:szCs w:val="22"/>
          <w:lang w:val="en-GB"/>
        </w:rPr>
      </w:pPr>
      <w:r w:rsidRPr="00015B1B">
        <w:rPr>
          <w:szCs w:val="22"/>
          <w:lang w:val="en-GB"/>
        </w:rPr>
        <w:t xml:space="preserve">MabThera is associated with infusion related reactions (IRRs), which may be related to release of cytokines and/or other chemical mediators. </w:t>
      </w:r>
    </w:p>
    <w:p w14:paraId="7C3311FF" w14:textId="77777777" w:rsidR="008F369D" w:rsidRPr="00015B1B" w:rsidRDefault="008F369D" w:rsidP="00BB33F3">
      <w:pPr>
        <w:rPr>
          <w:szCs w:val="22"/>
          <w:lang w:val="en-GB"/>
        </w:rPr>
      </w:pPr>
    </w:p>
    <w:p w14:paraId="7C331200" w14:textId="77777777" w:rsidR="008F369D" w:rsidRPr="005C000E" w:rsidRDefault="00016F29" w:rsidP="00BB33F3">
      <w:pPr>
        <w:rPr>
          <w:szCs w:val="22"/>
          <w:lang w:val="en-GB"/>
        </w:rPr>
      </w:pPr>
      <w:r w:rsidRPr="00015B1B">
        <w:rPr>
          <w:szCs w:val="22"/>
          <w:lang w:val="en-GB"/>
        </w:rPr>
        <w:t>Severe IRRs with fatal outcome have been reported in rheumatoid arthritis patients in the post</w:t>
      </w:r>
      <w:r w:rsidR="000A6DDA" w:rsidRPr="00015B1B">
        <w:rPr>
          <w:szCs w:val="22"/>
          <w:lang w:val="en-GB"/>
        </w:rPr>
        <w:noBreakHyphen/>
      </w:r>
      <w:r w:rsidRPr="00015B1B">
        <w:rPr>
          <w:szCs w:val="22"/>
          <w:lang w:val="en-GB"/>
        </w:rPr>
        <w:t>marketing setting. In rheumatoid arthritis most infusion</w:t>
      </w:r>
      <w:r w:rsidR="000A6DDA" w:rsidRPr="00015B1B">
        <w:rPr>
          <w:szCs w:val="22"/>
          <w:lang w:val="en-GB"/>
        </w:rPr>
        <w:noBreakHyphen/>
      </w:r>
      <w:r w:rsidRPr="00015B1B">
        <w:rPr>
          <w:szCs w:val="22"/>
          <w:lang w:val="en-GB"/>
        </w:rPr>
        <w:t>related events reported in clinical trials were</w:t>
      </w:r>
      <w:r w:rsidRPr="005C000E">
        <w:rPr>
          <w:szCs w:val="22"/>
          <w:lang w:val="en-GB"/>
        </w:rPr>
        <w:t xml:space="preserve"> mild to moderate in severity.</w:t>
      </w:r>
      <w:r w:rsidRPr="0053610E">
        <w:rPr>
          <w:szCs w:val="22"/>
          <w:lang w:val="en-GB"/>
        </w:rPr>
        <w:t xml:space="preserve"> </w:t>
      </w:r>
      <w:r w:rsidRPr="005C000E">
        <w:rPr>
          <w:szCs w:val="22"/>
          <w:lang w:val="en-GB"/>
        </w:rPr>
        <w:t xml:space="preserve">The most common symptoms were allergic reactions like headache, pruritus, throat irritation, flushing, rash, urticaria, hypertension, and pyrexia. In general, the proportion of patients experiencing any infusion reaction was higher following the first infusion than following the second infusion of any treatment course. The incidence of IRR decreased with subsequent courses (see section 4.8). The reactions reported were usually reversible with a reduction in rate, or </w:t>
      </w:r>
      <w:r w:rsidRPr="00015B1B">
        <w:rPr>
          <w:szCs w:val="22"/>
          <w:lang w:val="en-GB"/>
        </w:rPr>
        <w:t>interruption, of MabThera infusion and administration of an anti</w:t>
      </w:r>
      <w:r w:rsidR="000A6DDA" w:rsidRPr="00015B1B">
        <w:rPr>
          <w:szCs w:val="22"/>
          <w:lang w:val="en-GB"/>
        </w:rPr>
        <w:noBreakHyphen/>
      </w:r>
      <w:r w:rsidRPr="00015B1B">
        <w:rPr>
          <w:szCs w:val="22"/>
          <w:lang w:val="en-GB"/>
        </w:rPr>
        <w:t>pyretic, an antihistamine, and, occasionally, oxygen, intravenous saline or bronchodilators, and glucocorticoids if required. Closely</w:t>
      </w:r>
      <w:r w:rsidRPr="005C000E">
        <w:rPr>
          <w:szCs w:val="22"/>
          <w:lang w:val="en-GB"/>
        </w:rPr>
        <w:t xml:space="preserve"> </w:t>
      </w:r>
      <w:r w:rsidRPr="00015B1B">
        <w:rPr>
          <w:szCs w:val="22"/>
          <w:lang w:val="en-GB"/>
        </w:rPr>
        <w:t>monitor patients with pre</w:t>
      </w:r>
      <w:r w:rsidR="000A6DDA" w:rsidRPr="00015B1B">
        <w:rPr>
          <w:szCs w:val="22"/>
          <w:lang w:val="en-GB"/>
        </w:rPr>
        <w:noBreakHyphen/>
      </w:r>
      <w:r w:rsidRPr="00015B1B">
        <w:rPr>
          <w:szCs w:val="22"/>
          <w:lang w:val="en-GB"/>
        </w:rPr>
        <w:t>existing cardiac conditions and those who experienced prior</w:t>
      </w:r>
      <w:r w:rsidRPr="005C000E">
        <w:rPr>
          <w:szCs w:val="22"/>
          <w:lang w:val="en-GB"/>
        </w:rPr>
        <w:t xml:space="preserve"> cardiopulmonary adverse reactions. Depending on the severity of the </w:t>
      </w:r>
      <w:r>
        <w:rPr>
          <w:szCs w:val="22"/>
          <w:lang w:val="en-GB"/>
        </w:rPr>
        <w:t>IRR</w:t>
      </w:r>
      <w:r w:rsidRPr="005C000E">
        <w:rPr>
          <w:szCs w:val="22"/>
          <w:lang w:val="en-GB"/>
        </w:rPr>
        <w:t xml:space="preserve"> and the required interventions, temporarily or permanently discontinue MabThera. In most cases, the infusion can be resumed at a 50% reduction in rate (e.g. from 100 mg/h to 50 mg/h) when symptoms have completely resolved.</w:t>
      </w:r>
    </w:p>
    <w:p w14:paraId="7C331201" w14:textId="77777777" w:rsidR="008F369D" w:rsidRPr="005C000E" w:rsidRDefault="008F369D" w:rsidP="00BB33F3">
      <w:pPr>
        <w:rPr>
          <w:szCs w:val="22"/>
          <w:lang w:val="en-GB"/>
        </w:rPr>
      </w:pPr>
    </w:p>
    <w:p w14:paraId="7C331202" w14:textId="77777777" w:rsidR="008F369D" w:rsidRPr="005C000E" w:rsidRDefault="00016F29" w:rsidP="008F369D">
      <w:pPr>
        <w:keepNext/>
        <w:keepLines/>
        <w:rPr>
          <w:szCs w:val="22"/>
          <w:lang w:val="en-GB"/>
        </w:rPr>
      </w:pPr>
      <w:r w:rsidRPr="005C000E">
        <w:rPr>
          <w:szCs w:val="22"/>
          <w:lang w:val="en-GB"/>
        </w:rPr>
        <w:t xml:space="preserve">Medicinal products for the treatment of hypersensitivity reactions, e.g. epinephrine (adrenaline), antihistamines and glucocorticoids, should be available for immediate use in the event of an allergic reaction during administration of MabThera. </w:t>
      </w:r>
    </w:p>
    <w:p w14:paraId="7C331203" w14:textId="77777777" w:rsidR="008F369D" w:rsidRPr="005C000E" w:rsidRDefault="008F369D" w:rsidP="008F369D">
      <w:pPr>
        <w:rPr>
          <w:szCs w:val="22"/>
          <w:lang w:val="en-GB"/>
        </w:rPr>
      </w:pPr>
    </w:p>
    <w:p w14:paraId="7C331204" w14:textId="77777777" w:rsidR="008F369D" w:rsidRPr="005C000E" w:rsidRDefault="00016F29" w:rsidP="008F369D">
      <w:pPr>
        <w:rPr>
          <w:szCs w:val="22"/>
          <w:lang w:val="en-GB"/>
        </w:rPr>
      </w:pPr>
      <w:r w:rsidRPr="005C000E">
        <w:rPr>
          <w:szCs w:val="22"/>
          <w:lang w:val="en-GB"/>
        </w:rPr>
        <w:t xml:space="preserve">There are no data on the safety of MabThera in patients with moderate heart failure (NYHA class III) or severe, uncontrolled cardiovascular disease. In patients treated with MabThera, the occurrence of </w:t>
      </w:r>
      <w:r w:rsidRPr="00015B1B">
        <w:rPr>
          <w:szCs w:val="22"/>
          <w:lang w:val="en-GB"/>
        </w:rPr>
        <w:t>pre</w:t>
      </w:r>
      <w:r w:rsidR="000A6DDA" w:rsidRPr="00015B1B">
        <w:rPr>
          <w:szCs w:val="22"/>
          <w:lang w:val="en-GB"/>
        </w:rPr>
        <w:noBreakHyphen/>
      </w:r>
      <w:r w:rsidRPr="00015B1B">
        <w:rPr>
          <w:szCs w:val="22"/>
          <w:lang w:val="en-GB"/>
        </w:rPr>
        <w:t>existing ischemic cardiac conditions becoming symptomatic, such as angina pectoris, has been</w:t>
      </w:r>
      <w:r w:rsidRPr="005C000E">
        <w:rPr>
          <w:szCs w:val="22"/>
          <w:lang w:val="en-GB"/>
        </w:rPr>
        <w:t xml:space="preserve"> observed, as well as atrial fibrillation and flutter. Therefore, in patients with a known cardiac history, and those who experienced prior cardiopulmonary adverse reactions, the risk of cardiovascular complications resulting from infusion reactions should be considered before treatment with MabThera and patients closely monitored during administration. Since hypotension may occur during MabThera </w:t>
      </w:r>
      <w:r w:rsidRPr="00015B1B">
        <w:rPr>
          <w:szCs w:val="22"/>
          <w:lang w:val="en-GB"/>
        </w:rPr>
        <w:t>infusion, consideration should be given to withholding anti</w:t>
      </w:r>
      <w:r w:rsidR="000A6DDA" w:rsidRPr="00015B1B">
        <w:rPr>
          <w:szCs w:val="22"/>
          <w:lang w:val="en-GB"/>
        </w:rPr>
        <w:noBreakHyphen/>
      </w:r>
      <w:r w:rsidRPr="00015B1B">
        <w:rPr>
          <w:szCs w:val="22"/>
          <w:lang w:val="en-GB"/>
        </w:rPr>
        <w:t>hypertensive medications 12 hours prior</w:t>
      </w:r>
      <w:r w:rsidRPr="005C000E">
        <w:rPr>
          <w:szCs w:val="22"/>
          <w:lang w:val="en-GB"/>
        </w:rPr>
        <w:t xml:space="preserve"> to the MabThera infusion.</w:t>
      </w:r>
    </w:p>
    <w:p w14:paraId="7C331205" w14:textId="77777777" w:rsidR="008F369D" w:rsidRPr="0053610E" w:rsidRDefault="008F369D" w:rsidP="008F369D">
      <w:pPr>
        <w:rPr>
          <w:rFonts w:eastAsia="SimSun"/>
          <w:lang w:val="en-GB" w:eastAsia="zh-CN"/>
        </w:rPr>
      </w:pPr>
    </w:p>
    <w:p w14:paraId="7C331206" w14:textId="77777777" w:rsidR="008F369D" w:rsidRPr="002A4163" w:rsidRDefault="00016F29" w:rsidP="008F369D">
      <w:pPr>
        <w:rPr>
          <w:szCs w:val="22"/>
          <w:lang w:val="en-GB"/>
        </w:rPr>
      </w:pPr>
      <w:r>
        <w:rPr>
          <w:rFonts w:eastAsia="SimSun"/>
          <w:lang w:val="en-GB" w:eastAsia="zh-CN"/>
        </w:rPr>
        <w:t>IRR</w:t>
      </w:r>
      <w:r w:rsidRPr="00F332AF">
        <w:rPr>
          <w:rFonts w:eastAsia="SimSun"/>
          <w:lang w:val="en-GB" w:eastAsia="zh-CN"/>
        </w:rPr>
        <w:t xml:space="preserve">s </w:t>
      </w:r>
      <w:r w:rsidR="009E5B23">
        <w:rPr>
          <w:rFonts w:eastAsia="SimSun"/>
          <w:lang w:val="en-GB" w:eastAsia="zh-CN"/>
        </w:rPr>
        <w:t>in</w:t>
      </w:r>
      <w:r w:rsidR="0092083C">
        <w:rPr>
          <w:rFonts w:eastAsia="SimSun"/>
          <w:lang w:val="en-GB" w:eastAsia="zh-CN"/>
        </w:rPr>
        <w:t xml:space="preserve"> </w:t>
      </w:r>
      <w:r w:rsidRPr="00F332AF">
        <w:rPr>
          <w:rFonts w:eastAsia="SimSun"/>
          <w:lang w:val="en-GB" w:eastAsia="zh-CN"/>
        </w:rPr>
        <w:t xml:space="preserve">patients with </w:t>
      </w:r>
      <w:r w:rsidR="00753B8B">
        <w:rPr>
          <w:rFonts w:eastAsia="SimSun"/>
          <w:lang w:val="en-GB" w:eastAsia="zh-CN"/>
        </w:rPr>
        <w:t>GPA</w:t>
      </w:r>
      <w:r w:rsidR="00990498">
        <w:rPr>
          <w:rFonts w:eastAsia="SimSun"/>
          <w:lang w:val="en-GB" w:eastAsia="zh-CN"/>
        </w:rPr>
        <w:t>,</w:t>
      </w:r>
      <w:r w:rsidRPr="00F332AF">
        <w:rPr>
          <w:rFonts w:eastAsia="SimSun"/>
          <w:lang w:val="en-GB" w:eastAsia="zh-CN"/>
        </w:rPr>
        <w:t xml:space="preserve"> </w:t>
      </w:r>
      <w:r w:rsidR="00753B8B">
        <w:rPr>
          <w:rFonts w:eastAsia="SimSun"/>
          <w:lang w:val="en-GB" w:eastAsia="zh-CN"/>
        </w:rPr>
        <w:t>MPA</w:t>
      </w:r>
      <w:r w:rsidRPr="00F332AF">
        <w:rPr>
          <w:rFonts w:eastAsia="SimSun"/>
          <w:lang w:val="en-GB" w:eastAsia="zh-CN"/>
        </w:rPr>
        <w:t xml:space="preserve"> </w:t>
      </w:r>
      <w:r w:rsidR="00990498">
        <w:rPr>
          <w:rFonts w:eastAsia="SimSun"/>
          <w:lang w:val="en-GB" w:eastAsia="zh-CN"/>
        </w:rPr>
        <w:t>and pemphigus vulgaris</w:t>
      </w:r>
      <w:r w:rsidR="00990498" w:rsidRPr="00F332AF">
        <w:rPr>
          <w:rFonts w:eastAsia="SimSun"/>
          <w:lang w:val="en-GB" w:eastAsia="zh-CN"/>
        </w:rPr>
        <w:t xml:space="preserve"> </w:t>
      </w:r>
      <w:r w:rsidRPr="00F332AF">
        <w:rPr>
          <w:rFonts w:eastAsia="SimSun"/>
          <w:lang w:val="en-GB" w:eastAsia="zh-CN"/>
        </w:rPr>
        <w:t xml:space="preserve">were </w:t>
      </w:r>
      <w:r w:rsidR="00990498">
        <w:rPr>
          <w:rFonts w:eastAsia="SimSun"/>
          <w:lang w:val="en-GB" w:eastAsia="zh-CN"/>
        </w:rPr>
        <w:t>consistent with</w:t>
      </w:r>
      <w:r w:rsidR="00990498" w:rsidRPr="00F332AF">
        <w:rPr>
          <w:rFonts w:eastAsia="SimSun"/>
          <w:lang w:val="en-GB" w:eastAsia="zh-CN"/>
        </w:rPr>
        <w:t xml:space="preserve"> </w:t>
      </w:r>
      <w:r w:rsidRPr="00F332AF">
        <w:rPr>
          <w:rFonts w:eastAsia="SimSun"/>
          <w:lang w:val="en-GB" w:eastAsia="zh-CN"/>
        </w:rPr>
        <w:t xml:space="preserve">those seen for </w:t>
      </w:r>
      <w:r w:rsidRPr="0053610E">
        <w:rPr>
          <w:rFonts w:eastAsia="SimSun"/>
          <w:lang w:val="en-GB" w:eastAsia="zh-CN"/>
        </w:rPr>
        <w:t>rheumatoid</w:t>
      </w:r>
      <w:r w:rsidRPr="00F332AF">
        <w:rPr>
          <w:rFonts w:eastAsia="SimSun"/>
          <w:lang w:val="en-GB" w:eastAsia="zh-CN"/>
        </w:rPr>
        <w:t xml:space="preserve"> arthritis patients in clinical trials </w:t>
      </w:r>
      <w:r w:rsidR="00D9303A" w:rsidRPr="00B63DC8">
        <w:rPr>
          <w:rFonts w:eastAsia="SimSun"/>
          <w:lang w:val="en-GB" w:eastAsia="zh-CN"/>
        </w:rPr>
        <w:t xml:space="preserve">and in the post-marketing setting </w:t>
      </w:r>
      <w:r w:rsidRPr="00F332AF">
        <w:rPr>
          <w:rFonts w:eastAsia="SimSun"/>
          <w:lang w:val="en-GB" w:eastAsia="zh-CN"/>
        </w:rPr>
        <w:t>(</w:t>
      </w:r>
      <w:r w:rsidR="00153FF8" w:rsidRPr="006522A3">
        <w:rPr>
          <w:rFonts w:eastAsia="SimSun"/>
          <w:lang w:val="en-GB" w:eastAsia="zh-CN"/>
        </w:rPr>
        <w:t>see section 4.8</w:t>
      </w:r>
      <w:r w:rsidRPr="00F332AF">
        <w:rPr>
          <w:rFonts w:eastAsia="SimSun"/>
          <w:lang w:val="en-GB" w:eastAsia="zh-CN"/>
        </w:rPr>
        <w:t>)</w:t>
      </w:r>
      <w:r w:rsidRPr="002A4163">
        <w:rPr>
          <w:i/>
          <w:lang w:val="en-GB"/>
        </w:rPr>
        <w:t>.</w:t>
      </w:r>
    </w:p>
    <w:p w14:paraId="7C331207" w14:textId="77777777" w:rsidR="008F369D" w:rsidRPr="002A4163" w:rsidRDefault="008F369D" w:rsidP="008F369D">
      <w:pPr>
        <w:rPr>
          <w:szCs w:val="22"/>
          <w:lang w:val="en-GB"/>
        </w:rPr>
      </w:pPr>
    </w:p>
    <w:p w14:paraId="7C331208" w14:textId="77777777" w:rsidR="008F369D" w:rsidRPr="00C32A0B" w:rsidRDefault="00016F29" w:rsidP="008F369D">
      <w:pPr>
        <w:rPr>
          <w:i/>
          <w:szCs w:val="22"/>
          <w:lang w:val="en-GB"/>
        </w:rPr>
      </w:pPr>
      <w:bookmarkStart w:id="3" w:name="OLE_LINK9"/>
      <w:bookmarkStart w:id="4" w:name="OLE_LINK10"/>
      <w:r w:rsidRPr="00C32A0B">
        <w:rPr>
          <w:i/>
          <w:szCs w:val="22"/>
          <w:lang w:val="en-GB"/>
        </w:rPr>
        <w:t>Cardiac disorders</w:t>
      </w:r>
    </w:p>
    <w:p w14:paraId="7C331209" w14:textId="77777777" w:rsidR="008F369D" w:rsidRPr="002A4163" w:rsidRDefault="00016F29" w:rsidP="008F369D">
      <w:pPr>
        <w:rPr>
          <w:szCs w:val="22"/>
          <w:lang w:val="en-GB"/>
        </w:rPr>
      </w:pPr>
      <w:r w:rsidRPr="002A4163">
        <w:rPr>
          <w:szCs w:val="22"/>
          <w:lang w:val="en-GB"/>
        </w:rPr>
        <w:t>Angina pectoris, cardiac arrhythmias</w:t>
      </w:r>
      <w:r w:rsidRPr="002A4163">
        <w:rPr>
          <w:b/>
          <w:szCs w:val="22"/>
          <w:lang w:val="en-GB"/>
        </w:rPr>
        <w:t xml:space="preserve"> </w:t>
      </w:r>
      <w:r w:rsidRPr="002A4163">
        <w:rPr>
          <w:szCs w:val="22"/>
          <w:lang w:val="en-GB"/>
        </w:rPr>
        <w:t>such as atrial flutter and fibrillation, heart failure and/or myocardial infarction have occurred in patients treated with MabThera. Therefore</w:t>
      </w:r>
      <w:r w:rsidR="0096368A">
        <w:rPr>
          <w:szCs w:val="22"/>
          <w:lang w:val="en-GB"/>
        </w:rPr>
        <w:t>,</w:t>
      </w:r>
      <w:r w:rsidRPr="002A4163">
        <w:rPr>
          <w:szCs w:val="22"/>
          <w:lang w:val="en-GB"/>
        </w:rPr>
        <w:t xml:space="preserve"> patients with a history of cardiac disease should be monitored closely (see Infusion</w:t>
      </w:r>
      <w:r w:rsidR="00990498">
        <w:rPr>
          <w:szCs w:val="22"/>
          <w:lang w:val="en-GB"/>
        </w:rPr>
        <w:t>-</w:t>
      </w:r>
      <w:r w:rsidRPr="002A4163">
        <w:rPr>
          <w:szCs w:val="22"/>
          <w:lang w:val="en-GB"/>
        </w:rPr>
        <w:t>related reactions, above).</w:t>
      </w:r>
    </w:p>
    <w:bookmarkEnd w:id="3"/>
    <w:bookmarkEnd w:id="4"/>
    <w:p w14:paraId="7C33120A" w14:textId="77777777" w:rsidR="008F369D" w:rsidRPr="002A4163" w:rsidRDefault="008F369D" w:rsidP="008F369D">
      <w:pPr>
        <w:rPr>
          <w:szCs w:val="22"/>
          <w:lang w:val="en-GB"/>
        </w:rPr>
      </w:pPr>
    </w:p>
    <w:p w14:paraId="7C33120B" w14:textId="77777777" w:rsidR="008F369D" w:rsidRPr="00C32A0B" w:rsidRDefault="00016F29" w:rsidP="00063D4E">
      <w:pPr>
        <w:outlineLvl w:val="0"/>
        <w:rPr>
          <w:i/>
          <w:szCs w:val="22"/>
          <w:lang w:val="en-GB"/>
        </w:rPr>
      </w:pPr>
      <w:bookmarkStart w:id="5" w:name="OLE_LINK3"/>
      <w:bookmarkStart w:id="6" w:name="OLE_LINK4"/>
      <w:r w:rsidRPr="00C32A0B">
        <w:rPr>
          <w:i/>
          <w:szCs w:val="22"/>
          <w:lang w:val="en-GB"/>
        </w:rPr>
        <w:t>Infections</w:t>
      </w:r>
    </w:p>
    <w:p w14:paraId="7C33120C" w14:textId="77777777" w:rsidR="008F369D" w:rsidRPr="002A4163" w:rsidRDefault="00016F29" w:rsidP="00063D4E">
      <w:pPr>
        <w:rPr>
          <w:szCs w:val="22"/>
          <w:lang w:val="en-GB"/>
        </w:rPr>
      </w:pPr>
      <w:r w:rsidRPr="002A4163">
        <w:rPr>
          <w:szCs w:val="22"/>
          <w:lang w:val="en-GB"/>
        </w:rPr>
        <w:t>Based on the mechanism of action of MabThera and the knowledge that B cells play an important role in maintaining normal immune response, patients have an increased risk of infection following MabThera therapy (see section 5.1).</w:t>
      </w:r>
      <w:r w:rsidRPr="00AA7B51">
        <w:rPr>
          <w:szCs w:val="22"/>
          <w:lang w:val="en-GB"/>
        </w:rPr>
        <w:t xml:space="preserve"> </w:t>
      </w:r>
      <w:r w:rsidRPr="002A4163">
        <w:rPr>
          <w:szCs w:val="22"/>
          <w:lang w:val="en-GB"/>
        </w:rPr>
        <w:t>Serious infections, including fatalities, can occur during therapy with MabThera</w:t>
      </w:r>
      <w:r w:rsidRPr="002A4163">
        <w:rPr>
          <w:rFonts w:hAnsi="Times New Roman Bold"/>
          <w:szCs w:val="22"/>
          <w:lang w:val="en-GB"/>
        </w:rPr>
        <w:t xml:space="preserve"> (see section 4.8).</w:t>
      </w:r>
      <w:r w:rsidRPr="002A4163">
        <w:rPr>
          <w:rFonts w:ascii="Times New Roman Bold" w:hAnsi="Times New Roman Bold"/>
          <w:b/>
          <w:i/>
          <w:szCs w:val="22"/>
          <w:lang w:val="en-GB"/>
        </w:rPr>
        <w:t xml:space="preserve"> </w:t>
      </w:r>
      <w:r w:rsidRPr="002A4163">
        <w:rPr>
          <w:szCs w:val="22"/>
          <w:lang w:val="en-GB"/>
        </w:rPr>
        <w:t>MabThera should not be administered to patients with an active, severe infection (e.g. tuberculosis, sepsis and opportunistic infections, see section 4.3) or severely immunocompromised patients (e.g. where levels of CD4 or CD8 are very low). Physicians should exercise caution when considering the use of MabThera in patients with a history of recurring or chronic infections or with underlying conditions which may further predispose patients to serious infection, e.g. hypogammaglobulinaemia (see section 4.8). It is recommended that immunoglobulin levels are determined prior to initiating treatment with MabThera.</w:t>
      </w:r>
    </w:p>
    <w:p w14:paraId="7C33120D" w14:textId="77777777" w:rsidR="008F369D" w:rsidRPr="002A4163" w:rsidRDefault="008F369D" w:rsidP="008F369D">
      <w:pPr>
        <w:rPr>
          <w:szCs w:val="22"/>
          <w:lang w:val="en-GB"/>
        </w:rPr>
      </w:pPr>
    </w:p>
    <w:bookmarkEnd w:id="5"/>
    <w:bookmarkEnd w:id="6"/>
    <w:p w14:paraId="7C33120E" w14:textId="77777777" w:rsidR="008F369D" w:rsidRPr="00015B1B" w:rsidRDefault="00016F29" w:rsidP="008F369D">
      <w:pPr>
        <w:rPr>
          <w:szCs w:val="22"/>
          <w:lang w:val="en-GB"/>
        </w:rPr>
      </w:pPr>
      <w:r w:rsidRPr="002A4163">
        <w:rPr>
          <w:szCs w:val="22"/>
          <w:lang w:val="en-GB"/>
        </w:rPr>
        <w:t xml:space="preserve">Patients reporting signs and symptoms of infection following MabThera therapy should be promptly evaluated and treated appropriately. Before giving a subsequent course of MabThera treatment, </w:t>
      </w:r>
      <w:r w:rsidRPr="00015B1B">
        <w:rPr>
          <w:szCs w:val="22"/>
          <w:lang w:val="en-GB"/>
        </w:rPr>
        <w:t>patients should be re</w:t>
      </w:r>
      <w:r w:rsidR="000A6DDA" w:rsidRPr="00015B1B">
        <w:rPr>
          <w:szCs w:val="22"/>
          <w:lang w:val="en-GB"/>
        </w:rPr>
        <w:noBreakHyphen/>
      </w:r>
      <w:r w:rsidRPr="00015B1B">
        <w:rPr>
          <w:szCs w:val="22"/>
          <w:lang w:val="en-GB"/>
        </w:rPr>
        <w:t>evaluated for any potential risk for infections.</w:t>
      </w:r>
    </w:p>
    <w:p w14:paraId="7C33120F" w14:textId="77777777" w:rsidR="008F369D" w:rsidRPr="002A4163" w:rsidRDefault="008F369D" w:rsidP="008F369D">
      <w:pPr>
        <w:rPr>
          <w:szCs w:val="22"/>
          <w:lang w:val="en-GB"/>
        </w:rPr>
      </w:pPr>
    </w:p>
    <w:p w14:paraId="7C331210" w14:textId="77777777" w:rsidR="008F369D" w:rsidRPr="008C7921" w:rsidRDefault="00016F29" w:rsidP="008F369D">
      <w:pPr>
        <w:rPr>
          <w:iCs/>
          <w:szCs w:val="22"/>
          <w:lang w:val="en-GB"/>
        </w:rPr>
      </w:pPr>
      <w:r w:rsidRPr="00F332AF">
        <w:rPr>
          <w:iCs/>
          <w:szCs w:val="22"/>
          <w:lang w:val="en-GB"/>
        </w:rPr>
        <w:t xml:space="preserve">Very rare cases of fatal progressive </w:t>
      </w:r>
      <w:r w:rsidRPr="00525A55">
        <w:rPr>
          <w:iCs/>
          <w:szCs w:val="22"/>
          <w:lang w:val="en-GB"/>
        </w:rPr>
        <w:t xml:space="preserve">multifocal </w:t>
      </w:r>
      <w:r w:rsidRPr="00EF300D">
        <w:rPr>
          <w:iCs/>
          <w:szCs w:val="22"/>
          <w:lang w:val="en-GB"/>
        </w:rPr>
        <w:t>l</w:t>
      </w:r>
      <w:r w:rsidRPr="00DF4B74">
        <w:rPr>
          <w:iCs/>
          <w:szCs w:val="22"/>
          <w:lang w:val="en-GB"/>
        </w:rPr>
        <w:t>eukoencephalopathy (PML) have been reported following use of MabThera</w:t>
      </w:r>
      <w:r w:rsidRPr="00964018">
        <w:rPr>
          <w:szCs w:val="22"/>
          <w:lang w:val="en-GB"/>
        </w:rPr>
        <w:t xml:space="preserve"> for the treatment of rheumatoid arthritis and </w:t>
      </w:r>
      <w:r w:rsidRPr="0014385D">
        <w:rPr>
          <w:iCs/>
          <w:szCs w:val="22"/>
          <w:lang w:val="en-GB"/>
        </w:rPr>
        <w:t>autoimmune diseases</w:t>
      </w:r>
      <w:r w:rsidRPr="0014385D">
        <w:rPr>
          <w:szCs w:val="22"/>
          <w:lang w:val="en-GB"/>
        </w:rPr>
        <w:t xml:space="preserve"> including Systemic Lupus Erythematosus (SLE) and </w:t>
      </w:r>
      <w:r>
        <w:rPr>
          <w:szCs w:val="22"/>
          <w:lang w:val="en-GB"/>
        </w:rPr>
        <w:t>v</w:t>
      </w:r>
      <w:r w:rsidRPr="0014385D">
        <w:rPr>
          <w:szCs w:val="22"/>
          <w:lang w:val="en-GB"/>
        </w:rPr>
        <w:t>asculitis.</w:t>
      </w:r>
    </w:p>
    <w:p w14:paraId="7C331211" w14:textId="77777777" w:rsidR="008F369D" w:rsidRPr="006E7408" w:rsidRDefault="008F369D" w:rsidP="008F369D">
      <w:pPr>
        <w:rPr>
          <w:rFonts w:eastAsia="MS Mincho"/>
          <w:szCs w:val="22"/>
          <w:lang w:val="en-GB"/>
        </w:rPr>
      </w:pPr>
    </w:p>
    <w:p w14:paraId="7C331212" w14:textId="77777777" w:rsidR="008F369D" w:rsidRPr="00C32A0B" w:rsidRDefault="00016F29" w:rsidP="008F369D">
      <w:pPr>
        <w:rPr>
          <w:i/>
        </w:rPr>
      </w:pPr>
      <w:r w:rsidRPr="00C32A0B">
        <w:rPr>
          <w:i/>
        </w:rPr>
        <w:t>Hepatitis B Infections</w:t>
      </w:r>
    </w:p>
    <w:p w14:paraId="7C331213" w14:textId="77777777" w:rsidR="008F369D" w:rsidRPr="00F332AF" w:rsidRDefault="00016F29" w:rsidP="008F369D">
      <w:pPr>
        <w:rPr>
          <w:lang w:val="en-GB"/>
        </w:rPr>
      </w:pPr>
      <w:r w:rsidRPr="00C32A0B">
        <w:rPr>
          <w:lang w:val="en-GB"/>
        </w:rPr>
        <w:t xml:space="preserve">Cases of hepatitis B reactivation, including those with a fatal outcome, have been reported in </w:t>
      </w:r>
      <w:r>
        <w:rPr>
          <w:lang w:val="en-GB"/>
        </w:rPr>
        <w:t>r</w:t>
      </w:r>
      <w:r w:rsidRPr="00C32A0B">
        <w:rPr>
          <w:lang w:val="en-GB"/>
        </w:rPr>
        <w:t xml:space="preserve">heumatoid </w:t>
      </w:r>
      <w:r>
        <w:rPr>
          <w:lang w:val="en-GB"/>
        </w:rPr>
        <w:t>a</w:t>
      </w:r>
      <w:r w:rsidRPr="00C32A0B">
        <w:rPr>
          <w:lang w:val="en-GB"/>
        </w:rPr>
        <w:t xml:space="preserve">rthritis, </w:t>
      </w:r>
      <w:r w:rsidR="00753B8B">
        <w:rPr>
          <w:lang w:val="en-GB"/>
        </w:rPr>
        <w:t>GPA</w:t>
      </w:r>
      <w:r w:rsidRPr="00C32A0B">
        <w:rPr>
          <w:lang w:val="en-GB"/>
        </w:rPr>
        <w:t xml:space="preserve"> and </w:t>
      </w:r>
      <w:r w:rsidR="00753B8B">
        <w:rPr>
          <w:lang w:val="en-GB"/>
        </w:rPr>
        <w:t>MPA</w:t>
      </w:r>
      <w:r w:rsidRPr="00C32A0B">
        <w:rPr>
          <w:lang w:val="en-GB"/>
        </w:rPr>
        <w:t xml:space="preserve"> patients receiving MabThera</w:t>
      </w:r>
      <w:r w:rsidRPr="00F332AF">
        <w:rPr>
          <w:lang w:val="en-GB"/>
        </w:rPr>
        <w:t>.</w:t>
      </w:r>
    </w:p>
    <w:p w14:paraId="7C331214" w14:textId="77777777" w:rsidR="008F369D" w:rsidRPr="007C00EF" w:rsidRDefault="008F369D" w:rsidP="008F369D">
      <w:pPr>
        <w:rPr>
          <w:u w:val="single"/>
          <w:lang w:val="en-GB"/>
        </w:rPr>
      </w:pPr>
    </w:p>
    <w:p w14:paraId="7C331215" w14:textId="77777777" w:rsidR="008F369D" w:rsidRPr="007C00EF" w:rsidRDefault="00016F29" w:rsidP="008F369D">
      <w:pPr>
        <w:rPr>
          <w:lang w:val="en-GB"/>
        </w:rPr>
      </w:pPr>
      <w:r w:rsidRPr="00015B1B">
        <w:rPr>
          <w:lang w:val="en-GB"/>
        </w:rPr>
        <w:t>Hepatitis B virus (HBV) screening should be performed in all patients before initiation of treatment with MabThera. At minimum this should include HBsAg</w:t>
      </w:r>
      <w:r w:rsidR="000A6DDA" w:rsidRPr="00015B1B">
        <w:rPr>
          <w:lang w:val="en-GB"/>
        </w:rPr>
        <w:noBreakHyphen/>
      </w:r>
      <w:r w:rsidRPr="00015B1B">
        <w:rPr>
          <w:lang w:val="en-GB"/>
        </w:rPr>
        <w:t>status and HBcAb</w:t>
      </w:r>
      <w:r w:rsidR="000A6DDA" w:rsidRPr="00015B1B">
        <w:rPr>
          <w:lang w:val="en-GB"/>
        </w:rPr>
        <w:noBreakHyphen/>
      </w:r>
      <w:r w:rsidRPr="00015B1B">
        <w:rPr>
          <w:lang w:val="en-GB"/>
        </w:rPr>
        <w:t>status. These can be</w:t>
      </w:r>
      <w:r w:rsidRPr="007C00EF">
        <w:rPr>
          <w:lang w:val="en-GB"/>
        </w:rPr>
        <w:t xml:space="preserve"> complemented with other appropriate markers as per local guidelines. Patients with active hepatitis B disease should not be treated with MabThera.</w:t>
      </w:r>
      <w:r>
        <w:rPr>
          <w:lang w:val="en-GB"/>
        </w:rPr>
        <w:t xml:space="preserve"> </w:t>
      </w:r>
      <w:r w:rsidRPr="007C00EF">
        <w:rPr>
          <w:lang w:val="en-GB"/>
        </w:rPr>
        <w:t>Patients with positive hepatitis B serology (either HBsAg or HBcAb) should consult liver disease experts before start of treatment and should be monitored and managed following local medical standards to prevent hepatitis B reactivation.</w:t>
      </w:r>
    </w:p>
    <w:p w14:paraId="7C331216" w14:textId="77777777" w:rsidR="008F369D" w:rsidRPr="007C00EF" w:rsidRDefault="008F369D" w:rsidP="008F369D">
      <w:pPr>
        <w:rPr>
          <w:rFonts w:eastAsia="MS Mincho"/>
          <w:i/>
          <w:szCs w:val="22"/>
          <w:lang w:val="en-GB"/>
        </w:rPr>
      </w:pPr>
    </w:p>
    <w:p w14:paraId="7C331217" w14:textId="77777777" w:rsidR="008F369D" w:rsidRDefault="00016F29" w:rsidP="00B472AB">
      <w:pPr>
        <w:keepNext/>
        <w:keepLines/>
        <w:rPr>
          <w:lang w:val="en-GB"/>
        </w:rPr>
      </w:pPr>
      <w:r w:rsidRPr="00C32A0B">
        <w:rPr>
          <w:rFonts w:eastAsia="MS Mincho"/>
          <w:i/>
          <w:szCs w:val="22"/>
          <w:lang w:val="en-GB"/>
        </w:rPr>
        <w:t>Late neutropenia</w:t>
      </w:r>
    </w:p>
    <w:p w14:paraId="7C331218" w14:textId="77777777" w:rsidR="008F369D" w:rsidRPr="00015B1B" w:rsidRDefault="00016F29" w:rsidP="008F369D">
      <w:pPr>
        <w:rPr>
          <w:lang w:val="en-GB"/>
        </w:rPr>
      </w:pPr>
      <w:r w:rsidRPr="00015B1B">
        <w:rPr>
          <w:lang w:val="en-GB"/>
        </w:rPr>
        <w:t>Measure blood neutrophils prior to each course of MabThera, and regularly up to 6</w:t>
      </w:r>
      <w:r w:rsidR="000A6DDA" w:rsidRPr="00015B1B">
        <w:rPr>
          <w:lang w:val="en-GB"/>
        </w:rPr>
        <w:noBreakHyphen/>
      </w:r>
      <w:r w:rsidRPr="00015B1B">
        <w:rPr>
          <w:lang w:val="en-GB"/>
        </w:rPr>
        <w:t xml:space="preserve">months after cessation of treatment, and upon signs or symptoms of infection (see section 4.8). </w:t>
      </w:r>
    </w:p>
    <w:p w14:paraId="7C331219" w14:textId="77777777" w:rsidR="008F369D" w:rsidRPr="00015B1B" w:rsidRDefault="008F369D" w:rsidP="008F369D">
      <w:pPr>
        <w:rPr>
          <w:lang w:val="en-GB"/>
        </w:rPr>
      </w:pPr>
    </w:p>
    <w:p w14:paraId="7C33121A" w14:textId="77777777" w:rsidR="008F369D" w:rsidRPr="00015B1B" w:rsidRDefault="00016F29" w:rsidP="00A47FF6">
      <w:pPr>
        <w:keepNext/>
        <w:keepLines/>
        <w:rPr>
          <w:i/>
          <w:iCs/>
          <w:lang w:val="en-GB"/>
        </w:rPr>
      </w:pPr>
      <w:r w:rsidRPr="00015B1B">
        <w:rPr>
          <w:i/>
          <w:iCs/>
          <w:lang w:val="en-GB"/>
        </w:rPr>
        <w:t>Skin reactions</w:t>
      </w:r>
    </w:p>
    <w:p w14:paraId="7C33121B" w14:textId="77777777" w:rsidR="008F369D" w:rsidRPr="007C00EF" w:rsidRDefault="00016F29" w:rsidP="00A47FF6">
      <w:pPr>
        <w:keepNext/>
        <w:keepLines/>
        <w:rPr>
          <w:i/>
          <w:iCs/>
          <w:lang w:val="en-GB"/>
        </w:rPr>
      </w:pPr>
      <w:r w:rsidRPr="00015B1B">
        <w:rPr>
          <w:iCs/>
          <w:lang w:val="en-GB"/>
        </w:rPr>
        <w:t>Severe skin reactions such as Toxic Epidermal Necrolysis (Lyell’s syndrome) and Stevens</w:t>
      </w:r>
      <w:r w:rsidR="000A6DDA" w:rsidRPr="00015B1B">
        <w:rPr>
          <w:iCs/>
          <w:lang w:val="en-GB"/>
        </w:rPr>
        <w:noBreakHyphen/>
      </w:r>
      <w:r w:rsidRPr="00015B1B">
        <w:rPr>
          <w:iCs/>
          <w:lang w:val="en-GB"/>
        </w:rPr>
        <w:t>Johnson</w:t>
      </w:r>
      <w:r w:rsidRPr="007C00EF">
        <w:rPr>
          <w:iCs/>
          <w:lang w:val="en-GB"/>
        </w:rPr>
        <w:t xml:space="preserve"> </w:t>
      </w:r>
      <w:r>
        <w:rPr>
          <w:iCs/>
          <w:lang w:val="en-GB"/>
        </w:rPr>
        <w:t>s</w:t>
      </w:r>
      <w:r w:rsidRPr="007C00EF">
        <w:rPr>
          <w:iCs/>
          <w:lang w:val="en-GB"/>
        </w:rPr>
        <w:t>yndrome, some with fatal outcome, have been reported</w:t>
      </w:r>
      <w:r w:rsidRPr="007C00EF">
        <w:rPr>
          <w:i/>
          <w:iCs/>
          <w:lang w:val="en-GB"/>
        </w:rPr>
        <w:t xml:space="preserve"> </w:t>
      </w:r>
      <w:r w:rsidRPr="007C00EF">
        <w:rPr>
          <w:iCs/>
          <w:lang w:val="en-GB"/>
        </w:rPr>
        <w:t>(see section 4.8).</w:t>
      </w:r>
      <w:r w:rsidRPr="007C00EF">
        <w:rPr>
          <w:i/>
          <w:iCs/>
          <w:lang w:val="en-GB"/>
        </w:rPr>
        <w:t xml:space="preserve"> </w:t>
      </w:r>
      <w:r w:rsidRPr="007C00EF">
        <w:rPr>
          <w:iCs/>
          <w:lang w:val="en-GB"/>
        </w:rPr>
        <w:t>In case of such an event</w:t>
      </w:r>
      <w:r>
        <w:rPr>
          <w:iCs/>
          <w:lang w:val="en-GB"/>
        </w:rPr>
        <w:t xml:space="preserve"> with a suspected relationship to MabThera</w:t>
      </w:r>
      <w:r w:rsidRPr="007C00EF">
        <w:rPr>
          <w:iCs/>
          <w:lang w:val="en-GB"/>
        </w:rPr>
        <w:t xml:space="preserve">, treatment should be permanently discontinued. </w:t>
      </w:r>
    </w:p>
    <w:p w14:paraId="7C33121C" w14:textId="77777777" w:rsidR="008F369D" w:rsidRPr="007C00EF" w:rsidRDefault="008F369D" w:rsidP="008F369D">
      <w:pPr>
        <w:rPr>
          <w:rFonts w:eastAsia="MS Mincho"/>
          <w:szCs w:val="22"/>
          <w:lang w:val="en-GB"/>
        </w:rPr>
      </w:pPr>
    </w:p>
    <w:p w14:paraId="7C33121D" w14:textId="77777777" w:rsidR="008F369D" w:rsidRDefault="00016F29" w:rsidP="008F369D">
      <w:pPr>
        <w:outlineLvl w:val="0"/>
        <w:rPr>
          <w:rFonts w:eastAsia="SimSun"/>
          <w:lang w:val="en-GB" w:eastAsia="zh-CN" w:bidi="th-TH"/>
        </w:rPr>
      </w:pPr>
      <w:r w:rsidRPr="00215289">
        <w:rPr>
          <w:i/>
          <w:szCs w:val="22"/>
          <w:lang w:val="en-GB"/>
        </w:rPr>
        <w:t>Immuni</w:t>
      </w:r>
      <w:r w:rsidRPr="00BB33F3">
        <w:rPr>
          <w:szCs w:val="22"/>
          <w:lang w:val="en-GB"/>
        </w:rPr>
        <w:t>s</w:t>
      </w:r>
      <w:r w:rsidRPr="00215289">
        <w:rPr>
          <w:i/>
          <w:szCs w:val="22"/>
          <w:lang w:val="en-GB"/>
        </w:rPr>
        <w:t>ation</w:t>
      </w:r>
    </w:p>
    <w:p w14:paraId="7C33121E" w14:textId="77777777" w:rsidR="008F369D" w:rsidRPr="007C00EF" w:rsidRDefault="00016F29" w:rsidP="008F369D">
      <w:pPr>
        <w:rPr>
          <w:rFonts w:eastAsia="SimSun"/>
          <w:lang w:val="en-GB" w:eastAsia="zh-CN" w:bidi="th-TH"/>
        </w:rPr>
      </w:pPr>
      <w:r w:rsidRPr="007C00EF">
        <w:rPr>
          <w:rFonts w:eastAsia="SimSun"/>
          <w:lang w:val="en-GB" w:eastAsia="zh-CN" w:bidi="th-TH"/>
        </w:rPr>
        <w:t xml:space="preserve">Physicians should review the patient’s vaccination status and  </w:t>
      </w:r>
      <w:r w:rsidR="00296933">
        <w:rPr>
          <w:rFonts w:eastAsia="SimSun"/>
          <w:lang w:val="en-GB" w:eastAsia="zh-CN" w:bidi="th-TH"/>
        </w:rPr>
        <w:t xml:space="preserve">patients should, if possible, be brought up-to-date with all immunisations in agreement with </w:t>
      </w:r>
      <w:r w:rsidRPr="007C00EF">
        <w:rPr>
          <w:rFonts w:eastAsia="SimSun"/>
          <w:lang w:val="en-GB" w:eastAsia="zh-CN" w:bidi="th-TH"/>
        </w:rPr>
        <w:t>current immuni</w:t>
      </w:r>
      <w:r>
        <w:rPr>
          <w:rFonts w:eastAsia="SimSun"/>
          <w:lang w:val="en-GB" w:eastAsia="zh-CN" w:bidi="th-TH"/>
        </w:rPr>
        <w:t>s</w:t>
      </w:r>
      <w:r w:rsidRPr="007C00EF">
        <w:rPr>
          <w:rFonts w:eastAsia="SimSun"/>
          <w:lang w:val="en-GB" w:eastAsia="zh-CN" w:bidi="th-TH"/>
        </w:rPr>
        <w:t xml:space="preserve">ation guidelines prior to </w:t>
      </w:r>
      <w:r w:rsidR="00296933">
        <w:rPr>
          <w:rFonts w:eastAsia="SimSun"/>
          <w:lang w:val="en-GB" w:eastAsia="zh-CN" w:bidi="th-TH"/>
        </w:rPr>
        <w:t xml:space="preserve">initiating </w:t>
      </w:r>
      <w:r w:rsidRPr="007C00EF">
        <w:rPr>
          <w:rFonts w:eastAsia="SimSun"/>
          <w:lang w:val="en-GB" w:eastAsia="zh-CN" w:bidi="th-TH"/>
        </w:rPr>
        <w:t>MabThera therapy. Vaccination should be completed at least 4 weeks prior to first administration of MabThera.</w:t>
      </w:r>
    </w:p>
    <w:p w14:paraId="7C33121F" w14:textId="77777777" w:rsidR="008F369D" w:rsidRPr="007C00EF" w:rsidRDefault="008F369D" w:rsidP="008F369D">
      <w:pPr>
        <w:rPr>
          <w:rFonts w:eastAsia="SimSun"/>
          <w:lang w:val="en-GB" w:eastAsia="zh-CN" w:bidi="th-TH"/>
        </w:rPr>
      </w:pPr>
    </w:p>
    <w:p w14:paraId="7C331220" w14:textId="77777777" w:rsidR="008F369D" w:rsidRPr="007C00EF" w:rsidRDefault="00016F29" w:rsidP="008F369D">
      <w:pPr>
        <w:rPr>
          <w:rFonts w:eastAsia="SimSun"/>
          <w:lang w:val="en-GB" w:eastAsia="zh-CN" w:bidi="th-TH"/>
        </w:rPr>
      </w:pPr>
      <w:r w:rsidRPr="007C00EF">
        <w:rPr>
          <w:rFonts w:eastAsia="SimSun"/>
          <w:lang w:val="en-GB" w:eastAsia="zh-CN" w:bidi="th-TH"/>
        </w:rPr>
        <w:t>The safety of immuni</w:t>
      </w:r>
      <w:r>
        <w:rPr>
          <w:rFonts w:eastAsia="SimSun"/>
          <w:lang w:val="en-GB" w:eastAsia="zh-CN" w:bidi="th-TH"/>
        </w:rPr>
        <w:t>s</w:t>
      </w:r>
      <w:r w:rsidRPr="007C00EF">
        <w:rPr>
          <w:rFonts w:eastAsia="SimSun"/>
          <w:lang w:val="en-GB" w:eastAsia="zh-CN" w:bidi="th-TH"/>
        </w:rPr>
        <w:t xml:space="preserve">ation with live viral vaccines following MabThera therapy has not been studied. Therefore vaccination with live virus vaccines is not recommended whilst on MabThera or whilst peripherally B cell depleted. </w:t>
      </w:r>
    </w:p>
    <w:p w14:paraId="7C331221" w14:textId="77777777" w:rsidR="008F369D" w:rsidRPr="007C00EF" w:rsidRDefault="008F369D" w:rsidP="008F369D">
      <w:pPr>
        <w:rPr>
          <w:rFonts w:eastAsia="SimSun"/>
          <w:lang w:val="en-GB" w:eastAsia="zh-CN" w:bidi="th-TH"/>
        </w:rPr>
      </w:pPr>
    </w:p>
    <w:p w14:paraId="7C331222" w14:textId="77777777" w:rsidR="008F369D" w:rsidRPr="007C00EF" w:rsidRDefault="00016F29" w:rsidP="008F369D">
      <w:pPr>
        <w:rPr>
          <w:rFonts w:eastAsia="SimSun"/>
          <w:lang w:val="en-GB" w:eastAsia="zh-CN" w:bidi="th-TH"/>
        </w:rPr>
      </w:pPr>
      <w:r w:rsidRPr="00015B1B">
        <w:rPr>
          <w:rFonts w:eastAsia="SimSun"/>
          <w:lang w:val="en-GB" w:eastAsia="zh-CN" w:bidi="th-TH"/>
        </w:rPr>
        <w:t>Patients treated with MabThera may receive non</w:t>
      </w:r>
      <w:r w:rsidR="000A6DDA" w:rsidRPr="00015B1B">
        <w:rPr>
          <w:rFonts w:eastAsia="SimSun"/>
          <w:lang w:val="en-GB" w:eastAsia="zh-CN" w:bidi="th-TH"/>
        </w:rPr>
        <w:noBreakHyphen/>
      </w:r>
      <w:r w:rsidRPr="00015B1B">
        <w:rPr>
          <w:rFonts w:eastAsia="SimSun"/>
          <w:lang w:val="en-GB" w:eastAsia="zh-CN" w:bidi="th-TH"/>
        </w:rPr>
        <w:t>live vaccinations</w:t>
      </w:r>
      <w:r w:rsidR="007B5727">
        <w:rPr>
          <w:rFonts w:eastAsia="SimSun"/>
          <w:lang w:val="en-GB" w:eastAsia="zh-CN" w:bidi="th-TH"/>
        </w:rPr>
        <w:t>;</w:t>
      </w:r>
      <w:r w:rsidR="007830E0" w:rsidRPr="00015B1B">
        <w:rPr>
          <w:rFonts w:eastAsia="SimSun"/>
          <w:lang w:val="en-GB" w:eastAsia="zh-CN" w:bidi="th-TH"/>
        </w:rPr>
        <w:t xml:space="preserve"> </w:t>
      </w:r>
      <w:r w:rsidR="007B5727">
        <w:rPr>
          <w:rFonts w:eastAsia="SimSun"/>
          <w:lang w:val="en-GB" w:eastAsia="zh-CN" w:bidi="th-TH"/>
        </w:rPr>
        <w:t>h</w:t>
      </w:r>
      <w:r w:rsidR="007830E0" w:rsidRPr="00015B1B">
        <w:rPr>
          <w:rFonts w:eastAsia="SimSun"/>
          <w:lang w:val="en-GB" w:eastAsia="zh-CN" w:bidi="th-TH"/>
        </w:rPr>
        <w:t>owever</w:t>
      </w:r>
      <w:r w:rsidRPr="00015B1B">
        <w:rPr>
          <w:rFonts w:eastAsia="SimSun"/>
          <w:lang w:val="en-GB" w:eastAsia="zh-CN" w:bidi="th-TH"/>
        </w:rPr>
        <w:t>, response rates to non</w:t>
      </w:r>
      <w:r w:rsidR="000A6DDA" w:rsidRPr="00015B1B">
        <w:rPr>
          <w:rFonts w:eastAsia="SimSun"/>
          <w:lang w:val="en-GB" w:eastAsia="zh-CN" w:bidi="th-TH"/>
        </w:rPr>
        <w:noBreakHyphen/>
      </w:r>
      <w:r w:rsidRPr="00015B1B">
        <w:rPr>
          <w:rFonts w:eastAsia="SimSun"/>
          <w:lang w:val="en-GB" w:eastAsia="zh-CN" w:bidi="th-TH"/>
        </w:rPr>
        <w:t>live vaccines may be reduced. In a randomised trial, patients with rheumatoid arthritis treated with</w:t>
      </w:r>
      <w:r w:rsidRPr="007C00EF">
        <w:rPr>
          <w:rFonts w:eastAsia="SimSun"/>
          <w:lang w:val="en-GB" w:eastAsia="zh-CN" w:bidi="th-TH"/>
        </w:rPr>
        <w:t xml:space="preserve"> MabThera and methotrexate had comparable response rates to tetanus recall antigen (39% vs. 42%), reduced rates to pneumococcal polysaccharide vaccine (43% vs. 82% to at least 2 pneumococcal antibody serotypes), and KLH neoantigen (47% vs. 93%), when given 6 months after MabThera as </w:t>
      </w:r>
      <w:r w:rsidRPr="00015B1B">
        <w:rPr>
          <w:rFonts w:eastAsia="SimSun"/>
          <w:lang w:val="en-GB" w:eastAsia="zh-CN" w:bidi="th-TH"/>
        </w:rPr>
        <w:t>compared to patients only receiving methotrexate. Should non</w:t>
      </w:r>
      <w:r w:rsidR="000A6DDA" w:rsidRPr="00015B1B">
        <w:rPr>
          <w:rFonts w:eastAsia="SimSun"/>
          <w:lang w:val="en-GB" w:eastAsia="zh-CN" w:bidi="th-TH"/>
        </w:rPr>
        <w:noBreakHyphen/>
      </w:r>
      <w:r w:rsidRPr="00015B1B">
        <w:rPr>
          <w:rFonts w:eastAsia="SimSun"/>
          <w:lang w:val="en-GB" w:eastAsia="zh-CN" w:bidi="th-TH"/>
        </w:rPr>
        <w:t>live vaccinations be required whilst</w:t>
      </w:r>
      <w:r w:rsidRPr="007C00EF">
        <w:rPr>
          <w:rFonts w:eastAsia="SimSun"/>
          <w:lang w:val="en-GB" w:eastAsia="zh-CN" w:bidi="th-TH"/>
        </w:rPr>
        <w:t xml:space="preserve"> receiving MabThera therapy, these should be completed at least 4 weeks prior to commencing the next course of MabThera. </w:t>
      </w:r>
    </w:p>
    <w:p w14:paraId="7C331223" w14:textId="77777777" w:rsidR="008F369D" w:rsidRPr="007C00EF" w:rsidRDefault="008F369D" w:rsidP="008F369D">
      <w:pPr>
        <w:rPr>
          <w:rFonts w:eastAsia="SimSun"/>
          <w:lang w:val="en-GB" w:eastAsia="zh-CN" w:bidi="th-TH"/>
        </w:rPr>
      </w:pPr>
    </w:p>
    <w:p w14:paraId="7C331224" w14:textId="77777777" w:rsidR="008F369D" w:rsidRPr="007C00EF" w:rsidRDefault="00016F29" w:rsidP="008F369D">
      <w:pPr>
        <w:rPr>
          <w:szCs w:val="22"/>
          <w:lang w:val="en-GB"/>
        </w:rPr>
      </w:pPr>
      <w:r w:rsidRPr="007C00EF">
        <w:rPr>
          <w:rFonts w:eastAsia="SimSun"/>
          <w:lang w:val="en-GB" w:eastAsia="zh-CN" w:bidi="th-TH"/>
        </w:rPr>
        <w:t xml:space="preserve">In the overall experience of MabThera repeat treatment over one year in </w:t>
      </w:r>
      <w:r w:rsidRPr="0053610E">
        <w:rPr>
          <w:rFonts w:eastAsia="SimSun"/>
          <w:lang w:val="en-GB" w:eastAsia="zh-CN" w:bidi="th-TH"/>
        </w:rPr>
        <w:t>rheumatoid</w:t>
      </w:r>
      <w:r w:rsidRPr="007C00EF">
        <w:rPr>
          <w:rFonts w:eastAsia="SimSun"/>
          <w:lang w:val="en-GB" w:eastAsia="zh-CN" w:bidi="th-TH"/>
        </w:rPr>
        <w:t xml:space="preserve"> arthritis, the proportions of patients with positive antibody </w:t>
      </w:r>
      <w:r w:rsidRPr="0053610E">
        <w:rPr>
          <w:rFonts w:eastAsia="SimSun"/>
          <w:lang w:val="en-GB" w:eastAsia="zh-CN" w:bidi="th-TH"/>
        </w:rPr>
        <w:t xml:space="preserve">titres </w:t>
      </w:r>
      <w:r w:rsidRPr="007C00EF">
        <w:rPr>
          <w:rFonts w:eastAsia="SimSun"/>
          <w:lang w:val="en-GB" w:eastAsia="zh-CN" w:bidi="th-TH"/>
        </w:rPr>
        <w:t xml:space="preserve">against S. pneumoniae, influenza, mumps, rubella, varicella and tetanus toxoid were generally similar to the proportions at baseline. </w:t>
      </w:r>
    </w:p>
    <w:p w14:paraId="7C331225" w14:textId="77777777" w:rsidR="008F369D" w:rsidRPr="007C00EF" w:rsidRDefault="008F369D" w:rsidP="008F369D">
      <w:pPr>
        <w:rPr>
          <w:szCs w:val="22"/>
          <w:lang w:val="en-GB"/>
        </w:rPr>
      </w:pPr>
    </w:p>
    <w:p w14:paraId="7C331226" w14:textId="77777777" w:rsidR="008F369D" w:rsidRPr="00215289" w:rsidRDefault="00016F29" w:rsidP="008F369D">
      <w:pPr>
        <w:outlineLvl w:val="0"/>
        <w:rPr>
          <w:i/>
          <w:szCs w:val="22"/>
          <w:lang w:val="en-GB"/>
        </w:rPr>
      </w:pPr>
      <w:r w:rsidRPr="00215289">
        <w:rPr>
          <w:i/>
          <w:szCs w:val="22"/>
          <w:lang w:val="en-GB"/>
        </w:rPr>
        <w:t xml:space="preserve">Concomitant/sequential use of other DMARDs in </w:t>
      </w:r>
      <w:r w:rsidRPr="0053610E">
        <w:rPr>
          <w:i/>
          <w:szCs w:val="22"/>
          <w:lang w:val="en-GB"/>
        </w:rPr>
        <w:t>r</w:t>
      </w:r>
      <w:r w:rsidRPr="00215289">
        <w:rPr>
          <w:i/>
          <w:szCs w:val="22"/>
          <w:lang w:val="en-GB"/>
        </w:rPr>
        <w:t>heumatoid arthritis</w:t>
      </w:r>
    </w:p>
    <w:p w14:paraId="7C331227" w14:textId="77777777" w:rsidR="008F369D" w:rsidRPr="007C00EF" w:rsidRDefault="00016F29" w:rsidP="008F369D">
      <w:pPr>
        <w:rPr>
          <w:szCs w:val="22"/>
          <w:lang w:val="en-GB"/>
        </w:rPr>
      </w:pPr>
      <w:r w:rsidRPr="00015B1B">
        <w:rPr>
          <w:szCs w:val="22"/>
          <w:lang w:val="en-GB"/>
        </w:rPr>
        <w:t>The concomitant use of MabThera and anti</w:t>
      </w:r>
      <w:r w:rsidR="000A6DDA" w:rsidRPr="00015B1B">
        <w:rPr>
          <w:szCs w:val="22"/>
          <w:lang w:val="en-GB"/>
        </w:rPr>
        <w:noBreakHyphen/>
      </w:r>
      <w:r w:rsidRPr="00015B1B">
        <w:rPr>
          <w:szCs w:val="22"/>
          <w:lang w:val="en-GB"/>
        </w:rPr>
        <w:t>rheumatic therapies other than those specified under the</w:t>
      </w:r>
      <w:r w:rsidRPr="007C00EF">
        <w:rPr>
          <w:szCs w:val="22"/>
          <w:lang w:val="en-GB"/>
        </w:rPr>
        <w:t xml:space="preserve"> rheumatoid arthritis indication and posology is not recommended.</w:t>
      </w:r>
    </w:p>
    <w:p w14:paraId="7C331228" w14:textId="77777777" w:rsidR="008F369D" w:rsidRPr="007C00EF" w:rsidRDefault="008F369D" w:rsidP="008F369D">
      <w:pPr>
        <w:rPr>
          <w:szCs w:val="22"/>
          <w:lang w:val="en-GB"/>
        </w:rPr>
      </w:pPr>
    </w:p>
    <w:p w14:paraId="7C331229" w14:textId="77777777" w:rsidR="008F369D" w:rsidRPr="007C00EF" w:rsidRDefault="00016F29" w:rsidP="008F369D">
      <w:pPr>
        <w:rPr>
          <w:szCs w:val="22"/>
          <w:lang w:val="en-GB"/>
        </w:rPr>
      </w:pPr>
      <w:r w:rsidRPr="007C00EF">
        <w:rPr>
          <w:szCs w:val="22"/>
          <w:lang w:val="en-GB"/>
        </w:rPr>
        <w:t>There are</w:t>
      </w:r>
      <w:r w:rsidRPr="007C00EF">
        <w:rPr>
          <w:bCs/>
          <w:szCs w:val="22"/>
          <w:lang w:val="en-GB"/>
        </w:rPr>
        <w:t xml:space="preserve"> limited data </w:t>
      </w:r>
      <w:r w:rsidRPr="007C00EF">
        <w:rPr>
          <w:szCs w:val="22"/>
          <w:lang w:val="en-GB"/>
        </w:rPr>
        <w:t>from clinical trials to fully assess the safety of the sequential use of other DMARDs (including TNF inhibitors</w:t>
      </w:r>
      <w:r w:rsidRPr="007C00EF">
        <w:rPr>
          <w:bCs/>
          <w:szCs w:val="22"/>
          <w:lang w:val="en-GB"/>
        </w:rPr>
        <w:t xml:space="preserve"> and other biologics) </w:t>
      </w:r>
      <w:r w:rsidRPr="007C00EF">
        <w:rPr>
          <w:szCs w:val="22"/>
          <w:lang w:val="en-GB"/>
        </w:rPr>
        <w:t>following MabThera (see section 4.5).</w:t>
      </w:r>
      <w:r w:rsidRPr="007C00EF">
        <w:rPr>
          <w:bCs/>
          <w:szCs w:val="22"/>
          <w:lang w:val="en-GB"/>
        </w:rPr>
        <w:t xml:space="preserve"> The available data indicate that the rate of clinically relevant infection is unchanged when such therapies are used in patients previously treated with MabThera, however</w:t>
      </w:r>
      <w:r w:rsidRPr="007C00EF">
        <w:rPr>
          <w:szCs w:val="22"/>
          <w:lang w:val="en-GB"/>
        </w:rPr>
        <w:t xml:space="preserve"> patients should be closely observed for signs of infection if biologic agents and/or DMARDs are used following MabThera therapy.</w:t>
      </w:r>
    </w:p>
    <w:p w14:paraId="7C33122A" w14:textId="77777777" w:rsidR="008F369D" w:rsidRPr="007C00EF" w:rsidRDefault="008F369D" w:rsidP="008F369D">
      <w:pPr>
        <w:rPr>
          <w:szCs w:val="22"/>
          <w:lang w:val="en-GB"/>
        </w:rPr>
      </w:pPr>
    </w:p>
    <w:p w14:paraId="7C33122B" w14:textId="77777777" w:rsidR="008F369D" w:rsidRDefault="00016F29" w:rsidP="008F369D">
      <w:pPr>
        <w:outlineLvl w:val="0"/>
        <w:rPr>
          <w:szCs w:val="22"/>
          <w:lang w:val="en-GB"/>
        </w:rPr>
      </w:pPr>
      <w:r w:rsidRPr="0095004A">
        <w:rPr>
          <w:i/>
          <w:szCs w:val="22"/>
          <w:lang w:val="en-GB"/>
        </w:rPr>
        <w:t>Malignancy</w:t>
      </w:r>
    </w:p>
    <w:p w14:paraId="7C33122C" w14:textId="77777777" w:rsidR="008F369D" w:rsidRPr="007C00EF" w:rsidRDefault="00016F29" w:rsidP="008F369D">
      <w:pPr>
        <w:rPr>
          <w:szCs w:val="22"/>
          <w:lang w:val="en-GB"/>
        </w:rPr>
      </w:pPr>
      <w:r w:rsidRPr="007C00EF">
        <w:rPr>
          <w:szCs w:val="22"/>
          <w:lang w:val="en-GB"/>
        </w:rPr>
        <w:t>Immunomodulatory drugs may increase the risk of malignancy. On the basis of limited experience with MabThera in rheumatoid arthritis patients (see section 4.8) the present data do not seem to suggest any increased risk of malignancy. However, the possible risk for the development of solid tumours cannot be excluded at this time.</w:t>
      </w:r>
    </w:p>
    <w:p w14:paraId="7C33122D" w14:textId="77777777" w:rsidR="008F369D" w:rsidRPr="007C00EF" w:rsidRDefault="008F369D" w:rsidP="008F369D">
      <w:pPr>
        <w:rPr>
          <w:szCs w:val="22"/>
          <w:lang w:val="en-GB"/>
        </w:rPr>
      </w:pPr>
    </w:p>
    <w:p w14:paraId="7C33122E" w14:textId="77777777" w:rsidR="00811833" w:rsidRPr="00811833" w:rsidRDefault="00016F29" w:rsidP="00811833">
      <w:pPr>
        <w:rPr>
          <w:szCs w:val="22"/>
          <w:u w:val="single"/>
          <w:lang w:val="en-GB"/>
        </w:rPr>
      </w:pPr>
      <w:r w:rsidRPr="00811833">
        <w:rPr>
          <w:szCs w:val="22"/>
          <w:u w:val="single"/>
          <w:lang w:val="en-GB"/>
        </w:rPr>
        <w:t xml:space="preserve">Excipients </w:t>
      </w:r>
    </w:p>
    <w:p w14:paraId="7C33122F" w14:textId="77777777" w:rsidR="00811833" w:rsidRPr="006651D5" w:rsidRDefault="00016F29" w:rsidP="00811833">
      <w:pPr>
        <w:rPr>
          <w:lang w:val="en-GB"/>
        </w:rPr>
      </w:pPr>
      <w:r w:rsidRPr="00811833">
        <w:rPr>
          <w:lang w:val="en-GB"/>
        </w:rPr>
        <w:t>This medicinal product contains</w:t>
      </w:r>
      <w:r w:rsidRPr="00811833">
        <w:rPr>
          <w:szCs w:val="22"/>
          <w:lang w:val="en-GB"/>
        </w:rPr>
        <w:t xml:space="preserve"> 2.3 mmol (or 52.6 mg) sodium per 10 mL vial and 11.5 mmol (or 263.2 mg) sodium per 50 mL vial, </w:t>
      </w:r>
      <w:r w:rsidRPr="00811833">
        <w:t xml:space="preserve">equivalent to </w:t>
      </w:r>
      <w:r w:rsidRPr="000E01C7">
        <w:t>2.6</w:t>
      </w:r>
      <w:r w:rsidRPr="00811833">
        <w:t>%</w:t>
      </w:r>
      <w:r w:rsidRPr="000E01C7">
        <w:t xml:space="preserve"> (for 10ml vial) and 13.2% </w:t>
      </w:r>
      <w:r>
        <w:t xml:space="preserve">(for </w:t>
      </w:r>
      <w:r w:rsidRPr="000E01C7">
        <w:t>50ml vial)</w:t>
      </w:r>
      <w:r w:rsidRPr="00811833">
        <w:t xml:space="preserve"> of the WHO recommended maximum daily intake of 2 g sodium for an adult</w:t>
      </w:r>
      <w:r w:rsidRPr="00811833">
        <w:rPr>
          <w:szCs w:val="22"/>
          <w:lang w:val="en-GB"/>
        </w:rPr>
        <w:t xml:space="preserve">. </w:t>
      </w:r>
    </w:p>
    <w:p w14:paraId="7C331230" w14:textId="77777777" w:rsidR="00811833" w:rsidRPr="007C00EF" w:rsidRDefault="00811833" w:rsidP="008F369D">
      <w:pPr>
        <w:rPr>
          <w:szCs w:val="22"/>
          <w:lang w:val="en-GB"/>
        </w:rPr>
      </w:pPr>
    </w:p>
    <w:p w14:paraId="7C331231" w14:textId="77777777" w:rsidR="008F369D" w:rsidRPr="007C00EF" w:rsidRDefault="00016F29" w:rsidP="008F369D">
      <w:pPr>
        <w:keepNext/>
        <w:keepLines/>
        <w:ind w:left="567" w:hanging="567"/>
        <w:outlineLvl w:val="0"/>
        <w:rPr>
          <w:szCs w:val="22"/>
          <w:lang w:val="en-GB"/>
        </w:rPr>
      </w:pPr>
      <w:r w:rsidRPr="007C00EF">
        <w:rPr>
          <w:b/>
          <w:szCs w:val="22"/>
          <w:lang w:val="en-GB"/>
        </w:rPr>
        <w:t>4.5</w:t>
      </w:r>
      <w:r w:rsidRPr="007C00EF">
        <w:rPr>
          <w:b/>
          <w:szCs w:val="22"/>
          <w:lang w:val="en-GB"/>
        </w:rPr>
        <w:tab/>
        <w:t>Interaction with other medicinal products and other forms of interaction</w:t>
      </w:r>
    </w:p>
    <w:p w14:paraId="7C331232" w14:textId="77777777" w:rsidR="008F369D" w:rsidRPr="007C00EF" w:rsidRDefault="008F369D" w:rsidP="008F369D">
      <w:pPr>
        <w:keepNext/>
        <w:keepLines/>
        <w:rPr>
          <w:szCs w:val="22"/>
          <w:lang w:val="en-GB"/>
        </w:rPr>
      </w:pPr>
    </w:p>
    <w:p w14:paraId="7C331233" w14:textId="77777777" w:rsidR="008F369D" w:rsidRPr="007C00EF" w:rsidRDefault="00016F29" w:rsidP="008F369D">
      <w:pPr>
        <w:keepNext/>
        <w:keepLines/>
        <w:outlineLvl w:val="0"/>
        <w:rPr>
          <w:szCs w:val="22"/>
          <w:lang w:val="en-GB"/>
        </w:rPr>
      </w:pPr>
      <w:r w:rsidRPr="007C00EF">
        <w:rPr>
          <w:szCs w:val="22"/>
          <w:lang w:val="en-GB"/>
        </w:rPr>
        <w:t xml:space="preserve">Currently, there are limited data on possible drug interactions with MabThera. </w:t>
      </w:r>
    </w:p>
    <w:p w14:paraId="7C331234" w14:textId="77777777" w:rsidR="008F369D" w:rsidRPr="007C00EF" w:rsidRDefault="008F369D" w:rsidP="008F369D">
      <w:pPr>
        <w:rPr>
          <w:lang w:val="en-GB"/>
        </w:rPr>
      </w:pPr>
    </w:p>
    <w:p w14:paraId="7C331235" w14:textId="77777777" w:rsidR="008F369D" w:rsidRPr="007C00EF" w:rsidRDefault="00016F29" w:rsidP="008F369D">
      <w:pPr>
        <w:rPr>
          <w:lang w:val="en-GB"/>
        </w:rPr>
      </w:pPr>
      <w:r w:rsidRPr="00015B1B">
        <w:rPr>
          <w:lang w:val="en-GB"/>
        </w:rPr>
        <w:t>In CLL patients, co</w:t>
      </w:r>
      <w:r w:rsidR="000A6DDA" w:rsidRPr="00015B1B">
        <w:rPr>
          <w:lang w:val="en-GB"/>
        </w:rPr>
        <w:noBreakHyphen/>
      </w:r>
      <w:r w:rsidRPr="00015B1B">
        <w:rPr>
          <w:lang w:val="en-GB"/>
        </w:rPr>
        <w:t xml:space="preserve">administration with MabThera </w:t>
      </w:r>
      <w:r w:rsidRPr="00015B1B">
        <w:rPr>
          <w:rFonts w:eastAsia="SimSun"/>
          <w:lang w:val="en-GB" w:eastAsia="zh-CN"/>
        </w:rPr>
        <w:t>did not appear to have an</w:t>
      </w:r>
      <w:r w:rsidRPr="00015B1B">
        <w:rPr>
          <w:lang w:val="en-GB"/>
        </w:rPr>
        <w:t xml:space="preserve"> effect on the</w:t>
      </w:r>
      <w:r w:rsidRPr="007C00EF">
        <w:rPr>
          <w:lang w:val="en-GB"/>
        </w:rPr>
        <w:t xml:space="preserve"> pharmacokinetics of fludarabine </w:t>
      </w:r>
      <w:r w:rsidRPr="007C00EF">
        <w:rPr>
          <w:rFonts w:eastAsia="SimSun"/>
          <w:lang w:val="en-GB" w:eastAsia="zh-CN"/>
        </w:rPr>
        <w:t>or</w:t>
      </w:r>
      <w:r w:rsidRPr="007C00EF">
        <w:rPr>
          <w:lang w:val="en-GB"/>
        </w:rPr>
        <w:t xml:space="preserve"> cyclophosphamide. In addition, there was no apparent effect of fludarabine and cyclophosphamide on the pharmacokinetics of MabThera.</w:t>
      </w:r>
    </w:p>
    <w:p w14:paraId="7C331236" w14:textId="77777777" w:rsidR="008F369D" w:rsidRPr="007C00EF" w:rsidRDefault="008F369D" w:rsidP="008F369D">
      <w:pPr>
        <w:rPr>
          <w:szCs w:val="22"/>
          <w:lang w:val="en-GB"/>
        </w:rPr>
      </w:pPr>
    </w:p>
    <w:p w14:paraId="7C331237" w14:textId="77777777" w:rsidR="008F369D" w:rsidRPr="00015B1B" w:rsidRDefault="00016F29" w:rsidP="008F369D">
      <w:pPr>
        <w:rPr>
          <w:szCs w:val="22"/>
          <w:lang w:val="en-GB"/>
        </w:rPr>
      </w:pPr>
      <w:r w:rsidRPr="00015B1B">
        <w:rPr>
          <w:szCs w:val="22"/>
          <w:lang w:val="en-GB"/>
        </w:rPr>
        <w:t>Co</w:t>
      </w:r>
      <w:r w:rsidR="000A6DDA" w:rsidRPr="00015B1B">
        <w:rPr>
          <w:szCs w:val="22"/>
          <w:lang w:val="en-GB"/>
        </w:rPr>
        <w:noBreakHyphen/>
      </w:r>
      <w:r w:rsidRPr="00015B1B">
        <w:rPr>
          <w:szCs w:val="22"/>
          <w:lang w:val="en-GB"/>
        </w:rPr>
        <w:t>administration with methotrexate had no effect on the pharmacokinetics of MabThera in rheumatoid arthritis patients.</w:t>
      </w:r>
    </w:p>
    <w:p w14:paraId="7C331238" w14:textId="77777777" w:rsidR="008F369D" w:rsidRPr="00015B1B" w:rsidRDefault="008F369D" w:rsidP="008F369D">
      <w:pPr>
        <w:rPr>
          <w:szCs w:val="22"/>
          <w:lang w:val="en-GB"/>
        </w:rPr>
      </w:pPr>
    </w:p>
    <w:p w14:paraId="7C331239" w14:textId="77777777" w:rsidR="008F369D" w:rsidRPr="007C00EF" w:rsidRDefault="00016F29" w:rsidP="008F369D">
      <w:pPr>
        <w:rPr>
          <w:szCs w:val="22"/>
          <w:lang w:val="en-GB"/>
        </w:rPr>
      </w:pPr>
      <w:r w:rsidRPr="00015B1B">
        <w:rPr>
          <w:szCs w:val="22"/>
          <w:lang w:val="en-GB"/>
        </w:rPr>
        <w:t>Patients with human anti</w:t>
      </w:r>
      <w:r w:rsidR="000A6DDA" w:rsidRPr="00015B1B">
        <w:rPr>
          <w:szCs w:val="22"/>
          <w:lang w:val="en-GB"/>
        </w:rPr>
        <w:noBreakHyphen/>
      </w:r>
      <w:r w:rsidRPr="00015B1B">
        <w:rPr>
          <w:szCs w:val="22"/>
          <w:lang w:val="en-GB"/>
        </w:rPr>
        <w:t xml:space="preserve">mouse antibody (HAMA) </w:t>
      </w:r>
      <w:r w:rsidR="005B7FA0">
        <w:rPr>
          <w:szCs w:val="22"/>
          <w:lang w:val="en-GB"/>
        </w:rPr>
        <w:t xml:space="preserve">or anti-drug antibody (ADA) </w:t>
      </w:r>
      <w:r w:rsidRPr="00015B1B">
        <w:rPr>
          <w:szCs w:val="22"/>
          <w:lang w:val="en-GB"/>
        </w:rPr>
        <w:t>titres</w:t>
      </w:r>
      <w:r w:rsidRPr="007C00EF">
        <w:rPr>
          <w:szCs w:val="22"/>
          <w:lang w:val="en-GB"/>
        </w:rPr>
        <w:t xml:space="preserve"> may have allergic or hypersensitivity reactions when treated with other diagnostic or therapeutic monoclonal antibodies.</w:t>
      </w:r>
    </w:p>
    <w:p w14:paraId="7C33123A" w14:textId="77777777" w:rsidR="008F369D" w:rsidRPr="007C00EF" w:rsidRDefault="008F369D" w:rsidP="008F369D">
      <w:pPr>
        <w:rPr>
          <w:b/>
          <w:szCs w:val="22"/>
          <w:lang w:val="en-GB"/>
        </w:rPr>
      </w:pPr>
    </w:p>
    <w:p w14:paraId="7C33123B" w14:textId="77777777" w:rsidR="008F369D" w:rsidRPr="007C00EF" w:rsidRDefault="00016F29" w:rsidP="008F369D">
      <w:pPr>
        <w:rPr>
          <w:szCs w:val="22"/>
          <w:lang w:val="en-GB"/>
        </w:rPr>
      </w:pPr>
      <w:r w:rsidRPr="007C00EF">
        <w:rPr>
          <w:szCs w:val="22"/>
          <w:lang w:val="en-GB"/>
        </w:rPr>
        <w:t>In patients with rheumatoid arthritis, 283</w:t>
      </w:r>
      <w:r w:rsidRPr="007C00EF">
        <w:rPr>
          <w:bCs/>
          <w:szCs w:val="22"/>
          <w:lang w:val="en-GB"/>
        </w:rPr>
        <w:t xml:space="preserve"> </w:t>
      </w:r>
      <w:r w:rsidRPr="007C00EF">
        <w:rPr>
          <w:szCs w:val="22"/>
          <w:lang w:val="en-GB"/>
        </w:rPr>
        <w:t>patients received subsequent therapy with a biologic DMARD following MabThera.</w:t>
      </w:r>
      <w:r w:rsidRPr="007C00EF">
        <w:rPr>
          <w:bCs/>
          <w:szCs w:val="22"/>
          <w:lang w:val="en-GB"/>
        </w:rPr>
        <w:t xml:space="preserve"> In these patients the rate of clinically relevant infection while on MabThera was 6.01 per 100 patient years compared to 4.97 per 100 patient years following treatment with the biologic DMARD.</w:t>
      </w:r>
      <w:r w:rsidRPr="007C00EF">
        <w:rPr>
          <w:szCs w:val="22"/>
          <w:lang w:val="en-GB"/>
        </w:rPr>
        <w:t xml:space="preserve"> </w:t>
      </w:r>
    </w:p>
    <w:p w14:paraId="7C33123C" w14:textId="77777777" w:rsidR="008F369D" w:rsidRPr="007C00EF" w:rsidRDefault="008F369D" w:rsidP="008F369D">
      <w:pPr>
        <w:rPr>
          <w:szCs w:val="22"/>
          <w:lang w:val="en-GB"/>
        </w:rPr>
      </w:pPr>
    </w:p>
    <w:p w14:paraId="7C33123D" w14:textId="77777777" w:rsidR="008F369D" w:rsidRPr="007C00EF" w:rsidRDefault="00016F29" w:rsidP="008F369D">
      <w:pPr>
        <w:keepNext/>
        <w:keepLines/>
        <w:ind w:left="567" w:hanging="567"/>
        <w:outlineLvl w:val="0"/>
        <w:rPr>
          <w:szCs w:val="22"/>
          <w:lang w:val="en-GB"/>
        </w:rPr>
      </w:pPr>
      <w:r w:rsidRPr="007C00EF">
        <w:rPr>
          <w:b/>
          <w:szCs w:val="22"/>
          <w:lang w:val="en-GB"/>
        </w:rPr>
        <w:t>4.6</w:t>
      </w:r>
      <w:r w:rsidRPr="007C00EF">
        <w:rPr>
          <w:b/>
          <w:szCs w:val="22"/>
          <w:lang w:val="en-GB"/>
        </w:rPr>
        <w:tab/>
      </w:r>
      <w:r w:rsidRPr="007C00EF">
        <w:rPr>
          <w:b/>
          <w:bCs/>
          <w:szCs w:val="22"/>
          <w:lang w:val="en-GB"/>
        </w:rPr>
        <w:t>Fertility,</w:t>
      </w:r>
      <w:r w:rsidRPr="007C00EF">
        <w:rPr>
          <w:b/>
          <w:szCs w:val="22"/>
          <w:lang w:val="en-GB"/>
        </w:rPr>
        <w:t xml:space="preserve"> pregnancy and lactation</w:t>
      </w:r>
    </w:p>
    <w:p w14:paraId="7C33123E" w14:textId="77777777" w:rsidR="008F369D" w:rsidRPr="007C00EF" w:rsidRDefault="008F369D" w:rsidP="008F369D">
      <w:pPr>
        <w:keepNext/>
        <w:keepLines/>
        <w:rPr>
          <w:b/>
          <w:szCs w:val="22"/>
          <w:lang w:val="en-GB"/>
        </w:rPr>
      </w:pPr>
    </w:p>
    <w:p w14:paraId="7C33123F" w14:textId="77777777" w:rsidR="008F369D" w:rsidRDefault="00016F29" w:rsidP="008F369D">
      <w:pPr>
        <w:rPr>
          <w:szCs w:val="22"/>
          <w:u w:val="single"/>
          <w:lang w:val="en-GB"/>
        </w:rPr>
      </w:pPr>
      <w:r w:rsidRPr="007C00EF">
        <w:rPr>
          <w:szCs w:val="22"/>
          <w:u w:val="single"/>
          <w:lang w:val="en-GB"/>
        </w:rPr>
        <w:t>Contraception in males and females</w:t>
      </w:r>
    </w:p>
    <w:p w14:paraId="7C331240" w14:textId="77777777" w:rsidR="008F369D" w:rsidRPr="007C00EF" w:rsidRDefault="008F369D" w:rsidP="008F369D">
      <w:pPr>
        <w:rPr>
          <w:szCs w:val="22"/>
          <w:u w:val="single"/>
          <w:lang w:val="en-GB"/>
        </w:rPr>
      </w:pPr>
    </w:p>
    <w:p w14:paraId="7C331241" w14:textId="77777777" w:rsidR="008F369D" w:rsidRDefault="00016F29" w:rsidP="008F369D">
      <w:pPr>
        <w:keepNext/>
        <w:keepLines/>
        <w:outlineLvl w:val="0"/>
        <w:rPr>
          <w:szCs w:val="22"/>
          <w:lang w:val="en-GB"/>
        </w:rPr>
      </w:pPr>
      <w:r w:rsidRPr="007C00EF">
        <w:rPr>
          <w:szCs w:val="22"/>
          <w:lang w:val="en-GB"/>
        </w:rPr>
        <w:t xml:space="preserve">Due to the long retention time of rituximab in B cell depleted patients, women of childbearing potential should use effective contraceptive methods during and for 12 months following treatment </w:t>
      </w:r>
      <w:r>
        <w:rPr>
          <w:szCs w:val="22"/>
          <w:lang w:val="en-GB"/>
        </w:rPr>
        <w:t xml:space="preserve">with </w:t>
      </w:r>
      <w:r w:rsidRPr="007C00EF">
        <w:rPr>
          <w:szCs w:val="22"/>
          <w:lang w:val="en-GB"/>
        </w:rPr>
        <w:t>MabThera.</w:t>
      </w:r>
    </w:p>
    <w:p w14:paraId="7C331242" w14:textId="77777777" w:rsidR="008F369D" w:rsidRDefault="008F369D" w:rsidP="006522A3">
      <w:pPr>
        <w:rPr>
          <w:lang w:val="en-GB"/>
        </w:rPr>
      </w:pPr>
    </w:p>
    <w:p w14:paraId="7C331243" w14:textId="77777777" w:rsidR="008F369D" w:rsidRDefault="00016F29" w:rsidP="00E454FF">
      <w:pPr>
        <w:keepNext/>
        <w:keepLines/>
        <w:outlineLvl w:val="0"/>
        <w:rPr>
          <w:szCs w:val="22"/>
          <w:u w:val="single"/>
          <w:lang w:val="en-GB"/>
        </w:rPr>
      </w:pPr>
      <w:r w:rsidRPr="007C00EF">
        <w:rPr>
          <w:szCs w:val="22"/>
          <w:u w:val="single"/>
          <w:lang w:val="en-GB"/>
        </w:rPr>
        <w:t>Pregnancy</w:t>
      </w:r>
    </w:p>
    <w:p w14:paraId="7C331244" w14:textId="77777777" w:rsidR="008F369D" w:rsidRPr="007C00EF" w:rsidRDefault="008F369D" w:rsidP="00E454FF">
      <w:pPr>
        <w:keepNext/>
        <w:keepLines/>
        <w:rPr>
          <w:lang w:val="en-GB"/>
        </w:rPr>
      </w:pPr>
    </w:p>
    <w:p w14:paraId="7C331245" w14:textId="77777777" w:rsidR="008F369D" w:rsidRDefault="00016F29" w:rsidP="00E454FF">
      <w:pPr>
        <w:keepNext/>
        <w:keepLines/>
        <w:rPr>
          <w:szCs w:val="22"/>
          <w:lang w:val="en-GB"/>
        </w:rPr>
      </w:pPr>
      <w:r w:rsidRPr="007C00EF">
        <w:rPr>
          <w:szCs w:val="22"/>
          <w:lang w:val="en-GB"/>
        </w:rPr>
        <w:t>IgG immunoglobulins are known to cross the placental barrier.</w:t>
      </w:r>
    </w:p>
    <w:p w14:paraId="7C331246" w14:textId="77777777" w:rsidR="008F369D" w:rsidRPr="00015B1B" w:rsidRDefault="008F369D" w:rsidP="008F369D">
      <w:pPr>
        <w:keepNext/>
        <w:keepLines/>
        <w:rPr>
          <w:szCs w:val="22"/>
          <w:lang w:val="en-GB"/>
        </w:rPr>
      </w:pPr>
    </w:p>
    <w:p w14:paraId="7C331247" w14:textId="77777777" w:rsidR="008F369D" w:rsidRPr="007C00EF" w:rsidRDefault="00016F29" w:rsidP="008F369D">
      <w:pPr>
        <w:rPr>
          <w:szCs w:val="22"/>
          <w:lang w:val="en-GB"/>
        </w:rPr>
      </w:pPr>
      <w:r w:rsidRPr="00015B1B">
        <w:rPr>
          <w:szCs w:val="22"/>
          <w:lang w:val="en-GB"/>
        </w:rPr>
        <w:t>B cell levels in human neonates following maternal exposure to MabThera have not been studied in clinical trials. There are no adequate and well</w:t>
      </w:r>
      <w:r w:rsidR="000A6DDA" w:rsidRPr="00015B1B">
        <w:rPr>
          <w:szCs w:val="22"/>
          <w:lang w:val="en-GB"/>
        </w:rPr>
        <w:noBreakHyphen/>
      </w:r>
      <w:r w:rsidRPr="00015B1B">
        <w:rPr>
          <w:szCs w:val="22"/>
          <w:lang w:val="en-GB"/>
        </w:rPr>
        <w:t>controlled data from studies in pregnant women, however transient B</w:t>
      </w:r>
      <w:r w:rsidR="000A6DDA" w:rsidRPr="00015B1B">
        <w:rPr>
          <w:szCs w:val="22"/>
          <w:lang w:val="en-GB"/>
        </w:rPr>
        <w:noBreakHyphen/>
      </w:r>
      <w:r w:rsidRPr="00015B1B">
        <w:rPr>
          <w:szCs w:val="22"/>
          <w:lang w:val="en-GB"/>
        </w:rPr>
        <w:t>cell depletion and lymphocytopenia have been reported in some infants born to</w:t>
      </w:r>
      <w:r w:rsidRPr="007C00EF">
        <w:rPr>
          <w:szCs w:val="22"/>
          <w:lang w:val="en-GB"/>
        </w:rPr>
        <w:t xml:space="preserve"> mothers exposed to MabThera during pregnancy. </w:t>
      </w:r>
      <w:r w:rsidRPr="00C501E3">
        <w:rPr>
          <w:szCs w:val="22"/>
          <w:lang w:val="en-GB"/>
        </w:rPr>
        <w:t>Similar effects have been observed in animal studies (see section 5.3).</w:t>
      </w:r>
      <w:r>
        <w:rPr>
          <w:szCs w:val="22"/>
          <w:lang w:val="en-GB"/>
        </w:rPr>
        <w:t xml:space="preserve"> </w:t>
      </w:r>
      <w:r w:rsidRPr="007C00EF">
        <w:rPr>
          <w:szCs w:val="22"/>
          <w:lang w:val="en-GB"/>
        </w:rPr>
        <w:t>For these reasons MabThera should not be administered to pregnant women unless the possible benefit outweighs the potential risk.</w:t>
      </w:r>
    </w:p>
    <w:p w14:paraId="7C331248" w14:textId="77777777" w:rsidR="008F369D" w:rsidRPr="007C00EF" w:rsidRDefault="008F369D" w:rsidP="008F369D">
      <w:pPr>
        <w:rPr>
          <w:szCs w:val="22"/>
          <w:lang w:val="en-GB"/>
        </w:rPr>
      </w:pPr>
    </w:p>
    <w:p w14:paraId="7C331249" w14:textId="77777777" w:rsidR="008F369D" w:rsidRPr="00015B1B" w:rsidRDefault="00016F29" w:rsidP="008F369D">
      <w:pPr>
        <w:keepNext/>
        <w:keepLines/>
        <w:outlineLvl w:val="0"/>
        <w:rPr>
          <w:szCs w:val="22"/>
          <w:u w:val="single"/>
          <w:lang w:val="en-GB"/>
        </w:rPr>
      </w:pPr>
      <w:r w:rsidRPr="00015B1B">
        <w:rPr>
          <w:szCs w:val="22"/>
          <w:u w:val="single"/>
          <w:lang w:val="en-GB"/>
        </w:rPr>
        <w:t>Breast</w:t>
      </w:r>
      <w:r w:rsidR="000A6DDA" w:rsidRPr="00015B1B">
        <w:rPr>
          <w:szCs w:val="22"/>
          <w:u w:val="single"/>
          <w:lang w:val="en-GB"/>
        </w:rPr>
        <w:noBreakHyphen/>
      </w:r>
      <w:r w:rsidRPr="00015B1B">
        <w:rPr>
          <w:szCs w:val="22"/>
          <w:u w:val="single"/>
          <w:lang w:val="en-GB"/>
        </w:rPr>
        <w:t>feeding</w:t>
      </w:r>
    </w:p>
    <w:p w14:paraId="7C33124A" w14:textId="77777777" w:rsidR="008F369D" w:rsidRPr="007C00EF" w:rsidRDefault="008F369D" w:rsidP="006522A3">
      <w:pPr>
        <w:rPr>
          <w:lang w:val="en-GB"/>
        </w:rPr>
      </w:pPr>
    </w:p>
    <w:p w14:paraId="7C33124B" w14:textId="77777777" w:rsidR="008F369D" w:rsidRPr="007C00EF" w:rsidRDefault="00016F29" w:rsidP="008F369D">
      <w:pPr>
        <w:keepNext/>
        <w:keepLines/>
        <w:rPr>
          <w:lang w:val="en-GB"/>
        </w:rPr>
      </w:pPr>
      <w:r w:rsidRPr="007C00EF">
        <w:rPr>
          <w:szCs w:val="22"/>
          <w:lang w:val="en-GB"/>
        </w:rPr>
        <w:t xml:space="preserve">Whether rituximab is excreted in human milk is not known. However, because maternal IgG is excreted in human milk, and rituximab was detectable in milk from lactating monkeys, </w:t>
      </w:r>
      <w:r w:rsidRPr="007C00EF">
        <w:rPr>
          <w:lang w:val="en-GB"/>
        </w:rPr>
        <w:t>women should not breastfeed while treated with MabThera and for 12 months following MabThera treatment.</w:t>
      </w:r>
    </w:p>
    <w:p w14:paraId="7C33124C" w14:textId="77777777" w:rsidR="008F369D" w:rsidRPr="007C00EF" w:rsidRDefault="008F369D" w:rsidP="008F369D">
      <w:pPr>
        <w:keepNext/>
        <w:keepLines/>
        <w:rPr>
          <w:lang w:val="en-GB"/>
        </w:rPr>
      </w:pPr>
    </w:p>
    <w:p w14:paraId="7C33124D" w14:textId="77777777" w:rsidR="008F369D" w:rsidRDefault="00016F29" w:rsidP="008F369D">
      <w:pPr>
        <w:keepNext/>
        <w:keepLines/>
        <w:rPr>
          <w:u w:val="single"/>
          <w:lang w:val="en-GB"/>
        </w:rPr>
      </w:pPr>
      <w:r w:rsidRPr="007C00EF">
        <w:rPr>
          <w:u w:val="single"/>
          <w:lang w:val="en-GB"/>
        </w:rPr>
        <w:t>Fertility</w:t>
      </w:r>
    </w:p>
    <w:p w14:paraId="7C33124E" w14:textId="77777777" w:rsidR="008F369D" w:rsidRPr="007C00EF" w:rsidRDefault="008F369D" w:rsidP="008F369D">
      <w:pPr>
        <w:keepNext/>
        <w:keepLines/>
        <w:rPr>
          <w:u w:val="single"/>
          <w:lang w:val="en-GB"/>
        </w:rPr>
      </w:pPr>
    </w:p>
    <w:p w14:paraId="7C33124F" w14:textId="77777777" w:rsidR="008F369D" w:rsidRPr="007C00EF" w:rsidRDefault="00016F29" w:rsidP="008F369D">
      <w:pPr>
        <w:keepNext/>
        <w:keepLines/>
        <w:rPr>
          <w:szCs w:val="22"/>
          <w:lang w:val="en-GB"/>
        </w:rPr>
      </w:pPr>
      <w:r w:rsidRPr="00C501E3">
        <w:rPr>
          <w:szCs w:val="22"/>
          <w:lang w:val="en-GB"/>
        </w:rPr>
        <w:t>Animal studies did not reveal deleterious effects of rituximab on reproductive organs.</w:t>
      </w:r>
      <w:r w:rsidRPr="007C00EF">
        <w:rPr>
          <w:lang w:val="en-GB"/>
        </w:rPr>
        <w:t xml:space="preserve"> </w:t>
      </w:r>
    </w:p>
    <w:p w14:paraId="7C331250" w14:textId="77777777" w:rsidR="008F369D" w:rsidRPr="007C00EF" w:rsidRDefault="008F369D" w:rsidP="008F369D">
      <w:pPr>
        <w:rPr>
          <w:szCs w:val="22"/>
          <w:lang w:val="en-GB"/>
        </w:rPr>
      </w:pPr>
    </w:p>
    <w:p w14:paraId="7C331251" w14:textId="77777777" w:rsidR="008F369D" w:rsidRPr="007C00EF" w:rsidRDefault="00016F29" w:rsidP="008F369D">
      <w:pPr>
        <w:ind w:left="567" w:hanging="567"/>
        <w:outlineLvl w:val="0"/>
        <w:rPr>
          <w:szCs w:val="22"/>
          <w:lang w:val="en-GB"/>
        </w:rPr>
      </w:pPr>
      <w:r w:rsidRPr="007C00EF">
        <w:rPr>
          <w:b/>
          <w:szCs w:val="22"/>
          <w:lang w:val="en-GB"/>
        </w:rPr>
        <w:t>4.7</w:t>
      </w:r>
      <w:r w:rsidRPr="007C00EF">
        <w:rPr>
          <w:b/>
          <w:szCs w:val="22"/>
          <w:lang w:val="en-GB"/>
        </w:rPr>
        <w:tab/>
        <w:t>Effects on ability to drive and use machines</w:t>
      </w:r>
    </w:p>
    <w:p w14:paraId="7C331252" w14:textId="77777777" w:rsidR="008F369D" w:rsidRPr="007C00EF" w:rsidRDefault="008F369D" w:rsidP="008F369D">
      <w:pPr>
        <w:rPr>
          <w:szCs w:val="22"/>
          <w:lang w:val="en-GB"/>
        </w:rPr>
      </w:pPr>
    </w:p>
    <w:p w14:paraId="7C331253" w14:textId="77777777" w:rsidR="008F369D" w:rsidRPr="007C00EF" w:rsidRDefault="00016F29" w:rsidP="008F369D">
      <w:pPr>
        <w:rPr>
          <w:szCs w:val="22"/>
          <w:lang w:val="en-GB"/>
        </w:rPr>
      </w:pPr>
      <w:r w:rsidRPr="007C00EF">
        <w:rPr>
          <w:szCs w:val="22"/>
          <w:lang w:val="en-GB"/>
        </w:rPr>
        <w:t xml:space="preserve">No studies on the effects of MabThera on the ability to drive and use machines have been performed, although the pharmacological activity and adverse </w:t>
      </w:r>
      <w:r w:rsidRPr="00C501E3">
        <w:rPr>
          <w:szCs w:val="22"/>
          <w:lang w:val="en-GB"/>
        </w:rPr>
        <w:t>reactions reported to date suggest that MabThera would have no or negligible influence on the ability to drive and use machines.</w:t>
      </w:r>
    </w:p>
    <w:p w14:paraId="7C331254" w14:textId="77777777" w:rsidR="008F369D" w:rsidRPr="007C00EF" w:rsidRDefault="008F369D" w:rsidP="008F369D">
      <w:pPr>
        <w:rPr>
          <w:szCs w:val="22"/>
          <w:lang w:val="en-GB"/>
        </w:rPr>
      </w:pPr>
    </w:p>
    <w:p w14:paraId="7C331255" w14:textId="77777777" w:rsidR="008F369D" w:rsidRPr="007C00EF" w:rsidRDefault="00016F29" w:rsidP="008F369D">
      <w:pPr>
        <w:keepNext/>
        <w:keepLines/>
        <w:ind w:left="567" w:hanging="567"/>
        <w:outlineLvl w:val="0"/>
        <w:rPr>
          <w:b/>
          <w:szCs w:val="22"/>
          <w:lang w:val="en-GB"/>
        </w:rPr>
      </w:pPr>
      <w:r w:rsidRPr="007C00EF">
        <w:rPr>
          <w:b/>
          <w:szCs w:val="22"/>
          <w:lang w:val="en-GB"/>
        </w:rPr>
        <w:t>4.8</w:t>
      </w:r>
      <w:r w:rsidRPr="007C00EF">
        <w:rPr>
          <w:b/>
          <w:szCs w:val="22"/>
          <w:lang w:val="en-GB"/>
        </w:rPr>
        <w:tab/>
        <w:t>Undesirable effects</w:t>
      </w:r>
    </w:p>
    <w:p w14:paraId="7C331256" w14:textId="77777777" w:rsidR="008F369D" w:rsidRPr="007C00EF" w:rsidRDefault="008F369D" w:rsidP="008F369D">
      <w:pPr>
        <w:keepNext/>
        <w:keepLines/>
        <w:rPr>
          <w:b/>
          <w:i/>
          <w:szCs w:val="22"/>
          <w:u w:val="single"/>
          <w:lang w:val="en-GB"/>
        </w:rPr>
      </w:pPr>
    </w:p>
    <w:p w14:paraId="7C331257" w14:textId="77777777" w:rsidR="008F369D" w:rsidRPr="00F638AF" w:rsidRDefault="00016F29" w:rsidP="008F369D">
      <w:pPr>
        <w:keepNext/>
        <w:keepLines/>
        <w:outlineLvl w:val="0"/>
        <w:rPr>
          <w:szCs w:val="22"/>
          <w:u w:val="single"/>
          <w:lang w:val="en-GB"/>
        </w:rPr>
      </w:pPr>
      <w:r w:rsidRPr="00F638AF">
        <w:rPr>
          <w:szCs w:val="22"/>
          <w:u w:val="single"/>
          <w:lang w:val="en-GB"/>
        </w:rPr>
        <w:t>Experience from non</w:t>
      </w:r>
      <w:r w:rsidR="000A6DDA" w:rsidRPr="00F638AF">
        <w:rPr>
          <w:szCs w:val="22"/>
          <w:u w:val="single"/>
          <w:lang w:val="en-GB"/>
        </w:rPr>
        <w:noBreakHyphen/>
      </w:r>
      <w:r w:rsidRPr="00F638AF">
        <w:rPr>
          <w:szCs w:val="22"/>
          <w:u w:val="single"/>
          <w:lang w:val="en-GB"/>
        </w:rPr>
        <w:t>Hodgkin’s lymphoma and chronic lymphocytic leukaemia</w:t>
      </w:r>
      <w:r w:rsidR="00D0566A" w:rsidRPr="00F638AF">
        <w:rPr>
          <w:szCs w:val="22"/>
          <w:u w:val="single"/>
          <w:lang w:val="en-GB"/>
        </w:rPr>
        <w:t xml:space="preserve"> in adults</w:t>
      </w:r>
    </w:p>
    <w:p w14:paraId="7C331258" w14:textId="77777777" w:rsidR="008F369D" w:rsidRPr="00F638AF" w:rsidRDefault="008F369D" w:rsidP="006522A3">
      <w:pPr>
        <w:rPr>
          <w:lang w:val="en-GB"/>
        </w:rPr>
      </w:pPr>
    </w:p>
    <w:p w14:paraId="7C331259" w14:textId="77777777" w:rsidR="008F369D" w:rsidRPr="00F638AF" w:rsidRDefault="00016F29" w:rsidP="008F369D">
      <w:pPr>
        <w:keepNext/>
        <w:keepLines/>
        <w:outlineLvl w:val="0"/>
        <w:rPr>
          <w:rFonts w:cs="Arial"/>
          <w:i/>
          <w:u w:val="single"/>
          <w:lang w:val="en-GB"/>
        </w:rPr>
      </w:pPr>
      <w:r w:rsidRPr="00F638AF">
        <w:rPr>
          <w:rFonts w:cs="Arial"/>
          <w:i/>
          <w:u w:val="single"/>
          <w:lang w:val="en-GB"/>
        </w:rPr>
        <w:t>Summary of the safety profile</w:t>
      </w:r>
    </w:p>
    <w:p w14:paraId="7C33125A" w14:textId="77777777" w:rsidR="008F369D" w:rsidRPr="00F638AF" w:rsidRDefault="008F369D" w:rsidP="006522A3">
      <w:pPr>
        <w:rPr>
          <w:lang w:val="en-GB"/>
        </w:rPr>
      </w:pPr>
    </w:p>
    <w:p w14:paraId="7C33125B" w14:textId="77777777" w:rsidR="008F369D" w:rsidRPr="00525A55" w:rsidRDefault="00016F29" w:rsidP="008F369D">
      <w:pPr>
        <w:rPr>
          <w:szCs w:val="22"/>
          <w:lang w:val="en-GB"/>
        </w:rPr>
      </w:pPr>
      <w:r w:rsidRPr="00F638AF">
        <w:rPr>
          <w:szCs w:val="22"/>
          <w:lang w:val="en-GB"/>
        </w:rPr>
        <w:t>The overall safety profile of MabThera in non</w:t>
      </w:r>
      <w:r w:rsidR="000A6DDA" w:rsidRPr="00F638AF">
        <w:rPr>
          <w:szCs w:val="22"/>
          <w:lang w:val="en-GB"/>
        </w:rPr>
        <w:noBreakHyphen/>
      </w:r>
      <w:r w:rsidRPr="00F638AF">
        <w:rPr>
          <w:szCs w:val="22"/>
          <w:lang w:val="en-GB"/>
        </w:rPr>
        <w:t xml:space="preserve">Hodgkin’s lymphoma and </w:t>
      </w:r>
      <w:r w:rsidR="007D4E4A" w:rsidRPr="00F638AF">
        <w:rPr>
          <w:szCs w:val="22"/>
          <w:lang w:val="en-GB"/>
        </w:rPr>
        <w:t>CLL</w:t>
      </w:r>
      <w:r w:rsidRPr="00F638AF">
        <w:rPr>
          <w:szCs w:val="22"/>
          <w:lang w:val="en-GB"/>
        </w:rPr>
        <w:t xml:space="preserve"> is based on data from patients from clinical trials and from post</w:t>
      </w:r>
      <w:r w:rsidR="000A6DDA" w:rsidRPr="00F638AF">
        <w:rPr>
          <w:szCs w:val="22"/>
          <w:lang w:val="en-GB"/>
        </w:rPr>
        <w:noBreakHyphen/>
      </w:r>
      <w:r w:rsidRPr="00F638AF">
        <w:rPr>
          <w:szCs w:val="22"/>
          <w:lang w:val="en-GB"/>
        </w:rPr>
        <w:t>marketing surveillance. These patients were treated either with MabThera monotherapy (as induction treatment or maintenance treatment following induction treatment) or in combination with chemotherapy.</w:t>
      </w:r>
      <w:r w:rsidRPr="00525A55">
        <w:rPr>
          <w:szCs w:val="22"/>
          <w:lang w:val="en-GB"/>
        </w:rPr>
        <w:t xml:space="preserve"> </w:t>
      </w:r>
    </w:p>
    <w:p w14:paraId="7C33125C" w14:textId="77777777" w:rsidR="008F369D" w:rsidRPr="00635D12" w:rsidRDefault="008F369D" w:rsidP="008F369D">
      <w:pPr>
        <w:rPr>
          <w:szCs w:val="22"/>
          <w:lang w:val="en-GB"/>
        </w:rPr>
      </w:pPr>
    </w:p>
    <w:p w14:paraId="7C33125D" w14:textId="77777777" w:rsidR="008F369D" w:rsidRPr="00F332AF" w:rsidRDefault="00016F29" w:rsidP="008F369D">
      <w:pPr>
        <w:rPr>
          <w:szCs w:val="22"/>
          <w:lang w:val="en-GB"/>
        </w:rPr>
      </w:pPr>
      <w:r w:rsidRPr="00015B1B">
        <w:rPr>
          <w:szCs w:val="22"/>
          <w:lang w:val="en-GB"/>
        </w:rPr>
        <w:t>The most frequently observed adverse reactions (ADRs) in patients receiving MabThera were IRRs which occurred in the majority of patients during the first infusion. The incidence of infusion</w:t>
      </w:r>
      <w:r w:rsidR="000A6DDA" w:rsidRPr="00015B1B">
        <w:rPr>
          <w:szCs w:val="22"/>
          <w:lang w:val="en-GB"/>
        </w:rPr>
        <w:noBreakHyphen/>
      </w:r>
      <w:r w:rsidRPr="00015B1B">
        <w:rPr>
          <w:szCs w:val="22"/>
          <w:lang w:val="en-GB"/>
        </w:rPr>
        <w:t xml:space="preserve">related symptoms decreases substantially with subsequent infusions and is less than 1% after eight </w:t>
      </w:r>
      <w:r w:rsidRPr="00F332AF">
        <w:rPr>
          <w:szCs w:val="22"/>
          <w:lang w:val="en-GB"/>
        </w:rPr>
        <w:t>doses of MabThera.</w:t>
      </w:r>
    </w:p>
    <w:p w14:paraId="7C33125E" w14:textId="77777777" w:rsidR="008F369D" w:rsidRPr="00015B1B" w:rsidRDefault="008F369D" w:rsidP="008F369D">
      <w:pPr>
        <w:rPr>
          <w:szCs w:val="22"/>
          <w:lang w:val="en-GB"/>
        </w:rPr>
      </w:pPr>
    </w:p>
    <w:p w14:paraId="7C33125F" w14:textId="77777777" w:rsidR="008F369D" w:rsidRPr="00635D12" w:rsidRDefault="00016F29" w:rsidP="008F369D">
      <w:pPr>
        <w:rPr>
          <w:szCs w:val="22"/>
          <w:lang w:val="en-GB"/>
        </w:rPr>
      </w:pPr>
      <w:r w:rsidRPr="00015B1B">
        <w:rPr>
          <w:szCs w:val="22"/>
          <w:lang w:val="en-GB"/>
        </w:rPr>
        <w:t>Infectious events (predominantly bacterial and viral) occurred in approximately 30</w:t>
      </w:r>
      <w:r w:rsidR="000A6DDA" w:rsidRPr="00015B1B">
        <w:rPr>
          <w:szCs w:val="22"/>
          <w:lang w:val="en-GB"/>
        </w:rPr>
        <w:noBreakHyphen/>
      </w:r>
      <w:r w:rsidRPr="00015B1B">
        <w:rPr>
          <w:szCs w:val="22"/>
          <w:lang w:val="en-GB"/>
        </w:rPr>
        <w:t>55% of patients during clinical trials in patients with NHL and in 30</w:t>
      </w:r>
      <w:r w:rsidR="000A6DDA" w:rsidRPr="00015B1B">
        <w:rPr>
          <w:szCs w:val="22"/>
          <w:lang w:val="en-GB"/>
        </w:rPr>
        <w:noBreakHyphen/>
      </w:r>
      <w:r w:rsidRPr="00015B1B">
        <w:rPr>
          <w:szCs w:val="22"/>
          <w:lang w:val="en-GB"/>
        </w:rPr>
        <w:t>50% of patients during clinical trials in patients</w:t>
      </w:r>
      <w:r w:rsidRPr="00635D12">
        <w:rPr>
          <w:szCs w:val="22"/>
          <w:lang w:val="en-GB"/>
        </w:rPr>
        <w:t xml:space="preserve"> with CLL.</w:t>
      </w:r>
    </w:p>
    <w:p w14:paraId="7C331260" w14:textId="77777777" w:rsidR="008F369D" w:rsidRPr="00635D12" w:rsidRDefault="008F369D" w:rsidP="008F369D">
      <w:pPr>
        <w:rPr>
          <w:szCs w:val="22"/>
          <w:lang w:val="en-GB"/>
        </w:rPr>
      </w:pPr>
    </w:p>
    <w:p w14:paraId="7C331261" w14:textId="77777777" w:rsidR="008F369D" w:rsidRPr="00F332AF" w:rsidRDefault="00016F29" w:rsidP="008F369D">
      <w:pPr>
        <w:rPr>
          <w:szCs w:val="22"/>
          <w:lang w:val="en-GB"/>
        </w:rPr>
      </w:pPr>
      <w:r w:rsidRPr="00F332AF">
        <w:rPr>
          <w:szCs w:val="22"/>
          <w:lang w:val="en-GB"/>
        </w:rPr>
        <w:t xml:space="preserve">The most </w:t>
      </w:r>
      <w:r w:rsidR="007830E0" w:rsidRPr="00811833">
        <w:rPr>
          <w:szCs w:val="22"/>
          <w:lang w:val="en-GB"/>
        </w:rPr>
        <w:t>frequent</w:t>
      </w:r>
      <w:r w:rsidR="00394E4C">
        <w:rPr>
          <w:szCs w:val="22"/>
          <w:lang w:val="en-GB"/>
        </w:rPr>
        <w:t>ly</w:t>
      </w:r>
      <w:r w:rsidRPr="00F332AF">
        <w:rPr>
          <w:szCs w:val="22"/>
          <w:lang w:val="en-GB"/>
        </w:rPr>
        <w:t xml:space="preserve"> reported or observed </w:t>
      </w:r>
      <w:r w:rsidRPr="00447C96">
        <w:rPr>
          <w:u w:val="single"/>
          <w:lang w:val="en-GB"/>
        </w:rPr>
        <w:t>serious</w:t>
      </w:r>
      <w:r w:rsidRPr="00F332AF">
        <w:rPr>
          <w:szCs w:val="22"/>
          <w:lang w:val="en-GB"/>
        </w:rPr>
        <w:t xml:space="preserve"> adverse reactions were:</w:t>
      </w:r>
    </w:p>
    <w:p w14:paraId="7C331262" w14:textId="77777777" w:rsidR="008F369D" w:rsidRPr="00015B1B" w:rsidRDefault="00016F29" w:rsidP="008F369D">
      <w:pPr>
        <w:ind w:left="567" w:hanging="567"/>
        <w:rPr>
          <w:szCs w:val="22"/>
          <w:lang w:val="en-GB"/>
        </w:rPr>
      </w:pPr>
      <w:r w:rsidRPr="00E06A78">
        <w:rPr>
          <w:rFonts w:ascii="Symbol" w:hAnsi="Symbol"/>
          <w:lang w:val="en-GB"/>
        </w:rPr>
        <w:sym w:font="Symbol" w:char="F0B7"/>
      </w:r>
      <w:r w:rsidRPr="00015B1B">
        <w:rPr>
          <w:szCs w:val="22"/>
          <w:lang w:val="en-GB"/>
        </w:rPr>
        <w:tab/>
        <w:t>IRRs (including cytokine</w:t>
      </w:r>
      <w:r w:rsidR="000A6DDA" w:rsidRPr="00015B1B">
        <w:rPr>
          <w:szCs w:val="22"/>
          <w:lang w:val="en-GB"/>
        </w:rPr>
        <w:noBreakHyphen/>
      </w:r>
      <w:r w:rsidRPr="00015B1B">
        <w:rPr>
          <w:szCs w:val="22"/>
          <w:lang w:val="en-GB"/>
        </w:rPr>
        <w:t>release syndrome, tumour</w:t>
      </w:r>
      <w:r w:rsidR="000A6DDA" w:rsidRPr="00015B1B">
        <w:rPr>
          <w:szCs w:val="22"/>
          <w:lang w:val="en-GB"/>
        </w:rPr>
        <w:noBreakHyphen/>
      </w:r>
      <w:r w:rsidRPr="00015B1B">
        <w:rPr>
          <w:szCs w:val="22"/>
          <w:lang w:val="en-GB"/>
        </w:rPr>
        <w:t>lysis syndrome), see section 4.4.</w:t>
      </w:r>
    </w:p>
    <w:p w14:paraId="7C331263" w14:textId="77777777" w:rsidR="008F369D" w:rsidRPr="00635D12" w:rsidRDefault="00016F29" w:rsidP="008F369D">
      <w:pPr>
        <w:ind w:left="567" w:hanging="567"/>
        <w:rPr>
          <w:szCs w:val="22"/>
          <w:lang w:val="en-GB"/>
        </w:rPr>
      </w:pPr>
      <w:r w:rsidRPr="00E06A78">
        <w:rPr>
          <w:rFonts w:ascii="Symbol" w:hAnsi="Symbol"/>
          <w:lang w:val="en-GB"/>
        </w:rPr>
        <w:sym w:font="Symbol" w:char="F0B7"/>
      </w:r>
      <w:r w:rsidRPr="00635D12">
        <w:rPr>
          <w:szCs w:val="22"/>
          <w:lang w:val="en-GB"/>
        </w:rPr>
        <w:tab/>
        <w:t>Infections, see section 4.4.</w:t>
      </w:r>
    </w:p>
    <w:p w14:paraId="7C331264" w14:textId="77777777" w:rsidR="008F369D" w:rsidRPr="00635D12" w:rsidRDefault="00016F29" w:rsidP="008F369D">
      <w:pPr>
        <w:ind w:left="567" w:hanging="567"/>
        <w:rPr>
          <w:szCs w:val="22"/>
          <w:lang w:val="en-GB"/>
        </w:rPr>
      </w:pPr>
      <w:r w:rsidRPr="00E06A78">
        <w:rPr>
          <w:rFonts w:ascii="Symbol" w:hAnsi="Symbol"/>
          <w:lang w:val="en-GB"/>
        </w:rPr>
        <w:sym w:font="Symbol" w:char="F0B7"/>
      </w:r>
      <w:r w:rsidRPr="00635D12">
        <w:rPr>
          <w:szCs w:val="22"/>
          <w:lang w:val="en-GB"/>
        </w:rPr>
        <w:tab/>
        <w:t>Cardiovascular events, see section 4.4.</w:t>
      </w:r>
    </w:p>
    <w:p w14:paraId="7C331265" w14:textId="77777777" w:rsidR="008F369D" w:rsidRPr="00635D12" w:rsidRDefault="008F369D" w:rsidP="008F369D">
      <w:pPr>
        <w:ind w:left="567" w:hanging="567"/>
        <w:rPr>
          <w:szCs w:val="22"/>
          <w:lang w:val="en-GB"/>
        </w:rPr>
      </w:pPr>
    </w:p>
    <w:p w14:paraId="7C331266" w14:textId="77777777" w:rsidR="008F369D" w:rsidRPr="00C501E3" w:rsidRDefault="00016F29" w:rsidP="008F369D">
      <w:pPr>
        <w:outlineLvl w:val="0"/>
        <w:rPr>
          <w:szCs w:val="22"/>
          <w:lang w:val="en-GB"/>
        </w:rPr>
      </w:pPr>
      <w:r w:rsidRPr="00F332AF">
        <w:rPr>
          <w:szCs w:val="22"/>
          <w:lang w:val="en-GB"/>
        </w:rPr>
        <w:t>Other serious ADRs reported include hepatitis B reactivation and PML (</w:t>
      </w:r>
      <w:r w:rsidRPr="00635D12">
        <w:rPr>
          <w:szCs w:val="22"/>
          <w:lang w:val="en-GB"/>
        </w:rPr>
        <w:t>see section 4.4.</w:t>
      </w:r>
      <w:r w:rsidRPr="00F332AF">
        <w:rPr>
          <w:szCs w:val="22"/>
          <w:lang w:val="en-GB"/>
        </w:rPr>
        <w:t>).</w:t>
      </w:r>
      <w:r w:rsidRPr="00B055D4">
        <w:rPr>
          <w:szCs w:val="22"/>
          <w:lang w:val="en-GB"/>
        </w:rPr>
        <w:t xml:space="preserve"> </w:t>
      </w:r>
    </w:p>
    <w:p w14:paraId="7C331267" w14:textId="77777777" w:rsidR="008F369D" w:rsidRPr="00C501E3" w:rsidRDefault="008F369D" w:rsidP="006522A3">
      <w:pPr>
        <w:rPr>
          <w:lang w:val="en-GB"/>
        </w:rPr>
      </w:pPr>
    </w:p>
    <w:p w14:paraId="7C331268" w14:textId="77777777" w:rsidR="008F369D" w:rsidRPr="00F638AF" w:rsidRDefault="00016F29" w:rsidP="00E454FF">
      <w:pPr>
        <w:keepNext/>
        <w:keepLines/>
        <w:rPr>
          <w:i/>
          <w:szCs w:val="22"/>
          <w:u w:val="single"/>
          <w:lang w:val="en-GB"/>
        </w:rPr>
      </w:pPr>
      <w:r w:rsidRPr="00F638AF">
        <w:rPr>
          <w:i/>
          <w:szCs w:val="22"/>
          <w:u w:val="single"/>
          <w:lang w:val="en-GB"/>
        </w:rPr>
        <w:t>Tabulated list of adverse reactions</w:t>
      </w:r>
    </w:p>
    <w:p w14:paraId="7C331269" w14:textId="77777777" w:rsidR="008F369D" w:rsidRPr="00F638AF" w:rsidRDefault="008F369D" w:rsidP="00E454FF">
      <w:pPr>
        <w:keepNext/>
        <w:keepLines/>
        <w:rPr>
          <w:szCs w:val="22"/>
          <w:lang w:val="en-GB"/>
        </w:rPr>
      </w:pPr>
    </w:p>
    <w:p w14:paraId="7C33126A" w14:textId="77777777" w:rsidR="008F369D" w:rsidRPr="00F638AF" w:rsidRDefault="00016F29" w:rsidP="00E454FF">
      <w:pPr>
        <w:keepNext/>
        <w:keepLines/>
        <w:outlineLvl w:val="0"/>
        <w:rPr>
          <w:szCs w:val="22"/>
          <w:lang w:val="en-GB"/>
        </w:rPr>
      </w:pPr>
      <w:r w:rsidRPr="00F638AF">
        <w:rPr>
          <w:szCs w:val="22"/>
          <w:lang w:val="en-GB"/>
        </w:rPr>
        <w:t xml:space="preserve">The frequencies of ADRs reported with MabThera alone or in combination with chemotherapy are summarised in Table </w:t>
      </w:r>
      <w:r w:rsidR="00024161" w:rsidRPr="00F638AF">
        <w:rPr>
          <w:szCs w:val="22"/>
          <w:lang w:val="en-GB"/>
        </w:rPr>
        <w:t>3</w:t>
      </w:r>
      <w:r w:rsidRPr="00F638AF">
        <w:rPr>
          <w:szCs w:val="22"/>
          <w:lang w:val="en-GB"/>
        </w:rPr>
        <w:t>. Frequencies are defined as very common (</w:t>
      </w:r>
      <w:r w:rsidRPr="00E06A78">
        <w:rPr>
          <w:rFonts w:ascii="Symbol" w:hAnsi="Symbol"/>
          <w:lang w:val="en-GB"/>
        </w:rPr>
        <w:sym w:font="Symbol" w:char="F0B3"/>
      </w:r>
      <w:r w:rsidRPr="00F638AF">
        <w:rPr>
          <w:szCs w:val="22"/>
          <w:lang w:val="en-GB"/>
        </w:rPr>
        <w:t xml:space="preserve"> 1/10), common (</w:t>
      </w:r>
      <w:r w:rsidRPr="00E06A78">
        <w:rPr>
          <w:rFonts w:ascii="Symbol" w:hAnsi="Symbol"/>
          <w:lang w:val="en-GB"/>
        </w:rPr>
        <w:sym w:font="Symbol" w:char="F0B3"/>
      </w:r>
      <w:r w:rsidRPr="00F638AF">
        <w:rPr>
          <w:szCs w:val="22"/>
          <w:lang w:val="en-GB"/>
        </w:rPr>
        <w:t> 1/100 to &lt; 1/10), uncommon (</w:t>
      </w:r>
      <w:r w:rsidRPr="00E06A78">
        <w:rPr>
          <w:rFonts w:ascii="Symbol" w:hAnsi="Symbol"/>
          <w:lang w:val="en-GB"/>
        </w:rPr>
        <w:sym w:font="Symbol" w:char="F0B3"/>
      </w:r>
      <w:r w:rsidRPr="00F638AF">
        <w:rPr>
          <w:szCs w:val="22"/>
          <w:lang w:val="en-GB"/>
        </w:rPr>
        <w:t>  1/1,000 to &lt; 1/100), rare (</w:t>
      </w:r>
      <w:r w:rsidRPr="00E06A78">
        <w:rPr>
          <w:rFonts w:ascii="Symbol" w:hAnsi="Symbol"/>
          <w:lang w:val="en-GB"/>
        </w:rPr>
        <w:sym w:font="Symbol" w:char="F0B3"/>
      </w:r>
      <w:r w:rsidRPr="00F638AF">
        <w:rPr>
          <w:szCs w:val="22"/>
          <w:lang w:val="en-GB"/>
        </w:rPr>
        <w:t xml:space="preserve"> 1/10,000 to &lt; 1/1000), very rare (&lt; 1/10,000) and not known (cannot be estimated from the available data).</w:t>
      </w:r>
      <w:r w:rsidR="00AD3D8D" w:rsidRPr="00811833">
        <w:rPr>
          <w:szCs w:val="22"/>
          <w:lang w:val="en-GB"/>
        </w:rPr>
        <w:t xml:space="preserve"> Within each frequency grouping, undesirable effects are presented in the order of decreasing seriousness.</w:t>
      </w:r>
    </w:p>
    <w:p w14:paraId="7C33126B" w14:textId="77777777" w:rsidR="008F369D" w:rsidRPr="00F638AF" w:rsidRDefault="008F369D" w:rsidP="00E06A78">
      <w:pPr>
        <w:keepNext/>
        <w:keepLines/>
        <w:ind w:left="1134" w:hanging="1134"/>
        <w:rPr>
          <w:lang w:val="en-GB"/>
        </w:rPr>
      </w:pPr>
    </w:p>
    <w:p w14:paraId="7C33126C" w14:textId="77777777" w:rsidR="008F369D" w:rsidRPr="00F638AF" w:rsidRDefault="00016F29" w:rsidP="008F369D">
      <w:pPr>
        <w:rPr>
          <w:szCs w:val="22"/>
          <w:lang w:val="en-GB"/>
        </w:rPr>
      </w:pPr>
      <w:r w:rsidRPr="00F638AF">
        <w:rPr>
          <w:szCs w:val="22"/>
          <w:lang w:val="en-GB"/>
        </w:rPr>
        <w:t>The ADRs identified only during post</w:t>
      </w:r>
      <w:r w:rsidR="000A6DDA" w:rsidRPr="00F638AF">
        <w:rPr>
          <w:szCs w:val="22"/>
          <w:lang w:val="en-GB"/>
        </w:rPr>
        <w:noBreakHyphen/>
      </w:r>
      <w:r w:rsidRPr="00F638AF">
        <w:rPr>
          <w:szCs w:val="22"/>
          <w:lang w:val="en-GB"/>
        </w:rPr>
        <w:t>marketing surveillance, and for which a frequency could not be estimated, are listed under “not known”.</w:t>
      </w:r>
    </w:p>
    <w:p w14:paraId="7C33126D" w14:textId="77777777" w:rsidR="008F369D" w:rsidRPr="00F638AF" w:rsidRDefault="008F369D" w:rsidP="008F369D">
      <w:pPr>
        <w:rPr>
          <w:b/>
          <w:szCs w:val="22"/>
          <w:lang w:val="en-GB"/>
        </w:rPr>
      </w:pPr>
    </w:p>
    <w:p w14:paraId="7C33126E" w14:textId="77777777" w:rsidR="008F369D" w:rsidRPr="00F638AF" w:rsidRDefault="00016F29" w:rsidP="008F369D">
      <w:pPr>
        <w:keepNext/>
        <w:keepLines/>
        <w:ind w:left="1134" w:hanging="1134"/>
        <w:rPr>
          <w:b/>
          <w:szCs w:val="22"/>
          <w:lang w:val="en-GB"/>
        </w:rPr>
      </w:pPr>
      <w:r w:rsidRPr="00F638AF">
        <w:rPr>
          <w:b/>
          <w:szCs w:val="22"/>
          <w:lang w:val="en-GB"/>
        </w:rPr>
        <w:t>Table </w:t>
      </w:r>
      <w:r w:rsidR="00D0566A" w:rsidRPr="00F638AF">
        <w:rPr>
          <w:b/>
          <w:szCs w:val="22"/>
          <w:lang w:val="en-GB"/>
        </w:rPr>
        <w:t>3</w:t>
      </w:r>
      <w:r w:rsidRPr="00F638AF">
        <w:rPr>
          <w:b/>
          <w:szCs w:val="22"/>
          <w:lang w:val="en-GB"/>
        </w:rPr>
        <w:tab/>
        <w:t xml:space="preserve">ADRs reported in clinical trials or during postmarketing surveillance in patients with NHL and CLL disease treated with MabThera monotherapy/maintenance or in combination with chemotherapy </w:t>
      </w:r>
    </w:p>
    <w:tbl>
      <w:tblPr>
        <w:tblW w:w="52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2"/>
        <w:gridCol w:w="1324"/>
        <w:gridCol w:w="1560"/>
        <w:gridCol w:w="1528"/>
        <w:gridCol w:w="1258"/>
        <w:gridCol w:w="1441"/>
        <w:gridCol w:w="1082"/>
      </w:tblGrid>
      <w:tr w:rsidR="003A788B" w14:paraId="7C331277" w14:textId="77777777" w:rsidTr="00E06A78">
        <w:trPr>
          <w:cantSplit/>
          <w:tblHeader/>
        </w:trPr>
        <w:tc>
          <w:tcPr>
            <w:tcW w:w="662" w:type="pct"/>
            <w:vAlign w:val="center"/>
          </w:tcPr>
          <w:p w14:paraId="7C33126F" w14:textId="77777777" w:rsidR="00AD3D8D" w:rsidRDefault="00016F29" w:rsidP="008919D7">
            <w:pPr>
              <w:pStyle w:val="NormalWeb"/>
              <w:keepNext/>
              <w:keepLines/>
              <w:jc w:val="center"/>
              <w:rPr>
                <w:b/>
                <w:bCs/>
                <w:sz w:val="17"/>
                <w:szCs w:val="17"/>
                <w:lang w:val="en-GB"/>
              </w:rPr>
            </w:pPr>
            <w:r w:rsidRPr="00811833">
              <w:rPr>
                <w:b/>
                <w:bCs/>
                <w:sz w:val="17"/>
                <w:szCs w:val="17"/>
                <w:lang w:val="en-GB"/>
              </w:rPr>
              <w:t>MedDRA</w:t>
            </w:r>
          </w:p>
          <w:p w14:paraId="7C331270" w14:textId="77777777" w:rsidR="008F369D" w:rsidRPr="00E06A78" w:rsidRDefault="00016F29" w:rsidP="008919D7">
            <w:pPr>
              <w:pStyle w:val="NormalWeb"/>
              <w:keepNext/>
              <w:keepLines/>
              <w:jc w:val="center"/>
              <w:rPr>
                <w:sz w:val="18"/>
                <w:lang w:val="en-GB"/>
              </w:rPr>
            </w:pPr>
            <w:r w:rsidRPr="00E06A78">
              <w:rPr>
                <w:b/>
                <w:sz w:val="18"/>
                <w:lang w:val="en-GB"/>
              </w:rPr>
              <w:t>System Organ Class</w:t>
            </w:r>
          </w:p>
        </w:tc>
        <w:tc>
          <w:tcPr>
            <w:tcW w:w="701" w:type="pct"/>
            <w:vAlign w:val="center"/>
          </w:tcPr>
          <w:p w14:paraId="7C331271" w14:textId="77777777" w:rsidR="008F369D" w:rsidRPr="00E06A78" w:rsidRDefault="00016F29" w:rsidP="008919D7">
            <w:pPr>
              <w:keepNext/>
              <w:keepLines/>
              <w:jc w:val="center"/>
              <w:rPr>
                <w:b/>
                <w:sz w:val="18"/>
                <w:lang w:val="en-GB"/>
              </w:rPr>
            </w:pPr>
            <w:r w:rsidRPr="00E06A78">
              <w:rPr>
                <w:b/>
                <w:sz w:val="18"/>
                <w:lang w:val="en-GB"/>
              </w:rPr>
              <w:t>Very Common</w:t>
            </w:r>
          </w:p>
        </w:tc>
        <w:tc>
          <w:tcPr>
            <w:tcW w:w="826" w:type="pct"/>
            <w:vAlign w:val="center"/>
          </w:tcPr>
          <w:p w14:paraId="7C331272" w14:textId="77777777" w:rsidR="008F369D" w:rsidRPr="00E06A78" w:rsidRDefault="00016F29" w:rsidP="008919D7">
            <w:pPr>
              <w:keepNext/>
              <w:keepLines/>
              <w:jc w:val="center"/>
              <w:rPr>
                <w:b/>
                <w:sz w:val="18"/>
                <w:lang w:val="en-GB"/>
              </w:rPr>
            </w:pPr>
            <w:r w:rsidRPr="00E06A78">
              <w:rPr>
                <w:b/>
                <w:sz w:val="18"/>
                <w:lang w:val="en-GB"/>
              </w:rPr>
              <w:t>Common</w:t>
            </w:r>
          </w:p>
        </w:tc>
        <w:tc>
          <w:tcPr>
            <w:tcW w:w="809" w:type="pct"/>
            <w:vAlign w:val="center"/>
          </w:tcPr>
          <w:p w14:paraId="7C331273" w14:textId="77777777" w:rsidR="008F369D" w:rsidRPr="00E06A78" w:rsidRDefault="00016F29" w:rsidP="008919D7">
            <w:pPr>
              <w:keepNext/>
              <w:keepLines/>
              <w:jc w:val="center"/>
              <w:rPr>
                <w:b/>
                <w:sz w:val="18"/>
                <w:lang w:val="en-GB"/>
              </w:rPr>
            </w:pPr>
            <w:r w:rsidRPr="00E06A78">
              <w:rPr>
                <w:b/>
                <w:sz w:val="18"/>
                <w:lang w:val="en-GB"/>
              </w:rPr>
              <w:t>Uncommon</w:t>
            </w:r>
          </w:p>
        </w:tc>
        <w:tc>
          <w:tcPr>
            <w:tcW w:w="666" w:type="pct"/>
            <w:vAlign w:val="center"/>
          </w:tcPr>
          <w:p w14:paraId="7C331274" w14:textId="77777777" w:rsidR="008F369D" w:rsidRPr="00E06A78" w:rsidRDefault="00016F29" w:rsidP="008919D7">
            <w:pPr>
              <w:keepNext/>
              <w:keepLines/>
              <w:jc w:val="center"/>
              <w:rPr>
                <w:b/>
                <w:sz w:val="18"/>
                <w:lang w:val="en-GB"/>
              </w:rPr>
            </w:pPr>
            <w:r w:rsidRPr="00E06A78">
              <w:rPr>
                <w:b/>
                <w:sz w:val="18"/>
                <w:lang w:val="en-GB"/>
              </w:rPr>
              <w:t>Rare</w:t>
            </w:r>
          </w:p>
        </w:tc>
        <w:tc>
          <w:tcPr>
            <w:tcW w:w="763" w:type="pct"/>
            <w:vAlign w:val="center"/>
          </w:tcPr>
          <w:p w14:paraId="7C331275" w14:textId="77777777" w:rsidR="008F369D" w:rsidRPr="00E06A78" w:rsidRDefault="00016F29" w:rsidP="008919D7">
            <w:pPr>
              <w:keepNext/>
              <w:keepLines/>
              <w:jc w:val="center"/>
              <w:rPr>
                <w:b/>
                <w:sz w:val="18"/>
                <w:lang w:val="en-GB"/>
              </w:rPr>
            </w:pPr>
            <w:r w:rsidRPr="00E06A78">
              <w:rPr>
                <w:b/>
                <w:sz w:val="18"/>
                <w:lang w:val="en-GB"/>
              </w:rPr>
              <w:t>Very Rare</w:t>
            </w:r>
          </w:p>
        </w:tc>
        <w:tc>
          <w:tcPr>
            <w:tcW w:w="572" w:type="pct"/>
            <w:vAlign w:val="center"/>
          </w:tcPr>
          <w:p w14:paraId="7C331276" w14:textId="77777777" w:rsidR="008F369D" w:rsidRPr="00E06A78" w:rsidRDefault="00016F29" w:rsidP="008919D7">
            <w:pPr>
              <w:keepNext/>
              <w:keepLines/>
              <w:jc w:val="center"/>
              <w:rPr>
                <w:b/>
                <w:sz w:val="18"/>
                <w:lang w:val="en-GB"/>
              </w:rPr>
            </w:pPr>
            <w:r w:rsidRPr="00E06A78">
              <w:rPr>
                <w:b/>
                <w:sz w:val="18"/>
                <w:lang w:val="en-GB"/>
              </w:rPr>
              <w:t>Not known</w:t>
            </w:r>
          </w:p>
        </w:tc>
      </w:tr>
      <w:tr w:rsidR="003A788B" w14:paraId="7C331281" w14:textId="77777777" w:rsidTr="00E06A78">
        <w:trPr>
          <w:cantSplit/>
        </w:trPr>
        <w:tc>
          <w:tcPr>
            <w:tcW w:w="662" w:type="pct"/>
          </w:tcPr>
          <w:p w14:paraId="7C331278" w14:textId="77777777" w:rsidR="008F369D" w:rsidRPr="00F638AF" w:rsidRDefault="00016F29" w:rsidP="008919D7">
            <w:pPr>
              <w:keepNext/>
              <w:keepLines/>
              <w:rPr>
                <w:sz w:val="18"/>
                <w:szCs w:val="18"/>
                <w:lang w:val="en-GB"/>
              </w:rPr>
            </w:pPr>
            <w:r w:rsidRPr="00F638AF">
              <w:rPr>
                <w:b/>
                <w:sz w:val="18"/>
                <w:szCs w:val="18"/>
                <w:lang w:val="en-GB"/>
              </w:rPr>
              <w:t>Infections and infestations</w:t>
            </w:r>
          </w:p>
        </w:tc>
        <w:tc>
          <w:tcPr>
            <w:tcW w:w="701" w:type="pct"/>
          </w:tcPr>
          <w:p w14:paraId="7C331279" w14:textId="77777777" w:rsidR="008F369D" w:rsidRPr="00F638AF" w:rsidRDefault="00016F29" w:rsidP="008919D7">
            <w:pPr>
              <w:keepNext/>
              <w:keepLines/>
              <w:rPr>
                <w:sz w:val="18"/>
                <w:szCs w:val="18"/>
                <w:lang w:val="en-GB"/>
              </w:rPr>
            </w:pPr>
            <w:r w:rsidRPr="00F638AF">
              <w:rPr>
                <w:sz w:val="18"/>
                <w:szCs w:val="18"/>
                <w:lang w:val="en-GB"/>
              </w:rPr>
              <w:t xml:space="preserve">bacterial infections, viral infections, </w:t>
            </w:r>
            <w:r w:rsidRPr="00F638AF">
              <w:rPr>
                <w:sz w:val="18"/>
                <w:szCs w:val="18"/>
                <w:vertAlign w:val="superscript"/>
                <w:lang w:val="en-GB"/>
              </w:rPr>
              <w:t>+</w:t>
            </w:r>
            <w:r w:rsidRPr="00F638AF">
              <w:rPr>
                <w:sz w:val="18"/>
                <w:szCs w:val="18"/>
                <w:lang w:val="en-GB"/>
              </w:rPr>
              <w:t xml:space="preserve">bronchitis </w:t>
            </w:r>
          </w:p>
          <w:p w14:paraId="7C33127A" w14:textId="77777777" w:rsidR="008F369D" w:rsidRPr="00F638AF" w:rsidRDefault="008F369D" w:rsidP="008919D7">
            <w:pPr>
              <w:keepNext/>
              <w:keepLines/>
              <w:rPr>
                <w:sz w:val="18"/>
                <w:szCs w:val="18"/>
                <w:lang w:val="en-GB"/>
              </w:rPr>
            </w:pPr>
          </w:p>
        </w:tc>
        <w:tc>
          <w:tcPr>
            <w:tcW w:w="826" w:type="pct"/>
          </w:tcPr>
          <w:p w14:paraId="7C33127B" w14:textId="77777777" w:rsidR="008F369D" w:rsidRPr="00F638AF" w:rsidRDefault="00016F29" w:rsidP="008919D7">
            <w:pPr>
              <w:keepNext/>
              <w:keepLines/>
              <w:rPr>
                <w:sz w:val="18"/>
                <w:szCs w:val="18"/>
                <w:lang w:val="en-GB"/>
              </w:rPr>
            </w:pPr>
            <w:r w:rsidRPr="00F638AF">
              <w:rPr>
                <w:sz w:val="18"/>
                <w:szCs w:val="18"/>
                <w:lang w:val="en-GB"/>
              </w:rPr>
              <w:t xml:space="preserve">sepsis, </w:t>
            </w:r>
            <w:r w:rsidRPr="00F638AF">
              <w:rPr>
                <w:sz w:val="18"/>
                <w:szCs w:val="18"/>
                <w:vertAlign w:val="superscript"/>
                <w:lang w:val="en-GB"/>
              </w:rPr>
              <w:t>+</w:t>
            </w:r>
            <w:r w:rsidRPr="00F638AF">
              <w:rPr>
                <w:sz w:val="18"/>
                <w:szCs w:val="18"/>
                <w:lang w:val="en-GB"/>
              </w:rPr>
              <w:t xml:space="preserve">pneumonia, </w:t>
            </w:r>
            <w:r w:rsidRPr="00F638AF">
              <w:rPr>
                <w:sz w:val="18"/>
                <w:szCs w:val="18"/>
                <w:vertAlign w:val="superscript"/>
                <w:lang w:val="en-GB"/>
              </w:rPr>
              <w:t>+</w:t>
            </w:r>
            <w:r w:rsidRPr="00F638AF">
              <w:rPr>
                <w:sz w:val="18"/>
                <w:szCs w:val="18"/>
                <w:lang w:val="en-GB"/>
              </w:rPr>
              <w:t xml:space="preserve">febrile infection, </w:t>
            </w:r>
            <w:r w:rsidRPr="00F638AF">
              <w:rPr>
                <w:sz w:val="18"/>
                <w:szCs w:val="18"/>
                <w:vertAlign w:val="superscript"/>
                <w:lang w:val="en-GB"/>
              </w:rPr>
              <w:t>+</w:t>
            </w:r>
            <w:r w:rsidRPr="00F638AF">
              <w:rPr>
                <w:sz w:val="18"/>
                <w:szCs w:val="18"/>
                <w:lang w:val="en-GB"/>
              </w:rPr>
              <w:t xml:space="preserve">herpes zoster, </w:t>
            </w:r>
            <w:r w:rsidRPr="00F638AF">
              <w:rPr>
                <w:sz w:val="18"/>
                <w:szCs w:val="18"/>
                <w:vertAlign w:val="superscript"/>
                <w:lang w:val="en-GB"/>
              </w:rPr>
              <w:t>+</w:t>
            </w:r>
            <w:r w:rsidRPr="00F638AF">
              <w:rPr>
                <w:sz w:val="18"/>
                <w:szCs w:val="18"/>
                <w:lang w:val="en-GB"/>
              </w:rPr>
              <w:t xml:space="preserve">respiratory tract infection, fungal infections, infections of unknown aetiology, </w:t>
            </w:r>
            <w:r w:rsidRPr="00F638AF">
              <w:rPr>
                <w:sz w:val="18"/>
                <w:szCs w:val="18"/>
                <w:vertAlign w:val="superscript"/>
                <w:lang w:val="en-GB"/>
              </w:rPr>
              <w:t>+</w:t>
            </w:r>
            <w:r w:rsidRPr="00F638AF">
              <w:rPr>
                <w:sz w:val="18"/>
                <w:szCs w:val="18"/>
                <w:lang w:val="en-GB"/>
              </w:rPr>
              <w:t xml:space="preserve">acute bronchitis, </w:t>
            </w:r>
            <w:r w:rsidRPr="00F638AF">
              <w:rPr>
                <w:sz w:val="18"/>
                <w:szCs w:val="18"/>
                <w:vertAlign w:val="superscript"/>
                <w:lang w:val="en-GB"/>
              </w:rPr>
              <w:t>+</w:t>
            </w:r>
            <w:r w:rsidRPr="00F638AF">
              <w:rPr>
                <w:sz w:val="18"/>
                <w:szCs w:val="18"/>
                <w:lang w:val="en-GB"/>
              </w:rPr>
              <w:t>sinusitis,</w:t>
            </w:r>
            <w:r w:rsidRPr="00F638AF">
              <w:rPr>
                <w:snapToGrid w:val="0"/>
                <w:sz w:val="18"/>
                <w:szCs w:val="18"/>
                <w:lang w:val="en-GB" w:eastAsia="en-US"/>
              </w:rPr>
              <w:t xml:space="preserve"> h</w:t>
            </w:r>
            <w:r w:rsidRPr="00F638AF">
              <w:rPr>
                <w:rFonts w:eastAsia="MS Mincho"/>
                <w:sz w:val="18"/>
                <w:szCs w:val="18"/>
                <w:lang w:val="en-GB"/>
              </w:rPr>
              <w:t>epatitis B</w:t>
            </w:r>
            <w:r w:rsidRPr="00F638AF">
              <w:rPr>
                <w:snapToGrid w:val="0"/>
                <w:sz w:val="18"/>
                <w:szCs w:val="18"/>
                <w:vertAlign w:val="superscript"/>
                <w:lang w:val="en-GB" w:eastAsia="en-US"/>
              </w:rPr>
              <w:t>1</w:t>
            </w:r>
            <w:r w:rsidRPr="00F638AF">
              <w:rPr>
                <w:sz w:val="18"/>
                <w:szCs w:val="18"/>
                <w:vertAlign w:val="superscript"/>
                <w:lang w:val="en-GB"/>
              </w:rPr>
              <w:t xml:space="preserve"> </w:t>
            </w:r>
          </w:p>
        </w:tc>
        <w:tc>
          <w:tcPr>
            <w:tcW w:w="809" w:type="pct"/>
          </w:tcPr>
          <w:p w14:paraId="7C33127C" w14:textId="77777777" w:rsidR="008F369D" w:rsidRPr="00F638AF" w:rsidRDefault="008F369D" w:rsidP="008919D7">
            <w:pPr>
              <w:keepNext/>
              <w:keepLines/>
              <w:rPr>
                <w:sz w:val="18"/>
                <w:szCs w:val="18"/>
                <w:lang w:val="en-GB"/>
              </w:rPr>
            </w:pPr>
          </w:p>
        </w:tc>
        <w:tc>
          <w:tcPr>
            <w:tcW w:w="666" w:type="pct"/>
          </w:tcPr>
          <w:p w14:paraId="7C33127D" w14:textId="77777777" w:rsidR="008F369D" w:rsidRPr="00F638AF" w:rsidRDefault="00016F29" w:rsidP="008919D7">
            <w:pPr>
              <w:keepNext/>
              <w:keepLines/>
              <w:rPr>
                <w:snapToGrid w:val="0"/>
                <w:sz w:val="18"/>
                <w:szCs w:val="18"/>
                <w:vertAlign w:val="superscript"/>
                <w:lang w:val="en-GB" w:eastAsia="en-US"/>
              </w:rPr>
            </w:pPr>
            <w:r w:rsidRPr="00F638AF">
              <w:rPr>
                <w:snapToGrid w:val="0"/>
                <w:sz w:val="18"/>
                <w:szCs w:val="18"/>
                <w:lang w:val="en-GB" w:eastAsia="en-US"/>
              </w:rPr>
              <w:t>serious viral infection</w:t>
            </w:r>
            <w:r w:rsidRPr="00F638AF">
              <w:rPr>
                <w:snapToGrid w:val="0"/>
                <w:sz w:val="18"/>
                <w:szCs w:val="18"/>
                <w:vertAlign w:val="superscript"/>
                <w:lang w:val="en-GB" w:eastAsia="en-US"/>
              </w:rPr>
              <w:t>2</w:t>
            </w:r>
          </w:p>
          <w:p w14:paraId="7C33127E" w14:textId="77777777" w:rsidR="008F369D" w:rsidRPr="00F638AF" w:rsidRDefault="00016F29" w:rsidP="008919D7">
            <w:pPr>
              <w:keepNext/>
              <w:keepLines/>
              <w:rPr>
                <w:snapToGrid w:val="0"/>
                <w:sz w:val="18"/>
                <w:szCs w:val="18"/>
                <w:lang w:val="en-GB" w:eastAsia="en-US"/>
              </w:rPr>
            </w:pPr>
            <w:r w:rsidRPr="00F638AF">
              <w:rPr>
                <w:snapToGrid w:val="0"/>
                <w:sz w:val="18"/>
                <w:szCs w:val="18"/>
                <w:lang w:val="en-GB" w:eastAsia="en-US"/>
              </w:rPr>
              <w:t>Pneumocystis jirovecii</w:t>
            </w:r>
          </w:p>
        </w:tc>
        <w:tc>
          <w:tcPr>
            <w:tcW w:w="763" w:type="pct"/>
          </w:tcPr>
          <w:p w14:paraId="7C33127F" w14:textId="77777777" w:rsidR="008F369D" w:rsidRPr="00635D12" w:rsidRDefault="00016F29" w:rsidP="008919D7">
            <w:pPr>
              <w:keepNext/>
              <w:keepLines/>
              <w:rPr>
                <w:snapToGrid w:val="0"/>
                <w:sz w:val="18"/>
                <w:szCs w:val="18"/>
                <w:lang w:val="en-GB" w:eastAsia="en-US"/>
              </w:rPr>
            </w:pPr>
            <w:r w:rsidRPr="00F638AF">
              <w:rPr>
                <w:snapToGrid w:val="0"/>
                <w:sz w:val="18"/>
                <w:szCs w:val="18"/>
                <w:lang w:val="en-GB" w:eastAsia="en-US"/>
              </w:rPr>
              <w:t>PML</w:t>
            </w:r>
          </w:p>
        </w:tc>
        <w:tc>
          <w:tcPr>
            <w:tcW w:w="572" w:type="pct"/>
          </w:tcPr>
          <w:p w14:paraId="7C331280" w14:textId="77777777" w:rsidR="008F369D" w:rsidRPr="00635D12" w:rsidRDefault="008F369D" w:rsidP="008919D7">
            <w:pPr>
              <w:keepNext/>
              <w:keepLines/>
              <w:rPr>
                <w:sz w:val="18"/>
                <w:szCs w:val="18"/>
                <w:lang w:val="en-GB"/>
              </w:rPr>
            </w:pPr>
          </w:p>
        </w:tc>
      </w:tr>
      <w:tr w:rsidR="003A788B" w14:paraId="7C33128B" w14:textId="77777777" w:rsidTr="00E06A78">
        <w:trPr>
          <w:cantSplit/>
        </w:trPr>
        <w:tc>
          <w:tcPr>
            <w:tcW w:w="662" w:type="pct"/>
          </w:tcPr>
          <w:p w14:paraId="7C331282" w14:textId="77777777" w:rsidR="008F369D" w:rsidRPr="00E40FB5" w:rsidRDefault="00016F29" w:rsidP="008919D7">
            <w:pPr>
              <w:rPr>
                <w:sz w:val="18"/>
                <w:szCs w:val="18"/>
                <w:lang w:val="en-GB"/>
              </w:rPr>
            </w:pPr>
            <w:r w:rsidRPr="00E40FB5">
              <w:rPr>
                <w:b/>
                <w:sz w:val="18"/>
                <w:szCs w:val="18"/>
                <w:lang w:val="en-GB"/>
              </w:rPr>
              <w:t>Blood and lymphatic system disorders</w:t>
            </w:r>
          </w:p>
        </w:tc>
        <w:tc>
          <w:tcPr>
            <w:tcW w:w="701" w:type="pct"/>
          </w:tcPr>
          <w:p w14:paraId="7C331283" w14:textId="77777777" w:rsidR="008F369D" w:rsidRPr="00E40FB5" w:rsidRDefault="00016F29" w:rsidP="008919D7">
            <w:pPr>
              <w:rPr>
                <w:sz w:val="18"/>
                <w:szCs w:val="18"/>
                <w:lang w:val="en-GB"/>
              </w:rPr>
            </w:pPr>
            <w:r w:rsidRPr="00E40FB5">
              <w:rPr>
                <w:sz w:val="18"/>
                <w:szCs w:val="18"/>
                <w:lang w:val="en-GB"/>
              </w:rPr>
              <w:t xml:space="preserve">neutropenia, leucopenia, </w:t>
            </w:r>
            <w:r w:rsidRPr="00E40FB5">
              <w:rPr>
                <w:sz w:val="18"/>
                <w:szCs w:val="18"/>
                <w:vertAlign w:val="superscript"/>
                <w:lang w:val="en-GB"/>
              </w:rPr>
              <w:t>+</w:t>
            </w:r>
            <w:r w:rsidRPr="00E40FB5">
              <w:rPr>
                <w:sz w:val="18"/>
                <w:szCs w:val="18"/>
                <w:lang w:val="en-GB"/>
              </w:rPr>
              <w:t xml:space="preserve">febrile neutropenia, </w:t>
            </w:r>
            <w:r w:rsidRPr="00E40FB5">
              <w:rPr>
                <w:sz w:val="18"/>
                <w:szCs w:val="18"/>
                <w:vertAlign w:val="superscript"/>
                <w:lang w:val="en-GB"/>
              </w:rPr>
              <w:t>+</w:t>
            </w:r>
            <w:r w:rsidRPr="00E40FB5">
              <w:rPr>
                <w:sz w:val="18"/>
                <w:szCs w:val="18"/>
                <w:lang w:val="en-GB"/>
              </w:rPr>
              <w:t>thrombocytopenia</w:t>
            </w:r>
          </w:p>
          <w:p w14:paraId="7C331284" w14:textId="77777777" w:rsidR="008F369D" w:rsidRPr="00E40FB5" w:rsidRDefault="008F369D" w:rsidP="008919D7">
            <w:pPr>
              <w:rPr>
                <w:sz w:val="18"/>
                <w:szCs w:val="18"/>
                <w:lang w:val="en-GB"/>
              </w:rPr>
            </w:pPr>
          </w:p>
        </w:tc>
        <w:tc>
          <w:tcPr>
            <w:tcW w:w="826" w:type="pct"/>
          </w:tcPr>
          <w:p w14:paraId="7C331285" w14:textId="77777777" w:rsidR="008F369D" w:rsidRPr="00E40FB5" w:rsidRDefault="00016F29" w:rsidP="008919D7">
            <w:pPr>
              <w:rPr>
                <w:sz w:val="18"/>
                <w:szCs w:val="18"/>
                <w:lang w:val="en-GB"/>
              </w:rPr>
            </w:pPr>
            <w:r w:rsidRPr="00E40FB5">
              <w:rPr>
                <w:sz w:val="18"/>
                <w:szCs w:val="18"/>
                <w:lang w:val="en-GB"/>
              </w:rPr>
              <w:t xml:space="preserve">anaemia, </w:t>
            </w:r>
          </w:p>
          <w:p w14:paraId="7C331286" w14:textId="77777777" w:rsidR="008F369D" w:rsidRPr="00E40FB5" w:rsidRDefault="00016F29" w:rsidP="008919D7">
            <w:pPr>
              <w:rPr>
                <w:sz w:val="18"/>
                <w:szCs w:val="18"/>
                <w:lang w:val="en-GB"/>
              </w:rPr>
            </w:pPr>
            <w:r w:rsidRPr="00E40FB5">
              <w:rPr>
                <w:sz w:val="18"/>
                <w:szCs w:val="18"/>
                <w:vertAlign w:val="superscript"/>
                <w:lang w:val="en-GB"/>
              </w:rPr>
              <w:t>+</w:t>
            </w:r>
            <w:r w:rsidRPr="00E40FB5">
              <w:rPr>
                <w:sz w:val="18"/>
                <w:szCs w:val="18"/>
                <w:lang w:val="en-GB"/>
              </w:rPr>
              <w:t xml:space="preserve">pancytopenia, </w:t>
            </w:r>
            <w:r w:rsidRPr="00E40FB5">
              <w:rPr>
                <w:sz w:val="18"/>
                <w:szCs w:val="18"/>
                <w:vertAlign w:val="superscript"/>
                <w:lang w:val="en-GB"/>
              </w:rPr>
              <w:t>+</w:t>
            </w:r>
            <w:r w:rsidRPr="00E40FB5">
              <w:rPr>
                <w:sz w:val="18"/>
                <w:szCs w:val="18"/>
                <w:lang w:val="en-GB"/>
              </w:rPr>
              <w:t>granulocytopenia</w:t>
            </w:r>
          </w:p>
        </w:tc>
        <w:tc>
          <w:tcPr>
            <w:tcW w:w="809" w:type="pct"/>
          </w:tcPr>
          <w:p w14:paraId="7C331287" w14:textId="77777777" w:rsidR="008F369D" w:rsidRPr="00E40FB5" w:rsidRDefault="00016F29" w:rsidP="008919D7">
            <w:pPr>
              <w:rPr>
                <w:sz w:val="18"/>
                <w:szCs w:val="18"/>
                <w:lang w:val="en-GB"/>
              </w:rPr>
            </w:pPr>
            <w:r w:rsidRPr="00E40FB5">
              <w:rPr>
                <w:sz w:val="18"/>
                <w:szCs w:val="18"/>
                <w:lang w:val="en-GB"/>
              </w:rPr>
              <w:t>coagulation disorders, aplastic anaemia, haemolytic anaemia, lymphadenopathy</w:t>
            </w:r>
          </w:p>
        </w:tc>
        <w:tc>
          <w:tcPr>
            <w:tcW w:w="666" w:type="pct"/>
          </w:tcPr>
          <w:p w14:paraId="7C331288" w14:textId="77777777" w:rsidR="008F369D" w:rsidRPr="00E40FB5" w:rsidRDefault="008F369D" w:rsidP="008919D7">
            <w:pPr>
              <w:rPr>
                <w:snapToGrid w:val="0"/>
                <w:sz w:val="18"/>
                <w:szCs w:val="18"/>
                <w:lang w:val="en-GB" w:eastAsia="en-US"/>
              </w:rPr>
            </w:pPr>
          </w:p>
        </w:tc>
        <w:tc>
          <w:tcPr>
            <w:tcW w:w="763" w:type="pct"/>
          </w:tcPr>
          <w:p w14:paraId="7C331289" w14:textId="77777777" w:rsidR="008F369D" w:rsidRPr="00E40FB5" w:rsidRDefault="00016F29" w:rsidP="008919D7">
            <w:pPr>
              <w:rPr>
                <w:snapToGrid w:val="0"/>
                <w:sz w:val="18"/>
                <w:szCs w:val="18"/>
                <w:lang w:val="en-GB" w:eastAsia="en-US"/>
              </w:rPr>
            </w:pPr>
            <w:r w:rsidRPr="00E40FB5">
              <w:rPr>
                <w:rFonts w:eastAsia="Arial Unicode MS"/>
                <w:sz w:val="18"/>
                <w:szCs w:val="18"/>
                <w:lang w:val="en-GB"/>
              </w:rPr>
              <w:t>transient increase in serum IgM levels</w:t>
            </w:r>
            <w:r w:rsidRPr="00E40FB5">
              <w:rPr>
                <w:snapToGrid w:val="0"/>
                <w:sz w:val="18"/>
                <w:szCs w:val="18"/>
                <w:vertAlign w:val="superscript"/>
                <w:lang w:val="en-GB" w:eastAsia="en-US"/>
              </w:rPr>
              <w:t>3</w:t>
            </w:r>
          </w:p>
        </w:tc>
        <w:tc>
          <w:tcPr>
            <w:tcW w:w="572" w:type="pct"/>
          </w:tcPr>
          <w:p w14:paraId="7C33128A" w14:textId="77777777" w:rsidR="008F369D" w:rsidRPr="00E40FB5" w:rsidRDefault="00016F29" w:rsidP="008919D7">
            <w:pPr>
              <w:rPr>
                <w:sz w:val="18"/>
                <w:szCs w:val="18"/>
                <w:lang w:val="en-GB"/>
              </w:rPr>
            </w:pPr>
            <w:r w:rsidRPr="00E40FB5">
              <w:rPr>
                <w:snapToGrid w:val="0"/>
                <w:sz w:val="18"/>
                <w:szCs w:val="18"/>
                <w:lang w:val="en-GB" w:eastAsia="en-US"/>
              </w:rPr>
              <w:t>late neutropenia</w:t>
            </w:r>
            <w:r w:rsidRPr="00E40FB5">
              <w:rPr>
                <w:snapToGrid w:val="0"/>
                <w:sz w:val="18"/>
                <w:szCs w:val="18"/>
                <w:vertAlign w:val="superscript"/>
                <w:lang w:val="en-GB" w:eastAsia="en-US"/>
              </w:rPr>
              <w:t>3</w:t>
            </w:r>
          </w:p>
        </w:tc>
      </w:tr>
      <w:tr w:rsidR="003A788B" w14:paraId="7C331295" w14:textId="77777777" w:rsidTr="00E06A78">
        <w:trPr>
          <w:cantSplit/>
        </w:trPr>
        <w:tc>
          <w:tcPr>
            <w:tcW w:w="662" w:type="pct"/>
          </w:tcPr>
          <w:p w14:paraId="7C33128C" w14:textId="77777777" w:rsidR="008F369D" w:rsidRPr="00E40FB5" w:rsidRDefault="00016F29" w:rsidP="008919D7">
            <w:pPr>
              <w:rPr>
                <w:sz w:val="18"/>
                <w:szCs w:val="18"/>
                <w:lang w:val="en-GB"/>
              </w:rPr>
            </w:pPr>
            <w:r w:rsidRPr="00E40FB5">
              <w:rPr>
                <w:b/>
                <w:sz w:val="18"/>
                <w:szCs w:val="18"/>
                <w:lang w:val="en-GB"/>
              </w:rPr>
              <w:t>Immune system disorders</w:t>
            </w:r>
          </w:p>
        </w:tc>
        <w:tc>
          <w:tcPr>
            <w:tcW w:w="701" w:type="pct"/>
          </w:tcPr>
          <w:p w14:paraId="7C33128D" w14:textId="77777777" w:rsidR="008F369D" w:rsidRPr="00F332AF" w:rsidRDefault="00016F29" w:rsidP="008919D7">
            <w:pPr>
              <w:rPr>
                <w:sz w:val="18"/>
                <w:szCs w:val="18"/>
                <w:lang w:val="en-GB"/>
              </w:rPr>
            </w:pPr>
            <w:r w:rsidRPr="00E40FB5">
              <w:rPr>
                <w:snapToGrid w:val="0"/>
                <w:sz w:val="18"/>
                <w:szCs w:val="18"/>
                <w:lang w:val="en-GB" w:eastAsia="en-US"/>
              </w:rPr>
              <w:t>infusion</w:t>
            </w:r>
            <w:r w:rsidR="005B7FA0">
              <w:rPr>
                <w:snapToGrid w:val="0"/>
                <w:sz w:val="18"/>
                <w:szCs w:val="18"/>
                <w:lang w:val="en-GB" w:eastAsia="en-US"/>
              </w:rPr>
              <w:t>-</w:t>
            </w:r>
            <w:r w:rsidRPr="00E40FB5">
              <w:rPr>
                <w:snapToGrid w:val="0"/>
                <w:sz w:val="18"/>
                <w:szCs w:val="18"/>
                <w:lang w:val="en-GB" w:eastAsia="en-US"/>
              </w:rPr>
              <w:t>related reactions</w:t>
            </w:r>
            <w:r w:rsidRPr="00E40FB5">
              <w:rPr>
                <w:snapToGrid w:val="0"/>
                <w:sz w:val="18"/>
                <w:szCs w:val="18"/>
                <w:vertAlign w:val="superscript"/>
                <w:lang w:val="en-GB" w:eastAsia="en-US"/>
              </w:rPr>
              <w:t>4</w:t>
            </w:r>
            <w:r w:rsidRPr="00E40FB5">
              <w:rPr>
                <w:snapToGrid w:val="0"/>
                <w:sz w:val="18"/>
                <w:szCs w:val="18"/>
                <w:lang w:val="en-GB" w:eastAsia="en-US"/>
              </w:rPr>
              <w:t>,</w:t>
            </w:r>
          </w:p>
          <w:p w14:paraId="7C33128E" w14:textId="77777777" w:rsidR="008F369D" w:rsidRPr="00E40FB5" w:rsidRDefault="00016F29" w:rsidP="008919D7">
            <w:pPr>
              <w:rPr>
                <w:sz w:val="18"/>
                <w:szCs w:val="18"/>
                <w:lang w:val="en-GB"/>
              </w:rPr>
            </w:pPr>
            <w:r w:rsidRPr="00E40FB5">
              <w:rPr>
                <w:sz w:val="18"/>
                <w:szCs w:val="18"/>
                <w:lang w:val="en-GB"/>
              </w:rPr>
              <w:t>angioedema</w:t>
            </w:r>
          </w:p>
        </w:tc>
        <w:tc>
          <w:tcPr>
            <w:tcW w:w="826" w:type="pct"/>
          </w:tcPr>
          <w:p w14:paraId="7C33128F" w14:textId="77777777" w:rsidR="008F369D" w:rsidRPr="00E40FB5" w:rsidRDefault="00016F29" w:rsidP="008919D7">
            <w:pPr>
              <w:rPr>
                <w:sz w:val="18"/>
                <w:szCs w:val="18"/>
                <w:lang w:val="en-GB"/>
              </w:rPr>
            </w:pPr>
            <w:r w:rsidRPr="00E40FB5">
              <w:rPr>
                <w:sz w:val="18"/>
                <w:szCs w:val="18"/>
                <w:lang w:val="en-GB"/>
              </w:rPr>
              <w:t>hypersensitivity</w:t>
            </w:r>
          </w:p>
        </w:tc>
        <w:tc>
          <w:tcPr>
            <w:tcW w:w="809" w:type="pct"/>
          </w:tcPr>
          <w:p w14:paraId="7C331290" w14:textId="77777777" w:rsidR="008F369D" w:rsidRPr="00B055D4" w:rsidRDefault="008F369D" w:rsidP="008919D7">
            <w:pPr>
              <w:rPr>
                <w:sz w:val="18"/>
                <w:szCs w:val="18"/>
                <w:lang w:val="en-GB"/>
              </w:rPr>
            </w:pPr>
          </w:p>
        </w:tc>
        <w:tc>
          <w:tcPr>
            <w:tcW w:w="666" w:type="pct"/>
          </w:tcPr>
          <w:p w14:paraId="7C331291" w14:textId="77777777" w:rsidR="008F369D" w:rsidRPr="00B055D4" w:rsidRDefault="00016F29" w:rsidP="008919D7">
            <w:pPr>
              <w:rPr>
                <w:snapToGrid w:val="0"/>
                <w:sz w:val="18"/>
                <w:szCs w:val="18"/>
                <w:lang w:val="en-GB" w:eastAsia="en-US"/>
              </w:rPr>
            </w:pPr>
            <w:r w:rsidRPr="00B055D4">
              <w:rPr>
                <w:snapToGrid w:val="0"/>
                <w:sz w:val="18"/>
                <w:szCs w:val="18"/>
                <w:lang w:val="en-GB" w:eastAsia="en-US"/>
              </w:rPr>
              <w:t>anaphylaxis</w:t>
            </w:r>
          </w:p>
        </w:tc>
        <w:tc>
          <w:tcPr>
            <w:tcW w:w="763" w:type="pct"/>
          </w:tcPr>
          <w:p w14:paraId="7C331292" w14:textId="77777777" w:rsidR="008F369D" w:rsidRPr="00B055D4" w:rsidRDefault="00016F29" w:rsidP="008919D7">
            <w:pPr>
              <w:rPr>
                <w:snapToGrid w:val="0"/>
                <w:sz w:val="18"/>
                <w:szCs w:val="18"/>
                <w:lang w:val="en-GB" w:eastAsia="en-US"/>
              </w:rPr>
            </w:pPr>
            <w:r w:rsidRPr="00B055D4">
              <w:rPr>
                <w:snapToGrid w:val="0"/>
                <w:sz w:val="18"/>
                <w:szCs w:val="18"/>
                <w:lang w:val="en-GB" w:eastAsia="en-US"/>
              </w:rPr>
              <w:t>tumour lysis syndrome,</w:t>
            </w:r>
          </w:p>
          <w:p w14:paraId="7C331293" w14:textId="77777777" w:rsidR="008F369D" w:rsidRPr="00B055D4" w:rsidRDefault="00016F29" w:rsidP="008919D7">
            <w:pPr>
              <w:rPr>
                <w:snapToGrid w:val="0"/>
                <w:sz w:val="18"/>
                <w:szCs w:val="18"/>
                <w:lang w:val="en-GB" w:eastAsia="en-US"/>
              </w:rPr>
            </w:pPr>
            <w:r w:rsidRPr="00B055D4">
              <w:rPr>
                <w:snapToGrid w:val="0"/>
                <w:sz w:val="18"/>
                <w:szCs w:val="18"/>
                <w:lang w:val="en-GB" w:eastAsia="en-US"/>
              </w:rPr>
              <w:t>cytokine release syndrome</w:t>
            </w:r>
            <w:r w:rsidRPr="00B055D4">
              <w:rPr>
                <w:snapToGrid w:val="0"/>
                <w:sz w:val="18"/>
                <w:szCs w:val="18"/>
                <w:vertAlign w:val="superscript"/>
                <w:lang w:val="en-GB" w:eastAsia="en-US"/>
              </w:rPr>
              <w:t>4</w:t>
            </w:r>
            <w:r w:rsidRPr="00B055D4">
              <w:rPr>
                <w:snapToGrid w:val="0"/>
                <w:sz w:val="18"/>
                <w:szCs w:val="18"/>
                <w:lang w:val="en-GB" w:eastAsia="en-US"/>
              </w:rPr>
              <w:t>, serum sickness</w:t>
            </w:r>
          </w:p>
        </w:tc>
        <w:tc>
          <w:tcPr>
            <w:tcW w:w="572" w:type="pct"/>
          </w:tcPr>
          <w:p w14:paraId="7C331294" w14:textId="77777777" w:rsidR="008F369D" w:rsidRPr="00B472AB" w:rsidRDefault="00016F29" w:rsidP="008919D7">
            <w:pPr>
              <w:rPr>
                <w:sz w:val="18"/>
                <w:szCs w:val="18"/>
                <w:lang w:val="en-GB"/>
              </w:rPr>
            </w:pPr>
            <w:r w:rsidRPr="00B472AB">
              <w:rPr>
                <w:snapToGrid w:val="0"/>
                <w:sz w:val="18"/>
                <w:szCs w:val="18"/>
                <w:lang w:val="en-GB" w:eastAsia="en-US"/>
              </w:rPr>
              <w:t>infusion</w:t>
            </w:r>
            <w:r w:rsidR="000A6DDA" w:rsidRPr="00B472AB">
              <w:rPr>
                <w:snapToGrid w:val="0"/>
                <w:sz w:val="18"/>
                <w:szCs w:val="18"/>
                <w:lang w:val="en-GB" w:eastAsia="en-US"/>
              </w:rPr>
              <w:noBreakHyphen/>
            </w:r>
            <w:r w:rsidRPr="00B472AB">
              <w:rPr>
                <w:snapToGrid w:val="0"/>
                <w:sz w:val="18"/>
                <w:szCs w:val="18"/>
                <w:lang w:val="en-GB" w:eastAsia="en-US"/>
              </w:rPr>
              <w:t>related acute reversible thrombocytopenia</w:t>
            </w:r>
            <w:r w:rsidRPr="00B472AB">
              <w:rPr>
                <w:snapToGrid w:val="0"/>
                <w:sz w:val="18"/>
                <w:szCs w:val="18"/>
                <w:vertAlign w:val="superscript"/>
                <w:lang w:val="en-GB" w:eastAsia="en-US"/>
              </w:rPr>
              <w:t>4</w:t>
            </w:r>
          </w:p>
        </w:tc>
      </w:tr>
      <w:tr w:rsidR="003A788B" w14:paraId="7C33129D" w14:textId="77777777" w:rsidTr="00E06A78">
        <w:trPr>
          <w:cantSplit/>
        </w:trPr>
        <w:tc>
          <w:tcPr>
            <w:tcW w:w="662" w:type="pct"/>
          </w:tcPr>
          <w:p w14:paraId="7C331296" w14:textId="77777777" w:rsidR="008F369D" w:rsidRPr="00B055D4" w:rsidRDefault="00016F29" w:rsidP="008919D7">
            <w:pPr>
              <w:rPr>
                <w:sz w:val="18"/>
                <w:szCs w:val="18"/>
                <w:lang w:val="en-GB"/>
              </w:rPr>
            </w:pPr>
            <w:r w:rsidRPr="00B055D4">
              <w:rPr>
                <w:b/>
                <w:sz w:val="18"/>
                <w:szCs w:val="18"/>
                <w:lang w:val="en-GB"/>
              </w:rPr>
              <w:t>Metabolism and nutrition disorders</w:t>
            </w:r>
          </w:p>
        </w:tc>
        <w:tc>
          <w:tcPr>
            <w:tcW w:w="701" w:type="pct"/>
          </w:tcPr>
          <w:p w14:paraId="7C331297" w14:textId="77777777" w:rsidR="008F369D" w:rsidRPr="00B055D4" w:rsidRDefault="008F369D" w:rsidP="008919D7">
            <w:pPr>
              <w:rPr>
                <w:sz w:val="18"/>
                <w:szCs w:val="18"/>
                <w:lang w:val="en-GB"/>
              </w:rPr>
            </w:pPr>
          </w:p>
        </w:tc>
        <w:tc>
          <w:tcPr>
            <w:tcW w:w="826" w:type="pct"/>
          </w:tcPr>
          <w:p w14:paraId="7C331298" w14:textId="77777777" w:rsidR="008F369D" w:rsidRPr="00B055D4" w:rsidRDefault="00016F29" w:rsidP="008919D7">
            <w:pPr>
              <w:rPr>
                <w:sz w:val="18"/>
                <w:szCs w:val="18"/>
                <w:lang w:val="en-GB"/>
              </w:rPr>
            </w:pPr>
            <w:r w:rsidRPr="00B055D4">
              <w:rPr>
                <w:sz w:val="18"/>
                <w:szCs w:val="18"/>
                <w:lang w:val="en-GB"/>
              </w:rPr>
              <w:t>hyperglycaemia, weight decrease, peripheral oedema, face oedema, increased LDH, hypocalcaemia</w:t>
            </w:r>
          </w:p>
        </w:tc>
        <w:tc>
          <w:tcPr>
            <w:tcW w:w="809" w:type="pct"/>
          </w:tcPr>
          <w:p w14:paraId="7C331299" w14:textId="77777777" w:rsidR="008F369D" w:rsidRPr="00B055D4" w:rsidRDefault="008F369D" w:rsidP="008919D7">
            <w:pPr>
              <w:rPr>
                <w:sz w:val="18"/>
                <w:szCs w:val="18"/>
                <w:lang w:val="en-GB"/>
              </w:rPr>
            </w:pPr>
          </w:p>
        </w:tc>
        <w:tc>
          <w:tcPr>
            <w:tcW w:w="666" w:type="pct"/>
          </w:tcPr>
          <w:p w14:paraId="7C33129A" w14:textId="77777777" w:rsidR="008F369D" w:rsidRPr="00B055D4" w:rsidRDefault="008F369D" w:rsidP="008919D7">
            <w:pPr>
              <w:rPr>
                <w:sz w:val="18"/>
                <w:szCs w:val="18"/>
                <w:lang w:val="en-GB"/>
              </w:rPr>
            </w:pPr>
          </w:p>
        </w:tc>
        <w:tc>
          <w:tcPr>
            <w:tcW w:w="763" w:type="pct"/>
          </w:tcPr>
          <w:p w14:paraId="7C33129B" w14:textId="77777777" w:rsidR="008F369D" w:rsidRPr="00B055D4" w:rsidRDefault="008F369D" w:rsidP="008919D7">
            <w:pPr>
              <w:rPr>
                <w:sz w:val="18"/>
                <w:szCs w:val="18"/>
                <w:lang w:val="en-GB"/>
              </w:rPr>
            </w:pPr>
          </w:p>
        </w:tc>
        <w:tc>
          <w:tcPr>
            <w:tcW w:w="572" w:type="pct"/>
          </w:tcPr>
          <w:p w14:paraId="7C33129C" w14:textId="77777777" w:rsidR="008F369D" w:rsidRPr="00B055D4" w:rsidRDefault="008F369D" w:rsidP="008919D7">
            <w:pPr>
              <w:rPr>
                <w:sz w:val="18"/>
                <w:szCs w:val="18"/>
                <w:lang w:val="en-GB"/>
              </w:rPr>
            </w:pPr>
          </w:p>
        </w:tc>
      </w:tr>
      <w:tr w:rsidR="003A788B" w14:paraId="7C3312A5" w14:textId="77777777" w:rsidTr="00E06A78">
        <w:trPr>
          <w:cantSplit/>
        </w:trPr>
        <w:tc>
          <w:tcPr>
            <w:tcW w:w="662" w:type="pct"/>
          </w:tcPr>
          <w:p w14:paraId="7C33129E" w14:textId="77777777" w:rsidR="008F369D" w:rsidRPr="00B055D4" w:rsidRDefault="00016F29" w:rsidP="008919D7">
            <w:pPr>
              <w:rPr>
                <w:sz w:val="18"/>
                <w:szCs w:val="18"/>
                <w:lang w:val="en-GB"/>
              </w:rPr>
            </w:pPr>
            <w:r w:rsidRPr="00B055D4">
              <w:rPr>
                <w:b/>
                <w:sz w:val="18"/>
                <w:szCs w:val="18"/>
                <w:lang w:val="en-GB"/>
              </w:rPr>
              <w:t>Psychiatric disorders</w:t>
            </w:r>
          </w:p>
        </w:tc>
        <w:tc>
          <w:tcPr>
            <w:tcW w:w="701" w:type="pct"/>
          </w:tcPr>
          <w:p w14:paraId="7C33129F" w14:textId="77777777" w:rsidR="008F369D" w:rsidRPr="00B055D4" w:rsidRDefault="008F369D" w:rsidP="008919D7">
            <w:pPr>
              <w:rPr>
                <w:sz w:val="18"/>
                <w:szCs w:val="18"/>
                <w:lang w:val="en-GB"/>
              </w:rPr>
            </w:pPr>
          </w:p>
        </w:tc>
        <w:tc>
          <w:tcPr>
            <w:tcW w:w="826" w:type="pct"/>
          </w:tcPr>
          <w:p w14:paraId="7C3312A0" w14:textId="77777777" w:rsidR="008F369D" w:rsidRPr="00B055D4" w:rsidRDefault="008F369D" w:rsidP="008919D7">
            <w:pPr>
              <w:rPr>
                <w:sz w:val="18"/>
                <w:szCs w:val="18"/>
                <w:lang w:val="en-GB"/>
              </w:rPr>
            </w:pPr>
          </w:p>
        </w:tc>
        <w:tc>
          <w:tcPr>
            <w:tcW w:w="809" w:type="pct"/>
          </w:tcPr>
          <w:p w14:paraId="7C3312A1" w14:textId="77777777" w:rsidR="008F369D" w:rsidRPr="00B055D4" w:rsidRDefault="00016F29" w:rsidP="008919D7">
            <w:pPr>
              <w:rPr>
                <w:sz w:val="18"/>
                <w:szCs w:val="18"/>
                <w:lang w:val="en-GB"/>
              </w:rPr>
            </w:pPr>
            <w:r w:rsidRPr="00B055D4">
              <w:rPr>
                <w:sz w:val="18"/>
                <w:szCs w:val="18"/>
                <w:lang w:val="en-GB"/>
              </w:rPr>
              <w:t>depression, nervousness</w:t>
            </w:r>
          </w:p>
        </w:tc>
        <w:tc>
          <w:tcPr>
            <w:tcW w:w="666" w:type="pct"/>
          </w:tcPr>
          <w:p w14:paraId="7C3312A2" w14:textId="77777777" w:rsidR="008F369D" w:rsidRPr="00B055D4" w:rsidRDefault="008F369D" w:rsidP="008919D7">
            <w:pPr>
              <w:rPr>
                <w:sz w:val="18"/>
                <w:szCs w:val="18"/>
                <w:lang w:val="en-GB"/>
              </w:rPr>
            </w:pPr>
          </w:p>
        </w:tc>
        <w:tc>
          <w:tcPr>
            <w:tcW w:w="763" w:type="pct"/>
          </w:tcPr>
          <w:p w14:paraId="7C3312A3" w14:textId="77777777" w:rsidR="008F369D" w:rsidRPr="00B055D4" w:rsidRDefault="008F369D" w:rsidP="008919D7">
            <w:pPr>
              <w:rPr>
                <w:sz w:val="18"/>
                <w:szCs w:val="18"/>
                <w:lang w:val="en-GB"/>
              </w:rPr>
            </w:pPr>
          </w:p>
        </w:tc>
        <w:tc>
          <w:tcPr>
            <w:tcW w:w="572" w:type="pct"/>
          </w:tcPr>
          <w:p w14:paraId="7C3312A4" w14:textId="77777777" w:rsidR="008F369D" w:rsidRPr="00B055D4" w:rsidRDefault="008F369D" w:rsidP="008919D7">
            <w:pPr>
              <w:rPr>
                <w:sz w:val="18"/>
                <w:szCs w:val="18"/>
                <w:lang w:val="en-GB"/>
              </w:rPr>
            </w:pPr>
          </w:p>
        </w:tc>
      </w:tr>
      <w:tr w:rsidR="003A788B" w14:paraId="7C3312AF" w14:textId="77777777" w:rsidTr="00E06A78">
        <w:trPr>
          <w:cantSplit/>
        </w:trPr>
        <w:tc>
          <w:tcPr>
            <w:tcW w:w="662" w:type="pct"/>
          </w:tcPr>
          <w:p w14:paraId="7C3312A6" w14:textId="77777777" w:rsidR="008F369D" w:rsidRPr="00B055D4" w:rsidRDefault="00016F29" w:rsidP="008919D7">
            <w:pPr>
              <w:pStyle w:val="TextTi10"/>
              <w:rPr>
                <w:b/>
                <w:sz w:val="18"/>
                <w:szCs w:val="18"/>
                <w:lang w:val="en-GB"/>
              </w:rPr>
            </w:pPr>
            <w:r w:rsidRPr="00B055D4">
              <w:rPr>
                <w:b/>
                <w:sz w:val="18"/>
                <w:szCs w:val="18"/>
                <w:lang w:val="en-GB"/>
              </w:rPr>
              <w:t>Nervous system disorders</w:t>
            </w:r>
          </w:p>
        </w:tc>
        <w:tc>
          <w:tcPr>
            <w:tcW w:w="701" w:type="pct"/>
          </w:tcPr>
          <w:p w14:paraId="7C3312A7" w14:textId="77777777" w:rsidR="008F369D" w:rsidRPr="00B055D4" w:rsidRDefault="008F369D" w:rsidP="008919D7">
            <w:pPr>
              <w:rPr>
                <w:sz w:val="18"/>
                <w:szCs w:val="18"/>
                <w:lang w:val="en-GB"/>
              </w:rPr>
            </w:pPr>
          </w:p>
        </w:tc>
        <w:tc>
          <w:tcPr>
            <w:tcW w:w="826" w:type="pct"/>
          </w:tcPr>
          <w:p w14:paraId="7C3312A8" w14:textId="77777777" w:rsidR="008F369D" w:rsidRPr="00B055D4" w:rsidRDefault="00016F29" w:rsidP="008919D7">
            <w:pPr>
              <w:rPr>
                <w:sz w:val="18"/>
                <w:szCs w:val="18"/>
                <w:lang w:val="en-GB"/>
              </w:rPr>
            </w:pPr>
            <w:r w:rsidRPr="00B055D4">
              <w:rPr>
                <w:sz w:val="18"/>
                <w:szCs w:val="18"/>
                <w:lang w:val="en-GB"/>
              </w:rPr>
              <w:t>paraesthesia, hypoaesthesia, agitation, insomnia, vasodilatation, dizziness, anxiety</w:t>
            </w:r>
          </w:p>
        </w:tc>
        <w:tc>
          <w:tcPr>
            <w:tcW w:w="809" w:type="pct"/>
          </w:tcPr>
          <w:p w14:paraId="7C3312A9" w14:textId="77777777" w:rsidR="008F369D" w:rsidRPr="00B055D4" w:rsidRDefault="00016F29" w:rsidP="008919D7">
            <w:pPr>
              <w:rPr>
                <w:sz w:val="18"/>
                <w:szCs w:val="18"/>
                <w:lang w:val="en-GB"/>
              </w:rPr>
            </w:pPr>
            <w:r w:rsidRPr="001F368C">
              <w:rPr>
                <w:sz w:val="18"/>
                <w:szCs w:val="18"/>
                <w:lang w:val="en-GB"/>
              </w:rPr>
              <w:t>d</w:t>
            </w:r>
            <w:r w:rsidRPr="00B055D4">
              <w:rPr>
                <w:sz w:val="18"/>
                <w:szCs w:val="18"/>
                <w:lang w:val="en-GB"/>
              </w:rPr>
              <w:t>ysgeusia</w:t>
            </w:r>
          </w:p>
        </w:tc>
        <w:tc>
          <w:tcPr>
            <w:tcW w:w="666" w:type="pct"/>
          </w:tcPr>
          <w:p w14:paraId="7C3312AA" w14:textId="77777777" w:rsidR="008F369D" w:rsidRPr="00B055D4" w:rsidRDefault="008F369D" w:rsidP="008919D7">
            <w:pPr>
              <w:rPr>
                <w:snapToGrid w:val="0"/>
                <w:sz w:val="18"/>
                <w:szCs w:val="18"/>
                <w:lang w:val="en-GB" w:eastAsia="en-US"/>
              </w:rPr>
            </w:pPr>
          </w:p>
        </w:tc>
        <w:tc>
          <w:tcPr>
            <w:tcW w:w="763" w:type="pct"/>
          </w:tcPr>
          <w:p w14:paraId="7C3312AB" w14:textId="77777777" w:rsidR="008F369D" w:rsidRPr="00B055D4" w:rsidRDefault="00016F29" w:rsidP="008919D7">
            <w:pPr>
              <w:rPr>
                <w:snapToGrid w:val="0"/>
                <w:sz w:val="18"/>
                <w:szCs w:val="18"/>
                <w:lang w:val="en-GB" w:eastAsia="en-US"/>
              </w:rPr>
            </w:pPr>
            <w:r w:rsidRPr="00B055D4">
              <w:rPr>
                <w:snapToGrid w:val="0"/>
                <w:sz w:val="18"/>
                <w:szCs w:val="18"/>
                <w:lang w:val="en-GB" w:eastAsia="en-US"/>
              </w:rPr>
              <w:t>peripheral neuropathy,</w:t>
            </w:r>
          </w:p>
          <w:p w14:paraId="7C3312AC" w14:textId="77777777" w:rsidR="008F369D" w:rsidRPr="00B055D4" w:rsidRDefault="00016F29" w:rsidP="008919D7">
            <w:pPr>
              <w:rPr>
                <w:snapToGrid w:val="0"/>
                <w:sz w:val="18"/>
                <w:szCs w:val="18"/>
                <w:lang w:val="en-GB" w:eastAsia="en-US"/>
              </w:rPr>
            </w:pPr>
            <w:r w:rsidRPr="00B055D4">
              <w:rPr>
                <w:snapToGrid w:val="0"/>
                <w:sz w:val="18"/>
                <w:szCs w:val="18"/>
                <w:lang w:val="en-GB" w:eastAsia="en-US"/>
              </w:rPr>
              <w:t>facial nerve palsy</w:t>
            </w:r>
            <w:r w:rsidRPr="00B055D4">
              <w:rPr>
                <w:snapToGrid w:val="0"/>
                <w:sz w:val="18"/>
                <w:szCs w:val="18"/>
                <w:vertAlign w:val="superscript"/>
                <w:lang w:val="en-GB" w:eastAsia="en-US"/>
              </w:rPr>
              <w:t>5</w:t>
            </w:r>
          </w:p>
        </w:tc>
        <w:tc>
          <w:tcPr>
            <w:tcW w:w="572" w:type="pct"/>
          </w:tcPr>
          <w:p w14:paraId="7C3312AD" w14:textId="77777777" w:rsidR="008F369D" w:rsidRPr="00B055D4" w:rsidRDefault="00016F29" w:rsidP="008919D7">
            <w:pPr>
              <w:rPr>
                <w:snapToGrid w:val="0"/>
                <w:sz w:val="18"/>
                <w:szCs w:val="18"/>
                <w:lang w:val="en-GB" w:eastAsia="en-US"/>
              </w:rPr>
            </w:pPr>
            <w:r w:rsidRPr="00B055D4">
              <w:rPr>
                <w:snapToGrid w:val="0"/>
                <w:sz w:val="18"/>
                <w:szCs w:val="18"/>
                <w:lang w:val="en-GB" w:eastAsia="en-US"/>
              </w:rPr>
              <w:t>cranial neuropathy,</w:t>
            </w:r>
          </w:p>
          <w:p w14:paraId="7C3312AE" w14:textId="77777777" w:rsidR="008F369D" w:rsidRPr="00B055D4" w:rsidRDefault="00016F29" w:rsidP="008919D7">
            <w:pPr>
              <w:rPr>
                <w:sz w:val="18"/>
                <w:szCs w:val="18"/>
                <w:lang w:val="en-GB"/>
              </w:rPr>
            </w:pPr>
            <w:r w:rsidRPr="00B055D4">
              <w:rPr>
                <w:snapToGrid w:val="0"/>
                <w:sz w:val="18"/>
                <w:szCs w:val="18"/>
                <w:lang w:val="en-GB" w:eastAsia="en-US"/>
              </w:rPr>
              <w:t>loss of other senses</w:t>
            </w:r>
            <w:r w:rsidRPr="00B055D4">
              <w:rPr>
                <w:snapToGrid w:val="0"/>
                <w:sz w:val="18"/>
                <w:szCs w:val="18"/>
                <w:vertAlign w:val="superscript"/>
                <w:lang w:val="en-GB" w:eastAsia="en-US"/>
              </w:rPr>
              <w:t>5</w:t>
            </w:r>
          </w:p>
        </w:tc>
      </w:tr>
      <w:tr w:rsidR="003A788B" w14:paraId="7C3312B7" w14:textId="77777777" w:rsidTr="00E06A78">
        <w:trPr>
          <w:cantSplit/>
        </w:trPr>
        <w:tc>
          <w:tcPr>
            <w:tcW w:w="662" w:type="pct"/>
          </w:tcPr>
          <w:p w14:paraId="7C3312B0" w14:textId="77777777" w:rsidR="008F369D" w:rsidRPr="00B055D4" w:rsidRDefault="00016F29" w:rsidP="008919D7">
            <w:pPr>
              <w:rPr>
                <w:sz w:val="18"/>
                <w:szCs w:val="18"/>
                <w:lang w:val="en-GB"/>
              </w:rPr>
            </w:pPr>
            <w:r w:rsidRPr="00B055D4">
              <w:rPr>
                <w:b/>
                <w:sz w:val="18"/>
                <w:szCs w:val="18"/>
                <w:lang w:val="en-GB"/>
              </w:rPr>
              <w:t>Eye disorders</w:t>
            </w:r>
          </w:p>
        </w:tc>
        <w:tc>
          <w:tcPr>
            <w:tcW w:w="701" w:type="pct"/>
          </w:tcPr>
          <w:p w14:paraId="7C3312B1" w14:textId="77777777" w:rsidR="008F369D" w:rsidRPr="00B055D4" w:rsidRDefault="008F369D" w:rsidP="008919D7">
            <w:pPr>
              <w:rPr>
                <w:sz w:val="18"/>
                <w:szCs w:val="18"/>
                <w:lang w:val="en-GB"/>
              </w:rPr>
            </w:pPr>
          </w:p>
        </w:tc>
        <w:tc>
          <w:tcPr>
            <w:tcW w:w="826" w:type="pct"/>
          </w:tcPr>
          <w:p w14:paraId="7C3312B2" w14:textId="77777777" w:rsidR="008F369D" w:rsidRPr="00B055D4" w:rsidRDefault="00016F29" w:rsidP="008919D7">
            <w:pPr>
              <w:rPr>
                <w:sz w:val="18"/>
                <w:szCs w:val="18"/>
                <w:lang w:val="en-GB"/>
              </w:rPr>
            </w:pPr>
            <w:r w:rsidRPr="00B055D4">
              <w:rPr>
                <w:sz w:val="18"/>
                <w:szCs w:val="18"/>
                <w:lang w:val="en-GB"/>
              </w:rPr>
              <w:t>lacrimation disorder, conjunctivitis</w:t>
            </w:r>
          </w:p>
        </w:tc>
        <w:tc>
          <w:tcPr>
            <w:tcW w:w="809" w:type="pct"/>
          </w:tcPr>
          <w:p w14:paraId="7C3312B3" w14:textId="77777777" w:rsidR="008F369D" w:rsidRPr="00B055D4" w:rsidRDefault="008F369D" w:rsidP="008919D7">
            <w:pPr>
              <w:rPr>
                <w:sz w:val="18"/>
                <w:szCs w:val="18"/>
                <w:lang w:val="en-GB"/>
              </w:rPr>
            </w:pPr>
          </w:p>
        </w:tc>
        <w:tc>
          <w:tcPr>
            <w:tcW w:w="666" w:type="pct"/>
          </w:tcPr>
          <w:p w14:paraId="7C3312B4" w14:textId="77777777" w:rsidR="008F369D" w:rsidRPr="00B055D4" w:rsidRDefault="008F369D" w:rsidP="008919D7">
            <w:pPr>
              <w:rPr>
                <w:snapToGrid w:val="0"/>
                <w:sz w:val="18"/>
                <w:szCs w:val="18"/>
                <w:lang w:val="en-GB" w:eastAsia="en-US"/>
              </w:rPr>
            </w:pPr>
          </w:p>
        </w:tc>
        <w:tc>
          <w:tcPr>
            <w:tcW w:w="763" w:type="pct"/>
          </w:tcPr>
          <w:p w14:paraId="7C3312B5" w14:textId="77777777" w:rsidR="008F369D" w:rsidRPr="00B055D4" w:rsidRDefault="00016F29" w:rsidP="008919D7">
            <w:pPr>
              <w:rPr>
                <w:snapToGrid w:val="0"/>
                <w:sz w:val="18"/>
                <w:szCs w:val="18"/>
                <w:lang w:val="en-GB" w:eastAsia="en-US"/>
              </w:rPr>
            </w:pPr>
            <w:r w:rsidRPr="00B055D4">
              <w:rPr>
                <w:snapToGrid w:val="0"/>
                <w:sz w:val="18"/>
                <w:szCs w:val="18"/>
                <w:lang w:val="en-GB" w:eastAsia="en-US"/>
              </w:rPr>
              <w:t>severe vision loss</w:t>
            </w:r>
            <w:r w:rsidRPr="00B055D4">
              <w:rPr>
                <w:snapToGrid w:val="0"/>
                <w:sz w:val="18"/>
                <w:szCs w:val="18"/>
                <w:vertAlign w:val="superscript"/>
                <w:lang w:val="en-GB" w:eastAsia="en-US"/>
              </w:rPr>
              <w:t>5</w:t>
            </w:r>
          </w:p>
        </w:tc>
        <w:tc>
          <w:tcPr>
            <w:tcW w:w="572" w:type="pct"/>
          </w:tcPr>
          <w:p w14:paraId="7C3312B6" w14:textId="77777777" w:rsidR="008F369D" w:rsidRPr="00B055D4" w:rsidRDefault="008F369D" w:rsidP="008919D7">
            <w:pPr>
              <w:rPr>
                <w:sz w:val="18"/>
                <w:szCs w:val="18"/>
                <w:lang w:val="en-GB"/>
              </w:rPr>
            </w:pPr>
          </w:p>
        </w:tc>
      </w:tr>
      <w:tr w:rsidR="003A788B" w14:paraId="7C3312BF" w14:textId="77777777" w:rsidTr="00E06A78">
        <w:trPr>
          <w:cantSplit/>
        </w:trPr>
        <w:tc>
          <w:tcPr>
            <w:tcW w:w="662" w:type="pct"/>
          </w:tcPr>
          <w:p w14:paraId="7C3312B8" w14:textId="77777777" w:rsidR="008F369D" w:rsidRPr="00B055D4" w:rsidRDefault="00016F29" w:rsidP="008919D7">
            <w:pPr>
              <w:rPr>
                <w:b/>
                <w:sz w:val="18"/>
                <w:szCs w:val="18"/>
                <w:lang w:val="en-GB"/>
              </w:rPr>
            </w:pPr>
            <w:r w:rsidRPr="00B055D4">
              <w:rPr>
                <w:b/>
                <w:sz w:val="18"/>
                <w:szCs w:val="18"/>
                <w:lang w:val="en-GB"/>
              </w:rPr>
              <w:t>Ear and labyrinth disorders</w:t>
            </w:r>
          </w:p>
        </w:tc>
        <w:tc>
          <w:tcPr>
            <w:tcW w:w="701" w:type="pct"/>
          </w:tcPr>
          <w:p w14:paraId="7C3312B9" w14:textId="77777777" w:rsidR="008F369D" w:rsidRPr="00B055D4" w:rsidRDefault="008F369D" w:rsidP="008919D7">
            <w:pPr>
              <w:rPr>
                <w:sz w:val="18"/>
                <w:szCs w:val="18"/>
                <w:lang w:val="en-GB"/>
              </w:rPr>
            </w:pPr>
          </w:p>
        </w:tc>
        <w:tc>
          <w:tcPr>
            <w:tcW w:w="826" w:type="pct"/>
          </w:tcPr>
          <w:p w14:paraId="7C3312BA" w14:textId="77777777" w:rsidR="008F369D" w:rsidRPr="00B055D4" w:rsidRDefault="00016F29" w:rsidP="008919D7">
            <w:pPr>
              <w:rPr>
                <w:sz w:val="18"/>
                <w:szCs w:val="18"/>
                <w:lang w:val="en-GB"/>
              </w:rPr>
            </w:pPr>
            <w:r w:rsidRPr="00B055D4">
              <w:rPr>
                <w:sz w:val="18"/>
                <w:szCs w:val="18"/>
                <w:lang w:val="en-GB"/>
              </w:rPr>
              <w:t>tinnitus, ear pain</w:t>
            </w:r>
          </w:p>
        </w:tc>
        <w:tc>
          <w:tcPr>
            <w:tcW w:w="809" w:type="pct"/>
          </w:tcPr>
          <w:p w14:paraId="7C3312BB" w14:textId="77777777" w:rsidR="008F369D" w:rsidRPr="00B055D4" w:rsidRDefault="008F369D" w:rsidP="008919D7">
            <w:pPr>
              <w:rPr>
                <w:sz w:val="18"/>
                <w:szCs w:val="18"/>
                <w:lang w:val="en-GB"/>
              </w:rPr>
            </w:pPr>
          </w:p>
        </w:tc>
        <w:tc>
          <w:tcPr>
            <w:tcW w:w="666" w:type="pct"/>
          </w:tcPr>
          <w:p w14:paraId="7C3312BC" w14:textId="77777777" w:rsidR="008F369D" w:rsidRPr="00B055D4" w:rsidRDefault="008F369D" w:rsidP="008919D7">
            <w:pPr>
              <w:rPr>
                <w:snapToGrid w:val="0"/>
                <w:sz w:val="18"/>
                <w:szCs w:val="18"/>
                <w:lang w:val="en-GB" w:eastAsia="en-US"/>
              </w:rPr>
            </w:pPr>
          </w:p>
        </w:tc>
        <w:tc>
          <w:tcPr>
            <w:tcW w:w="763" w:type="pct"/>
          </w:tcPr>
          <w:p w14:paraId="7C3312BD" w14:textId="77777777" w:rsidR="008F369D" w:rsidRPr="00B055D4" w:rsidRDefault="008F369D" w:rsidP="008919D7">
            <w:pPr>
              <w:rPr>
                <w:snapToGrid w:val="0"/>
                <w:sz w:val="18"/>
                <w:szCs w:val="18"/>
                <w:lang w:val="en-GB" w:eastAsia="en-US"/>
              </w:rPr>
            </w:pPr>
          </w:p>
        </w:tc>
        <w:tc>
          <w:tcPr>
            <w:tcW w:w="572" w:type="pct"/>
          </w:tcPr>
          <w:p w14:paraId="7C3312BE" w14:textId="77777777" w:rsidR="008F369D" w:rsidRPr="00B055D4" w:rsidRDefault="00016F29" w:rsidP="008919D7">
            <w:pPr>
              <w:rPr>
                <w:sz w:val="18"/>
                <w:szCs w:val="18"/>
                <w:lang w:val="en-GB"/>
              </w:rPr>
            </w:pPr>
            <w:r w:rsidRPr="00B055D4">
              <w:rPr>
                <w:snapToGrid w:val="0"/>
                <w:sz w:val="18"/>
                <w:szCs w:val="18"/>
                <w:lang w:val="en-GB" w:eastAsia="en-US"/>
              </w:rPr>
              <w:t>hearing loss</w:t>
            </w:r>
            <w:r w:rsidRPr="00B055D4">
              <w:rPr>
                <w:snapToGrid w:val="0"/>
                <w:sz w:val="18"/>
                <w:szCs w:val="18"/>
                <w:vertAlign w:val="superscript"/>
                <w:lang w:val="en-GB" w:eastAsia="en-US"/>
              </w:rPr>
              <w:t>5</w:t>
            </w:r>
          </w:p>
        </w:tc>
      </w:tr>
      <w:tr w:rsidR="003A788B" w14:paraId="7C3312C7" w14:textId="77777777" w:rsidTr="00E06A78">
        <w:trPr>
          <w:cantSplit/>
        </w:trPr>
        <w:tc>
          <w:tcPr>
            <w:tcW w:w="662" w:type="pct"/>
          </w:tcPr>
          <w:p w14:paraId="7C3312C0" w14:textId="77777777" w:rsidR="008F369D" w:rsidRPr="00B055D4" w:rsidRDefault="00016F29" w:rsidP="008919D7">
            <w:pPr>
              <w:rPr>
                <w:b/>
                <w:sz w:val="18"/>
                <w:szCs w:val="18"/>
                <w:lang w:val="en-GB"/>
              </w:rPr>
            </w:pPr>
            <w:r w:rsidRPr="00B055D4">
              <w:rPr>
                <w:b/>
                <w:sz w:val="18"/>
                <w:szCs w:val="18"/>
                <w:lang w:val="en-GB"/>
              </w:rPr>
              <w:t>Cardiac disorders</w:t>
            </w:r>
          </w:p>
        </w:tc>
        <w:tc>
          <w:tcPr>
            <w:tcW w:w="701" w:type="pct"/>
          </w:tcPr>
          <w:p w14:paraId="7C3312C1" w14:textId="77777777" w:rsidR="008F369D" w:rsidRPr="00B055D4" w:rsidRDefault="008F369D" w:rsidP="008919D7">
            <w:pPr>
              <w:rPr>
                <w:sz w:val="18"/>
                <w:szCs w:val="18"/>
                <w:lang w:val="en-GB"/>
              </w:rPr>
            </w:pPr>
          </w:p>
        </w:tc>
        <w:tc>
          <w:tcPr>
            <w:tcW w:w="826" w:type="pct"/>
          </w:tcPr>
          <w:p w14:paraId="7C3312C2" w14:textId="77777777" w:rsidR="008F369D" w:rsidRPr="00B055D4" w:rsidRDefault="00016F29" w:rsidP="008919D7">
            <w:pPr>
              <w:rPr>
                <w:sz w:val="18"/>
                <w:szCs w:val="18"/>
                <w:lang w:val="en-GB"/>
              </w:rPr>
            </w:pPr>
            <w:r w:rsidRPr="00B055D4">
              <w:rPr>
                <w:sz w:val="18"/>
                <w:szCs w:val="18"/>
                <w:vertAlign w:val="superscript"/>
                <w:lang w:val="en-GB"/>
              </w:rPr>
              <w:t>+</w:t>
            </w:r>
            <w:r w:rsidRPr="00B055D4">
              <w:rPr>
                <w:sz w:val="18"/>
                <w:szCs w:val="18"/>
                <w:lang w:val="en-GB"/>
              </w:rPr>
              <w:t>myocardial infarction</w:t>
            </w:r>
            <w:r w:rsidRPr="00B055D4">
              <w:rPr>
                <w:snapToGrid w:val="0"/>
                <w:sz w:val="18"/>
                <w:szCs w:val="18"/>
                <w:vertAlign w:val="superscript"/>
                <w:lang w:val="en-GB" w:eastAsia="en-US"/>
              </w:rPr>
              <w:t>4 and 6</w:t>
            </w:r>
            <w:r w:rsidRPr="00B055D4">
              <w:rPr>
                <w:sz w:val="18"/>
                <w:szCs w:val="18"/>
                <w:lang w:val="en-GB"/>
              </w:rPr>
              <w:t xml:space="preserve">, arrhythmia, </w:t>
            </w:r>
            <w:r w:rsidRPr="00B055D4">
              <w:rPr>
                <w:sz w:val="18"/>
                <w:szCs w:val="18"/>
                <w:vertAlign w:val="superscript"/>
                <w:lang w:val="en-GB"/>
              </w:rPr>
              <w:t>+</w:t>
            </w:r>
            <w:r w:rsidRPr="00B055D4">
              <w:rPr>
                <w:sz w:val="18"/>
                <w:szCs w:val="18"/>
                <w:lang w:val="en-GB"/>
              </w:rPr>
              <w:t xml:space="preserve">atrial fibrillation, tachycardia, </w:t>
            </w:r>
            <w:r w:rsidRPr="00B055D4">
              <w:rPr>
                <w:sz w:val="18"/>
                <w:szCs w:val="18"/>
                <w:vertAlign w:val="superscript"/>
                <w:lang w:val="en-GB"/>
              </w:rPr>
              <w:t>+</w:t>
            </w:r>
            <w:r w:rsidRPr="00B055D4">
              <w:rPr>
                <w:sz w:val="18"/>
                <w:szCs w:val="18"/>
                <w:lang w:val="en-GB"/>
              </w:rPr>
              <w:t>cardiac disorder</w:t>
            </w:r>
          </w:p>
        </w:tc>
        <w:tc>
          <w:tcPr>
            <w:tcW w:w="809" w:type="pct"/>
          </w:tcPr>
          <w:p w14:paraId="7C3312C3" w14:textId="77777777" w:rsidR="008F369D" w:rsidRPr="00B055D4" w:rsidRDefault="00016F29" w:rsidP="008919D7">
            <w:pPr>
              <w:rPr>
                <w:sz w:val="18"/>
                <w:szCs w:val="18"/>
                <w:lang w:val="en-GB"/>
              </w:rPr>
            </w:pPr>
            <w:r w:rsidRPr="00B055D4">
              <w:rPr>
                <w:sz w:val="18"/>
                <w:szCs w:val="18"/>
                <w:vertAlign w:val="superscript"/>
                <w:lang w:val="en-GB"/>
              </w:rPr>
              <w:t>+</w:t>
            </w:r>
            <w:r w:rsidRPr="00B055D4">
              <w:rPr>
                <w:sz w:val="18"/>
                <w:szCs w:val="18"/>
                <w:lang w:val="en-GB"/>
              </w:rPr>
              <w:t xml:space="preserve">left ventricular failure, </w:t>
            </w:r>
            <w:r w:rsidRPr="00B055D4">
              <w:rPr>
                <w:sz w:val="18"/>
                <w:szCs w:val="18"/>
                <w:vertAlign w:val="superscript"/>
                <w:lang w:val="en-GB"/>
              </w:rPr>
              <w:t>+</w:t>
            </w:r>
            <w:r w:rsidRPr="00B055D4">
              <w:rPr>
                <w:sz w:val="18"/>
                <w:szCs w:val="18"/>
                <w:lang w:val="en-GB"/>
              </w:rPr>
              <w:t xml:space="preserve">supraventricular tachycardia,  </w:t>
            </w:r>
            <w:r w:rsidRPr="00B055D4">
              <w:rPr>
                <w:sz w:val="18"/>
                <w:szCs w:val="18"/>
                <w:vertAlign w:val="superscript"/>
                <w:lang w:val="en-GB"/>
              </w:rPr>
              <w:t>+</w:t>
            </w:r>
            <w:r w:rsidRPr="00B055D4">
              <w:rPr>
                <w:sz w:val="18"/>
                <w:szCs w:val="18"/>
                <w:lang w:val="en-GB"/>
              </w:rPr>
              <w:t xml:space="preserve">ventricular tachycardia,  </w:t>
            </w:r>
            <w:r w:rsidRPr="00B055D4">
              <w:rPr>
                <w:sz w:val="18"/>
                <w:szCs w:val="18"/>
                <w:vertAlign w:val="superscript"/>
                <w:lang w:val="en-GB"/>
              </w:rPr>
              <w:t>+</w:t>
            </w:r>
            <w:r w:rsidRPr="00B055D4">
              <w:rPr>
                <w:sz w:val="18"/>
                <w:szCs w:val="18"/>
                <w:lang w:val="en-GB"/>
              </w:rPr>
              <w:t xml:space="preserve">angina,  </w:t>
            </w:r>
            <w:r w:rsidRPr="00B055D4">
              <w:rPr>
                <w:sz w:val="18"/>
                <w:szCs w:val="18"/>
                <w:vertAlign w:val="superscript"/>
                <w:lang w:val="en-GB"/>
              </w:rPr>
              <w:t>+</w:t>
            </w:r>
            <w:r w:rsidRPr="00B055D4">
              <w:rPr>
                <w:sz w:val="18"/>
                <w:szCs w:val="18"/>
                <w:lang w:val="en-GB"/>
              </w:rPr>
              <w:t>myocardial ischaemia, bradycardia</w:t>
            </w:r>
          </w:p>
        </w:tc>
        <w:tc>
          <w:tcPr>
            <w:tcW w:w="666" w:type="pct"/>
          </w:tcPr>
          <w:p w14:paraId="7C3312C4" w14:textId="77777777" w:rsidR="008F369D" w:rsidRPr="00B055D4" w:rsidRDefault="00016F29" w:rsidP="008919D7">
            <w:pPr>
              <w:rPr>
                <w:sz w:val="18"/>
                <w:szCs w:val="18"/>
                <w:lang w:val="en-GB"/>
              </w:rPr>
            </w:pPr>
            <w:r w:rsidRPr="00B055D4">
              <w:rPr>
                <w:sz w:val="18"/>
                <w:szCs w:val="18"/>
                <w:lang w:val="en-GB"/>
              </w:rPr>
              <w:t xml:space="preserve">severe cardiac </w:t>
            </w:r>
            <w:r>
              <w:rPr>
                <w:sz w:val="18"/>
                <w:szCs w:val="18"/>
                <w:lang w:val="en-GB"/>
              </w:rPr>
              <w:t>disorder</w:t>
            </w:r>
            <w:r w:rsidRPr="00B055D4">
              <w:rPr>
                <w:sz w:val="18"/>
                <w:szCs w:val="18"/>
                <w:lang w:val="en-GB"/>
              </w:rPr>
              <w:t xml:space="preserve">s </w:t>
            </w:r>
            <w:r w:rsidRPr="00B055D4">
              <w:rPr>
                <w:snapToGrid w:val="0"/>
                <w:sz w:val="18"/>
                <w:szCs w:val="18"/>
                <w:vertAlign w:val="superscript"/>
                <w:lang w:val="en-GB" w:eastAsia="en-US"/>
              </w:rPr>
              <w:t>4 and 6</w:t>
            </w:r>
          </w:p>
        </w:tc>
        <w:tc>
          <w:tcPr>
            <w:tcW w:w="763" w:type="pct"/>
          </w:tcPr>
          <w:p w14:paraId="7C3312C5" w14:textId="77777777" w:rsidR="008F369D" w:rsidRPr="00B055D4" w:rsidRDefault="00016F29" w:rsidP="008919D7">
            <w:pPr>
              <w:rPr>
                <w:sz w:val="18"/>
                <w:szCs w:val="18"/>
                <w:lang w:val="en-GB"/>
              </w:rPr>
            </w:pPr>
            <w:r w:rsidRPr="00B055D4">
              <w:rPr>
                <w:sz w:val="18"/>
                <w:szCs w:val="18"/>
                <w:lang w:val="en-GB"/>
              </w:rPr>
              <w:t>heart failure</w:t>
            </w:r>
            <w:r w:rsidRPr="00B055D4">
              <w:rPr>
                <w:snapToGrid w:val="0"/>
                <w:sz w:val="18"/>
                <w:szCs w:val="18"/>
                <w:vertAlign w:val="superscript"/>
                <w:lang w:val="en-GB" w:eastAsia="en-US"/>
              </w:rPr>
              <w:t>4 and 6</w:t>
            </w:r>
          </w:p>
        </w:tc>
        <w:tc>
          <w:tcPr>
            <w:tcW w:w="572" w:type="pct"/>
          </w:tcPr>
          <w:p w14:paraId="7C3312C6" w14:textId="77777777" w:rsidR="008F369D" w:rsidRPr="00B055D4" w:rsidRDefault="008F369D" w:rsidP="008919D7">
            <w:pPr>
              <w:rPr>
                <w:sz w:val="18"/>
                <w:szCs w:val="18"/>
                <w:lang w:val="en-GB"/>
              </w:rPr>
            </w:pPr>
          </w:p>
        </w:tc>
      </w:tr>
      <w:tr w:rsidR="003A788B" w14:paraId="7C3312D0" w14:textId="77777777" w:rsidTr="00E06A78">
        <w:trPr>
          <w:cantSplit/>
        </w:trPr>
        <w:tc>
          <w:tcPr>
            <w:tcW w:w="662" w:type="pct"/>
          </w:tcPr>
          <w:p w14:paraId="7C3312C8" w14:textId="77777777" w:rsidR="008F369D" w:rsidRPr="00B055D4" w:rsidRDefault="00016F29" w:rsidP="008919D7">
            <w:pPr>
              <w:rPr>
                <w:b/>
                <w:sz w:val="18"/>
                <w:szCs w:val="18"/>
                <w:lang w:val="en-GB"/>
              </w:rPr>
            </w:pPr>
            <w:r w:rsidRPr="00B055D4">
              <w:rPr>
                <w:b/>
                <w:sz w:val="18"/>
                <w:szCs w:val="18"/>
                <w:lang w:val="en-GB"/>
              </w:rPr>
              <w:t>Vascular disorders</w:t>
            </w:r>
          </w:p>
        </w:tc>
        <w:tc>
          <w:tcPr>
            <w:tcW w:w="701" w:type="pct"/>
          </w:tcPr>
          <w:p w14:paraId="7C3312C9" w14:textId="77777777" w:rsidR="008F369D" w:rsidRPr="00B055D4" w:rsidRDefault="008F369D" w:rsidP="008919D7">
            <w:pPr>
              <w:rPr>
                <w:sz w:val="18"/>
                <w:szCs w:val="18"/>
                <w:lang w:val="en-GB"/>
              </w:rPr>
            </w:pPr>
          </w:p>
        </w:tc>
        <w:tc>
          <w:tcPr>
            <w:tcW w:w="826" w:type="pct"/>
          </w:tcPr>
          <w:p w14:paraId="7C3312CA" w14:textId="77777777" w:rsidR="008F369D" w:rsidRPr="00B055D4" w:rsidRDefault="00016F29" w:rsidP="008919D7">
            <w:pPr>
              <w:pStyle w:val="TextTi10"/>
              <w:keepNext/>
              <w:rPr>
                <w:sz w:val="18"/>
                <w:szCs w:val="18"/>
                <w:lang w:val="en-GB"/>
              </w:rPr>
            </w:pPr>
            <w:r w:rsidRPr="00B055D4">
              <w:rPr>
                <w:sz w:val="18"/>
                <w:szCs w:val="18"/>
                <w:lang w:val="en-GB"/>
              </w:rPr>
              <w:t>hypertension, orthostatic hypotension, hypotension</w:t>
            </w:r>
            <w:r w:rsidRPr="00B055D4">
              <w:rPr>
                <w:sz w:val="18"/>
                <w:szCs w:val="18"/>
                <w:vertAlign w:val="superscript"/>
                <w:lang w:val="en-GB"/>
              </w:rPr>
              <w:t xml:space="preserve"> </w:t>
            </w:r>
          </w:p>
        </w:tc>
        <w:tc>
          <w:tcPr>
            <w:tcW w:w="809" w:type="pct"/>
          </w:tcPr>
          <w:p w14:paraId="7C3312CB" w14:textId="77777777" w:rsidR="008F369D" w:rsidRPr="00B055D4" w:rsidRDefault="008F369D" w:rsidP="008919D7">
            <w:pPr>
              <w:rPr>
                <w:sz w:val="18"/>
                <w:szCs w:val="18"/>
                <w:lang w:val="en-GB"/>
              </w:rPr>
            </w:pPr>
          </w:p>
        </w:tc>
        <w:tc>
          <w:tcPr>
            <w:tcW w:w="666" w:type="pct"/>
          </w:tcPr>
          <w:p w14:paraId="7C3312CC" w14:textId="77777777" w:rsidR="008F369D" w:rsidRPr="00B055D4" w:rsidRDefault="008F369D" w:rsidP="008919D7">
            <w:pPr>
              <w:rPr>
                <w:snapToGrid w:val="0"/>
                <w:sz w:val="18"/>
                <w:szCs w:val="18"/>
                <w:lang w:val="en-GB" w:eastAsia="en-US"/>
              </w:rPr>
            </w:pPr>
          </w:p>
        </w:tc>
        <w:tc>
          <w:tcPr>
            <w:tcW w:w="763" w:type="pct"/>
          </w:tcPr>
          <w:p w14:paraId="7C3312CD" w14:textId="77777777" w:rsidR="008F369D" w:rsidRPr="00B055D4" w:rsidRDefault="00016F29" w:rsidP="008919D7">
            <w:pPr>
              <w:rPr>
                <w:snapToGrid w:val="0"/>
                <w:sz w:val="18"/>
                <w:szCs w:val="18"/>
                <w:lang w:val="en-GB" w:eastAsia="en-US"/>
              </w:rPr>
            </w:pPr>
            <w:r w:rsidRPr="00B055D4">
              <w:rPr>
                <w:snapToGrid w:val="0"/>
                <w:sz w:val="18"/>
                <w:szCs w:val="18"/>
                <w:lang w:val="en-GB" w:eastAsia="en-US"/>
              </w:rPr>
              <w:t>vasculitis (predominately cutaneous),</w:t>
            </w:r>
          </w:p>
          <w:p w14:paraId="7C3312CE" w14:textId="77777777" w:rsidR="008F369D" w:rsidRPr="00B055D4" w:rsidRDefault="00016F29" w:rsidP="008919D7">
            <w:pPr>
              <w:rPr>
                <w:snapToGrid w:val="0"/>
                <w:sz w:val="18"/>
                <w:szCs w:val="18"/>
                <w:lang w:val="en-GB" w:eastAsia="en-US"/>
              </w:rPr>
            </w:pPr>
            <w:r w:rsidRPr="00B055D4">
              <w:rPr>
                <w:snapToGrid w:val="0"/>
                <w:sz w:val="18"/>
                <w:szCs w:val="18"/>
                <w:lang w:val="en-GB" w:eastAsia="en-US"/>
              </w:rPr>
              <w:t>leukocytoclastic vasculitis</w:t>
            </w:r>
          </w:p>
        </w:tc>
        <w:tc>
          <w:tcPr>
            <w:tcW w:w="572" w:type="pct"/>
          </w:tcPr>
          <w:p w14:paraId="7C3312CF" w14:textId="77777777" w:rsidR="008F369D" w:rsidRPr="00B055D4" w:rsidRDefault="008F369D" w:rsidP="008919D7">
            <w:pPr>
              <w:rPr>
                <w:sz w:val="18"/>
                <w:szCs w:val="18"/>
                <w:lang w:val="en-GB"/>
              </w:rPr>
            </w:pPr>
          </w:p>
        </w:tc>
      </w:tr>
      <w:tr w:rsidR="003A788B" w14:paraId="7C3312D9" w14:textId="77777777" w:rsidTr="00E06A78">
        <w:trPr>
          <w:cantSplit/>
        </w:trPr>
        <w:tc>
          <w:tcPr>
            <w:tcW w:w="662" w:type="pct"/>
          </w:tcPr>
          <w:p w14:paraId="7C3312D1" w14:textId="77777777" w:rsidR="008F369D" w:rsidRPr="00B055D4" w:rsidRDefault="00016F29" w:rsidP="008919D7">
            <w:pPr>
              <w:rPr>
                <w:b/>
                <w:sz w:val="18"/>
                <w:szCs w:val="18"/>
                <w:lang w:val="en-GB"/>
              </w:rPr>
            </w:pPr>
            <w:r w:rsidRPr="00B055D4">
              <w:rPr>
                <w:b/>
                <w:sz w:val="18"/>
                <w:szCs w:val="18"/>
                <w:lang w:val="en-GB"/>
              </w:rPr>
              <w:t>Respiratory, thoracic and mediastinal disorders</w:t>
            </w:r>
          </w:p>
        </w:tc>
        <w:tc>
          <w:tcPr>
            <w:tcW w:w="701" w:type="pct"/>
          </w:tcPr>
          <w:p w14:paraId="7C3312D2" w14:textId="77777777" w:rsidR="008F369D" w:rsidRPr="00B055D4" w:rsidRDefault="008F369D" w:rsidP="008919D7">
            <w:pPr>
              <w:rPr>
                <w:sz w:val="18"/>
                <w:szCs w:val="18"/>
                <w:lang w:val="en-GB"/>
              </w:rPr>
            </w:pPr>
          </w:p>
        </w:tc>
        <w:tc>
          <w:tcPr>
            <w:tcW w:w="826" w:type="pct"/>
          </w:tcPr>
          <w:p w14:paraId="7C3312D3" w14:textId="77777777" w:rsidR="008F369D" w:rsidRPr="00B055D4" w:rsidRDefault="00016F29" w:rsidP="008919D7">
            <w:pPr>
              <w:pStyle w:val="TextTi10"/>
              <w:keepNext/>
              <w:rPr>
                <w:sz w:val="18"/>
                <w:szCs w:val="18"/>
                <w:lang w:val="en-GB"/>
              </w:rPr>
            </w:pPr>
            <w:r w:rsidRPr="00B055D4">
              <w:rPr>
                <w:sz w:val="18"/>
                <w:szCs w:val="18"/>
                <w:lang w:val="en-GB"/>
              </w:rPr>
              <w:t>Bronchospasm</w:t>
            </w:r>
            <w:r w:rsidRPr="00B055D4">
              <w:rPr>
                <w:snapToGrid w:val="0"/>
                <w:sz w:val="18"/>
                <w:szCs w:val="18"/>
                <w:vertAlign w:val="superscript"/>
                <w:lang w:val="en-GB" w:eastAsia="en-US"/>
              </w:rPr>
              <w:t>4</w:t>
            </w:r>
            <w:r w:rsidRPr="00B055D4">
              <w:rPr>
                <w:sz w:val="18"/>
                <w:szCs w:val="18"/>
                <w:lang w:val="en-GB"/>
              </w:rPr>
              <w:t>, respiratory disease, chest pain, dyspnoea, increased cough, rhinitis</w:t>
            </w:r>
          </w:p>
        </w:tc>
        <w:tc>
          <w:tcPr>
            <w:tcW w:w="809" w:type="pct"/>
          </w:tcPr>
          <w:p w14:paraId="7C3312D4" w14:textId="77777777" w:rsidR="008F369D" w:rsidRPr="00B055D4" w:rsidRDefault="00016F29" w:rsidP="008919D7">
            <w:pPr>
              <w:rPr>
                <w:sz w:val="18"/>
                <w:szCs w:val="18"/>
                <w:lang w:val="en-GB"/>
              </w:rPr>
            </w:pPr>
            <w:r w:rsidRPr="00B055D4">
              <w:rPr>
                <w:sz w:val="18"/>
                <w:szCs w:val="18"/>
                <w:lang w:val="en-GB"/>
              </w:rPr>
              <w:t>asthma, bronchiolitis obliterans, lung disorder, hypoxia</w:t>
            </w:r>
          </w:p>
        </w:tc>
        <w:tc>
          <w:tcPr>
            <w:tcW w:w="666" w:type="pct"/>
          </w:tcPr>
          <w:p w14:paraId="7C3312D5" w14:textId="77777777" w:rsidR="008F369D" w:rsidRPr="00B055D4" w:rsidRDefault="00016F29" w:rsidP="008919D7">
            <w:pPr>
              <w:rPr>
                <w:snapToGrid w:val="0"/>
                <w:sz w:val="18"/>
                <w:szCs w:val="18"/>
                <w:lang w:val="en-GB" w:eastAsia="en-US"/>
              </w:rPr>
            </w:pPr>
            <w:r w:rsidRPr="00B055D4">
              <w:rPr>
                <w:snapToGrid w:val="0"/>
                <w:sz w:val="18"/>
                <w:szCs w:val="18"/>
                <w:lang w:val="en-GB" w:eastAsia="en-US"/>
              </w:rPr>
              <w:t>interstitial lung disease</w:t>
            </w:r>
            <w:r w:rsidRPr="00B055D4">
              <w:rPr>
                <w:snapToGrid w:val="0"/>
                <w:sz w:val="18"/>
                <w:szCs w:val="18"/>
                <w:vertAlign w:val="superscript"/>
                <w:lang w:val="en-GB" w:eastAsia="en-US"/>
              </w:rPr>
              <w:t>7</w:t>
            </w:r>
          </w:p>
        </w:tc>
        <w:tc>
          <w:tcPr>
            <w:tcW w:w="763" w:type="pct"/>
          </w:tcPr>
          <w:p w14:paraId="7C3312D6" w14:textId="77777777" w:rsidR="008F369D" w:rsidRPr="00B055D4" w:rsidRDefault="00016F29" w:rsidP="008919D7">
            <w:pPr>
              <w:rPr>
                <w:snapToGrid w:val="0"/>
                <w:sz w:val="18"/>
                <w:szCs w:val="18"/>
                <w:lang w:val="en-GB" w:eastAsia="en-US"/>
              </w:rPr>
            </w:pPr>
            <w:r w:rsidRPr="00B055D4">
              <w:rPr>
                <w:snapToGrid w:val="0"/>
                <w:sz w:val="18"/>
                <w:szCs w:val="18"/>
                <w:lang w:val="en-GB" w:eastAsia="en-US"/>
              </w:rPr>
              <w:t>respiratory failure</w:t>
            </w:r>
            <w:r w:rsidRPr="00B055D4">
              <w:rPr>
                <w:snapToGrid w:val="0"/>
                <w:sz w:val="18"/>
                <w:szCs w:val="18"/>
                <w:vertAlign w:val="superscript"/>
                <w:lang w:val="en-GB" w:eastAsia="en-US"/>
              </w:rPr>
              <w:t>4</w:t>
            </w:r>
          </w:p>
          <w:p w14:paraId="7C3312D7" w14:textId="77777777" w:rsidR="008F369D" w:rsidRPr="00B055D4" w:rsidRDefault="008F369D" w:rsidP="008919D7">
            <w:pPr>
              <w:rPr>
                <w:snapToGrid w:val="0"/>
                <w:sz w:val="18"/>
                <w:szCs w:val="18"/>
                <w:lang w:val="en-GB" w:eastAsia="en-US"/>
              </w:rPr>
            </w:pPr>
          </w:p>
        </w:tc>
        <w:tc>
          <w:tcPr>
            <w:tcW w:w="572" w:type="pct"/>
          </w:tcPr>
          <w:p w14:paraId="7C3312D8" w14:textId="77777777" w:rsidR="008F369D" w:rsidRPr="00B055D4" w:rsidRDefault="00016F29" w:rsidP="008919D7">
            <w:pPr>
              <w:rPr>
                <w:sz w:val="18"/>
                <w:szCs w:val="18"/>
                <w:lang w:val="en-GB"/>
              </w:rPr>
            </w:pPr>
            <w:r w:rsidRPr="00B055D4">
              <w:rPr>
                <w:sz w:val="18"/>
                <w:szCs w:val="18"/>
                <w:lang w:val="en-GB"/>
              </w:rPr>
              <w:t>lung infiltration</w:t>
            </w:r>
            <w:r w:rsidRPr="00B055D4">
              <w:rPr>
                <w:snapToGrid w:val="0"/>
                <w:sz w:val="18"/>
                <w:szCs w:val="18"/>
                <w:lang w:val="en-GB" w:eastAsia="en-US"/>
              </w:rPr>
              <w:t xml:space="preserve"> </w:t>
            </w:r>
          </w:p>
        </w:tc>
      </w:tr>
      <w:tr w:rsidR="003A788B" w14:paraId="7C3312E1" w14:textId="77777777" w:rsidTr="00E06A78">
        <w:trPr>
          <w:cantSplit/>
        </w:trPr>
        <w:tc>
          <w:tcPr>
            <w:tcW w:w="662" w:type="pct"/>
          </w:tcPr>
          <w:p w14:paraId="7C3312DA" w14:textId="77777777" w:rsidR="008F369D" w:rsidRPr="00B055D4" w:rsidRDefault="00016F29" w:rsidP="008919D7">
            <w:pPr>
              <w:rPr>
                <w:b/>
                <w:sz w:val="18"/>
                <w:szCs w:val="18"/>
                <w:lang w:val="en-GB"/>
              </w:rPr>
            </w:pPr>
            <w:r w:rsidRPr="00B055D4">
              <w:rPr>
                <w:b/>
                <w:sz w:val="18"/>
                <w:szCs w:val="18"/>
                <w:lang w:val="en-GB"/>
              </w:rPr>
              <w:t>Gastrointestinal disorders</w:t>
            </w:r>
          </w:p>
        </w:tc>
        <w:tc>
          <w:tcPr>
            <w:tcW w:w="701" w:type="pct"/>
          </w:tcPr>
          <w:p w14:paraId="7C3312DB" w14:textId="77777777" w:rsidR="008F369D" w:rsidRPr="00B055D4" w:rsidRDefault="00016F29" w:rsidP="008919D7">
            <w:pPr>
              <w:pStyle w:val="TextTi10"/>
              <w:keepNext/>
              <w:rPr>
                <w:sz w:val="18"/>
                <w:szCs w:val="18"/>
                <w:lang w:val="en-GB"/>
              </w:rPr>
            </w:pPr>
            <w:r w:rsidRPr="00B055D4">
              <w:rPr>
                <w:sz w:val="18"/>
                <w:szCs w:val="18"/>
                <w:lang w:val="en-GB"/>
              </w:rPr>
              <w:t>nausea</w:t>
            </w:r>
            <w:r w:rsidRPr="00B055D4">
              <w:rPr>
                <w:sz w:val="18"/>
                <w:szCs w:val="18"/>
                <w:vertAlign w:val="superscript"/>
                <w:lang w:val="en-GB"/>
              </w:rPr>
              <w:t xml:space="preserve"> </w:t>
            </w:r>
          </w:p>
        </w:tc>
        <w:tc>
          <w:tcPr>
            <w:tcW w:w="826" w:type="pct"/>
          </w:tcPr>
          <w:p w14:paraId="7C3312DC" w14:textId="77777777" w:rsidR="008F369D" w:rsidRPr="00B055D4" w:rsidRDefault="00016F29" w:rsidP="008919D7">
            <w:pPr>
              <w:pStyle w:val="TextTi10"/>
              <w:keepNext/>
              <w:rPr>
                <w:sz w:val="18"/>
                <w:szCs w:val="18"/>
                <w:lang w:val="en-GB"/>
              </w:rPr>
            </w:pPr>
            <w:r w:rsidRPr="00B055D4">
              <w:rPr>
                <w:sz w:val="18"/>
                <w:szCs w:val="18"/>
                <w:lang w:val="en-GB"/>
              </w:rPr>
              <w:t>vomiting, diarrhoea, abdominal pain, dysphagia, stomatitis, constipation, dyspepsia, anorexia, throat irritation</w:t>
            </w:r>
          </w:p>
        </w:tc>
        <w:tc>
          <w:tcPr>
            <w:tcW w:w="809" w:type="pct"/>
          </w:tcPr>
          <w:p w14:paraId="7C3312DD" w14:textId="77777777" w:rsidR="008F369D" w:rsidRPr="00B055D4" w:rsidRDefault="00016F29" w:rsidP="008919D7">
            <w:pPr>
              <w:rPr>
                <w:sz w:val="18"/>
                <w:szCs w:val="18"/>
                <w:lang w:val="en-GB"/>
              </w:rPr>
            </w:pPr>
            <w:r w:rsidRPr="00B055D4">
              <w:rPr>
                <w:sz w:val="18"/>
                <w:szCs w:val="18"/>
                <w:lang w:val="en-GB"/>
              </w:rPr>
              <w:t>abdominal enlargement</w:t>
            </w:r>
          </w:p>
        </w:tc>
        <w:tc>
          <w:tcPr>
            <w:tcW w:w="666" w:type="pct"/>
          </w:tcPr>
          <w:p w14:paraId="7C3312DE" w14:textId="77777777" w:rsidR="008F369D" w:rsidRPr="00B055D4" w:rsidRDefault="008F369D" w:rsidP="008919D7">
            <w:pPr>
              <w:rPr>
                <w:snapToGrid w:val="0"/>
                <w:sz w:val="18"/>
                <w:szCs w:val="18"/>
                <w:lang w:val="en-GB" w:eastAsia="en-US"/>
              </w:rPr>
            </w:pPr>
          </w:p>
        </w:tc>
        <w:tc>
          <w:tcPr>
            <w:tcW w:w="763" w:type="pct"/>
          </w:tcPr>
          <w:p w14:paraId="7C3312DF" w14:textId="77777777" w:rsidR="008F369D" w:rsidRPr="005B5A38" w:rsidRDefault="00016F29" w:rsidP="008919D7">
            <w:pPr>
              <w:rPr>
                <w:snapToGrid w:val="0"/>
                <w:sz w:val="18"/>
                <w:szCs w:val="18"/>
                <w:lang w:val="en-GB" w:eastAsia="en-US"/>
              </w:rPr>
            </w:pPr>
            <w:r w:rsidRPr="005B5A38">
              <w:rPr>
                <w:snapToGrid w:val="0"/>
                <w:sz w:val="18"/>
                <w:szCs w:val="18"/>
                <w:lang w:val="en-GB" w:eastAsia="en-US"/>
              </w:rPr>
              <w:t>gastro</w:t>
            </w:r>
            <w:r w:rsidR="000A6DDA" w:rsidRPr="005B5A38">
              <w:rPr>
                <w:snapToGrid w:val="0"/>
                <w:sz w:val="18"/>
                <w:szCs w:val="18"/>
                <w:lang w:val="en-GB" w:eastAsia="en-US"/>
              </w:rPr>
              <w:noBreakHyphen/>
            </w:r>
            <w:r w:rsidRPr="005B5A38">
              <w:rPr>
                <w:snapToGrid w:val="0"/>
                <w:sz w:val="18"/>
                <w:szCs w:val="18"/>
                <w:lang w:val="en-GB" w:eastAsia="en-US"/>
              </w:rPr>
              <w:t>intestinal perforation</w:t>
            </w:r>
            <w:r w:rsidRPr="005B5A38">
              <w:rPr>
                <w:snapToGrid w:val="0"/>
                <w:sz w:val="18"/>
                <w:szCs w:val="18"/>
                <w:vertAlign w:val="superscript"/>
                <w:lang w:val="en-GB" w:eastAsia="en-US"/>
              </w:rPr>
              <w:t>7</w:t>
            </w:r>
          </w:p>
        </w:tc>
        <w:tc>
          <w:tcPr>
            <w:tcW w:w="572" w:type="pct"/>
          </w:tcPr>
          <w:p w14:paraId="7C3312E0" w14:textId="77777777" w:rsidR="008F369D" w:rsidRPr="00B055D4" w:rsidRDefault="008F369D" w:rsidP="008919D7">
            <w:pPr>
              <w:rPr>
                <w:sz w:val="18"/>
                <w:szCs w:val="18"/>
                <w:lang w:val="en-GB"/>
              </w:rPr>
            </w:pPr>
          </w:p>
        </w:tc>
      </w:tr>
      <w:tr w:rsidR="003A788B" w14:paraId="7C3312EB" w14:textId="77777777" w:rsidTr="00E06A78">
        <w:trPr>
          <w:cantSplit/>
        </w:trPr>
        <w:tc>
          <w:tcPr>
            <w:tcW w:w="662" w:type="pct"/>
          </w:tcPr>
          <w:p w14:paraId="7C3312E2" w14:textId="77777777" w:rsidR="008F369D" w:rsidRPr="00B055D4" w:rsidRDefault="00016F29" w:rsidP="008919D7">
            <w:pPr>
              <w:pStyle w:val="TextTi10"/>
              <w:rPr>
                <w:b/>
                <w:sz w:val="18"/>
                <w:szCs w:val="18"/>
                <w:lang w:val="en-GB"/>
              </w:rPr>
            </w:pPr>
            <w:r w:rsidRPr="00B055D4">
              <w:rPr>
                <w:b/>
                <w:sz w:val="18"/>
                <w:szCs w:val="18"/>
                <w:lang w:val="en-GB"/>
              </w:rPr>
              <w:t>Skin and subcutaneous tissue disorders</w:t>
            </w:r>
          </w:p>
        </w:tc>
        <w:tc>
          <w:tcPr>
            <w:tcW w:w="701" w:type="pct"/>
          </w:tcPr>
          <w:p w14:paraId="7C3312E3" w14:textId="77777777" w:rsidR="008F369D" w:rsidRPr="00B055D4" w:rsidRDefault="00016F29" w:rsidP="008919D7">
            <w:pPr>
              <w:pStyle w:val="TextTi10"/>
              <w:rPr>
                <w:sz w:val="18"/>
                <w:szCs w:val="18"/>
                <w:lang w:val="en-GB"/>
              </w:rPr>
            </w:pPr>
            <w:r w:rsidRPr="00B055D4">
              <w:rPr>
                <w:sz w:val="18"/>
                <w:szCs w:val="18"/>
                <w:lang w:val="en-GB"/>
              </w:rPr>
              <w:t xml:space="preserve">pruritus, rash, </w:t>
            </w:r>
            <w:r w:rsidRPr="00B055D4">
              <w:rPr>
                <w:sz w:val="18"/>
                <w:szCs w:val="18"/>
                <w:vertAlign w:val="superscript"/>
                <w:lang w:val="en-GB"/>
              </w:rPr>
              <w:t>+</w:t>
            </w:r>
            <w:r w:rsidRPr="00B055D4">
              <w:rPr>
                <w:sz w:val="18"/>
                <w:szCs w:val="18"/>
                <w:lang w:val="en-GB"/>
              </w:rPr>
              <w:t>alopecia</w:t>
            </w:r>
            <w:r w:rsidRPr="00B055D4">
              <w:rPr>
                <w:sz w:val="18"/>
                <w:szCs w:val="18"/>
                <w:vertAlign w:val="superscript"/>
                <w:lang w:val="en-GB"/>
              </w:rPr>
              <w:t xml:space="preserve"> </w:t>
            </w:r>
          </w:p>
        </w:tc>
        <w:tc>
          <w:tcPr>
            <w:tcW w:w="826" w:type="pct"/>
          </w:tcPr>
          <w:p w14:paraId="7C3312E4" w14:textId="77777777" w:rsidR="008F369D" w:rsidRPr="00B055D4" w:rsidRDefault="00016F29" w:rsidP="008919D7">
            <w:pPr>
              <w:pStyle w:val="TextTi10"/>
              <w:rPr>
                <w:sz w:val="18"/>
                <w:szCs w:val="18"/>
                <w:lang w:val="en-GB"/>
              </w:rPr>
            </w:pPr>
            <w:r w:rsidRPr="00B055D4">
              <w:rPr>
                <w:sz w:val="18"/>
                <w:szCs w:val="18"/>
                <w:lang w:val="en-GB"/>
              </w:rPr>
              <w:t xml:space="preserve">urticaria, sweating, night sweats, </w:t>
            </w:r>
            <w:r w:rsidRPr="00B055D4">
              <w:rPr>
                <w:sz w:val="18"/>
                <w:szCs w:val="18"/>
                <w:vertAlign w:val="superscript"/>
                <w:lang w:val="en-GB"/>
              </w:rPr>
              <w:t>+</w:t>
            </w:r>
            <w:r w:rsidRPr="00B055D4">
              <w:rPr>
                <w:sz w:val="18"/>
                <w:szCs w:val="18"/>
                <w:lang w:val="en-GB"/>
              </w:rPr>
              <w:t>skin disorder</w:t>
            </w:r>
          </w:p>
        </w:tc>
        <w:tc>
          <w:tcPr>
            <w:tcW w:w="809" w:type="pct"/>
          </w:tcPr>
          <w:p w14:paraId="7C3312E5" w14:textId="77777777" w:rsidR="008F369D" w:rsidRPr="00B055D4" w:rsidRDefault="008F369D" w:rsidP="008919D7">
            <w:pPr>
              <w:rPr>
                <w:sz w:val="18"/>
                <w:szCs w:val="18"/>
                <w:lang w:val="en-GB"/>
              </w:rPr>
            </w:pPr>
          </w:p>
        </w:tc>
        <w:tc>
          <w:tcPr>
            <w:tcW w:w="666" w:type="pct"/>
          </w:tcPr>
          <w:p w14:paraId="7C3312E6" w14:textId="77777777" w:rsidR="008F369D" w:rsidRPr="00B055D4" w:rsidRDefault="008F369D" w:rsidP="008919D7">
            <w:pPr>
              <w:rPr>
                <w:snapToGrid w:val="0"/>
                <w:sz w:val="18"/>
                <w:szCs w:val="18"/>
                <w:lang w:val="en-GB" w:eastAsia="en-US"/>
              </w:rPr>
            </w:pPr>
          </w:p>
        </w:tc>
        <w:tc>
          <w:tcPr>
            <w:tcW w:w="763" w:type="pct"/>
          </w:tcPr>
          <w:p w14:paraId="7C3312E7" w14:textId="77777777" w:rsidR="008F369D" w:rsidRPr="005B5A38" w:rsidRDefault="00016F29" w:rsidP="008919D7">
            <w:pPr>
              <w:rPr>
                <w:snapToGrid w:val="0"/>
                <w:sz w:val="18"/>
                <w:szCs w:val="18"/>
                <w:lang w:val="en-GB" w:eastAsia="en-US"/>
              </w:rPr>
            </w:pPr>
            <w:r w:rsidRPr="005B5A38">
              <w:rPr>
                <w:snapToGrid w:val="0"/>
                <w:sz w:val="18"/>
                <w:szCs w:val="18"/>
                <w:lang w:val="en-GB" w:eastAsia="en-US"/>
              </w:rPr>
              <w:t>severe bullous skin reactions,</w:t>
            </w:r>
          </w:p>
          <w:p w14:paraId="7C3312E8" w14:textId="77777777" w:rsidR="008F369D" w:rsidRPr="005B5A38" w:rsidRDefault="00016F29" w:rsidP="008919D7">
            <w:pPr>
              <w:rPr>
                <w:snapToGrid w:val="0"/>
                <w:sz w:val="18"/>
                <w:szCs w:val="18"/>
                <w:lang w:val="en-GB" w:eastAsia="en-US"/>
              </w:rPr>
            </w:pPr>
            <w:r w:rsidRPr="005B5A38">
              <w:rPr>
                <w:iCs/>
                <w:snapToGrid w:val="0"/>
                <w:sz w:val="18"/>
                <w:szCs w:val="18"/>
                <w:lang w:val="en-GB" w:eastAsia="en-US"/>
              </w:rPr>
              <w:t>Stevens</w:t>
            </w:r>
            <w:r w:rsidR="000A6DDA" w:rsidRPr="005B5A38">
              <w:rPr>
                <w:iCs/>
                <w:snapToGrid w:val="0"/>
                <w:sz w:val="18"/>
                <w:szCs w:val="18"/>
                <w:lang w:val="en-GB" w:eastAsia="en-US"/>
              </w:rPr>
              <w:noBreakHyphen/>
            </w:r>
            <w:r w:rsidRPr="005B5A38">
              <w:rPr>
                <w:iCs/>
                <w:snapToGrid w:val="0"/>
                <w:sz w:val="18"/>
                <w:szCs w:val="18"/>
                <w:lang w:val="en-GB" w:eastAsia="en-US"/>
              </w:rPr>
              <w:t>Johnson syndrome</w:t>
            </w:r>
            <w:r w:rsidR="00E37B30" w:rsidRPr="001F368C">
              <w:rPr>
                <w:iCs/>
                <w:snapToGrid w:val="0"/>
                <w:sz w:val="18"/>
                <w:szCs w:val="18"/>
                <w:lang w:val="en-GB" w:eastAsia="en-US"/>
              </w:rPr>
              <w:t>,</w:t>
            </w:r>
          </w:p>
          <w:p w14:paraId="7C3312E9" w14:textId="77777777" w:rsidR="008F369D" w:rsidRPr="005B5A38" w:rsidRDefault="00016F29" w:rsidP="008919D7">
            <w:pPr>
              <w:rPr>
                <w:snapToGrid w:val="0"/>
                <w:sz w:val="18"/>
                <w:szCs w:val="18"/>
                <w:lang w:val="en-GB" w:eastAsia="en-US"/>
              </w:rPr>
            </w:pPr>
            <w:r w:rsidRPr="005B5A38">
              <w:rPr>
                <w:snapToGrid w:val="0"/>
                <w:sz w:val="18"/>
                <w:szCs w:val="18"/>
                <w:lang w:val="en-GB" w:eastAsia="en-US"/>
              </w:rPr>
              <w:t xml:space="preserve">toxic epidermal necrolysis </w:t>
            </w:r>
            <w:r w:rsidRPr="005B5A38">
              <w:rPr>
                <w:iCs/>
                <w:snapToGrid w:val="0"/>
                <w:sz w:val="18"/>
                <w:szCs w:val="18"/>
                <w:lang w:val="en-GB" w:eastAsia="en-US"/>
              </w:rPr>
              <w:t>(Lyell’s syndrome)</w:t>
            </w:r>
            <w:r w:rsidRPr="005B5A38">
              <w:rPr>
                <w:snapToGrid w:val="0"/>
                <w:sz w:val="18"/>
                <w:szCs w:val="18"/>
                <w:vertAlign w:val="superscript"/>
                <w:lang w:val="en-GB" w:eastAsia="en-US"/>
              </w:rPr>
              <w:t xml:space="preserve"> 7</w:t>
            </w:r>
            <w:r w:rsidRPr="005B5A38">
              <w:rPr>
                <w:iCs/>
                <w:snapToGrid w:val="0"/>
                <w:sz w:val="18"/>
                <w:szCs w:val="18"/>
                <w:lang w:val="en-GB" w:eastAsia="en-US"/>
              </w:rPr>
              <w:t xml:space="preserve"> </w:t>
            </w:r>
          </w:p>
        </w:tc>
        <w:tc>
          <w:tcPr>
            <w:tcW w:w="572" w:type="pct"/>
          </w:tcPr>
          <w:p w14:paraId="7C3312EA" w14:textId="77777777" w:rsidR="008F369D" w:rsidRPr="00B055D4" w:rsidRDefault="008F369D" w:rsidP="008919D7">
            <w:pPr>
              <w:rPr>
                <w:sz w:val="18"/>
                <w:szCs w:val="18"/>
                <w:lang w:val="en-GB"/>
              </w:rPr>
            </w:pPr>
          </w:p>
        </w:tc>
      </w:tr>
      <w:tr w:rsidR="003A788B" w14:paraId="7C3312F3" w14:textId="77777777" w:rsidTr="00E06A78">
        <w:trPr>
          <w:cantSplit/>
        </w:trPr>
        <w:tc>
          <w:tcPr>
            <w:tcW w:w="662" w:type="pct"/>
          </w:tcPr>
          <w:p w14:paraId="7C3312EC" w14:textId="77777777" w:rsidR="008F369D" w:rsidRPr="00B055D4" w:rsidRDefault="00016F29" w:rsidP="008919D7">
            <w:pPr>
              <w:rPr>
                <w:sz w:val="18"/>
                <w:szCs w:val="18"/>
                <w:lang w:val="en-GB"/>
              </w:rPr>
            </w:pPr>
            <w:r w:rsidRPr="00B055D4">
              <w:rPr>
                <w:b/>
                <w:sz w:val="18"/>
                <w:szCs w:val="18"/>
                <w:lang w:val="en-GB"/>
              </w:rPr>
              <w:t>Musculoskeletal, connective tissue disorders</w:t>
            </w:r>
          </w:p>
        </w:tc>
        <w:tc>
          <w:tcPr>
            <w:tcW w:w="701" w:type="pct"/>
          </w:tcPr>
          <w:p w14:paraId="7C3312ED" w14:textId="77777777" w:rsidR="008F369D" w:rsidRPr="00B055D4" w:rsidRDefault="008F369D" w:rsidP="008919D7">
            <w:pPr>
              <w:rPr>
                <w:sz w:val="18"/>
                <w:szCs w:val="18"/>
                <w:lang w:val="en-GB"/>
              </w:rPr>
            </w:pPr>
          </w:p>
        </w:tc>
        <w:tc>
          <w:tcPr>
            <w:tcW w:w="826" w:type="pct"/>
          </w:tcPr>
          <w:p w14:paraId="7C3312EE" w14:textId="77777777" w:rsidR="008F369D" w:rsidRPr="00B055D4" w:rsidRDefault="00016F29" w:rsidP="008919D7">
            <w:pPr>
              <w:pStyle w:val="TextTi10"/>
              <w:keepNext/>
              <w:rPr>
                <w:sz w:val="18"/>
                <w:szCs w:val="18"/>
                <w:lang w:val="en-GB"/>
              </w:rPr>
            </w:pPr>
            <w:r w:rsidRPr="00B055D4">
              <w:rPr>
                <w:sz w:val="18"/>
                <w:szCs w:val="18"/>
                <w:lang w:val="en-GB"/>
              </w:rPr>
              <w:t>hypertonia, myalgia, arthralgia, back pain, neck pain, pain</w:t>
            </w:r>
          </w:p>
        </w:tc>
        <w:tc>
          <w:tcPr>
            <w:tcW w:w="809" w:type="pct"/>
          </w:tcPr>
          <w:p w14:paraId="7C3312EF" w14:textId="77777777" w:rsidR="008F369D" w:rsidRPr="00B055D4" w:rsidRDefault="008F369D" w:rsidP="008919D7">
            <w:pPr>
              <w:rPr>
                <w:b/>
                <w:sz w:val="18"/>
                <w:szCs w:val="18"/>
                <w:lang w:val="en-GB"/>
              </w:rPr>
            </w:pPr>
          </w:p>
        </w:tc>
        <w:tc>
          <w:tcPr>
            <w:tcW w:w="666" w:type="pct"/>
          </w:tcPr>
          <w:p w14:paraId="7C3312F0" w14:textId="77777777" w:rsidR="008F369D" w:rsidRPr="00B055D4" w:rsidRDefault="008F369D" w:rsidP="008919D7">
            <w:pPr>
              <w:rPr>
                <w:b/>
                <w:sz w:val="18"/>
                <w:szCs w:val="18"/>
                <w:lang w:val="en-GB"/>
              </w:rPr>
            </w:pPr>
          </w:p>
        </w:tc>
        <w:tc>
          <w:tcPr>
            <w:tcW w:w="763" w:type="pct"/>
          </w:tcPr>
          <w:p w14:paraId="7C3312F1" w14:textId="77777777" w:rsidR="008F369D" w:rsidRPr="00B055D4" w:rsidRDefault="008F369D" w:rsidP="008919D7">
            <w:pPr>
              <w:rPr>
                <w:b/>
                <w:sz w:val="18"/>
                <w:szCs w:val="18"/>
                <w:lang w:val="en-GB"/>
              </w:rPr>
            </w:pPr>
          </w:p>
        </w:tc>
        <w:tc>
          <w:tcPr>
            <w:tcW w:w="572" w:type="pct"/>
          </w:tcPr>
          <w:p w14:paraId="7C3312F2" w14:textId="77777777" w:rsidR="008F369D" w:rsidRPr="00B055D4" w:rsidRDefault="008F369D" w:rsidP="008919D7">
            <w:pPr>
              <w:rPr>
                <w:b/>
                <w:sz w:val="18"/>
                <w:szCs w:val="18"/>
                <w:lang w:val="en-GB"/>
              </w:rPr>
            </w:pPr>
          </w:p>
        </w:tc>
      </w:tr>
      <w:tr w:rsidR="003A788B" w14:paraId="7C3312FB" w14:textId="77777777" w:rsidTr="00E06A78">
        <w:trPr>
          <w:cantSplit/>
        </w:trPr>
        <w:tc>
          <w:tcPr>
            <w:tcW w:w="662" w:type="pct"/>
          </w:tcPr>
          <w:p w14:paraId="7C3312F4" w14:textId="77777777" w:rsidR="008F369D" w:rsidRPr="00B055D4" w:rsidRDefault="00016F29" w:rsidP="008919D7">
            <w:pPr>
              <w:rPr>
                <w:b/>
                <w:sz w:val="18"/>
                <w:szCs w:val="18"/>
                <w:lang w:val="en-GB"/>
              </w:rPr>
            </w:pPr>
            <w:r w:rsidRPr="00B055D4">
              <w:rPr>
                <w:b/>
                <w:sz w:val="18"/>
                <w:szCs w:val="18"/>
                <w:lang w:val="en-GB"/>
              </w:rPr>
              <w:t>Renal and urinary disorders</w:t>
            </w:r>
          </w:p>
        </w:tc>
        <w:tc>
          <w:tcPr>
            <w:tcW w:w="701" w:type="pct"/>
          </w:tcPr>
          <w:p w14:paraId="7C3312F5" w14:textId="77777777" w:rsidR="008F369D" w:rsidRPr="00B055D4" w:rsidRDefault="008F369D" w:rsidP="008919D7">
            <w:pPr>
              <w:rPr>
                <w:sz w:val="18"/>
                <w:szCs w:val="18"/>
                <w:lang w:val="en-GB"/>
              </w:rPr>
            </w:pPr>
          </w:p>
        </w:tc>
        <w:tc>
          <w:tcPr>
            <w:tcW w:w="826" w:type="pct"/>
          </w:tcPr>
          <w:p w14:paraId="7C3312F6" w14:textId="77777777" w:rsidR="008F369D" w:rsidRPr="00B055D4" w:rsidRDefault="008F369D" w:rsidP="008919D7">
            <w:pPr>
              <w:pStyle w:val="TextTi10"/>
              <w:keepNext/>
              <w:rPr>
                <w:sz w:val="18"/>
                <w:szCs w:val="18"/>
                <w:lang w:val="en-GB"/>
              </w:rPr>
            </w:pPr>
          </w:p>
        </w:tc>
        <w:tc>
          <w:tcPr>
            <w:tcW w:w="809" w:type="pct"/>
          </w:tcPr>
          <w:p w14:paraId="7C3312F7" w14:textId="77777777" w:rsidR="008F369D" w:rsidRPr="00B055D4" w:rsidRDefault="008F369D" w:rsidP="008919D7">
            <w:pPr>
              <w:rPr>
                <w:b/>
                <w:sz w:val="18"/>
                <w:szCs w:val="18"/>
                <w:lang w:val="en-GB"/>
              </w:rPr>
            </w:pPr>
          </w:p>
        </w:tc>
        <w:tc>
          <w:tcPr>
            <w:tcW w:w="666" w:type="pct"/>
          </w:tcPr>
          <w:p w14:paraId="7C3312F8" w14:textId="77777777" w:rsidR="008F369D" w:rsidRPr="00B055D4" w:rsidRDefault="008F369D" w:rsidP="008919D7">
            <w:pPr>
              <w:rPr>
                <w:snapToGrid w:val="0"/>
                <w:sz w:val="18"/>
                <w:szCs w:val="18"/>
                <w:lang w:val="en-GB" w:eastAsia="en-US"/>
              </w:rPr>
            </w:pPr>
          </w:p>
        </w:tc>
        <w:tc>
          <w:tcPr>
            <w:tcW w:w="763" w:type="pct"/>
          </w:tcPr>
          <w:p w14:paraId="7C3312F9" w14:textId="77777777" w:rsidR="008F369D" w:rsidRPr="00B055D4" w:rsidRDefault="00016F29" w:rsidP="008919D7">
            <w:pPr>
              <w:rPr>
                <w:snapToGrid w:val="0"/>
                <w:sz w:val="18"/>
                <w:szCs w:val="18"/>
                <w:lang w:val="en-GB" w:eastAsia="en-US"/>
              </w:rPr>
            </w:pPr>
            <w:r w:rsidRPr="00B055D4">
              <w:rPr>
                <w:snapToGrid w:val="0"/>
                <w:sz w:val="18"/>
                <w:szCs w:val="18"/>
                <w:lang w:val="en-GB" w:eastAsia="en-US"/>
              </w:rPr>
              <w:t>renal failure</w:t>
            </w:r>
            <w:r w:rsidRPr="00B055D4">
              <w:rPr>
                <w:snapToGrid w:val="0"/>
                <w:sz w:val="18"/>
                <w:szCs w:val="18"/>
                <w:vertAlign w:val="superscript"/>
                <w:lang w:val="en-GB" w:eastAsia="en-US"/>
              </w:rPr>
              <w:t>4</w:t>
            </w:r>
          </w:p>
        </w:tc>
        <w:tc>
          <w:tcPr>
            <w:tcW w:w="572" w:type="pct"/>
          </w:tcPr>
          <w:p w14:paraId="7C3312FA" w14:textId="77777777" w:rsidR="008F369D" w:rsidRPr="00B055D4" w:rsidRDefault="008F369D" w:rsidP="008919D7">
            <w:pPr>
              <w:rPr>
                <w:b/>
                <w:sz w:val="18"/>
                <w:szCs w:val="18"/>
                <w:lang w:val="en-GB"/>
              </w:rPr>
            </w:pPr>
          </w:p>
        </w:tc>
      </w:tr>
      <w:tr w:rsidR="003A788B" w14:paraId="7C331304" w14:textId="77777777" w:rsidTr="00E06A78">
        <w:trPr>
          <w:cantSplit/>
        </w:trPr>
        <w:tc>
          <w:tcPr>
            <w:tcW w:w="662" w:type="pct"/>
          </w:tcPr>
          <w:p w14:paraId="7C3312FC" w14:textId="77777777" w:rsidR="008F369D" w:rsidRPr="00B055D4" w:rsidRDefault="00016F29" w:rsidP="008919D7">
            <w:pPr>
              <w:keepNext/>
              <w:keepLines/>
              <w:rPr>
                <w:sz w:val="18"/>
                <w:szCs w:val="18"/>
                <w:lang w:val="en-GB"/>
              </w:rPr>
            </w:pPr>
            <w:r w:rsidRPr="00B055D4">
              <w:rPr>
                <w:b/>
                <w:sz w:val="18"/>
                <w:szCs w:val="18"/>
                <w:lang w:val="en-GB"/>
              </w:rPr>
              <w:t>General disorders and administration site conditions</w:t>
            </w:r>
          </w:p>
        </w:tc>
        <w:tc>
          <w:tcPr>
            <w:tcW w:w="701" w:type="pct"/>
          </w:tcPr>
          <w:p w14:paraId="7C3312FD" w14:textId="77777777" w:rsidR="008F369D" w:rsidRPr="00B055D4" w:rsidRDefault="00016F29" w:rsidP="008919D7">
            <w:pPr>
              <w:keepNext/>
              <w:keepLines/>
              <w:rPr>
                <w:sz w:val="18"/>
                <w:szCs w:val="18"/>
                <w:lang w:val="en-GB"/>
              </w:rPr>
            </w:pPr>
            <w:r w:rsidRPr="00B055D4">
              <w:rPr>
                <w:sz w:val="18"/>
                <w:szCs w:val="18"/>
                <w:lang w:val="en-GB"/>
              </w:rPr>
              <w:t>fever, chills, asthenia, headache</w:t>
            </w:r>
            <w:r w:rsidRPr="00B055D4">
              <w:rPr>
                <w:sz w:val="18"/>
                <w:szCs w:val="18"/>
                <w:vertAlign w:val="superscript"/>
                <w:lang w:val="en-GB"/>
              </w:rPr>
              <w:t xml:space="preserve"> </w:t>
            </w:r>
          </w:p>
        </w:tc>
        <w:tc>
          <w:tcPr>
            <w:tcW w:w="826" w:type="pct"/>
          </w:tcPr>
          <w:p w14:paraId="7C3312FE" w14:textId="77777777" w:rsidR="008F369D" w:rsidRPr="005B5A38" w:rsidRDefault="00016F29" w:rsidP="008919D7">
            <w:pPr>
              <w:pStyle w:val="TextTi10"/>
              <w:keepNext/>
              <w:keepLines/>
              <w:rPr>
                <w:sz w:val="18"/>
                <w:szCs w:val="18"/>
                <w:lang w:val="en-GB"/>
              </w:rPr>
            </w:pPr>
            <w:r w:rsidRPr="00B055D4">
              <w:rPr>
                <w:sz w:val="18"/>
                <w:szCs w:val="18"/>
                <w:lang w:val="en-GB"/>
              </w:rPr>
              <w:t>t</w:t>
            </w:r>
            <w:r w:rsidRPr="005B5A38">
              <w:rPr>
                <w:sz w:val="18"/>
                <w:szCs w:val="18"/>
                <w:lang w:val="en-GB"/>
              </w:rPr>
              <w:t xml:space="preserve">umour pain, flushing, malaise, cold syndrome, </w:t>
            </w:r>
            <w:r w:rsidRPr="005B5A38">
              <w:rPr>
                <w:sz w:val="18"/>
                <w:szCs w:val="18"/>
                <w:vertAlign w:val="superscript"/>
                <w:lang w:val="en-GB"/>
              </w:rPr>
              <w:t>+</w:t>
            </w:r>
            <w:r w:rsidRPr="005B5A38">
              <w:rPr>
                <w:sz w:val="18"/>
                <w:szCs w:val="18"/>
                <w:lang w:val="en-GB"/>
              </w:rPr>
              <w:t xml:space="preserve">fatigue, </w:t>
            </w:r>
            <w:r w:rsidRPr="005B5A38">
              <w:rPr>
                <w:sz w:val="18"/>
                <w:szCs w:val="18"/>
                <w:vertAlign w:val="superscript"/>
                <w:lang w:val="en-GB"/>
              </w:rPr>
              <w:t>+</w:t>
            </w:r>
            <w:r w:rsidRPr="005B5A38">
              <w:rPr>
                <w:sz w:val="18"/>
                <w:szCs w:val="18"/>
                <w:lang w:val="en-GB"/>
              </w:rPr>
              <w:t xml:space="preserve">shivering, </w:t>
            </w:r>
          </w:p>
          <w:p w14:paraId="7C3312FF" w14:textId="77777777" w:rsidR="008F369D" w:rsidRPr="00B055D4" w:rsidRDefault="00016F29" w:rsidP="008919D7">
            <w:pPr>
              <w:pStyle w:val="TextTi10"/>
              <w:keepNext/>
              <w:keepLines/>
              <w:rPr>
                <w:sz w:val="18"/>
                <w:szCs w:val="18"/>
                <w:lang w:val="en-GB"/>
              </w:rPr>
            </w:pPr>
            <w:r w:rsidRPr="005B5A38">
              <w:rPr>
                <w:sz w:val="18"/>
                <w:szCs w:val="18"/>
                <w:vertAlign w:val="superscript"/>
                <w:lang w:val="en-GB"/>
              </w:rPr>
              <w:t>+</w:t>
            </w:r>
            <w:r w:rsidRPr="005B5A38">
              <w:rPr>
                <w:sz w:val="18"/>
                <w:szCs w:val="18"/>
                <w:lang w:val="en-GB"/>
              </w:rPr>
              <w:t>multi</w:t>
            </w:r>
            <w:r w:rsidR="000A6DDA" w:rsidRPr="005B5A38">
              <w:rPr>
                <w:sz w:val="18"/>
                <w:szCs w:val="18"/>
                <w:lang w:val="en-GB"/>
              </w:rPr>
              <w:noBreakHyphen/>
            </w:r>
            <w:r w:rsidRPr="005B5A38">
              <w:rPr>
                <w:sz w:val="18"/>
                <w:szCs w:val="18"/>
                <w:lang w:val="en-GB"/>
              </w:rPr>
              <w:t>organ failure</w:t>
            </w:r>
            <w:r w:rsidRPr="005B5A38">
              <w:rPr>
                <w:snapToGrid w:val="0"/>
                <w:sz w:val="18"/>
                <w:szCs w:val="18"/>
                <w:vertAlign w:val="superscript"/>
                <w:lang w:val="en-GB" w:eastAsia="en-US"/>
              </w:rPr>
              <w:t>4</w:t>
            </w:r>
          </w:p>
        </w:tc>
        <w:tc>
          <w:tcPr>
            <w:tcW w:w="809" w:type="pct"/>
          </w:tcPr>
          <w:p w14:paraId="7C331300" w14:textId="77777777" w:rsidR="008F369D" w:rsidRPr="00B055D4" w:rsidRDefault="00016F29" w:rsidP="008919D7">
            <w:pPr>
              <w:keepNext/>
              <w:keepLines/>
              <w:rPr>
                <w:b/>
                <w:sz w:val="18"/>
                <w:szCs w:val="18"/>
                <w:lang w:val="en-GB"/>
              </w:rPr>
            </w:pPr>
            <w:r w:rsidRPr="00B055D4">
              <w:rPr>
                <w:sz w:val="18"/>
                <w:szCs w:val="18"/>
                <w:lang w:val="en-GB"/>
              </w:rPr>
              <w:t>infusion site pain</w:t>
            </w:r>
          </w:p>
        </w:tc>
        <w:tc>
          <w:tcPr>
            <w:tcW w:w="666" w:type="pct"/>
          </w:tcPr>
          <w:p w14:paraId="7C331301" w14:textId="77777777" w:rsidR="008F369D" w:rsidRPr="00B055D4" w:rsidRDefault="008F369D" w:rsidP="008919D7">
            <w:pPr>
              <w:keepNext/>
              <w:keepLines/>
              <w:rPr>
                <w:sz w:val="18"/>
                <w:szCs w:val="18"/>
                <w:lang w:val="en-GB"/>
              </w:rPr>
            </w:pPr>
          </w:p>
        </w:tc>
        <w:tc>
          <w:tcPr>
            <w:tcW w:w="763" w:type="pct"/>
          </w:tcPr>
          <w:p w14:paraId="7C331302" w14:textId="77777777" w:rsidR="008F369D" w:rsidRPr="00B055D4" w:rsidRDefault="008F369D" w:rsidP="008919D7">
            <w:pPr>
              <w:keepNext/>
              <w:keepLines/>
              <w:rPr>
                <w:sz w:val="18"/>
                <w:szCs w:val="18"/>
                <w:lang w:val="en-GB"/>
              </w:rPr>
            </w:pPr>
          </w:p>
        </w:tc>
        <w:tc>
          <w:tcPr>
            <w:tcW w:w="572" w:type="pct"/>
          </w:tcPr>
          <w:p w14:paraId="7C331303" w14:textId="77777777" w:rsidR="008F369D" w:rsidRPr="00B055D4" w:rsidRDefault="008F369D" w:rsidP="008919D7">
            <w:pPr>
              <w:keepNext/>
              <w:keepLines/>
              <w:rPr>
                <w:sz w:val="18"/>
                <w:szCs w:val="18"/>
                <w:lang w:val="en-GB"/>
              </w:rPr>
            </w:pPr>
          </w:p>
        </w:tc>
      </w:tr>
      <w:tr w:rsidR="003A788B" w14:paraId="7C33130C" w14:textId="77777777" w:rsidTr="00E06A78">
        <w:trPr>
          <w:cantSplit/>
        </w:trPr>
        <w:tc>
          <w:tcPr>
            <w:tcW w:w="662" w:type="pct"/>
          </w:tcPr>
          <w:p w14:paraId="7C331305" w14:textId="77777777" w:rsidR="008F369D" w:rsidRPr="00B055D4" w:rsidRDefault="00016F29" w:rsidP="008919D7">
            <w:pPr>
              <w:keepNext/>
              <w:keepLines/>
              <w:rPr>
                <w:b/>
                <w:sz w:val="18"/>
                <w:szCs w:val="18"/>
                <w:lang w:val="en-GB"/>
              </w:rPr>
            </w:pPr>
            <w:r w:rsidRPr="00B055D4">
              <w:rPr>
                <w:b/>
                <w:sz w:val="18"/>
                <w:szCs w:val="18"/>
                <w:lang w:val="en-GB"/>
              </w:rPr>
              <w:t>Investigations</w:t>
            </w:r>
          </w:p>
        </w:tc>
        <w:tc>
          <w:tcPr>
            <w:tcW w:w="701" w:type="pct"/>
          </w:tcPr>
          <w:p w14:paraId="7C331306" w14:textId="77777777" w:rsidR="008F369D" w:rsidRPr="00B055D4" w:rsidRDefault="00016F29" w:rsidP="008919D7">
            <w:pPr>
              <w:keepNext/>
              <w:keepLines/>
              <w:rPr>
                <w:sz w:val="18"/>
                <w:szCs w:val="18"/>
                <w:lang w:val="en-GB"/>
              </w:rPr>
            </w:pPr>
            <w:r w:rsidRPr="00B055D4">
              <w:rPr>
                <w:sz w:val="18"/>
                <w:szCs w:val="18"/>
                <w:lang w:val="en-GB"/>
              </w:rPr>
              <w:t>decreased IgG levels</w:t>
            </w:r>
          </w:p>
        </w:tc>
        <w:tc>
          <w:tcPr>
            <w:tcW w:w="826" w:type="pct"/>
          </w:tcPr>
          <w:p w14:paraId="7C331307" w14:textId="77777777" w:rsidR="008F369D" w:rsidRPr="00B055D4" w:rsidRDefault="008F369D" w:rsidP="008919D7">
            <w:pPr>
              <w:pStyle w:val="TextTi10"/>
              <w:keepNext/>
              <w:keepLines/>
              <w:rPr>
                <w:sz w:val="18"/>
                <w:szCs w:val="18"/>
                <w:lang w:val="en-GB"/>
              </w:rPr>
            </w:pPr>
          </w:p>
        </w:tc>
        <w:tc>
          <w:tcPr>
            <w:tcW w:w="809" w:type="pct"/>
          </w:tcPr>
          <w:p w14:paraId="7C331308" w14:textId="77777777" w:rsidR="008F369D" w:rsidRPr="00B055D4" w:rsidRDefault="008F369D" w:rsidP="008919D7">
            <w:pPr>
              <w:keepNext/>
              <w:keepLines/>
              <w:rPr>
                <w:sz w:val="18"/>
                <w:szCs w:val="18"/>
                <w:lang w:val="en-GB"/>
              </w:rPr>
            </w:pPr>
          </w:p>
        </w:tc>
        <w:tc>
          <w:tcPr>
            <w:tcW w:w="666" w:type="pct"/>
          </w:tcPr>
          <w:p w14:paraId="7C331309" w14:textId="77777777" w:rsidR="008F369D" w:rsidRPr="00B055D4" w:rsidRDefault="008F369D" w:rsidP="008919D7">
            <w:pPr>
              <w:keepNext/>
              <w:keepLines/>
              <w:rPr>
                <w:sz w:val="18"/>
                <w:szCs w:val="18"/>
                <w:lang w:val="en-GB"/>
              </w:rPr>
            </w:pPr>
          </w:p>
        </w:tc>
        <w:tc>
          <w:tcPr>
            <w:tcW w:w="763" w:type="pct"/>
          </w:tcPr>
          <w:p w14:paraId="7C33130A" w14:textId="77777777" w:rsidR="008F369D" w:rsidRPr="00B055D4" w:rsidRDefault="008F369D" w:rsidP="008919D7">
            <w:pPr>
              <w:keepNext/>
              <w:keepLines/>
              <w:rPr>
                <w:sz w:val="18"/>
                <w:szCs w:val="18"/>
                <w:lang w:val="en-GB"/>
              </w:rPr>
            </w:pPr>
          </w:p>
        </w:tc>
        <w:tc>
          <w:tcPr>
            <w:tcW w:w="572" w:type="pct"/>
          </w:tcPr>
          <w:p w14:paraId="7C33130B" w14:textId="77777777" w:rsidR="008F369D" w:rsidRPr="00B055D4" w:rsidRDefault="008F369D" w:rsidP="008919D7">
            <w:pPr>
              <w:keepNext/>
              <w:keepLines/>
              <w:rPr>
                <w:sz w:val="18"/>
                <w:szCs w:val="18"/>
                <w:lang w:val="en-GB"/>
              </w:rPr>
            </w:pPr>
          </w:p>
        </w:tc>
      </w:tr>
      <w:tr w:rsidR="003A788B" w14:paraId="7C331315" w14:textId="77777777" w:rsidTr="00E06A78">
        <w:trPr>
          <w:cantSplit/>
        </w:trPr>
        <w:tc>
          <w:tcPr>
            <w:tcW w:w="5000" w:type="pct"/>
            <w:gridSpan w:val="7"/>
          </w:tcPr>
          <w:p w14:paraId="7C33130D" w14:textId="77777777" w:rsidR="008F369D" w:rsidRPr="005B5A38" w:rsidRDefault="00016F29" w:rsidP="008919D7">
            <w:pPr>
              <w:pStyle w:val="TextTi10"/>
              <w:tabs>
                <w:tab w:val="left" w:pos="102"/>
              </w:tabs>
              <w:rPr>
                <w:sz w:val="18"/>
                <w:szCs w:val="18"/>
                <w:lang w:val="en-GB"/>
              </w:rPr>
            </w:pPr>
            <w:r w:rsidRPr="005B5A38">
              <w:rPr>
                <w:sz w:val="18"/>
                <w:szCs w:val="18"/>
                <w:lang w:val="en-GB"/>
              </w:rPr>
              <w:t>For each term, the frequency count was based on reactions of all grades (from mild to severe), except for terms marked with "+" where the frequency count was based only on severe (≥ grade 3 NCI common toxicity criteria) reactions.  Only the highest frequency observed in the trials is reported</w:t>
            </w:r>
          </w:p>
          <w:p w14:paraId="7C33130E" w14:textId="77777777" w:rsidR="008F369D" w:rsidRPr="005B5A38" w:rsidRDefault="00016F29" w:rsidP="008919D7">
            <w:pPr>
              <w:pStyle w:val="TextTi10"/>
              <w:rPr>
                <w:sz w:val="18"/>
                <w:szCs w:val="18"/>
                <w:lang w:val="en-GB"/>
              </w:rPr>
            </w:pPr>
            <w:r w:rsidRPr="005B5A38">
              <w:rPr>
                <w:sz w:val="18"/>
                <w:szCs w:val="18"/>
                <w:vertAlign w:val="superscript"/>
                <w:lang w:val="en-GB"/>
              </w:rPr>
              <w:t>1</w:t>
            </w:r>
            <w:r w:rsidRPr="005B5A38">
              <w:rPr>
                <w:sz w:val="18"/>
                <w:szCs w:val="18"/>
                <w:lang w:val="en-GB"/>
              </w:rPr>
              <w:t xml:space="preserve"> includes reactivation and primary infections; frequency based on R</w:t>
            </w:r>
            <w:r w:rsidR="000A6DDA" w:rsidRPr="005B5A38">
              <w:rPr>
                <w:sz w:val="18"/>
                <w:szCs w:val="18"/>
                <w:lang w:val="en-GB"/>
              </w:rPr>
              <w:noBreakHyphen/>
            </w:r>
            <w:r w:rsidRPr="005B5A38">
              <w:rPr>
                <w:sz w:val="18"/>
                <w:szCs w:val="18"/>
                <w:lang w:val="en-GB"/>
              </w:rPr>
              <w:t>FC regimen in relapsed/refractory CLL</w:t>
            </w:r>
          </w:p>
          <w:p w14:paraId="7C33130F" w14:textId="77777777" w:rsidR="008F369D" w:rsidRPr="005B5A38" w:rsidRDefault="00016F29" w:rsidP="008919D7">
            <w:pPr>
              <w:pStyle w:val="TextTi10"/>
              <w:rPr>
                <w:sz w:val="18"/>
                <w:szCs w:val="18"/>
                <w:lang w:val="en-GB"/>
              </w:rPr>
            </w:pPr>
            <w:r w:rsidRPr="005B5A38">
              <w:rPr>
                <w:sz w:val="18"/>
                <w:szCs w:val="18"/>
                <w:vertAlign w:val="superscript"/>
                <w:lang w:val="en-GB"/>
              </w:rPr>
              <w:t>2</w:t>
            </w:r>
            <w:r w:rsidRPr="005B5A38">
              <w:rPr>
                <w:sz w:val="18"/>
                <w:szCs w:val="18"/>
                <w:lang w:val="en-GB"/>
              </w:rPr>
              <w:t xml:space="preserve"> see also section infection below </w:t>
            </w:r>
          </w:p>
          <w:p w14:paraId="7C331310" w14:textId="77777777" w:rsidR="008F369D" w:rsidRPr="005B5A38" w:rsidRDefault="00016F29" w:rsidP="008919D7">
            <w:pPr>
              <w:rPr>
                <w:sz w:val="18"/>
                <w:szCs w:val="18"/>
                <w:lang w:val="en-GB"/>
              </w:rPr>
            </w:pPr>
            <w:r w:rsidRPr="005B5A38">
              <w:rPr>
                <w:sz w:val="18"/>
                <w:szCs w:val="18"/>
                <w:vertAlign w:val="superscript"/>
                <w:lang w:val="en-GB"/>
              </w:rPr>
              <w:t>3</w:t>
            </w:r>
            <w:r w:rsidRPr="005B5A38">
              <w:rPr>
                <w:sz w:val="18"/>
                <w:szCs w:val="18"/>
                <w:lang w:val="en-GB"/>
              </w:rPr>
              <w:t xml:space="preserve"> see also section haematologic adverse reactions below</w:t>
            </w:r>
          </w:p>
          <w:p w14:paraId="7C331311" w14:textId="77777777" w:rsidR="008F369D" w:rsidRPr="005B5A38" w:rsidRDefault="00016F29" w:rsidP="008919D7">
            <w:pPr>
              <w:tabs>
                <w:tab w:val="left" w:pos="102"/>
              </w:tabs>
              <w:rPr>
                <w:sz w:val="18"/>
                <w:szCs w:val="18"/>
                <w:lang w:val="en-GB"/>
              </w:rPr>
            </w:pPr>
            <w:r w:rsidRPr="005B5A38">
              <w:rPr>
                <w:sz w:val="18"/>
                <w:szCs w:val="18"/>
                <w:vertAlign w:val="superscript"/>
                <w:lang w:val="en-GB"/>
              </w:rPr>
              <w:t>4</w:t>
            </w:r>
            <w:r w:rsidRPr="005B5A38">
              <w:rPr>
                <w:sz w:val="18"/>
                <w:szCs w:val="18"/>
                <w:lang w:val="en-GB"/>
              </w:rPr>
              <w:t xml:space="preserve"> see also section infusionrelated reactions below. Rarely fatal cases reported</w:t>
            </w:r>
          </w:p>
          <w:p w14:paraId="7C331312" w14:textId="77777777" w:rsidR="008F369D" w:rsidRPr="005B5A38" w:rsidRDefault="00016F29" w:rsidP="008919D7">
            <w:pPr>
              <w:ind w:left="130" w:hanging="130"/>
              <w:rPr>
                <w:sz w:val="18"/>
                <w:szCs w:val="18"/>
                <w:lang w:val="en-GB"/>
              </w:rPr>
            </w:pPr>
            <w:r w:rsidRPr="005B5A38">
              <w:rPr>
                <w:sz w:val="18"/>
                <w:szCs w:val="18"/>
                <w:vertAlign w:val="superscript"/>
                <w:lang w:val="en-GB"/>
              </w:rPr>
              <w:t>5</w:t>
            </w:r>
            <w:r w:rsidRPr="005B5A38">
              <w:rPr>
                <w:b/>
                <w:sz w:val="18"/>
                <w:szCs w:val="18"/>
                <w:lang w:val="en-GB"/>
              </w:rPr>
              <w:t xml:space="preserve"> </w:t>
            </w:r>
            <w:r w:rsidRPr="005B5A38">
              <w:rPr>
                <w:sz w:val="18"/>
                <w:szCs w:val="18"/>
                <w:lang w:val="en-GB"/>
              </w:rPr>
              <w:t>signs and symptoms of cranial neuropathy. Occurred at various times up to several months after completion of MabThera therapy</w:t>
            </w:r>
          </w:p>
          <w:p w14:paraId="7C331313" w14:textId="77777777" w:rsidR="008F369D" w:rsidRPr="005B5A38" w:rsidRDefault="00016F29" w:rsidP="008919D7">
            <w:pPr>
              <w:ind w:left="130" w:hanging="130"/>
              <w:rPr>
                <w:b/>
                <w:i/>
                <w:sz w:val="18"/>
                <w:szCs w:val="18"/>
                <w:lang w:val="en-GB"/>
              </w:rPr>
            </w:pPr>
            <w:r w:rsidRPr="005B5A38">
              <w:rPr>
                <w:sz w:val="18"/>
                <w:szCs w:val="18"/>
                <w:vertAlign w:val="superscript"/>
                <w:lang w:val="en-GB"/>
              </w:rPr>
              <w:t>6</w:t>
            </w:r>
            <w:r w:rsidRPr="005B5A38">
              <w:rPr>
                <w:sz w:val="18"/>
                <w:szCs w:val="18"/>
                <w:lang w:val="en-GB"/>
              </w:rPr>
              <w:t xml:space="preserve"> observed mainly in patients with prior cardiac condition and/or cardiotoxic chemotherapy and were mostly associated with infusion</w:t>
            </w:r>
            <w:r w:rsidR="000A6DDA" w:rsidRPr="005B5A38">
              <w:rPr>
                <w:sz w:val="18"/>
                <w:szCs w:val="18"/>
                <w:lang w:val="en-GB"/>
              </w:rPr>
              <w:noBreakHyphen/>
            </w:r>
            <w:r w:rsidRPr="005B5A38">
              <w:rPr>
                <w:sz w:val="18"/>
                <w:szCs w:val="18"/>
                <w:lang w:val="en-GB"/>
              </w:rPr>
              <w:t>related reactions</w:t>
            </w:r>
          </w:p>
          <w:p w14:paraId="7C331314" w14:textId="77777777" w:rsidR="008F369D" w:rsidRPr="00B055D4" w:rsidRDefault="00016F29" w:rsidP="008919D7">
            <w:pPr>
              <w:pStyle w:val="TextTi10"/>
              <w:rPr>
                <w:sz w:val="16"/>
                <w:szCs w:val="16"/>
                <w:lang w:val="en-GB"/>
              </w:rPr>
            </w:pPr>
            <w:r w:rsidRPr="005B5A38">
              <w:rPr>
                <w:sz w:val="18"/>
                <w:szCs w:val="18"/>
                <w:vertAlign w:val="superscript"/>
                <w:lang w:val="en-GB"/>
              </w:rPr>
              <w:t>7</w:t>
            </w:r>
            <w:r w:rsidRPr="005B5A38">
              <w:rPr>
                <w:sz w:val="18"/>
                <w:szCs w:val="18"/>
                <w:lang w:val="en-GB"/>
              </w:rPr>
              <w:t xml:space="preserve"> includes fatal cases</w:t>
            </w:r>
          </w:p>
        </w:tc>
      </w:tr>
    </w:tbl>
    <w:p w14:paraId="7C331316" w14:textId="77777777" w:rsidR="008F369D" w:rsidRPr="00B055D4" w:rsidRDefault="008F369D" w:rsidP="008F369D">
      <w:pPr>
        <w:rPr>
          <w:szCs w:val="22"/>
          <w:lang w:val="en-GB"/>
        </w:rPr>
      </w:pPr>
    </w:p>
    <w:p w14:paraId="7C331317" w14:textId="77777777" w:rsidR="008F369D" w:rsidRPr="00B055D4" w:rsidRDefault="00016F29" w:rsidP="008F369D">
      <w:pPr>
        <w:rPr>
          <w:szCs w:val="22"/>
          <w:lang w:val="en-GB"/>
        </w:rPr>
      </w:pPr>
      <w:r w:rsidRPr="00B055D4">
        <w:rPr>
          <w:szCs w:val="22"/>
          <w:lang w:val="en-GB"/>
        </w:rPr>
        <w:t>The following terms have been reported as adverse events during clinical trials, however, were reported at a similar or lower incidence in the MabThera</w:t>
      </w:r>
      <w:r>
        <w:rPr>
          <w:szCs w:val="22"/>
          <w:lang w:val="en-GB"/>
        </w:rPr>
        <w:t xml:space="preserve"> </w:t>
      </w:r>
      <w:r w:rsidRPr="00B055D4">
        <w:rPr>
          <w:szCs w:val="22"/>
          <w:lang w:val="en-GB"/>
        </w:rPr>
        <w:t>arms compared to control arms: haematotoxicity, neutropenic infection, urinary tract infection, sensory disturbance, pyrexia.</w:t>
      </w:r>
    </w:p>
    <w:p w14:paraId="7C331318" w14:textId="77777777" w:rsidR="008F369D" w:rsidRPr="00B055D4" w:rsidRDefault="008F369D" w:rsidP="008F369D">
      <w:pPr>
        <w:rPr>
          <w:szCs w:val="22"/>
          <w:lang w:val="en-GB"/>
        </w:rPr>
      </w:pPr>
    </w:p>
    <w:p w14:paraId="7C331319" w14:textId="77777777" w:rsidR="00AB35E5" w:rsidRDefault="00016F29" w:rsidP="008F369D">
      <w:pPr>
        <w:rPr>
          <w:szCs w:val="22"/>
          <w:lang w:val="en-GB"/>
        </w:rPr>
      </w:pPr>
      <w:r w:rsidRPr="00015B1B">
        <w:rPr>
          <w:szCs w:val="22"/>
          <w:lang w:val="en-GB"/>
        </w:rPr>
        <w:t>Signs and symptoms suggestive of an infusion</w:t>
      </w:r>
      <w:r w:rsidR="000A6DDA" w:rsidRPr="00015B1B">
        <w:rPr>
          <w:szCs w:val="22"/>
          <w:lang w:val="en-GB"/>
        </w:rPr>
        <w:noBreakHyphen/>
      </w:r>
      <w:r w:rsidRPr="00015B1B">
        <w:rPr>
          <w:szCs w:val="22"/>
          <w:lang w:val="en-GB"/>
        </w:rPr>
        <w:t>related reaction were reported in more than 50% of</w:t>
      </w:r>
      <w:r w:rsidRPr="00F332AF">
        <w:rPr>
          <w:szCs w:val="22"/>
          <w:lang w:val="en-GB"/>
        </w:rPr>
        <w:t xml:space="preserve"> patients in clinical trials, and were predominantly seen during the first infusion, usually in the first one to two hours. These symptoms mainly comprised fever, chills and rigors. Other symptoms included flushing, angioedema, bronchospasm, vomiting, nausea, urticaria/rash, fatigue, headache, throat irritation, rhinitis, pruritus, pain, </w:t>
      </w:r>
      <w:r w:rsidRPr="00525A55">
        <w:rPr>
          <w:szCs w:val="22"/>
          <w:lang w:val="en-GB"/>
        </w:rPr>
        <w:t xml:space="preserve">tachycardia, hypertension, hypotension, dyspnoea, dyspepsia, </w:t>
      </w:r>
      <w:r w:rsidRPr="00015B1B">
        <w:rPr>
          <w:szCs w:val="22"/>
          <w:lang w:val="en-GB"/>
        </w:rPr>
        <w:t>asthenia and features of tumour lysis syndrome. Severe infusion</w:t>
      </w:r>
      <w:r w:rsidR="000A6DDA" w:rsidRPr="00015B1B">
        <w:rPr>
          <w:szCs w:val="22"/>
          <w:lang w:val="en-GB"/>
        </w:rPr>
        <w:noBreakHyphen/>
      </w:r>
      <w:r w:rsidRPr="00015B1B">
        <w:rPr>
          <w:szCs w:val="22"/>
          <w:lang w:val="en-GB"/>
        </w:rPr>
        <w:t xml:space="preserve">related reactions (such as bronchospasm, hypotension) occurred in up to 12% of the cases. </w:t>
      </w:r>
    </w:p>
    <w:p w14:paraId="7C33131A" w14:textId="77777777" w:rsidR="00AB35E5" w:rsidRDefault="00AB35E5" w:rsidP="008F369D">
      <w:pPr>
        <w:rPr>
          <w:szCs w:val="22"/>
          <w:lang w:val="en-GB"/>
        </w:rPr>
      </w:pPr>
    </w:p>
    <w:p w14:paraId="7C33131B" w14:textId="77777777" w:rsidR="008F369D" w:rsidRPr="00C501E3" w:rsidRDefault="00016F29" w:rsidP="008F369D">
      <w:pPr>
        <w:rPr>
          <w:szCs w:val="22"/>
          <w:lang w:val="en-GB"/>
        </w:rPr>
      </w:pPr>
      <w:r w:rsidRPr="00015B1B">
        <w:rPr>
          <w:szCs w:val="22"/>
          <w:lang w:val="en-GB"/>
        </w:rPr>
        <w:t>Additional reactions reported in some cases were myocardial infarction, atrial fibrillation, pulmonary oedema</w:t>
      </w:r>
      <w:r w:rsidRPr="00015B1B">
        <w:rPr>
          <w:lang w:val="en-GB"/>
        </w:rPr>
        <w:t xml:space="preserve"> and acute reversible thrombocytopenia</w:t>
      </w:r>
      <w:r w:rsidRPr="00015B1B">
        <w:rPr>
          <w:szCs w:val="22"/>
          <w:lang w:val="en-GB"/>
        </w:rPr>
        <w:t>. Exacerbations of pre</w:t>
      </w:r>
      <w:r w:rsidR="000A6DDA" w:rsidRPr="00015B1B">
        <w:rPr>
          <w:szCs w:val="22"/>
          <w:lang w:val="en-GB"/>
        </w:rPr>
        <w:noBreakHyphen/>
      </w:r>
      <w:r w:rsidRPr="00015B1B">
        <w:rPr>
          <w:szCs w:val="22"/>
          <w:lang w:val="en-GB"/>
        </w:rPr>
        <w:t xml:space="preserve">existing cardiac conditions such as angina pectoris or congestive heart failure or </w:t>
      </w:r>
      <w:r w:rsidRPr="00015B1B">
        <w:rPr>
          <w:snapToGrid w:val="0"/>
          <w:szCs w:val="22"/>
          <w:lang w:val="en-GB" w:eastAsia="en-US"/>
        </w:rPr>
        <w:t xml:space="preserve">severe cardiac disorders (heart failure, myocardial infarction, </w:t>
      </w:r>
      <w:r w:rsidRPr="00015B1B">
        <w:rPr>
          <w:szCs w:val="22"/>
          <w:lang w:val="en-GB"/>
        </w:rPr>
        <w:t>atrial fibrillation</w:t>
      </w:r>
      <w:r w:rsidRPr="00015B1B">
        <w:rPr>
          <w:snapToGrid w:val="0"/>
          <w:szCs w:val="22"/>
          <w:lang w:val="en-GB" w:eastAsia="en-US"/>
        </w:rPr>
        <w:t xml:space="preserve">), </w:t>
      </w:r>
      <w:r w:rsidRPr="00015B1B">
        <w:rPr>
          <w:szCs w:val="22"/>
          <w:lang w:val="en-GB"/>
        </w:rPr>
        <w:t>pulmonary oedema, multi</w:t>
      </w:r>
      <w:r w:rsidR="000A6DDA" w:rsidRPr="00015B1B">
        <w:rPr>
          <w:szCs w:val="22"/>
          <w:lang w:val="en-GB"/>
        </w:rPr>
        <w:noBreakHyphen/>
      </w:r>
      <w:r w:rsidRPr="00015B1B">
        <w:rPr>
          <w:szCs w:val="22"/>
          <w:lang w:val="en-GB"/>
        </w:rPr>
        <w:t>organ failure</w:t>
      </w:r>
      <w:r w:rsidRPr="00015B1B">
        <w:rPr>
          <w:snapToGrid w:val="0"/>
          <w:szCs w:val="22"/>
          <w:lang w:val="en-GB" w:eastAsia="en-US"/>
        </w:rPr>
        <w:t xml:space="preserve">, tumour lysis syndrome, cytokine release syndrome, renal failure, and respiratory failure were reported </w:t>
      </w:r>
      <w:r w:rsidRPr="00015B1B">
        <w:rPr>
          <w:szCs w:val="22"/>
          <w:lang w:val="en-GB"/>
        </w:rPr>
        <w:t>at lower or unknown frequencies. The incidence of infusion</w:t>
      </w:r>
      <w:r w:rsidR="000A6DDA" w:rsidRPr="00015B1B">
        <w:rPr>
          <w:szCs w:val="22"/>
          <w:lang w:val="en-GB"/>
        </w:rPr>
        <w:noBreakHyphen/>
      </w:r>
      <w:r w:rsidRPr="00015B1B">
        <w:rPr>
          <w:szCs w:val="22"/>
          <w:lang w:val="en-GB"/>
        </w:rPr>
        <w:t>related symptoms decreased substantially with subsequent infusions and is &lt;1%</w:t>
      </w:r>
      <w:r w:rsidRPr="00964018">
        <w:rPr>
          <w:szCs w:val="22"/>
          <w:lang w:val="en-GB"/>
        </w:rPr>
        <w:t xml:space="preserve"> of patients b</w:t>
      </w:r>
      <w:r w:rsidRPr="0014385D">
        <w:rPr>
          <w:szCs w:val="22"/>
          <w:lang w:val="en-GB"/>
        </w:rPr>
        <w:t>y the eighth cycle of MabThera (containing) treatment.</w:t>
      </w:r>
      <w:r w:rsidRPr="00E40FB5">
        <w:rPr>
          <w:szCs w:val="22"/>
          <w:lang w:val="en-GB"/>
        </w:rPr>
        <w:t xml:space="preserve"> </w:t>
      </w:r>
    </w:p>
    <w:p w14:paraId="7C33131C" w14:textId="77777777" w:rsidR="008F369D" w:rsidRPr="00C501E3" w:rsidRDefault="008F369D" w:rsidP="008F369D">
      <w:pPr>
        <w:rPr>
          <w:szCs w:val="22"/>
          <w:lang w:val="en-GB"/>
        </w:rPr>
      </w:pPr>
    </w:p>
    <w:p w14:paraId="7C33131D" w14:textId="77777777" w:rsidR="008F369D" w:rsidRPr="003D1687" w:rsidRDefault="00016F29" w:rsidP="008F369D">
      <w:pPr>
        <w:rPr>
          <w:i/>
          <w:szCs w:val="22"/>
          <w:u w:val="single"/>
          <w:lang w:val="en-GB"/>
        </w:rPr>
      </w:pPr>
      <w:r w:rsidRPr="003D1687">
        <w:rPr>
          <w:i/>
          <w:szCs w:val="22"/>
          <w:u w:val="single"/>
          <w:lang w:val="en-GB"/>
        </w:rPr>
        <w:t>Description of selected adverse reactions</w:t>
      </w:r>
    </w:p>
    <w:p w14:paraId="7C33131E" w14:textId="77777777" w:rsidR="008F369D" w:rsidRPr="004D365B" w:rsidRDefault="008F369D" w:rsidP="008F369D">
      <w:pPr>
        <w:rPr>
          <w:szCs w:val="22"/>
          <w:lang w:val="en-GB"/>
        </w:rPr>
      </w:pPr>
    </w:p>
    <w:p w14:paraId="7C33131F" w14:textId="77777777" w:rsidR="008F369D" w:rsidRPr="00E40FB5" w:rsidRDefault="00016F29" w:rsidP="008F369D">
      <w:pPr>
        <w:outlineLvl w:val="0"/>
        <w:rPr>
          <w:i/>
          <w:szCs w:val="22"/>
          <w:lang w:val="en-GB"/>
        </w:rPr>
      </w:pPr>
      <w:r w:rsidRPr="00E40FB5">
        <w:rPr>
          <w:i/>
          <w:szCs w:val="22"/>
          <w:lang w:val="en-GB"/>
        </w:rPr>
        <w:t xml:space="preserve">Infections </w:t>
      </w:r>
    </w:p>
    <w:p w14:paraId="7C331320" w14:textId="77777777" w:rsidR="008F369D" w:rsidRPr="00015B1B" w:rsidRDefault="00016F29" w:rsidP="008F369D">
      <w:pPr>
        <w:rPr>
          <w:szCs w:val="22"/>
          <w:lang w:val="en-GB"/>
        </w:rPr>
      </w:pPr>
      <w:r w:rsidRPr="00015B1B">
        <w:rPr>
          <w:szCs w:val="22"/>
          <w:lang w:val="en-GB"/>
        </w:rPr>
        <w:t>MabThera induces B</w:t>
      </w:r>
      <w:r w:rsidR="000A6DDA" w:rsidRPr="00015B1B">
        <w:rPr>
          <w:szCs w:val="22"/>
          <w:lang w:val="en-GB"/>
        </w:rPr>
        <w:noBreakHyphen/>
      </w:r>
      <w:r w:rsidRPr="00015B1B">
        <w:rPr>
          <w:szCs w:val="22"/>
          <w:lang w:val="en-GB"/>
        </w:rPr>
        <w:t>cell depletion in about 70</w:t>
      </w:r>
      <w:r w:rsidR="000A6DDA" w:rsidRPr="00015B1B">
        <w:rPr>
          <w:szCs w:val="22"/>
          <w:lang w:val="en-GB"/>
        </w:rPr>
        <w:noBreakHyphen/>
      </w:r>
      <w:r w:rsidRPr="00015B1B">
        <w:rPr>
          <w:szCs w:val="22"/>
          <w:lang w:val="en-GB"/>
        </w:rPr>
        <w:t xml:space="preserve">80% of patients, but was associated with decreased serum immunoglobulins only in a minority of patients. </w:t>
      </w:r>
    </w:p>
    <w:p w14:paraId="7C331321" w14:textId="77777777" w:rsidR="008F369D" w:rsidRPr="00015B1B" w:rsidRDefault="008F369D" w:rsidP="008F369D">
      <w:pPr>
        <w:rPr>
          <w:szCs w:val="22"/>
          <w:lang w:val="en-GB"/>
        </w:rPr>
      </w:pPr>
    </w:p>
    <w:p w14:paraId="7C331322" w14:textId="77777777" w:rsidR="008F369D" w:rsidRPr="00015B1B" w:rsidRDefault="00016F29" w:rsidP="008F369D">
      <w:pPr>
        <w:rPr>
          <w:iCs/>
          <w:szCs w:val="22"/>
          <w:lang w:val="en-GB"/>
        </w:rPr>
      </w:pPr>
      <w:r w:rsidRPr="00015B1B">
        <w:rPr>
          <w:szCs w:val="22"/>
          <w:lang w:val="en-GB"/>
        </w:rPr>
        <w:t>Locali</w:t>
      </w:r>
      <w:r w:rsidR="005B7FA0">
        <w:rPr>
          <w:szCs w:val="22"/>
          <w:lang w:val="en-GB"/>
        </w:rPr>
        <w:t>s</w:t>
      </w:r>
      <w:r w:rsidRPr="00015B1B">
        <w:rPr>
          <w:szCs w:val="22"/>
          <w:lang w:val="en-GB"/>
        </w:rPr>
        <w:t>ed candida infections as well as Herpes zoster were reported at a higher incidence in the MabThera</w:t>
      </w:r>
      <w:r w:rsidR="000A6DDA" w:rsidRPr="00015B1B">
        <w:rPr>
          <w:szCs w:val="22"/>
          <w:lang w:val="en-GB"/>
        </w:rPr>
        <w:noBreakHyphen/>
      </w:r>
      <w:r w:rsidRPr="00015B1B">
        <w:rPr>
          <w:szCs w:val="22"/>
          <w:lang w:val="en-GB"/>
        </w:rPr>
        <w:t xml:space="preserve">containing arm of randomised studies. </w:t>
      </w:r>
      <w:r w:rsidRPr="00015B1B">
        <w:rPr>
          <w:lang w:val="en-GB"/>
        </w:rPr>
        <w:t xml:space="preserve">Severe infections were reported in about 4% of patients treated with MabThera monotherapy. </w:t>
      </w:r>
      <w:r w:rsidRPr="00015B1B">
        <w:rPr>
          <w:szCs w:val="22"/>
          <w:lang w:val="en-GB"/>
        </w:rPr>
        <w:t>Higher frequencies of infections overall, including grade 3 or 4 infections, were observed during MabThera maintenance treatment up to 2 years when compared to observation.</w:t>
      </w:r>
      <w:r w:rsidR="00082069">
        <w:rPr>
          <w:szCs w:val="22"/>
          <w:lang w:val="en-GB"/>
        </w:rPr>
        <w:t xml:space="preserve"> </w:t>
      </w:r>
      <w:r w:rsidRPr="00015B1B">
        <w:rPr>
          <w:lang w:val="en-GB"/>
        </w:rPr>
        <w:t>There was no cumulative toxicity in terms of infections reported over a 2</w:t>
      </w:r>
      <w:r w:rsidR="000A6DDA" w:rsidRPr="00015B1B">
        <w:rPr>
          <w:lang w:val="en-GB"/>
        </w:rPr>
        <w:noBreakHyphen/>
      </w:r>
      <w:r w:rsidRPr="00015B1B">
        <w:rPr>
          <w:lang w:val="en-GB"/>
        </w:rPr>
        <w:t>year treatment period</w:t>
      </w:r>
      <w:r w:rsidRPr="00015B1B">
        <w:rPr>
          <w:szCs w:val="22"/>
          <w:lang w:val="en-GB"/>
        </w:rPr>
        <w:t>. In addition, other serious viral infections either new, reactivated or</w:t>
      </w:r>
      <w:r w:rsidRPr="00F332AF">
        <w:rPr>
          <w:szCs w:val="22"/>
          <w:lang w:val="en-GB"/>
        </w:rPr>
        <w:t xml:space="preserve"> exacerbated, some of which were fatal, have been reported with MabThera treatment. </w:t>
      </w:r>
      <w:r w:rsidRPr="00E40FB5">
        <w:rPr>
          <w:szCs w:val="22"/>
          <w:lang w:val="en-GB"/>
        </w:rPr>
        <w:t xml:space="preserve">The majority of patients had received </w:t>
      </w:r>
      <w:r w:rsidRPr="00F332AF">
        <w:rPr>
          <w:szCs w:val="22"/>
          <w:lang w:val="en-GB"/>
        </w:rPr>
        <w:t xml:space="preserve">MabThera </w:t>
      </w:r>
      <w:r w:rsidRPr="00E40FB5">
        <w:rPr>
          <w:szCs w:val="22"/>
          <w:lang w:val="en-GB"/>
        </w:rPr>
        <w:t>in combination with chemotherapy or as part</w:t>
      </w:r>
      <w:r w:rsidRPr="0053610E">
        <w:rPr>
          <w:lang w:val="en-GB"/>
        </w:rPr>
        <w:t xml:space="preserve"> of a haematopoetic stem cell transplant. Examples of these serious viral infections are infections caused by the h</w:t>
      </w:r>
      <w:r w:rsidRPr="00E40FB5">
        <w:rPr>
          <w:szCs w:val="22"/>
          <w:lang w:val="en-GB"/>
        </w:rPr>
        <w:t>erpes viruses (Cytomegalovirus, Varicella Zoster Virus and Herpes Simplex Virus), JC virus (progressive multifocal leukoencephalopathy (PML)) and hepatitis C virus.</w:t>
      </w:r>
      <w:r w:rsidRPr="00F332AF">
        <w:rPr>
          <w:szCs w:val="22"/>
          <w:lang w:val="en-GB"/>
        </w:rPr>
        <w:t xml:space="preserve"> </w:t>
      </w:r>
      <w:r w:rsidRPr="00E40FB5">
        <w:rPr>
          <w:szCs w:val="22"/>
          <w:lang w:val="en-GB"/>
        </w:rPr>
        <w:t>Cases of fatal PML that occurred after disease progression and retreatment have also been reported in clinical trials.</w:t>
      </w:r>
      <w:r w:rsidRPr="00F332AF">
        <w:rPr>
          <w:szCs w:val="22"/>
          <w:lang w:val="en-GB"/>
        </w:rPr>
        <w:t xml:space="preserve"> C</w:t>
      </w:r>
      <w:r w:rsidRPr="00F332AF">
        <w:rPr>
          <w:rFonts w:eastAsia="MS Mincho"/>
          <w:szCs w:val="22"/>
          <w:lang w:val="en-GB"/>
        </w:rPr>
        <w:t xml:space="preserve">ases of hepatitis B reactivation, have been reported, the majority of which were in </w:t>
      </w:r>
      <w:r>
        <w:rPr>
          <w:rFonts w:eastAsia="MS Mincho"/>
          <w:szCs w:val="22"/>
          <w:lang w:val="en-GB"/>
        </w:rPr>
        <w:t>patien</w:t>
      </w:r>
      <w:r w:rsidRPr="00F332AF">
        <w:rPr>
          <w:rFonts w:eastAsia="MS Mincho"/>
          <w:szCs w:val="22"/>
          <w:lang w:val="en-GB"/>
        </w:rPr>
        <w:t>ts receiving MabThera in combination with cytotoxic chemotherapy</w:t>
      </w:r>
      <w:r w:rsidRPr="00525A55">
        <w:rPr>
          <w:szCs w:val="22"/>
          <w:lang w:val="en-GB"/>
        </w:rPr>
        <w:t>.</w:t>
      </w:r>
      <w:r w:rsidRPr="00E40FB5">
        <w:rPr>
          <w:szCs w:val="22"/>
          <w:lang w:val="en-GB"/>
        </w:rPr>
        <w:t xml:space="preserve"> In patients with </w:t>
      </w:r>
      <w:r w:rsidRPr="00E40FB5">
        <w:rPr>
          <w:lang w:val="en-GB"/>
        </w:rPr>
        <w:t xml:space="preserve">relapsed/refractory </w:t>
      </w:r>
      <w:r w:rsidRPr="00E40FB5">
        <w:rPr>
          <w:szCs w:val="22"/>
          <w:lang w:val="en-GB"/>
        </w:rPr>
        <w:t xml:space="preserve">CLL, the </w:t>
      </w:r>
      <w:r w:rsidRPr="00E40FB5">
        <w:rPr>
          <w:lang w:val="en-GB"/>
        </w:rPr>
        <w:t xml:space="preserve">incidence of grade 3/4 hepatitis </w:t>
      </w:r>
      <w:r w:rsidRPr="00015B1B">
        <w:rPr>
          <w:lang w:val="en-GB"/>
        </w:rPr>
        <w:t>B infection (reactivation and primary infection) was 2% in R</w:t>
      </w:r>
      <w:r w:rsidR="000A6DDA" w:rsidRPr="00015B1B">
        <w:rPr>
          <w:lang w:val="en-GB"/>
        </w:rPr>
        <w:noBreakHyphen/>
      </w:r>
      <w:r w:rsidRPr="00015B1B">
        <w:rPr>
          <w:lang w:val="en-GB"/>
        </w:rPr>
        <w:t>FC vs 0% FC. Progression of Kaposi’s sarcoma has been observed in MabThera</w:t>
      </w:r>
      <w:r w:rsidR="000A6DDA" w:rsidRPr="00015B1B">
        <w:rPr>
          <w:lang w:val="en-GB"/>
        </w:rPr>
        <w:noBreakHyphen/>
      </w:r>
      <w:r w:rsidRPr="00015B1B">
        <w:rPr>
          <w:lang w:val="en-GB"/>
        </w:rPr>
        <w:t>exposed patients with pre</w:t>
      </w:r>
      <w:r w:rsidR="000A6DDA" w:rsidRPr="00015B1B">
        <w:rPr>
          <w:lang w:val="en-GB"/>
        </w:rPr>
        <w:noBreakHyphen/>
      </w:r>
      <w:r w:rsidRPr="00015B1B">
        <w:rPr>
          <w:lang w:val="en-GB"/>
        </w:rPr>
        <w:t>existing Kaposi’s sarcoma. These cases occurred in non</w:t>
      </w:r>
      <w:r w:rsidR="000A6DDA" w:rsidRPr="00015B1B">
        <w:rPr>
          <w:lang w:val="en-GB"/>
        </w:rPr>
        <w:noBreakHyphen/>
      </w:r>
      <w:r w:rsidRPr="00015B1B">
        <w:rPr>
          <w:lang w:val="en-GB"/>
        </w:rPr>
        <w:t>approved indications and the majority of patients were HIV positive.</w:t>
      </w:r>
    </w:p>
    <w:p w14:paraId="7C331323" w14:textId="77777777" w:rsidR="008F369D" w:rsidRPr="00E40FB5" w:rsidRDefault="008F369D" w:rsidP="008F369D">
      <w:pPr>
        <w:rPr>
          <w:b/>
          <w:szCs w:val="22"/>
          <w:lang w:val="en-GB"/>
        </w:rPr>
      </w:pPr>
    </w:p>
    <w:p w14:paraId="7C331324" w14:textId="77777777" w:rsidR="008F369D" w:rsidRPr="00E40FB5" w:rsidRDefault="00016F29" w:rsidP="008F369D">
      <w:pPr>
        <w:outlineLvl w:val="0"/>
        <w:rPr>
          <w:b/>
          <w:i/>
          <w:szCs w:val="22"/>
          <w:lang w:val="en-GB"/>
        </w:rPr>
      </w:pPr>
      <w:r w:rsidRPr="00E40FB5">
        <w:rPr>
          <w:i/>
          <w:szCs w:val="22"/>
          <w:lang w:val="en-GB"/>
        </w:rPr>
        <w:t>Haematologic adverse reactions</w:t>
      </w:r>
      <w:r w:rsidRPr="00E40FB5">
        <w:rPr>
          <w:b/>
          <w:i/>
          <w:szCs w:val="22"/>
          <w:lang w:val="en-GB"/>
        </w:rPr>
        <w:t xml:space="preserve"> </w:t>
      </w:r>
    </w:p>
    <w:p w14:paraId="7C331325" w14:textId="77777777" w:rsidR="008F369D" w:rsidRPr="00015B1B" w:rsidRDefault="00016F29" w:rsidP="008F369D">
      <w:pPr>
        <w:rPr>
          <w:lang w:val="en-GB"/>
        </w:rPr>
      </w:pPr>
      <w:r w:rsidRPr="00F332AF">
        <w:rPr>
          <w:szCs w:val="22"/>
          <w:lang w:val="en-GB"/>
        </w:rPr>
        <w:t>In clinical trials with MabThera monotherapy given for 4 weeks, haematological abnormalities occurred in a minority of patients and were usually mild and reversible. Severe (grade 3/4) neutropenia was reported in 4.2%, anaemia in 1.1% and thrombocytopenia in 1.7% of the patients. During</w:t>
      </w:r>
      <w:r w:rsidRPr="00F332AF">
        <w:rPr>
          <w:szCs w:val="22"/>
          <w:u w:val="single"/>
          <w:lang w:val="en-GB"/>
        </w:rPr>
        <w:t xml:space="preserve"> </w:t>
      </w:r>
      <w:r w:rsidRPr="00F332AF">
        <w:rPr>
          <w:szCs w:val="22"/>
          <w:lang w:val="en-GB"/>
        </w:rPr>
        <w:t>MabThera maintenanc</w:t>
      </w:r>
      <w:r w:rsidRPr="00525A55">
        <w:rPr>
          <w:szCs w:val="22"/>
          <w:lang w:val="en-GB"/>
        </w:rPr>
        <w:t>e treatment for up to 2 years, leucopenia (5% vs.</w:t>
      </w:r>
      <w:r w:rsidRPr="00EF300D">
        <w:rPr>
          <w:szCs w:val="22"/>
          <w:lang w:val="en-GB"/>
        </w:rPr>
        <w:t xml:space="preserve"> 2%, grade 3/4) and neutropenia (10% vs.</w:t>
      </w:r>
      <w:r w:rsidRPr="00DF4B74">
        <w:rPr>
          <w:szCs w:val="22"/>
          <w:lang w:val="en-GB"/>
        </w:rPr>
        <w:t xml:space="preserve"> </w:t>
      </w:r>
      <w:r w:rsidRPr="00964018">
        <w:rPr>
          <w:szCs w:val="22"/>
          <w:lang w:val="en-GB"/>
        </w:rPr>
        <w:t>4</w:t>
      </w:r>
      <w:r w:rsidRPr="0014385D">
        <w:rPr>
          <w:szCs w:val="22"/>
          <w:lang w:val="en-GB"/>
        </w:rPr>
        <w:t>%, grade 3/4) were reported at a higher incidence when compared to observation. The incidenc</w:t>
      </w:r>
      <w:r w:rsidRPr="008C7921">
        <w:rPr>
          <w:szCs w:val="22"/>
          <w:lang w:val="en-GB"/>
        </w:rPr>
        <w:t>e of thrombocytopenia was low (</w:t>
      </w:r>
      <w:r w:rsidRPr="006E7408">
        <w:rPr>
          <w:szCs w:val="22"/>
          <w:lang w:val="en-GB"/>
        </w:rPr>
        <w:t>&lt;1%, grade 3/4) and was not different between treatment arms. During the treatment course i</w:t>
      </w:r>
      <w:r w:rsidRPr="00B228A0">
        <w:rPr>
          <w:szCs w:val="22"/>
          <w:lang w:val="en-GB"/>
        </w:rPr>
        <w:t xml:space="preserve">n studies with MabThera in combination with </w:t>
      </w:r>
      <w:r w:rsidRPr="00015B1B">
        <w:rPr>
          <w:szCs w:val="22"/>
          <w:lang w:val="en-GB"/>
        </w:rPr>
        <w:t xml:space="preserve">chemotherapy, </w:t>
      </w:r>
      <w:r w:rsidRPr="00015B1B">
        <w:rPr>
          <w:lang w:val="en-GB"/>
        </w:rPr>
        <w:t>grade 3/4 leucopenia (R</w:t>
      </w:r>
      <w:r w:rsidR="000A6DDA" w:rsidRPr="00015B1B">
        <w:rPr>
          <w:lang w:val="en-GB"/>
        </w:rPr>
        <w:noBreakHyphen/>
      </w:r>
      <w:r w:rsidRPr="00015B1B">
        <w:rPr>
          <w:lang w:val="en-GB"/>
        </w:rPr>
        <w:t>CHOP 88% vs. CHOP 79%, R</w:t>
      </w:r>
      <w:r w:rsidR="000A6DDA" w:rsidRPr="00015B1B">
        <w:rPr>
          <w:lang w:val="en-GB"/>
        </w:rPr>
        <w:noBreakHyphen/>
      </w:r>
      <w:r w:rsidRPr="00015B1B">
        <w:rPr>
          <w:lang w:val="en-GB"/>
        </w:rPr>
        <w:t>FC 23% vs. FC 12%), neutropenia (R</w:t>
      </w:r>
      <w:r w:rsidR="000A6DDA" w:rsidRPr="00015B1B">
        <w:rPr>
          <w:lang w:val="en-GB"/>
        </w:rPr>
        <w:noBreakHyphen/>
      </w:r>
      <w:r w:rsidRPr="00015B1B">
        <w:rPr>
          <w:lang w:val="en-GB"/>
        </w:rPr>
        <w:t>CVP 24% vs. CVP 14%; R</w:t>
      </w:r>
      <w:r w:rsidR="000A6DDA" w:rsidRPr="00015B1B">
        <w:rPr>
          <w:lang w:val="en-GB"/>
        </w:rPr>
        <w:noBreakHyphen/>
      </w:r>
      <w:r w:rsidRPr="00015B1B">
        <w:rPr>
          <w:lang w:val="en-GB"/>
        </w:rPr>
        <w:t>CHOP 97% vs. CHOP 88%, R</w:t>
      </w:r>
      <w:r w:rsidR="000A6DDA" w:rsidRPr="00015B1B">
        <w:rPr>
          <w:lang w:val="en-GB"/>
        </w:rPr>
        <w:noBreakHyphen/>
      </w:r>
      <w:r w:rsidRPr="00015B1B">
        <w:rPr>
          <w:lang w:val="en-GB"/>
        </w:rPr>
        <w:t>FC 30% vs. FC 19% in previously untreated CLL), pancytopenia (R</w:t>
      </w:r>
      <w:r w:rsidR="000A6DDA" w:rsidRPr="00015B1B">
        <w:rPr>
          <w:lang w:val="en-GB"/>
        </w:rPr>
        <w:noBreakHyphen/>
      </w:r>
      <w:r w:rsidRPr="00015B1B">
        <w:rPr>
          <w:lang w:val="en-GB"/>
        </w:rPr>
        <w:t>FC 3% vs. FC 1% in previously untreated CLL) were</w:t>
      </w:r>
      <w:r w:rsidRPr="004D365B">
        <w:rPr>
          <w:lang w:val="en-GB"/>
        </w:rPr>
        <w:t xml:space="preserve"> usually </w:t>
      </w:r>
      <w:r w:rsidRPr="00707538">
        <w:rPr>
          <w:lang w:val="en-GB"/>
        </w:rPr>
        <w:t>reported with</w:t>
      </w:r>
      <w:r w:rsidRPr="003D1687">
        <w:rPr>
          <w:lang w:val="en-GB"/>
        </w:rPr>
        <w:t xml:space="preserve"> higher frequencies when compared to chemotherapy alone. However, the higher incidence of neutropenia in patients treated with MabThera and chemotherapy was not associated with a higher incidence of infections and infestations compared to patients treated with chemotherapy alone</w:t>
      </w:r>
      <w:r w:rsidRPr="009E733A">
        <w:rPr>
          <w:lang w:val="en-GB"/>
        </w:rPr>
        <w:t xml:space="preserve">. Studies in previously untreated and relapsed/refractory CLL have established that in </w:t>
      </w:r>
      <w:r w:rsidRPr="00454791">
        <w:rPr>
          <w:lang w:val="en-GB"/>
        </w:rPr>
        <w:t xml:space="preserve">up to 25% </w:t>
      </w:r>
      <w:r w:rsidRPr="00015B1B">
        <w:rPr>
          <w:lang w:val="en-GB"/>
        </w:rPr>
        <w:t>of patients treated with R</w:t>
      </w:r>
      <w:r w:rsidR="000A6DDA" w:rsidRPr="00015B1B">
        <w:rPr>
          <w:lang w:val="en-GB"/>
        </w:rPr>
        <w:noBreakHyphen/>
      </w:r>
      <w:r w:rsidRPr="00015B1B">
        <w:rPr>
          <w:lang w:val="en-GB"/>
        </w:rPr>
        <w:t>FC neutropenia was prolonged (defined as neutrophil count remaining</w:t>
      </w:r>
      <w:r w:rsidRPr="00AA1DD8">
        <w:rPr>
          <w:lang w:val="en-GB"/>
        </w:rPr>
        <w:t xml:space="preserve"> below 1x10</w:t>
      </w:r>
      <w:r w:rsidRPr="00AA1DD8">
        <w:rPr>
          <w:vertAlign w:val="superscript"/>
          <w:lang w:val="en-GB"/>
        </w:rPr>
        <w:t>9</w:t>
      </w:r>
      <w:r w:rsidRPr="00AA1DD8">
        <w:rPr>
          <w:lang w:val="en-GB"/>
        </w:rPr>
        <w:t xml:space="preserve">/L between day 24 and 42 after the last dose) or occurred with a late onset </w:t>
      </w:r>
      <w:r w:rsidRPr="00E40FB5">
        <w:rPr>
          <w:lang w:val="en-GB"/>
        </w:rPr>
        <w:t>(defined as neutrophil count below 1x10</w:t>
      </w:r>
      <w:r w:rsidRPr="00E40FB5">
        <w:rPr>
          <w:vertAlign w:val="superscript"/>
          <w:lang w:val="en-GB"/>
        </w:rPr>
        <w:t>9</w:t>
      </w:r>
      <w:r w:rsidRPr="00E40FB5">
        <w:rPr>
          <w:lang w:val="en-GB"/>
        </w:rPr>
        <w:t xml:space="preserve">/L later than 42 days after last dose in patients with no previous prolonged neutropenia or who recovered prior to day 42) </w:t>
      </w:r>
      <w:r w:rsidRPr="00F332AF">
        <w:rPr>
          <w:lang w:val="en-GB"/>
        </w:rPr>
        <w:t>following treatment with MabThera plus FC</w:t>
      </w:r>
      <w:r w:rsidRPr="00525A55">
        <w:rPr>
          <w:lang w:val="en-GB"/>
        </w:rPr>
        <w:t>.</w:t>
      </w:r>
      <w:r w:rsidRPr="00525A55">
        <w:rPr>
          <w:szCs w:val="22"/>
          <w:lang w:val="en-GB"/>
        </w:rPr>
        <w:t xml:space="preserve"> There were no differences reported for the incidence of anaemia</w:t>
      </w:r>
      <w:r w:rsidRPr="00EF300D">
        <w:rPr>
          <w:szCs w:val="22"/>
          <w:lang w:val="en-GB"/>
        </w:rPr>
        <w:t>.</w:t>
      </w:r>
      <w:r w:rsidRPr="00DF4B74">
        <w:rPr>
          <w:lang w:val="en-GB"/>
        </w:rPr>
        <w:t xml:space="preserve"> </w:t>
      </w:r>
      <w:r w:rsidRPr="00964018">
        <w:rPr>
          <w:szCs w:val="22"/>
          <w:lang w:val="en-GB"/>
        </w:rPr>
        <w:t>Some c</w:t>
      </w:r>
      <w:r w:rsidRPr="0014385D">
        <w:rPr>
          <w:lang w:val="en-GB"/>
        </w:rPr>
        <w:t xml:space="preserve">ases of late </w:t>
      </w:r>
      <w:r w:rsidRPr="0014385D">
        <w:rPr>
          <w:szCs w:val="22"/>
          <w:lang w:val="en-GB"/>
        </w:rPr>
        <w:t xml:space="preserve">neutropenia </w:t>
      </w:r>
      <w:r w:rsidRPr="00015B1B">
        <w:rPr>
          <w:szCs w:val="22"/>
          <w:lang w:val="en-GB"/>
        </w:rPr>
        <w:t xml:space="preserve">occurring more than four weeks after the last infusion of MabThera were reported. </w:t>
      </w:r>
      <w:r w:rsidRPr="00015B1B">
        <w:rPr>
          <w:lang w:val="en-GB"/>
        </w:rPr>
        <w:t>In the CLL first</w:t>
      </w:r>
      <w:r w:rsidR="000A6DDA" w:rsidRPr="00015B1B">
        <w:rPr>
          <w:lang w:val="en-GB"/>
        </w:rPr>
        <w:noBreakHyphen/>
      </w:r>
      <w:r w:rsidRPr="00015B1B">
        <w:rPr>
          <w:lang w:val="en-GB"/>
        </w:rPr>
        <w:t>line study, Binet stage C patients experienced more adverse events in the R</w:t>
      </w:r>
      <w:r w:rsidR="000A6DDA" w:rsidRPr="00015B1B">
        <w:rPr>
          <w:lang w:val="en-GB"/>
        </w:rPr>
        <w:noBreakHyphen/>
      </w:r>
      <w:r w:rsidRPr="00015B1B">
        <w:rPr>
          <w:lang w:val="en-GB"/>
        </w:rPr>
        <w:t>FC arm compared to the FC arm (R</w:t>
      </w:r>
      <w:r w:rsidR="000A6DDA" w:rsidRPr="00015B1B">
        <w:rPr>
          <w:lang w:val="en-GB"/>
        </w:rPr>
        <w:noBreakHyphen/>
      </w:r>
      <w:r w:rsidRPr="00015B1B">
        <w:rPr>
          <w:lang w:val="en-GB"/>
        </w:rPr>
        <w:t>FC 83% vs. FC 71%)</w:t>
      </w:r>
      <w:r w:rsidRPr="00015B1B">
        <w:rPr>
          <w:szCs w:val="22"/>
          <w:lang w:val="en-GB"/>
        </w:rPr>
        <w:t xml:space="preserve">. In the relapsed/refractory CLL study </w:t>
      </w:r>
      <w:r w:rsidRPr="00015B1B">
        <w:rPr>
          <w:lang w:val="en-GB"/>
        </w:rPr>
        <w:t xml:space="preserve">grade </w:t>
      </w:r>
      <w:r w:rsidRPr="00015B1B">
        <w:rPr>
          <w:szCs w:val="22"/>
          <w:lang w:val="en-GB"/>
        </w:rPr>
        <w:t xml:space="preserve">3/4 </w:t>
      </w:r>
      <w:r w:rsidRPr="00015B1B">
        <w:rPr>
          <w:lang w:val="en-GB"/>
        </w:rPr>
        <w:t>thrombocytopenia was reported in 11% of patients in the R</w:t>
      </w:r>
      <w:r w:rsidR="000A6DDA" w:rsidRPr="00015B1B">
        <w:rPr>
          <w:lang w:val="en-GB"/>
        </w:rPr>
        <w:noBreakHyphen/>
      </w:r>
      <w:r w:rsidRPr="00015B1B">
        <w:rPr>
          <w:lang w:val="en-GB"/>
        </w:rPr>
        <w:t>FC group compared to 9% of patients in the FC group.</w:t>
      </w:r>
      <w:r w:rsidRPr="00015B1B">
        <w:rPr>
          <w:szCs w:val="22"/>
          <w:lang w:val="en-GB"/>
        </w:rPr>
        <w:t xml:space="preserve"> </w:t>
      </w:r>
    </w:p>
    <w:p w14:paraId="7C331326" w14:textId="77777777" w:rsidR="008F369D" w:rsidRPr="00F332AF" w:rsidRDefault="008F369D" w:rsidP="008F369D">
      <w:pPr>
        <w:rPr>
          <w:lang w:val="en-GB"/>
        </w:rPr>
      </w:pPr>
    </w:p>
    <w:p w14:paraId="7C331327" w14:textId="77777777" w:rsidR="008F369D" w:rsidRPr="00F332AF" w:rsidRDefault="00016F29" w:rsidP="008F369D">
      <w:pPr>
        <w:rPr>
          <w:iCs/>
          <w:szCs w:val="22"/>
          <w:lang w:val="en-GB"/>
        </w:rPr>
      </w:pPr>
      <w:r w:rsidRPr="00E40FB5">
        <w:rPr>
          <w:rFonts w:eastAsia="Arial Unicode MS"/>
          <w:szCs w:val="22"/>
          <w:lang w:val="en-GB"/>
        </w:rPr>
        <w:t>In studies of MabThera in patients with Waldenstrom’s macroglobulinaemia, transient increases in serum IgM levels have been observed following treatment initiation, which may be associated with hyperviscosity and related symptoms. The transient IgM increase usually returned to at least baseline level within 4 months.</w:t>
      </w:r>
    </w:p>
    <w:p w14:paraId="7C331328" w14:textId="77777777" w:rsidR="008F369D" w:rsidRPr="00E40FB5" w:rsidRDefault="008F369D" w:rsidP="008F369D">
      <w:pPr>
        <w:rPr>
          <w:szCs w:val="22"/>
          <w:lang w:val="en-GB"/>
        </w:rPr>
      </w:pPr>
    </w:p>
    <w:p w14:paraId="7C331329" w14:textId="77777777" w:rsidR="008F369D" w:rsidRPr="00E40FB5" w:rsidRDefault="00016F29" w:rsidP="008F369D">
      <w:pPr>
        <w:outlineLvl w:val="0"/>
        <w:rPr>
          <w:i/>
          <w:szCs w:val="22"/>
          <w:lang w:val="en-GB"/>
        </w:rPr>
      </w:pPr>
      <w:r w:rsidRPr="00E40FB5">
        <w:rPr>
          <w:i/>
          <w:szCs w:val="22"/>
          <w:lang w:val="en-GB"/>
        </w:rPr>
        <w:t xml:space="preserve">Cardiovascular </w:t>
      </w:r>
      <w:r w:rsidRPr="00C501E3">
        <w:rPr>
          <w:i/>
          <w:szCs w:val="22"/>
          <w:lang w:val="en-GB"/>
        </w:rPr>
        <w:t xml:space="preserve">adverse </w:t>
      </w:r>
      <w:r w:rsidRPr="00E40FB5">
        <w:rPr>
          <w:i/>
          <w:szCs w:val="22"/>
          <w:lang w:val="en-GB"/>
        </w:rPr>
        <w:t>reactions</w:t>
      </w:r>
    </w:p>
    <w:p w14:paraId="7C33132A" w14:textId="77777777" w:rsidR="008F369D" w:rsidRPr="00015B1B" w:rsidRDefault="00016F29" w:rsidP="008F369D">
      <w:pPr>
        <w:rPr>
          <w:szCs w:val="22"/>
          <w:lang w:val="en-GB"/>
        </w:rPr>
      </w:pPr>
      <w:r w:rsidRPr="00F332AF">
        <w:rPr>
          <w:szCs w:val="22"/>
          <w:lang w:val="en-GB"/>
        </w:rPr>
        <w:t xml:space="preserve">Cardiovascular reactions during clinical trials with MabThera monotherapy were reported in 18.8% of patients with the most frequently reported events being hypotension and hypertension. Cases of grade 3 or 4 arrhythmia (including ventricular and supraventricular tachycardia) and angina pectoris during infusion were reported. </w:t>
      </w:r>
      <w:r w:rsidRPr="00F332AF">
        <w:rPr>
          <w:lang w:val="en-GB"/>
        </w:rPr>
        <w:t>During maintenance treatment, the incidence of grade 3/4 cardiac disorders was comparable between patients treated with MabThera and observation. Cardiac events were reported as serious adverse events (including atrial fibrillation, myocardial infarction, left ve</w:t>
      </w:r>
      <w:r w:rsidRPr="00525A55">
        <w:rPr>
          <w:lang w:val="en-GB"/>
        </w:rPr>
        <w:t>ntricular failure, myocardial isch</w:t>
      </w:r>
      <w:r w:rsidRPr="0053610E">
        <w:rPr>
          <w:lang w:val="en-GB"/>
        </w:rPr>
        <w:t>a</w:t>
      </w:r>
      <w:r w:rsidRPr="00525A55">
        <w:rPr>
          <w:lang w:val="en-GB"/>
        </w:rPr>
        <w:t xml:space="preserve">emia) in 3% of patients treated with MabThera compared to &lt;1% on observation. In studies evaluating MabThera in combination with chemotherapy, </w:t>
      </w:r>
      <w:r w:rsidRPr="0053610E">
        <w:rPr>
          <w:lang w:val="en-GB"/>
        </w:rPr>
        <w:t xml:space="preserve">the incidence of grade 3 and 4 cardiac arrhythmias, predominantly supraventricular arrhythmias such as tachycardia </w:t>
      </w:r>
      <w:r w:rsidRPr="00015B1B">
        <w:rPr>
          <w:lang w:val="en-GB"/>
        </w:rPr>
        <w:t>and atrial flutter/fibrillation, was higher in the R</w:t>
      </w:r>
      <w:r w:rsidR="000A6DDA" w:rsidRPr="00015B1B">
        <w:rPr>
          <w:lang w:val="en-GB"/>
        </w:rPr>
        <w:noBreakHyphen/>
      </w:r>
      <w:r w:rsidRPr="00015B1B">
        <w:rPr>
          <w:lang w:val="en-GB"/>
        </w:rPr>
        <w:t>CHOP group (14 patients, 6.9%) as compared to the CHOP group (3 patients, 1.5%)</w:t>
      </w:r>
      <w:r w:rsidRPr="00015B1B">
        <w:rPr>
          <w:szCs w:val="22"/>
          <w:lang w:val="en-GB"/>
        </w:rPr>
        <w:t>. All of these arrhythmias either occurred in the context of a MabThera infusion or were associated with predisposing conditions such as fever, infection, acute myocardial infarction or pre</w:t>
      </w:r>
      <w:r w:rsidR="000A6DDA" w:rsidRPr="00015B1B">
        <w:rPr>
          <w:szCs w:val="22"/>
          <w:lang w:val="en-GB"/>
        </w:rPr>
        <w:noBreakHyphen/>
      </w:r>
      <w:r w:rsidRPr="00015B1B">
        <w:rPr>
          <w:szCs w:val="22"/>
          <w:lang w:val="en-GB"/>
        </w:rPr>
        <w:t>existing respiratory and cardiovascular disease. No difference between the R</w:t>
      </w:r>
      <w:r w:rsidR="000A6DDA" w:rsidRPr="00015B1B">
        <w:rPr>
          <w:szCs w:val="22"/>
          <w:lang w:val="en-GB"/>
        </w:rPr>
        <w:noBreakHyphen/>
      </w:r>
      <w:r w:rsidRPr="00015B1B">
        <w:rPr>
          <w:szCs w:val="22"/>
          <w:lang w:val="en-GB"/>
        </w:rPr>
        <w:t>CHOP and CHOP group was observed in the incidence of other grade 3 and 4 cardiac events including heart failure, myocardial disease and manifestations of coronary artery disease</w:t>
      </w:r>
      <w:r w:rsidRPr="00015B1B">
        <w:rPr>
          <w:lang w:val="en-GB"/>
        </w:rPr>
        <w:t>. In CLL, the overall incidence of grade 3 or 4 cardiac disorders was low both in the first</w:t>
      </w:r>
      <w:r w:rsidR="000A6DDA" w:rsidRPr="00015B1B">
        <w:rPr>
          <w:lang w:val="en-GB"/>
        </w:rPr>
        <w:noBreakHyphen/>
      </w:r>
      <w:r w:rsidRPr="00015B1B">
        <w:rPr>
          <w:lang w:val="en-GB"/>
        </w:rPr>
        <w:t>line study (4% R</w:t>
      </w:r>
      <w:r w:rsidR="000A6DDA" w:rsidRPr="00015B1B">
        <w:rPr>
          <w:lang w:val="en-GB"/>
        </w:rPr>
        <w:noBreakHyphen/>
      </w:r>
      <w:r w:rsidRPr="00015B1B">
        <w:rPr>
          <w:lang w:val="en-GB"/>
        </w:rPr>
        <w:t>FC, 3% FC)</w:t>
      </w:r>
      <w:r w:rsidRPr="00DF4B74">
        <w:rPr>
          <w:lang w:val="en-GB"/>
        </w:rPr>
        <w:t xml:space="preserve"> </w:t>
      </w:r>
      <w:r w:rsidRPr="00015B1B">
        <w:rPr>
          <w:lang w:val="en-GB"/>
        </w:rPr>
        <w:t>and in the relapsed/refractory study (4% R</w:t>
      </w:r>
      <w:r w:rsidR="000A6DDA" w:rsidRPr="00015B1B">
        <w:rPr>
          <w:lang w:val="en-GB"/>
        </w:rPr>
        <w:noBreakHyphen/>
      </w:r>
      <w:r w:rsidRPr="00015B1B">
        <w:rPr>
          <w:lang w:val="en-GB"/>
        </w:rPr>
        <w:t xml:space="preserve">FC, 4% FC). </w:t>
      </w:r>
    </w:p>
    <w:p w14:paraId="7C33132B" w14:textId="77777777" w:rsidR="008F369D" w:rsidRPr="00F332AF" w:rsidRDefault="008F369D" w:rsidP="008F369D">
      <w:pPr>
        <w:rPr>
          <w:lang w:val="en-GB"/>
        </w:rPr>
      </w:pPr>
    </w:p>
    <w:p w14:paraId="7C33132C" w14:textId="77777777" w:rsidR="008F369D" w:rsidRPr="00E40FB5" w:rsidRDefault="00016F29" w:rsidP="008F369D">
      <w:pPr>
        <w:rPr>
          <w:i/>
          <w:iCs/>
          <w:lang w:val="en-GB"/>
        </w:rPr>
      </w:pPr>
      <w:r w:rsidRPr="00E40FB5">
        <w:rPr>
          <w:i/>
          <w:iCs/>
          <w:lang w:val="en-GB"/>
        </w:rPr>
        <w:t>Respiratory system</w:t>
      </w:r>
    </w:p>
    <w:p w14:paraId="7C33132D" w14:textId="77777777" w:rsidR="008F369D" w:rsidRPr="00E40FB5" w:rsidRDefault="00016F29" w:rsidP="008F369D">
      <w:pPr>
        <w:rPr>
          <w:iCs/>
          <w:lang w:val="en-GB"/>
        </w:rPr>
      </w:pPr>
      <w:r w:rsidRPr="00E40FB5">
        <w:rPr>
          <w:iCs/>
          <w:lang w:val="en-GB"/>
        </w:rPr>
        <w:t>Cases of interstitial lung disease, some with fatal outcome have been reported.</w:t>
      </w:r>
    </w:p>
    <w:p w14:paraId="7C33132E" w14:textId="77777777" w:rsidR="008F369D" w:rsidRPr="00E40FB5" w:rsidRDefault="008F369D" w:rsidP="006522A3">
      <w:pPr>
        <w:rPr>
          <w:lang w:val="en-GB"/>
        </w:rPr>
      </w:pPr>
    </w:p>
    <w:p w14:paraId="7C33132F" w14:textId="77777777" w:rsidR="008F369D" w:rsidRPr="00E40FB5" w:rsidRDefault="00016F29" w:rsidP="008F369D">
      <w:pPr>
        <w:keepNext/>
        <w:keepLines/>
        <w:outlineLvl w:val="0"/>
        <w:rPr>
          <w:szCs w:val="22"/>
          <w:lang w:val="en-GB"/>
        </w:rPr>
      </w:pPr>
      <w:r w:rsidRPr="00E40FB5">
        <w:rPr>
          <w:i/>
          <w:szCs w:val="22"/>
          <w:lang w:val="en-GB"/>
        </w:rPr>
        <w:t xml:space="preserve">Neurologic </w:t>
      </w:r>
      <w:r w:rsidRPr="00C501E3">
        <w:rPr>
          <w:i/>
          <w:szCs w:val="22"/>
          <w:lang w:val="en-GB"/>
        </w:rPr>
        <w:t>disorders</w:t>
      </w:r>
      <w:r w:rsidRPr="00E40FB5">
        <w:rPr>
          <w:szCs w:val="22"/>
          <w:lang w:val="en-GB"/>
        </w:rPr>
        <w:t xml:space="preserve"> </w:t>
      </w:r>
    </w:p>
    <w:p w14:paraId="7C331330" w14:textId="77777777" w:rsidR="008F369D" w:rsidRPr="00E40FB5" w:rsidRDefault="00016F29" w:rsidP="008F369D">
      <w:pPr>
        <w:rPr>
          <w:szCs w:val="22"/>
          <w:lang w:val="en-GB"/>
        </w:rPr>
      </w:pPr>
      <w:r w:rsidRPr="00015B1B">
        <w:rPr>
          <w:szCs w:val="22"/>
          <w:lang w:val="en-GB"/>
        </w:rPr>
        <w:t>During the treatment period (induction treatment phase comprising of R</w:t>
      </w:r>
      <w:r w:rsidR="000A6DDA" w:rsidRPr="00015B1B">
        <w:rPr>
          <w:szCs w:val="22"/>
          <w:lang w:val="en-GB"/>
        </w:rPr>
        <w:noBreakHyphen/>
      </w:r>
      <w:r w:rsidRPr="00015B1B">
        <w:rPr>
          <w:szCs w:val="22"/>
          <w:lang w:val="en-GB"/>
        </w:rPr>
        <w:t>CHOP for at most eight cycles), four patients (2%) treated with R</w:t>
      </w:r>
      <w:r w:rsidR="000A6DDA" w:rsidRPr="00015B1B">
        <w:rPr>
          <w:szCs w:val="22"/>
          <w:lang w:val="en-GB"/>
        </w:rPr>
        <w:noBreakHyphen/>
      </w:r>
      <w:r w:rsidRPr="00015B1B">
        <w:rPr>
          <w:szCs w:val="22"/>
          <w:lang w:val="en-GB"/>
        </w:rPr>
        <w:t>CHOP, all with cardiovascular risk factors, experienced thromboembolic cerebrovascular accidents during the first treatment cycle. There was no difference</w:t>
      </w:r>
      <w:r w:rsidRPr="00E40FB5">
        <w:rPr>
          <w:szCs w:val="22"/>
          <w:lang w:val="en-GB"/>
        </w:rPr>
        <w:t xml:space="preserve"> between the treatment groups in the incidence of other thromboembolic events. In contrast, three patients (1.5%) had cerebrovascular events in the CHOP group, all of which occurred during the </w:t>
      </w:r>
      <w:r w:rsidRPr="00015B1B">
        <w:rPr>
          <w:szCs w:val="22"/>
          <w:lang w:val="en-GB"/>
        </w:rPr>
        <w:t>follow</w:t>
      </w:r>
      <w:r w:rsidR="000A6DDA" w:rsidRPr="00015B1B">
        <w:rPr>
          <w:szCs w:val="22"/>
          <w:lang w:val="en-GB"/>
        </w:rPr>
        <w:noBreakHyphen/>
      </w:r>
      <w:r w:rsidRPr="00015B1B">
        <w:rPr>
          <w:szCs w:val="22"/>
          <w:lang w:val="en-GB"/>
        </w:rPr>
        <w:t xml:space="preserve">up period. In CLL, the overall incidence of grade 3 or 4 nervous system disorders was low </w:t>
      </w:r>
      <w:r w:rsidRPr="00015B1B">
        <w:rPr>
          <w:lang w:val="en-GB"/>
        </w:rPr>
        <w:t>both in the first</w:t>
      </w:r>
      <w:r w:rsidR="000A6DDA" w:rsidRPr="00015B1B">
        <w:rPr>
          <w:lang w:val="en-GB"/>
        </w:rPr>
        <w:noBreakHyphen/>
      </w:r>
      <w:r w:rsidRPr="00015B1B">
        <w:rPr>
          <w:lang w:val="en-GB"/>
        </w:rPr>
        <w:t xml:space="preserve">line study </w:t>
      </w:r>
      <w:r w:rsidRPr="00015B1B">
        <w:rPr>
          <w:szCs w:val="22"/>
          <w:lang w:val="en-GB"/>
        </w:rPr>
        <w:t>(4% R</w:t>
      </w:r>
      <w:r w:rsidR="000A6DDA" w:rsidRPr="00015B1B">
        <w:rPr>
          <w:szCs w:val="22"/>
          <w:lang w:val="en-GB"/>
        </w:rPr>
        <w:noBreakHyphen/>
      </w:r>
      <w:r w:rsidRPr="00015B1B">
        <w:rPr>
          <w:szCs w:val="22"/>
          <w:lang w:val="en-GB"/>
        </w:rPr>
        <w:t xml:space="preserve">FC, 4% FC) </w:t>
      </w:r>
      <w:r w:rsidRPr="00015B1B">
        <w:rPr>
          <w:lang w:val="en-GB"/>
        </w:rPr>
        <w:t>and in the relapsed/refractory study (3% R</w:t>
      </w:r>
      <w:r w:rsidR="000A6DDA" w:rsidRPr="00015B1B">
        <w:rPr>
          <w:lang w:val="en-GB"/>
        </w:rPr>
        <w:noBreakHyphen/>
      </w:r>
      <w:r w:rsidRPr="00015B1B">
        <w:rPr>
          <w:lang w:val="en-GB"/>
        </w:rPr>
        <w:t>FC, 3%</w:t>
      </w:r>
      <w:r w:rsidRPr="00E40FB5">
        <w:rPr>
          <w:lang w:val="en-GB"/>
        </w:rPr>
        <w:t xml:space="preserve"> FC)</w:t>
      </w:r>
      <w:r w:rsidRPr="00E40FB5">
        <w:rPr>
          <w:szCs w:val="22"/>
          <w:lang w:val="en-GB"/>
        </w:rPr>
        <w:t xml:space="preserve">. </w:t>
      </w:r>
    </w:p>
    <w:p w14:paraId="7C331331" w14:textId="77777777" w:rsidR="008F369D" w:rsidRPr="00E40FB5" w:rsidRDefault="008F369D" w:rsidP="008F369D">
      <w:pPr>
        <w:rPr>
          <w:iCs/>
          <w:lang w:val="en-GB"/>
        </w:rPr>
      </w:pPr>
    </w:p>
    <w:p w14:paraId="7C331332" w14:textId="77777777" w:rsidR="008F369D" w:rsidRPr="00E40FB5" w:rsidRDefault="00016F29" w:rsidP="008F369D">
      <w:pPr>
        <w:keepNext/>
        <w:keepLines/>
        <w:outlineLvl w:val="0"/>
        <w:rPr>
          <w:lang w:val="en-GB"/>
        </w:rPr>
      </w:pPr>
      <w:r w:rsidRPr="00E40FB5">
        <w:rPr>
          <w:lang w:val="en-GB"/>
        </w:rPr>
        <w:t xml:space="preserve">Cases of </w:t>
      </w:r>
      <w:r w:rsidRPr="00E40FB5">
        <w:rPr>
          <w:szCs w:val="22"/>
          <w:lang w:val="en-GB"/>
        </w:rPr>
        <w:t>posterior reversible encephalopathy syndrome (PRES) / reversible posterior leukoencephalopathy syndrome (RPLS)</w:t>
      </w:r>
      <w:r w:rsidRPr="00E40FB5">
        <w:rPr>
          <w:lang w:val="en-GB"/>
        </w:rPr>
        <w:t xml:space="preserve"> have been reported.</w:t>
      </w:r>
      <w:r w:rsidRPr="00E40FB5">
        <w:rPr>
          <w:szCs w:val="22"/>
          <w:lang w:val="en-GB"/>
        </w:rPr>
        <w:t xml:space="preserve"> Signs and symptoms included visual disturbance, headache, seizures and altered mental status, with or without associated hypertension. A diagnosis of PRES/RPLS requires confirmation by brain imaging. The reported cases had recogni</w:t>
      </w:r>
      <w:r w:rsidR="005B7FA0">
        <w:rPr>
          <w:szCs w:val="22"/>
          <w:lang w:val="en-GB"/>
        </w:rPr>
        <w:t>s</w:t>
      </w:r>
      <w:r w:rsidRPr="00E40FB5">
        <w:rPr>
          <w:szCs w:val="22"/>
          <w:lang w:val="en-GB"/>
        </w:rPr>
        <w:t>ed risk factors for PRES/RPLS, including the patients’ underlying disease, hypertension, immunosuppressive therapy and/or chemotherapy.</w:t>
      </w:r>
    </w:p>
    <w:p w14:paraId="7C331333" w14:textId="77777777" w:rsidR="008F369D" w:rsidRPr="00E40FB5" w:rsidRDefault="008F369D" w:rsidP="008F369D">
      <w:pPr>
        <w:rPr>
          <w:iCs/>
          <w:lang w:val="en-GB"/>
        </w:rPr>
      </w:pPr>
    </w:p>
    <w:p w14:paraId="7C331334" w14:textId="77777777" w:rsidR="008F369D" w:rsidRPr="00F332AF" w:rsidRDefault="00016F29" w:rsidP="008F369D">
      <w:pPr>
        <w:keepNext/>
        <w:keepLines/>
        <w:outlineLvl w:val="0"/>
        <w:rPr>
          <w:i/>
          <w:lang w:val="en-GB"/>
        </w:rPr>
      </w:pPr>
      <w:r w:rsidRPr="00F332AF">
        <w:rPr>
          <w:i/>
          <w:lang w:val="en-GB"/>
        </w:rPr>
        <w:t>Gastrointestinal disorders</w:t>
      </w:r>
    </w:p>
    <w:p w14:paraId="7C331335" w14:textId="77777777" w:rsidR="008F369D" w:rsidRPr="0014385D" w:rsidRDefault="00016F29" w:rsidP="008F369D">
      <w:pPr>
        <w:rPr>
          <w:lang w:val="en-GB"/>
        </w:rPr>
      </w:pPr>
      <w:r w:rsidRPr="00015B1B">
        <w:rPr>
          <w:lang w:val="en-GB"/>
        </w:rPr>
        <w:t>Gastrointestinal perforation in some cases leading to death has been observed in patients receiving MabThera for treatment of non</w:t>
      </w:r>
      <w:r w:rsidR="000A6DDA" w:rsidRPr="00015B1B">
        <w:rPr>
          <w:lang w:val="en-GB"/>
        </w:rPr>
        <w:noBreakHyphen/>
      </w:r>
      <w:r w:rsidRPr="00015B1B">
        <w:rPr>
          <w:lang w:val="en-GB"/>
        </w:rPr>
        <w:t>Hodgkin lymphoma. In the majority of these cases, MabThera was</w:t>
      </w:r>
      <w:r w:rsidRPr="0014385D">
        <w:rPr>
          <w:lang w:val="en-GB"/>
        </w:rPr>
        <w:t xml:space="preserve"> administered with chemotherapy.</w:t>
      </w:r>
    </w:p>
    <w:p w14:paraId="7C331336" w14:textId="77777777" w:rsidR="008F369D" w:rsidRPr="00E40FB5" w:rsidRDefault="008F369D" w:rsidP="008F369D">
      <w:pPr>
        <w:rPr>
          <w:i/>
          <w:snapToGrid w:val="0"/>
          <w:szCs w:val="22"/>
          <w:lang w:val="en-GB"/>
        </w:rPr>
      </w:pPr>
    </w:p>
    <w:p w14:paraId="7C331337" w14:textId="77777777" w:rsidR="008F369D" w:rsidRPr="00F332AF" w:rsidRDefault="00016F29" w:rsidP="008F369D">
      <w:pPr>
        <w:keepNext/>
        <w:outlineLvl w:val="0"/>
        <w:rPr>
          <w:lang w:val="en-GB"/>
        </w:rPr>
      </w:pPr>
      <w:r w:rsidRPr="00F332AF">
        <w:rPr>
          <w:i/>
          <w:lang w:val="en-GB"/>
        </w:rPr>
        <w:t>IgG levels</w:t>
      </w:r>
    </w:p>
    <w:p w14:paraId="7C331338" w14:textId="77777777" w:rsidR="008F369D" w:rsidRPr="00964018" w:rsidRDefault="00016F29" w:rsidP="008F369D">
      <w:pPr>
        <w:rPr>
          <w:lang w:val="en-GB"/>
        </w:rPr>
      </w:pPr>
      <w:r w:rsidRPr="00F332AF">
        <w:rPr>
          <w:lang w:val="en-GB"/>
        </w:rPr>
        <w:t>In the clinical trial evaluating MabThera maintenance treatment</w:t>
      </w:r>
      <w:r w:rsidRPr="00525A55">
        <w:rPr>
          <w:lang w:val="en-GB"/>
        </w:rPr>
        <w:t xml:space="preserve"> in relapsed/refractory follicular lymphoma, median IgG levels were below the lower limit of normal (LLN) (&lt; 7 g/L) after induction treatment in both the observation and the MabThera groups. In the observat</w:t>
      </w:r>
      <w:r w:rsidRPr="00EF300D">
        <w:rPr>
          <w:lang w:val="en-GB"/>
        </w:rPr>
        <w:t>ion group, the median IgG level subsequently increased to above the LLN, but remained constant in the MabThera group. The proportion of patients with IgG levels below the LLN was about 60% in the MabThera group throughout the 2 year treatment period, while</w:t>
      </w:r>
      <w:r w:rsidRPr="00DF4B74">
        <w:rPr>
          <w:lang w:val="en-GB"/>
        </w:rPr>
        <w:t xml:space="preserve"> it decreased in the observation group (36% after 2 years).</w:t>
      </w:r>
    </w:p>
    <w:p w14:paraId="7C331339" w14:textId="77777777" w:rsidR="008F369D" w:rsidRPr="0014385D" w:rsidRDefault="008F369D" w:rsidP="008F369D">
      <w:pPr>
        <w:rPr>
          <w:lang w:val="en-GB"/>
        </w:rPr>
      </w:pPr>
    </w:p>
    <w:p w14:paraId="7C33133A" w14:textId="77777777" w:rsidR="008F369D" w:rsidRPr="00015B1B" w:rsidRDefault="00016F29" w:rsidP="008F369D">
      <w:pPr>
        <w:rPr>
          <w:lang w:val="en-GB"/>
        </w:rPr>
      </w:pPr>
      <w:r w:rsidRPr="00015B1B">
        <w:rPr>
          <w:iCs/>
          <w:lang w:val="en-GB"/>
        </w:rPr>
        <w:t xml:space="preserve">A small number of spontaneous and literature cases of </w:t>
      </w:r>
      <w:r w:rsidRPr="00015B1B">
        <w:rPr>
          <w:lang w:val="en-GB"/>
        </w:rPr>
        <w:t>hypogammaglobulinaemia have been observed in paediatric patients treated with MabThera, in some cases severe and requiring long</w:t>
      </w:r>
      <w:r w:rsidR="000A6DDA" w:rsidRPr="00015B1B">
        <w:rPr>
          <w:lang w:val="en-GB"/>
        </w:rPr>
        <w:noBreakHyphen/>
      </w:r>
      <w:r w:rsidRPr="00015B1B">
        <w:rPr>
          <w:lang w:val="en-GB"/>
        </w:rPr>
        <w:t>term immunoglobulin substitution therapy. The consequences of long term B cell depletion in paediatric patients are unknown.</w:t>
      </w:r>
    </w:p>
    <w:p w14:paraId="7C33133B" w14:textId="77777777" w:rsidR="008F369D" w:rsidRPr="00F332AF" w:rsidRDefault="008F369D" w:rsidP="008F369D">
      <w:pPr>
        <w:rPr>
          <w:lang w:val="en-GB"/>
        </w:rPr>
      </w:pPr>
    </w:p>
    <w:p w14:paraId="7C33133C" w14:textId="77777777" w:rsidR="008F369D" w:rsidRPr="00E40FB5" w:rsidRDefault="00016F29" w:rsidP="008F369D">
      <w:pPr>
        <w:rPr>
          <w:rFonts w:cs="Arial"/>
          <w:i/>
          <w:lang w:val="en-GB"/>
        </w:rPr>
      </w:pPr>
      <w:r w:rsidRPr="00E40FB5">
        <w:rPr>
          <w:rFonts w:cs="Arial"/>
          <w:i/>
          <w:lang w:val="en-GB"/>
        </w:rPr>
        <w:t>Skin and subcutaneous tissue disorders</w:t>
      </w:r>
    </w:p>
    <w:p w14:paraId="7C33133D" w14:textId="77777777" w:rsidR="008F369D" w:rsidRPr="00E40FB5" w:rsidRDefault="00016F29" w:rsidP="008F369D">
      <w:pPr>
        <w:rPr>
          <w:rFonts w:cs="Arial"/>
          <w:lang w:val="en-GB"/>
        </w:rPr>
      </w:pPr>
      <w:r w:rsidRPr="00015B1B">
        <w:rPr>
          <w:lang w:val="en-GB"/>
        </w:rPr>
        <w:t>Toxic Epidermal Necrolysis (</w:t>
      </w:r>
      <w:r w:rsidRPr="00015B1B">
        <w:rPr>
          <w:iCs/>
          <w:lang w:val="en-GB"/>
        </w:rPr>
        <w:t xml:space="preserve">Lyell syndrome) </w:t>
      </w:r>
      <w:r w:rsidRPr="00015B1B">
        <w:rPr>
          <w:lang w:val="en-GB"/>
        </w:rPr>
        <w:t>and Stevens</w:t>
      </w:r>
      <w:r w:rsidR="000A6DDA" w:rsidRPr="00015B1B">
        <w:rPr>
          <w:lang w:val="en-GB"/>
        </w:rPr>
        <w:noBreakHyphen/>
      </w:r>
      <w:r w:rsidRPr="00015B1B">
        <w:rPr>
          <w:lang w:val="en-GB"/>
        </w:rPr>
        <w:t>Johnson syndrome, some with fatal</w:t>
      </w:r>
      <w:r w:rsidRPr="00E40FB5">
        <w:rPr>
          <w:rFonts w:cs="Arial"/>
          <w:lang w:val="en-GB"/>
        </w:rPr>
        <w:t xml:space="preserve"> outcome, have been reported very rarely.</w:t>
      </w:r>
    </w:p>
    <w:p w14:paraId="7C33133E" w14:textId="77777777" w:rsidR="008F369D" w:rsidRPr="00E40FB5" w:rsidRDefault="008F369D" w:rsidP="008F369D">
      <w:pPr>
        <w:rPr>
          <w:i/>
          <w:snapToGrid w:val="0"/>
          <w:szCs w:val="22"/>
          <w:lang w:val="en-GB"/>
        </w:rPr>
      </w:pPr>
    </w:p>
    <w:p w14:paraId="7C33133F" w14:textId="77777777" w:rsidR="008F369D" w:rsidRPr="00015B1B" w:rsidRDefault="00016F29" w:rsidP="008F369D">
      <w:pPr>
        <w:outlineLvl w:val="0"/>
        <w:rPr>
          <w:i/>
          <w:snapToGrid w:val="0"/>
          <w:szCs w:val="22"/>
          <w:lang w:val="en-GB"/>
        </w:rPr>
      </w:pPr>
      <w:r w:rsidRPr="00015B1B">
        <w:rPr>
          <w:i/>
          <w:snapToGrid w:val="0"/>
          <w:szCs w:val="22"/>
          <w:lang w:val="en-GB"/>
        </w:rPr>
        <w:t xml:space="preserve">Patient subpopulations </w:t>
      </w:r>
      <w:r w:rsidR="000A6DDA" w:rsidRPr="00015B1B">
        <w:rPr>
          <w:i/>
          <w:snapToGrid w:val="0"/>
          <w:szCs w:val="22"/>
          <w:lang w:val="en-GB"/>
        </w:rPr>
        <w:noBreakHyphen/>
      </w:r>
      <w:r w:rsidRPr="00015B1B">
        <w:rPr>
          <w:i/>
          <w:snapToGrid w:val="0"/>
          <w:szCs w:val="22"/>
          <w:lang w:val="en-GB"/>
        </w:rPr>
        <w:t xml:space="preserve"> MabThera monotherapy</w:t>
      </w:r>
    </w:p>
    <w:p w14:paraId="7C331340" w14:textId="77777777" w:rsidR="008F369D" w:rsidRPr="00E40FB5" w:rsidRDefault="00016F29" w:rsidP="008F369D">
      <w:pPr>
        <w:rPr>
          <w:szCs w:val="22"/>
          <w:lang w:val="en-GB"/>
        </w:rPr>
      </w:pPr>
      <w:r>
        <w:rPr>
          <w:szCs w:val="22"/>
          <w:lang w:val="en-GB"/>
        </w:rPr>
        <w:t xml:space="preserve">Elderly </w:t>
      </w:r>
      <w:r w:rsidRPr="00E40FB5">
        <w:rPr>
          <w:szCs w:val="22"/>
          <w:lang w:val="en-GB"/>
        </w:rPr>
        <w:t>(</w:t>
      </w:r>
      <w:r w:rsidRPr="00E06A78">
        <w:rPr>
          <w:rFonts w:ascii="Symbol" w:hAnsi="Symbol"/>
          <w:lang w:val="en-GB"/>
        </w:rPr>
        <w:sym w:font="Symbol" w:char="F0B3"/>
      </w:r>
      <w:r w:rsidRPr="00E40FB5">
        <w:rPr>
          <w:szCs w:val="22"/>
          <w:lang w:val="en-GB"/>
        </w:rPr>
        <w:t xml:space="preserve"> 65 years): </w:t>
      </w:r>
    </w:p>
    <w:p w14:paraId="7C331341" w14:textId="77777777" w:rsidR="008F369D" w:rsidRPr="00E40FB5" w:rsidRDefault="00016F29" w:rsidP="008F369D">
      <w:pPr>
        <w:rPr>
          <w:szCs w:val="22"/>
          <w:lang w:val="en-GB"/>
        </w:rPr>
      </w:pPr>
      <w:r w:rsidRPr="00E40FB5">
        <w:rPr>
          <w:szCs w:val="22"/>
          <w:lang w:val="en-GB"/>
        </w:rPr>
        <w:t xml:space="preserve">The incidence of ADRs of all grades and grade 3/4 ADR was similar in elderly patients compared to younger patients (&lt;65 years). </w:t>
      </w:r>
    </w:p>
    <w:p w14:paraId="7C331342" w14:textId="77777777" w:rsidR="008F369D" w:rsidRPr="00E06A78" w:rsidRDefault="008F369D" w:rsidP="008F369D">
      <w:pPr>
        <w:rPr>
          <w:lang w:val="en-GB"/>
        </w:rPr>
      </w:pPr>
    </w:p>
    <w:p w14:paraId="7C331343" w14:textId="77777777" w:rsidR="008F369D" w:rsidRPr="00E40FB5" w:rsidRDefault="00016F29" w:rsidP="008F369D">
      <w:pPr>
        <w:keepNext/>
        <w:keepLines/>
        <w:outlineLvl w:val="0"/>
        <w:rPr>
          <w:szCs w:val="22"/>
          <w:lang w:val="en-GB"/>
        </w:rPr>
      </w:pPr>
      <w:r w:rsidRPr="00E40FB5">
        <w:rPr>
          <w:szCs w:val="22"/>
          <w:lang w:val="en-GB"/>
        </w:rPr>
        <w:t xml:space="preserve">Bulky disease </w:t>
      </w:r>
    </w:p>
    <w:p w14:paraId="7C331344" w14:textId="77777777" w:rsidR="008F369D" w:rsidRPr="00E40FB5" w:rsidRDefault="00016F29" w:rsidP="008F369D">
      <w:pPr>
        <w:keepNext/>
        <w:keepLines/>
        <w:rPr>
          <w:szCs w:val="22"/>
          <w:lang w:val="en-GB"/>
        </w:rPr>
      </w:pPr>
      <w:r w:rsidRPr="00E40FB5">
        <w:rPr>
          <w:szCs w:val="22"/>
          <w:lang w:val="en-GB"/>
        </w:rPr>
        <w:t xml:space="preserve">There was a higher incidence of grade 3/4 ADRs in patients with bulky disease than in patients without bulky disease </w:t>
      </w:r>
      <w:r w:rsidRPr="00F332AF">
        <w:rPr>
          <w:szCs w:val="22"/>
          <w:lang w:val="en-GB"/>
        </w:rPr>
        <w:t xml:space="preserve">(25.6% vs. 15.4%). </w:t>
      </w:r>
      <w:r w:rsidRPr="00E40FB5">
        <w:rPr>
          <w:szCs w:val="22"/>
          <w:lang w:val="en-GB"/>
        </w:rPr>
        <w:t>The incidence of ADRs of any grade was similar in these two groups.</w:t>
      </w:r>
    </w:p>
    <w:p w14:paraId="7C331345" w14:textId="77777777" w:rsidR="008F369D" w:rsidRPr="00E40FB5" w:rsidRDefault="008F369D" w:rsidP="008F369D">
      <w:pPr>
        <w:rPr>
          <w:szCs w:val="22"/>
          <w:lang w:val="en-GB"/>
        </w:rPr>
      </w:pPr>
    </w:p>
    <w:p w14:paraId="7C331346" w14:textId="77777777" w:rsidR="008F369D" w:rsidRPr="00015B1B" w:rsidRDefault="00016F29" w:rsidP="008F369D">
      <w:pPr>
        <w:keepNext/>
        <w:keepLines/>
        <w:rPr>
          <w:szCs w:val="22"/>
          <w:lang w:val="en-GB"/>
        </w:rPr>
      </w:pPr>
      <w:r w:rsidRPr="00015B1B">
        <w:rPr>
          <w:szCs w:val="22"/>
          <w:lang w:val="en-GB"/>
        </w:rPr>
        <w:t>Re</w:t>
      </w:r>
      <w:r w:rsidR="000A6DDA" w:rsidRPr="00015B1B">
        <w:rPr>
          <w:szCs w:val="22"/>
          <w:lang w:val="en-GB"/>
        </w:rPr>
        <w:noBreakHyphen/>
      </w:r>
      <w:r w:rsidRPr="00015B1B">
        <w:rPr>
          <w:szCs w:val="22"/>
          <w:lang w:val="en-GB"/>
        </w:rPr>
        <w:t>treatment</w:t>
      </w:r>
    </w:p>
    <w:p w14:paraId="7C331347" w14:textId="77777777" w:rsidR="008F369D" w:rsidRPr="00015B1B" w:rsidRDefault="00016F29" w:rsidP="008F369D">
      <w:pPr>
        <w:keepNext/>
        <w:keepLines/>
        <w:rPr>
          <w:szCs w:val="22"/>
          <w:lang w:val="en-GB"/>
        </w:rPr>
      </w:pPr>
      <w:r w:rsidRPr="00015B1B">
        <w:rPr>
          <w:szCs w:val="22"/>
          <w:lang w:val="en-GB"/>
        </w:rPr>
        <w:t>The percentage of patients reporting ADRs upon re</w:t>
      </w:r>
      <w:r w:rsidR="000A6DDA" w:rsidRPr="00015B1B">
        <w:rPr>
          <w:szCs w:val="22"/>
          <w:lang w:val="en-GB"/>
        </w:rPr>
        <w:noBreakHyphen/>
      </w:r>
      <w:r w:rsidRPr="00015B1B">
        <w:rPr>
          <w:szCs w:val="22"/>
          <w:lang w:val="en-GB"/>
        </w:rPr>
        <w:t>treatment with further courses of MabThera was similar to the percentage of patients reporting ADRs upon initial exposure (any grade and grade 3/4 ADRs).</w:t>
      </w:r>
    </w:p>
    <w:p w14:paraId="7C331348" w14:textId="77777777" w:rsidR="008F369D" w:rsidRPr="00015B1B" w:rsidRDefault="008F369D" w:rsidP="008F369D">
      <w:pPr>
        <w:rPr>
          <w:b/>
          <w:szCs w:val="22"/>
          <w:lang w:val="en-GB"/>
        </w:rPr>
      </w:pPr>
    </w:p>
    <w:p w14:paraId="7C331349" w14:textId="77777777" w:rsidR="008F369D" w:rsidRPr="00015B1B" w:rsidRDefault="00016F29" w:rsidP="008F369D">
      <w:pPr>
        <w:keepNext/>
        <w:keepLines/>
        <w:rPr>
          <w:i/>
          <w:snapToGrid w:val="0"/>
          <w:szCs w:val="22"/>
          <w:lang w:val="en-GB"/>
        </w:rPr>
      </w:pPr>
      <w:r w:rsidRPr="00015B1B">
        <w:rPr>
          <w:i/>
          <w:snapToGrid w:val="0"/>
          <w:szCs w:val="22"/>
          <w:lang w:val="en-GB"/>
        </w:rPr>
        <w:t xml:space="preserve">Patient subpopulations </w:t>
      </w:r>
      <w:r w:rsidR="000A6DDA" w:rsidRPr="00015B1B">
        <w:rPr>
          <w:i/>
          <w:snapToGrid w:val="0"/>
          <w:szCs w:val="22"/>
          <w:lang w:val="en-GB"/>
        </w:rPr>
        <w:noBreakHyphen/>
      </w:r>
      <w:r w:rsidRPr="00015B1B">
        <w:rPr>
          <w:i/>
          <w:snapToGrid w:val="0"/>
          <w:szCs w:val="22"/>
          <w:lang w:val="en-GB"/>
        </w:rPr>
        <w:t xml:space="preserve"> MabThera combination therapy</w:t>
      </w:r>
    </w:p>
    <w:p w14:paraId="7C33134A" w14:textId="77777777" w:rsidR="008F369D" w:rsidRPr="00E40FB5" w:rsidRDefault="00016F29" w:rsidP="008F369D">
      <w:pPr>
        <w:keepNext/>
        <w:keepLines/>
        <w:rPr>
          <w:szCs w:val="22"/>
          <w:lang w:val="en-GB"/>
        </w:rPr>
      </w:pPr>
      <w:r>
        <w:rPr>
          <w:szCs w:val="22"/>
          <w:lang w:val="en-GB"/>
        </w:rPr>
        <w:t xml:space="preserve">Elderly </w:t>
      </w:r>
      <w:r w:rsidRPr="00E40FB5">
        <w:rPr>
          <w:szCs w:val="22"/>
          <w:lang w:val="en-GB"/>
        </w:rPr>
        <w:t>(</w:t>
      </w:r>
      <w:r w:rsidRPr="00E06A78">
        <w:rPr>
          <w:rFonts w:ascii="Symbol" w:hAnsi="Symbol"/>
          <w:lang w:val="en-GB"/>
        </w:rPr>
        <w:sym w:font="Symbol" w:char="F0B3"/>
      </w:r>
      <w:r w:rsidRPr="00E40FB5">
        <w:rPr>
          <w:szCs w:val="22"/>
          <w:lang w:val="en-GB"/>
        </w:rPr>
        <w:t xml:space="preserve"> 65 years) </w:t>
      </w:r>
    </w:p>
    <w:p w14:paraId="7C33134B" w14:textId="77777777" w:rsidR="008F369D" w:rsidRPr="00E40FB5" w:rsidRDefault="00016F29" w:rsidP="008F369D">
      <w:pPr>
        <w:rPr>
          <w:lang w:val="en-GB"/>
        </w:rPr>
      </w:pPr>
      <w:r w:rsidRPr="00E40FB5">
        <w:rPr>
          <w:lang w:val="en-GB"/>
        </w:rPr>
        <w:t>The incidence of grade</w:t>
      </w:r>
      <w:r w:rsidRPr="00F332AF">
        <w:rPr>
          <w:szCs w:val="22"/>
          <w:lang w:val="en-GB"/>
        </w:rPr>
        <w:t xml:space="preserve"> 3/4 </w:t>
      </w:r>
      <w:r w:rsidRPr="00E40FB5">
        <w:rPr>
          <w:lang w:val="en-GB"/>
        </w:rPr>
        <w:t xml:space="preserve">blood and lymphatic adverse events was higher in elderly patients compared to younger patients </w:t>
      </w:r>
      <w:r w:rsidRPr="00E40FB5">
        <w:rPr>
          <w:szCs w:val="22"/>
          <w:lang w:val="en-GB"/>
        </w:rPr>
        <w:t>(&lt;65 years)</w:t>
      </w:r>
      <w:r w:rsidRPr="00E40FB5">
        <w:rPr>
          <w:lang w:val="en-GB"/>
        </w:rPr>
        <w:t>, with previously untreated or relapsed/refractory CLL.</w:t>
      </w:r>
    </w:p>
    <w:p w14:paraId="7C33134C" w14:textId="77777777" w:rsidR="008F369D" w:rsidRDefault="008F369D" w:rsidP="008F369D">
      <w:pPr>
        <w:rPr>
          <w:snapToGrid w:val="0"/>
          <w:szCs w:val="22"/>
          <w:lang w:val="en-GB"/>
        </w:rPr>
      </w:pPr>
    </w:p>
    <w:p w14:paraId="7C33134D" w14:textId="77777777" w:rsidR="00D0566A" w:rsidRPr="00F638AF" w:rsidRDefault="00016F29" w:rsidP="00D0566A">
      <w:pPr>
        <w:rPr>
          <w:bCs/>
          <w:szCs w:val="22"/>
          <w:u w:val="single"/>
          <w:lang w:val="en-GB"/>
        </w:rPr>
      </w:pPr>
      <w:r w:rsidRPr="00F638AF">
        <w:rPr>
          <w:bCs/>
          <w:szCs w:val="22"/>
          <w:u w:val="single"/>
          <w:lang w:val="en-GB"/>
        </w:rPr>
        <w:t>Experience from paediatric DLBCL/BL/BAL/BLL</w:t>
      </w:r>
    </w:p>
    <w:p w14:paraId="7C33134E" w14:textId="77777777" w:rsidR="00D0566A" w:rsidRPr="00F638AF" w:rsidRDefault="00D0566A" w:rsidP="00D0566A">
      <w:pPr>
        <w:rPr>
          <w:bCs/>
          <w:szCs w:val="22"/>
          <w:u w:val="single"/>
          <w:lang w:val="en-GB"/>
        </w:rPr>
      </w:pPr>
    </w:p>
    <w:p w14:paraId="7C33134F" w14:textId="77777777" w:rsidR="00D0566A" w:rsidRPr="00F638AF" w:rsidRDefault="00016F29" w:rsidP="00D0566A">
      <w:pPr>
        <w:rPr>
          <w:bCs/>
          <w:i/>
          <w:szCs w:val="22"/>
          <w:u w:val="single"/>
          <w:lang w:val="en-GB"/>
        </w:rPr>
      </w:pPr>
      <w:r w:rsidRPr="00F638AF">
        <w:rPr>
          <w:bCs/>
          <w:i/>
          <w:szCs w:val="22"/>
          <w:u w:val="single"/>
          <w:lang w:val="en-GB"/>
        </w:rPr>
        <w:t>Summary of safety profile</w:t>
      </w:r>
    </w:p>
    <w:p w14:paraId="7C331350" w14:textId="77777777" w:rsidR="00D0566A" w:rsidRPr="00F638AF" w:rsidRDefault="00D0566A" w:rsidP="00D0566A">
      <w:pPr>
        <w:rPr>
          <w:bCs/>
          <w:szCs w:val="22"/>
          <w:u w:val="single"/>
          <w:lang w:val="en-GB"/>
        </w:rPr>
      </w:pPr>
    </w:p>
    <w:p w14:paraId="7C331351" w14:textId="77777777" w:rsidR="00D0566A" w:rsidRPr="00F638AF" w:rsidRDefault="00016F29" w:rsidP="00D0566A">
      <w:pPr>
        <w:rPr>
          <w:bCs/>
          <w:szCs w:val="22"/>
          <w:lang w:val="en-GB"/>
        </w:rPr>
      </w:pPr>
      <w:r w:rsidRPr="00F638AF">
        <w:rPr>
          <w:bCs/>
          <w:szCs w:val="22"/>
          <w:lang w:val="en-GB"/>
        </w:rPr>
        <w:t xml:space="preserve">A multicenter, open-label randomized study of Lymphome Malin B chemotherapy (LMB) with or without MabThera was conducted in paediatric patients (aged ≥ 6 months to &lt; 18 years old) with previously untreated advanced stage CD20 positive DLBCL/BL/BAL/BLL. </w:t>
      </w:r>
    </w:p>
    <w:p w14:paraId="7C331352" w14:textId="77777777" w:rsidR="00D0566A" w:rsidRPr="00F638AF" w:rsidRDefault="00D0566A" w:rsidP="00D0566A">
      <w:pPr>
        <w:rPr>
          <w:bCs/>
          <w:szCs w:val="22"/>
          <w:lang w:val="en-GB"/>
        </w:rPr>
      </w:pPr>
    </w:p>
    <w:p w14:paraId="7C331353" w14:textId="77777777" w:rsidR="00D0566A" w:rsidRPr="00F638AF" w:rsidRDefault="00016F29" w:rsidP="00D0566A">
      <w:pPr>
        <w:rPr>
          <w:bCs/>
          <w:szCs w:val="22"/>
          <w:lang w:val="en-GB"/>
        </w:rPr>
      </w:pPr>
      <w:r w:rsidRPr="00F638AF">
        <w:rPr>
          <w:bCs/>
          <w:szCs w:val="22"/>
          <w:lang w:val="en-GB"/>
        </w:rPr>
        <w:t xml:space="preserve">A total of 309 paediatric patients received MabThera and were included in the safety analysis population. Paediatric patients randomized to the LMB chemotherapy arm with MabThera, or enrolled in the single arm part of the study, were administered MabThera at a dose of 375mg/m2 BSA and received a total of six IV infusions of MabThera (two during each of the two induction courses and one during each of the two consolidation courses of the LMB  scheme). </w:t>
      </w:r>
    </w:p>
    <w:p w14:paraId="7C331354" w14:textId="77777777" w:rsidR="00D0566A" w:rsidRPr="00F638AF" w:rsidRDefault="00D0566A" w:rsidP="00D0566A">
      <w:pPr>
        <w:rPr>
          <w:bCs/>
          <w:szCs w:val="22"/>
          <w:lang w:val="en-GB"/>
        </w:rPr>
      </w:pPr>
    </w:p>
    <w:p w14:paraId="7C331355" w14:textId="77777777" w:rsidR="00D0566A" w:rsidRPr="00CF3D55" w:rsidRDefault="00016F29" w:rsidP="00D0566A">
      <w:pPr>
        <w:outlineLvl w:val="0"/>
        <w:rPr>
          <w:bCs/>
          <w:szCs w:val="22"/>
          <w:lang w:val="en-GB"/>
        </w:rPr>
      </w:pPr>
      <w:r w:rsidRPr="00F638AF">
        <w:rPr>
          <w:bCs/>
          <w:szCs w:val="22"/>
          <w:lang w:val="en-GB"/>
        </w:rPr>
        <w:t xml:space="preserve">The safety profile of MabThera in paediatric patients (aged ≥ 6 months to &lt; 18 years </w:t>
      </w:r>
      <w:r w:rsidRPr="00F638AF">
        <w:rPr>
          <w:bCs/>
          <w:szCs w:val="22"/>
        </w:rPr>
        <w:t>old</w:t>
      </w:r>
      <w:r w:rsidRPr="00F638AF">
        <w:rPr>
          <w:bCs/>
          <w:szCs w:val="22"/>
          <w:lang w:val="en-GB"/>
        </w:rPr>
        <w:t xml:space="preserve">) with previously untreated advanced stage CD20 positive DLBCL/BL/BAL/BLL was generally consistent in type, nature and severity with the known safety profile in adult NHL and CLL patients.    Addition of MabThera to chemotherapy did result in an increased risk of some events including infections (including sepsis) compared to chemotherapy only.  </w:t>
      </w:r>
    </w:p>
    <w:p w14:paraId="7C331356" w14:textId="77777777" w:rsidR="00950426" w:rsidRDefault="00950426" w:rsidP="00D0566A">
      <w:pPr>
        <w:outlineLvl w:val="0"/>
        <w:rPr>
          <w:bCs/>
          <w:szCs w:val="22"/>
          <w:u w:val="single"/>
          <w:lang w:val="en-GB"/>
        </w:rPr>
      </w:pPr>
    </w:p>
    <w:p w14:paraId="7C331357" w14:textId="77777777" w:rsidR="008F369D" w:rsidRPr="00731F33" w:rsidRDefault="00016F29" w:rsidP="00063D4E">
      <w:pPr>
        <w:keepNext/>
        <w:keepLines/>
        <w:outlineLvl w:val="0"/>
        <w:rPr>
          <w:bCs/>
          <w:szCs w:val="22"/>
          <w:u w:val="single"/>
          <w:lang w:val="en-GB"/>
        </w:rPr>
      </w:pPr>
      <w:r w:rsidRPr="00731F33">
        <w:rPr>
          <w:bCs/>
          <w:szCs w:val="22"/>
          <w:u w:val="single"/>
          <w:lang w:val="en-GB"/>
        </w:rPr>
        <w:t xml:space="preserve">Experience from rheumatoid arthritis </w:t>
      </w:r>
    </w:p>
    <w:p w14:paraId="7C331358" w14:textId="77777777" w:rsidR="008F369D" w:rsidRDefault="008F369D" w:rsidP="00063D4E">
      <w:pPr>
        <w:keepNext/>
        <w:keepLines/>
        <w:rPr>
          <w:lang w:val="en-GB"/>
        </w:rPr>
      </w:pPr>
    </w:p>
    <w:p w14:paraId="7C331359" w14:textId="77777777" w:rsidR="008F369D" w:rsidRPr="003D1687" w:rsidRDefault="00016F29" w:rsidP="00063D4E">
      <w:pPr>
        <w:keepNext/>
        <w:keepLines/>
        <w:outlineLvl w:val="0"/>
        <w:rPr>
          <w:bCs/>
          <w:i/>
          <w:szCs w:val="22"/>
          <w:u w:val="single"/>
          <w:lang w:val="en-GB"/>
        </w:rPr>
      </w:pPr>
      <w:r w:rsidRPr="003D1687">
        <w:rPr>
          <w:bCs/>
          <w:i/>
          <w:szCs w:val="22"/>
          <w:u w:val="single"/>
          <w:lang w:val="en-GB"/>
        </w:rPr>
        <w:t>Summary of the safety profile</w:t>
      </w:r>
    </w:p>
    <w:p w14:paraId="7C33135A" w14:textId="77777777" w:rsidR="008F369D" w:rsidRPr="00E40FB5" w:rsidRDefault="008F369D" w:rsidP="00063D4E">
      <w:pPr>
        <w:keepNext/>
        <w:keepLines/>
        <w:rPr>
          <w:lang w:val="en-GB"/>
        </w:rPr>
      </w:pPr>
    </w:p>
    <w:p w14:paraId="7C33135B" w14:textId="77777777" w:rsidR="008F369D" w:rsidRPr="00015B1B" w:rsidRDefault="00016F29" w:rsidP="00063D4E">
      <w:pPr>
        <w:keepNext/>
        <w:keepLines/>
        <w:rPr>
          <w:rFonts w:eastAsia="MS PGothic"/>
          <w:szCs w:val="22"/>
          <w:lang w:val="en-GB"/>
        </w:rPr>
      </w:pPr>
      <w:r w:rsidRPr="00015B1B">
        <w:rPr>
          <w:rFonts w:eastAsia="MS PGothic"/>
          <w:szCs w:val="22"/>
          <w:lang w:val="en-GB"/>
        </w:rPr>
        <w:t xml:space="preserve">The overall safety profile of MabThera in rheumatoid arthritis is based on data from patients </w:t>
      </w:r>
      <w:r w:rsidRPr="00015B1B">
        <w:rPr>
          <w:rFonts w:eastAsia="MS PGothic"/>
          <w:bCs/>
          <w:szCs w:val="22"/>
          <w:lang w:val="en-GB"/>
        </w:rPr>
        <w:t>from clinical trials and from post</w:t>
      </w:r>
      <w:r w:rsidR="000A6DDA" w:rsidRPr="00015B1B">
        <w:rPr>
          <w:rFonts w:eastAsia="MS PGothic"/>
          <w:bCs/>
          <w:szCs w:val="22"/>
          <w:lang w:val="en-GB"/>
        </w:rPr>
        <w:noBreakHyphen/>
      </w:r>
      <w:r w:rsidRPr="00015B1B">
        <w:rPr>
          <w:rFonts w:eastAsia="MS PGothic"/>
          <w:bCs/>
          <w:szCs w:val="22"/>
          <w:lang w:val="en-GB"/>
        </w:rPr>
        <w:t>marketing surveillance</w:t>
      </w:r>
      <w:r w:rsidRPr="00015B1B">
        <w:rPr>
          <w:rFonts w:eastAsia="MS PGothic"/>
          <w:szCs w:val="22"/>
          <w:lang w:val="en-GB"/>
        </w:rPr>
        <w:t>.</w:t>
      </w:r>
    </w:p>
    <w:p w14:paraId="7C33135C" w14:textId="77777777" w:rsidR="008F369D" w:rsidRPr="00F332AF" w:rsidRDefault="008F369D" w:rsidP="006522A3">
      <w:pPr>
        <w:rPr>
          <w:lang w:val="en-GB"/>
        </w:rPr>
      </w:pPr>
    </w:p>
    <w:p w14:paraId="7C33135D" w14:textId="77777777" w:rsidR="008F369D" w:rsidRPr="00E40FB5" w:rsidRDefault="00016F29" w:rsidP="008F369D">
      <w:pPr>
        <w:rPr>
          <w:szCs w:val="22"/>
          <w:lang w:val="en-GB"/>
        </w:rPr>
      </w:pPr>
      <w:r w:rsidRPr="00E40FB5">
        <w:rPr>
          <w:szCs w:val="22"/>
          <w:lang w:val="en-GB"/>
        </w:rPr>
        <w:t>The safety profile of MabThera in patients with moderate to severe rheumatoid arthritis (RA) is summari</w:t>
      </w:r>
      <w:r w:rsidR="005B7FA0">
        <w:rPr>
          <w:szCs w:val="22"/>
          <w:lang w:val="en-GB"/>
        </w:rPr>
        <w:t>s</w:t>
      </w:r>
      <w:r w:rsidRPr="00E40FB5">
        <w:rPr>
          <w:szCs w:val="22"/>
          <w:lang w:val="en-GB"/>
        </w:rPr>
        <w:t xml:space="preserve">ed in the sections below. In clinical trials more than 3100 patients </w:t>
      </w:r>
      <w:r w:rsidRPr="00E40FB5">
        <w:rPr>
          <w:rFonts w:eastAsia="Times"/>
          <w:szCs w:val="22"/>
          <w:lang w:val="en-GB"/>
        </w:rPr>
        <w:t>received at least one treatment course and were followed for periods ranging from 6 months to over</w:t>
      </w:r>
      <w:r w:rsidRPr="00E40FB5">
        <w:rPr>
          <w:szCs w:val="22"/>
          <w:lang w:val="en-GB"/>
        </w:rPr>
        <w:t xml:space="preserve"> 5 years; approximately 2400 patients received two or more courses of treatment with over 1000 having received 5 or more courses. The safety information collected during post marketing experience reflects the expected adverse reaction profile as seen in clinical trials for MabThera (see section 4.4). </w:t>
      </w:r>
    </w:p>
    <w:p w14:paraId="7C33135E" w14:textId="77777777" w:rsidR="008F369D" w:rsidRPr="00E40FB5" w:rsidRDefault="008F369D" w:rsidP="008F369D">
      <w:pPr>
        <w:rPr>
          <w:szCs w:val="22"/>
          <w:u w:val="single"/>
          <w:lang w:val="en-GB"/>
        </w:rPr>
      </w:pPr>
    </w:p>
    <w:p w14:paraId="7C33135F" w14:textId="77777777" w:rsidR="008F369D" w:rsidRPr="00015B1B" w:rsidRDefault="00016F29" w:rsidP="008F369D">
      <w:pPr>
        <w:rPr>
          <w:szCs w:val="22"/>
          <w:lang w:val="en-GB"/>
        </w:rPr>
      </w:pPr>
      <w:r w:rsidRPr="00015B1B">
        <w:rPr>
          <w:szCs w:val="22"/>
          <w:lang w:val="en-GB"/>
        </w:rPr>
        <w:t>Patients received 2 x 1000 mg of MabThera separated by an interval of two weeks; in addition to methotrexate (10</w:t>
      </w:r>
      <w:r w:rsidR="000A6DDA" w:rsidRPr="00015B1B">
        <w:rPr>
          <w:szCs w:val="22"/>
          <w:lang w:val="en-GB"/>
        </w:rPr>
        <w:noBreakHyphen/>
      </w:r>
      <w:r w:rsidRPr="00015B1B">
        <w:rPr>
          <w:szCs w:val="22"/>
          <w:lang w:val="en-GB"/>
        </w:rPr>
        <w:t>25 mg/week). MabThera infusions were administered after an intravenous infusion of 100 mg methylprednisolone; patients also received treatment with oral prednisone for 15 days.</w:t>
      </w:r>
    </w:p>
    <w:p w14:paraId="7C331360" w14:textId="77777777" w:rsidR="008F369D" w:rsidRDefault="008F369D" w:rsidP="008F369D">
      <w:pPr>
        <w:rPr>
          <w:szCs w:val="22"/>
          <w:lang w:val="en-GB"/>
        </w:rPr>
      </w:pPr>
    </w:p>
    <w:p w14:paraId="7C331361" w14:textId="77777777" w:rsidR="008F369D" w:rsidRPr="003D1687" w:rsidRDefault="00016F29" w:rsidP="00AA7B51">
      <w:pPr>
        <w:keepNext/>
        <w:keepLines/>
        <w:rPr>
          <w:i/>
          <w:szCs w:val="22"/>
          <w:u w:val="single"/>
          <w:lang w:val="en-GB"/>
        </w:rPr>
      </w:pPr>
      <w:r w:rsidRPr="003D1687">
        <w:rPr>
          <w:i/>
          <w:szCs w:val="22"/>
          <w:u w:val="single"/>
          <w:lang w:val="en-GB"/>
        </w:rPr>
        <w:t>Tabulated list of adverse reactions</w:t>
      </w:r>
    </w:p>
    <w:p w14:paraId="7C331362" w14:textId="77777777" w:rsidR="008F369D" w:rsidRDefault="008F369D" w:rsidP="00AA7B51">
      <w:pPr>
        <w:keepNext/>
        <w:keepLines/>
        <w:rPr>
          <w:szCs w:val="22"/>
          <w:lang w:val="en-GB"/>
        </w:rPr>
      </w:pPr>
    </w:p>
    <w:p w14:paraId="7C331363" w14:textId="77777777" w:rsidR="008F369D" w:rsidRPr="00F638AF" w:rsidRDefault="00016F29" w:rsidP="00AA7B51">
      <w:pPr>
        <w:keepNext/>
        <w:keepLines/>
        <w:rPr>
          <w:szCs w:val="22"/>
          <w:lang w:val="en-GB"/>
        </w:rPr>
      </w:pPr>
      <w:r>
        <w:rPr>
          <w:szCs w:val="22"/>
          <w:lang w:val="en-GB"/>
        </w:rPr>
        <w:t xml:space="preserve">Adverse </w:t>
      </w:r>
      <w:r w:rsidRPr="00F638AF">
        <w:rPr>
          <w:szCs w:val="22"/>
          <w:lang w:val="en-GB"/>
        </w:rPr>
        <w:t xml:space="preserve">reactions are listed in Table </w:t>
      </w:r>
      <w:r w:rsidR="007266CA" w:rsidRPr="00F638AF">
        <w:rPr>
          <w:szCs w:val="22"/>
          <w:lang w:val="en-GB"/>
        </w:rPr>
        <w:t>4</w:t>
      </w:r>
      <w:r w:rsidRPr="00F638AF">
        <w:rPr>
          <w:szCs w:val="22"/>
          <w:lang w:val="en-GB"/>
        </w:rPr>
        <w:t>. Frequencies are defined as very common (≥1/10), common (≥1/100 to &lt;1/10), uncommon (≥1/1,000 to &lt;1/100), and very rare (&lt;1/10,000). W</w:t>
      </w:r>
      <w:r w:rsidRPr="00F638AF">
        <w:rPr>
          <w:bCs/>
          <w:szCs w:val="22"/>
          <w:lang w:val="en-GB"/>
        </w:rPr>
        <w:t>ithin each frequency grouping, undesirable effects are presented in order of decreasing seriousness.</w:t>
      </w:r>
    </w:p>
    <w:p w14:paraId="7C331364" w14:textId="77777777" w:rsidR="008F369D" w:rsidRPr="00F638AF" w:rsidRDefault="008F369D" w:rsidP="008F369D">
      <w:pPr>
        <w:rPr>
          <w:szCs w:val="22"/>
          <w:lang w:val="en-GB"/>
        </w:rPr>
      </w:pPr>
    </w:p>
    <w:p w14:paraId="7C331365" w14:textId="77777777" w:rsidR="008F369D" w:rsidRPr="00F638AF" w:rsidRDefault="00016F29" w:rsidP="008F369D">
      <w:pPr>
        <w:autoSpaceDE w:val="0"/>
        <w:autoSpaceDN w:val="0"/>
        <w:adjustRightInd w:val="0"/>
        <w:rPr>
          <w:szCs w:val="22"/>
          <w:lang w:val="en-GB"/>
        </w:rPr>
      </w:pPr>
      <w:r w:rsidRPr="00F638AF">
        <w:rPr>
          <w:szCs w:val="22"/>
          <w:lang w:val="en-GB"/>
        </w:rPr>
        <w:t xml:space="preserve">The most frequent adverse reactions considered due to receipt of MabThera were IRRs. The overall incidence of IRRs in clinical trials was 23% with the first infusion and decreased with subsequent infusions. Serious IRRs were uncommon (0.5% of patients) and were predominantly seen during the initial course.  </w:t>
      </w:r>
      <w:r w:rsidRPr="00F638AF">
        <w:rPr>
          <w:snapToGrid w:val="0"/>
          <w:szCs w:val="22"/>
          <w:lang w:val="en-GB" w:eastAsia="en-US"/>
        </w:rPr>
        <w:t>In addition to adverse reactions seen in RA clinical trials for MabThera, progressive multifocal leukoencephalopathy (PML) (see section 4.4) and serum sickness</w:t>
      </w:r>
      <w:r w:rsidR="000A6DDA" w:rsidRPr="00F638AF">
        <w:rPr>
          <w:snapToGrid w:val="0"/>
          <w:szCs w:val="22"/>
          <w:lang w:val="en-GB" w:eastAsia="en-US"/>
        </w:rPr>
        <w:noBreakHyphen/>
      </w:r>
      <w:r w:rsidRPr="00F638AF">
        <w:rPr>
          <w:snapToGrid w:val="0"/>
          <w:szCs w:val="22"/>
          <w:lang w:val="en-GB" w:eastAsia="en-US"/>
        </w:rPr>
        <w:t>like reaction have been reported during post marketing experience.</w:t>
      </w:r>
    </w:p>
    <w:p w14:paraId="7C331366" w14:textId="77777777" w:rsidR="008F369D" w:rsidRPr="00F638AF" w:rsidRDefault="008F369D" w:rsidP="008F369D">
      <w:pPr>
        <w:rPr>
          <w:b/>
          <w:szCs w:val="22"/>
          <w:lang w:val="en-GB"/>
        </w:rPr>
      </w:pPr>
    </w:p>
    <w:p w14:paraId="7C331367" w14:textId="77777777" w:rsidR="008F369D" w:rsidRPr="00F638AF" w:rsidRDefault="00016F29" w:rsidP="008F369D">
      <w:pPr>
        <w:keepNext/>
        <w:keepLines/>
        <w:ind w:left="1134" w:hanging="1134"/>
        <w:rPr>
          <w:rFonts w:cs="Arial"/>
          <w:b/>
          <w:szCs w:val="22"/>
          <w:lang w:val="en-GB"/>
        </w:rPr>
      </w:pPr>
      <w:r w:rsidRPr="00F638AF">
        <w:rPr>
          <w:rFonts w:cs="Arial"/>
          <w:b/>
          <w:szCs w:val="22"/>
          <w:lang w:val="en-GB"/>
        </w:rPr>
        <w:t>Table </w:t>
      </w:r>
      <w:r w:rsidR="00650AF9" w:rsidRPr="00F638AF">
        <w:rPr>
          <w:rFonts w:cs="Arial"/>
          <w:b/>
          <w:szCs w:val="22"/>
          <w:lang w:val="en-GB"/>
        </w:rPr>
        <w:t>4</w:t>
      </w:r>
      <w:r w:rsidRPr="00F638AF">
        <w:rPr>
          <w:rFonts w:cs="Arial"/>
          <w:b/>
          <w:szCs w:val="22"/>
          <w:lang w:val="en-GB"/>
        </w:rPr>
        <w:tab/>
        <w:t xml:space="preserve">Summary of adverse reactions reported in clinical trials or during postmarketing surveillance occurring in patients with rheumatoid arthritis receiving MabThera </w:t>
      </w:r>
    </w:p>
    <w:tbl>
      <w:tblPr>
        <w:tblW w:w="526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1"/>
        <w:gridCol w:w="1699"/>
        <w:gridCol w:w="1701"/>
        <w:gridCol w:w="1556"/>
        <w:gridCol w:w="1278"/>
        <w:gridCol w:w="1461"/>
      </w:tblGrid>
      <w:tr w:rsidR="003A788B" w14:paraId="7C33136F" w14:textId="77777777" w:rsidTr="00E06A78">
        <w:trPr>
          <w:tblHeader/>
        </w:trPr>
        <w:tc>
          <w:tcPr>
            <w:tcW w:w="965" w:type="pct"/>
            <w:tcBorders>
              <w:top w:val="single" w:sz="4" w:space="0" w:color="auto"/>
              <w:left w:val="single" w:sz="4" w:space="0" w:color="auto"/>
              <w:bottom w:val="single" w:sz="4" w:space="0" w:color="auto"/>
              <w:right w:val="single" w:sz="4" w:space="0" w:color="auto"/>
            </w:tcBorders>
            <w:vAlign w:val="center"/>
          </w:tcPr>
          <w:p w14:paraId="7C331368" w14:textId="77777777" w:rsidR="000C36D7" w:rsidRPr="00811833" w:rsidRDefault="00016F29" w:rsidP="008919D7">
            <w:pPr>
              <w:keepNext/>
              <w:keepLines/>
              <w:jc w:val="center"/>
              <w:rPr>
                <w:b/>
                <w:bCs/>
                <w:sz w:val="18"/>
                <w:szCs w:val="18"/>
                <w:lang w:val="en-GB"/>
              </w:rPr>
            </w:pPr>
            <w:r w:rsidRPr="00811833">
              <w:rPr>
                <w:b/>
                <w:bCs/>
                <w:sz w:val="18"/>
                <w:szCs w:val="18"/>
                <w:lang w:val="en-GB"/>
              </w:rPr>
              <w:t>MedDRA</w:t>
            </w:r>
          </w:p>
          <w:p w14:paraId="7C331369" w14:textId="77777777" w:rsidR="008F369D" w:rsidRPr="00F638AF" w:rsidRDefault="00016F29" w:rsidP="008919D7">
            <w:pPr>
              <w:keepNext/>
              <w:keepLines/>
              <w:jc w:val="center"/>
              <w:rPr>
                <w:sz w:val="18"/>
                <w:szCs w:val="18"/>
                <w:lang w:val="en-GB"/>
              </w:rPr>
            </w:pPr>
            <w:r w:rsidRPr="00F638AF">
              <w:rPr>
                <w:b/>
                <w:bCs/>
                <w:sz w:val="18"/>
                <w:szCs w:val="18"/>
                <w:lang w:val="en-GB"/>
              </w:rPr>
              <w:t>System Organ Class</w:t>
            </w:r>
          </w:p>
        </w:tc>
        <w:tc>
          <w:tcPr>
            <w:tcW w:w="891" w:type="pct"/>
            <w:tcBorders>
              <w:top w:val="single" w:sz="4" w:space="0" w:color="auto"/>
              <w:left w:val="single" w:sz="4" w:space="0" w:color="auto"/>
              <w:bottom w:val="single" w:sz="4" w:space="0" w:color="auto"/>
              <w:right w:val="single" w:sz="4" w:space="0" w:color="auto"/>
            </w:tcBorders>
            <w:vAlign w:val="center"/>
          </w:tcPr>
          <w:p w14:paraId="7C33136A" w14:textId="77777777" w:rsidR="008F369D" w:rsidRPr="00F638AF" w:rsidRDefault="00016F29" w:rsidP="008919D7">
            <w:pPr>
              <w:keepNext/>
              <w:keepLines/>
              <w:jc w:val="center"/>
              <w:rPr>
                <w:b/>
                <w:sz w:val="18"/>
                <w:szCs w:val="18"/>
                <w:lang w:val="en-GB"/>
              </w:rPr>
            </w:pPr>
            <w:r w:rsidRPr="00F638AF">
              <w:rPr>
                <w:b/>
                <w:sz w:val="18"/>
                <w:szCs w:val="18"/>
                <w:lang w:val="en-GB"/>
              </w:rPr>
              <w:t>Very Common</w:t>
            </w:r>
          </w:p>
        </w:tc>
        <w:tc>
          <w:tcPr>
            <w:tcW w:w="892" w:type="pct"/>
            <w:tcBorders>
              <w:top w:val="single" w:sz="4" w:space="0" w:color="auto"/>
              <w:left w:val="single" w:sz="4" w:space="0" w:color="auto"/>
              <w:bottom w:val="single" w:sz="4" w:space="0" w:color="auto"/>
              <w:right w:val="single" w:sz="4" w:space="0" w:color="auto"/>
            </w:tcBorders>
            <w:vAlign w:val="center"/>
          </w:tcPr>
          <w:p w14:paraId="7C33136B" w14:textId="77777777" w:rsidR="008F369D" w:rsidRPr="00F638AF" w:rsidRDefault="00016F29" w:rsidP="008919D7">
            <w:pPr>
              <w:keepNext/>
              <w:keepLines/>
              <w:jc w:val="center"/>
              <w:rPr>
                <w:b/>
                <w:sz w:val="18"/>
                <w:szCs w:val="18"/>
                <w:lang w:val="en-GB"/>
              </w:rPr>
            </w:pPr>
            <w:r w:rsidRPr="00F638AF">
              <w:rPr>
                <w:b/>
                <w:sz w:val="18"/>
                <w:szCs w:val="18"/>
                <w:lang w:val="en-GB"/>
              </w:rPr>
              <w:t>Common</w:t>
            </w:r>
          </w:p>
        </w:tc>
        <w:tc>
          <w:tcPr>
            <w:tcW w:w="816" w:type="pct"/>
            <w:tcBorders>
              <w:top w:val="single" w:sz="4" w:space="0" w:color="auto"/>
              <w:left w:val="single" w:sz="4" w:space="0" w:color="auto"/>
              <w:bottom w:val="single" w:sz="4" w:space="0" w:color="auto"/>
              <w:right w:val="single" w:sz="4" w:space="0" w:color="auto"/>
            </w:tcBorders>
          </w:tcPr>
          <w:p w14:paraId="7C33136C" w14:textId="77777777" w:rsidR="008F369D" w:rsidRPr="00F638AF" w:rsidRDefault="00016F29" w:rsidP="008919D7">
            <w:pPr>
              <w:keepNext/>
              <w:keepLines/>
              <w:jc w:val="center"/>
              <w:rPr>
                <w:b/>
                <w:sz w:val="18"/>
                <w:szCs w:val="18"/>
                <w:lang w:val="en-GB"/>
              </w:rPr>
            </w:pPr>
            <w:r w:rsidRPr="00F638AF">
              <w:rPr>
                <w:b/>
                <w:sz w:val="18"/>
                <w:szCs w:val="18"/>
                <w:lang w:val="en-GB"/>
              </w:rPr>
              <w:t>Uncommon</w:t>
            </w:r>
          </w:p>
        </w:tc>
        <w:tc>
          <w:tcPr>
            <w:tcW w:w="670" w:type="pct"/>
            <w:tcBorders>
              <w:top w:val="single" w:sz="4" w:space="0" w:color="auto"/>
              <w:left w:val="single" w:sz="4" w:space="0" w:color="auto"/>
              <w:bottom w:val="single" w:sz="4" w:space="0" w:color="auto"/>
              <w:right w:val="single" w:sz="4" w:space="0" w:color="auto"/>
            </w:tcBorders>
          </w:tcPr>
          <w:p w14:paraId="7C33136D" w14:textId="77777777" w:rsidR="008F369D" w:rsidRPr="00F638AF" w:rsidRDefault="00016F29" w:rsidP="008919D7">
            <w:pPr>
              <w:keepNext/>
              <w:keepLines/>
              <w:jc w:val="center"/>
              <w:rPr>
                <w:b/>
                <w:sz w:val="18"/>
                <w:szCs w:val="18"/>
                <w:lang w:val="en-GB"/>
              </w:rPr>
            </w:pPr>
            <w:r w:rsidRPr="00F638AF">
              <w:rPr>
                <w:b/>
                <w:sz w:val="18"/>
                <w:szCs w:val="18"/>
                <w:lang w:val="en-GB"/>
              </w:rPr>
              <w:t>Rare</w:t>
            </w:r>
          </w:p>
        </w:tc>
        <w:tc>
          <w:tcPr>
            <w:tcW w:w="766" w:type="pct"/>
            <w:tcBorders>
              <w:top w:val="single" w:sz="4" w:space="0" w:color="auto"/>
              <w:left w:val="single" w:sz="4" w:space="0" w:color="auto"/>
              <w:bottom w:val="single" w:sz="4" w:space="0" w:color="auto"/>
              <w:right w:val="single" w:sz="4" w:space="0" w:color="auto"/>
            </w:tcBorders>
          </w:tcPr>
          <w:p w14:paraId="7C33136E" w14:textId="77777777" w:rsidR="008F369D" w:rsidRPr="00525A55" w:rsidRDefault="00016F29" w:rsidP="008919D7">
            <w:pPr>
              <w:keepNext/>
              <w:keepLines/>
              <w:jc w:val="center"/>
              <w:rPr>
                <w:b/>
                <w:sz w:val="18"/>
                <w:szCs w:val="18"/>
                <w:lang w:val="en-GB"/>
              </w:rPr>
            </w:pPr>
            <w:r w:rsidRPr="00F638AF">
              <w:rPr>
                <w:b/>
                <w:sz w:val="18"/>
                <w:szCs w:val="18"/>
                <w:lang w:val="en-GB"/>
              </w:rPr>
              <w:t>Very rare</w:t>
            </w:r>
          </w:p>
        </w:tc>
      </w:tr>
      <w:tr w:rsidR="003A788B" w14:paraId="7C331376" w14:textId="77777777" w:rsidTr="00E06A78">
        <w:tc>
          <w:tcPr>
            <w:tcW w:w="965" w:type="pct"/>
            <w:tcBorders>
              <w:top w:val="single" w:sz="4" w:space="0" w:color="auto"/>
              <w:left w:val="single" w:sz="4" w:space="0" w:color="auto"/>
              <w:bottom w:val="single" w:sz="4" w:space="0" w:color="auto"/>
              <w:right w:val="single" w:sz="4" w:space="0" w:color="auto"/>
            </w:tcBorders>
          </w:tcPr>
          <w:p w14:paraId="7C331370" w14:textId="77777777" w:rsidR="008F369D" w:rsidRPr="00E40FB5" w:rsidRDefault="00016F29" w:rsidP="008919D7">
            <w:pPr>
              <w:keepNext/>
              <w:keepLines/>
              <w:rPr>
                <w:b/>
                <w:sz w:val="18"/>
                <w:szCs w:val="18"/>
                <w:lang w:val="en-GB"/>
              </w:rPr>
            </w:pPr>
            <w:r>
              <w:rPr>
                <w:b/>
                <w:sz w:val="18"/>
                <w:szCs w:val="18"/>
                <w:lang w:val="en-GB"/>
              </w:rPr>
              <w:t xml:space="preserve">Infections and </w:t>
            </w:r>
            <w:r w:rsidR="000C36D7" w:rsidRPr="00811833">
              <w:rPr>
                <w:b/>
                <w:sz w:val="18"/>
                <w:szCs w:val="18"/>
                <w:lang w:val="en-GB"/>
              </w:rPr>
              <w:t>i</w:t>
            </w:r>
            <w:r w:rsidRPr="00E40FB5">
              <w:rPr>
                <w:b/>
                <w:sz w:val="18"/>
                <w:szCs w:val="18"/>
                <w:lang w:val="en-GB"/>
              </w:rPr>
              <w:t>nfestations</w:t>
            </w:r>
          </w:p>
        </w:tc>
        <w:tc>
          <w:tcPr>
            <w:tcW w:w="891" w:type="pct"/>
            <w:tcBorders>
              <w:top w:val="single" w:sz="4" w:space="0" w:color="auto"/>
              <w:left w:val="single" w:sz="4" w:space="0" w:color="auto"/>
              <w:bottom w:val="single" w:sz="4" w:space="0" w:color="auto"/>
              <w:right w:val="single" w:sz="4" w:space="0" w:color="auto"/>
            </w:tcBorders>
          </w:tcPr>
          <w:p w14:paraId="7C331371" w14:textId="77777777" w:rsidR="008F369D" w:rsidRPr="00F332AF" w:rsidRDefault="00016F29" w:rsidP="008919D7">
            <w:pPr>
              <w:keepNext/>
              <w:keepLines/>
              <w:rPr>
                <w:sz w:val="18"/>
                <w:szCs w:val="18"/>
                <w:lang w:val="en-GB"/>
              </w:rPr>
            </w:pPr>
            <w:r w:rsidRPr="00F332AF">
              <w:rPr>
                <w:sz w:val="18"/>
                <w:szCs w:val="18"/>
                <w:lang w:val="en-GB"/>
              </w:rPr>
              <w:t>upper respiratory tract infection, urinary tract infections</w:t>
            </w:r>
          </w:p>
        </w:tc>
        <w:tc>
          <w:tcPr>
            <w:tcW w:w="892" w:type="pct"/>
            <w:tcBorders>
              <w:top w:val="single" w:sz="4" w:space="0" w:color="auto"/>
              <w:left w:val="single" w:sz="4" w:space="0" w:color="auto"/>
              <w:bottom w:val="single" w:sz="4" w:space="0" w:color="auto"/>
              <w:right w:val="single" w:sz="4" w:space="0" w:color="auto"/>
            </w:tcBorders>
          </w:tcPr>
          <w:p w14:paraId="7C331372" w14:textId="77777777" w:rsidR="008F369D" w:rsidRPr="00E06A78" w:rsidRDefault="00016F29" w:rsidP="008919D7">
            <w:pPr>
              <w:keepNext/>
              <w:keepLines/>
              <w:rPr>
                <w:sz w:val="18"/>
                <w:lang w:val="pt-BR"/>
              </w:rPr>
            </w:pPr>
            <w:r w:rsidRPr="00E06A78">
              <w:rPr>
                <w:sz w:val="18"/>
                <w:szCs w:val="18"/>
                <w:lang w:val="pt-BR"/>
              </w:rPr>
              <w:t>b</w:t>
            </w:r>
            <w:r w:rsidRPr="00E06A78">
              <w:rPr>
                <w:sz w:val="18"/>
                <w:lang w:val="pt-BR"/>
              </w:rPr>
              <w:t xml:space="preserve">ronchitis, sinusitis, gastroenteritis, tinea </w:t>
            </w:r>
            <w:r w:rsidR="00B63DC8" w:rsidRPr="00E06A78">
              <w:rPr>
                <w:sz w:val="18"/>
                <w:szCs w:val="18"/>
                <w:lang w:val="pt-BR"/>
              </w:rPr>
              <w:t>pedis</w:t>
            </w:r>
            <w:r w:rsidR="00B9237D">
              <w:rPr>
                <w:sz w:val="18"/>
                <w:szCs w:val="18"/>
                <w:lang w:val="es-ES"/>
              </w:rPr>
              <w:t>pedís</w:t>
            </w:r>
          </w:p>
        </w:tc>
        <w:tc>
          <w:tcPr>
            <w:tcW w:w="816" w:type="pct"/>
            <w:tcBorders>
              <w:top w:val="single" w:sz="4" w:space="0" w:color="auto"/>
              <w:left w:val="single" w:sz="4" w:space="0" w:color="auto"/>
              <w:bottom w:val="single" w:sz="4" w:space="0" w:color="auto"/>
              <w:right w:val="single" w:sz="4" w:space="0" w:color="auto"/>
            </w:tcBorders>
          </w:tcPr>
          <w:p w14:paraId="7C331373" w14:textId="77777777" w:rsidR="008F369D" w:rsidRPr="00E06A78" w:rsidRDefault="008F369D" w:rsidP="008919D7">
            <w:pPr>
              <w:keepNext/>
              <w:keepLines/>
              <w:rPr>
                <w:sz w:val="18"/>
                <w:lang w:val="pt-BR"/>
              </w:rPr>
            </w:pPr>
          </w:p>
        </w:tc>
        <w:tc>
          <w:tcPr>
            <w:tcW w:w="670" w:type="pct"/>
            <w:tcBorders>
              <w:top w:val="single" w:sz="4" w:space="0" w:color="auto"/>
              <w:left w:val="single" w:sz="4" w:space="0" w:color="auto"/>
              <w:bottom w:val="single" w:sz="4" w:space="0" w:color="auto"/>
              <w:right w:val="single" w:sz="4" w:space="0" w:color="auto"/>
            </w:tcBorders>
          </w:tcPr>
          <w:p w14:paraId="7C331374" w14:textId="77777777" w:rsidR="008F369D" w:rsidRPr="00E06A78" w:rsidRDefault="008F369D" w:rsidP="008919D7">
            <w:pPr>
              <w:keepNext/>
              <w:keepLines/>
              <w:rPr>
                <w:sz w:val="18"/>
                <w:lang w:val="pt-BR"/>
              </w:rPr>
            </w:pPr>
          </w:p>
        </w:tc>
        <w:tc>
          <w:tcPr>
            <w:tcW w:w="766" w:type="pct"/>
            <w:tcBorders>
              <w:top w:val="single" w:sz="4" w:space="0" w:color="auto"/>
              <w:left w:val="single" w:sz="4" w:space="0" w:color="auto"/>
              <w:bottom w:val="single" w:sz="4" w:space="0" w:color="auto"/>
              <w:right w:val="single" w:sz="4" w:space="0" w:color="auto"/>
            </w:tcBorders>
          </w:tcPr>
          <w:p w14:paraId="7C331375" w14:textId="77777777" w:rsidR="008F369D" w:rsidRPr="00E40FB5" w:rsidRDefault="00016F29" w:rsidP="008919D7">
            <w:pPr>
              <w:keepNext/>
              <w:keepLines/>
              <w:rPr>
                <w:sz w:val="18"/>
                <w:szCs w:val="18"/>
                <w:lang w:val="en-GB"/>
              </w:rPr>
            </w:pPr>
            <w:r w:rsidRPr="00E40FB5">
              <w:rPr>
                <w:sz w:val="18"/>
                <w:szCs w:val="18"/>
                <w:lang w:val="en-GB"/>
              </w:rPr>
              <w:t>PML, reactivation of hepatitis B</w:t>
            </w:r>
          </w:p>
        </w:tc>
      </w:tr>
      <w:tr w:rsidR="003A788B" w14:paraId="7C33137D" w14:textId="77777777" w:rsidTr="00E06A78">
        <w:tc>
          <w:tcPr>
            <w:tcW w:w="965" w:type="pct"/>
            <w:tcBorders>
              <w:top w:val="single" w:sz="4" w:space="0" w:color="auto"/>
              <w:left w:val="single" w:sz="4" w:space="0" w:color="auto"/>
              <w:bottom w:val="single" w:sz="4" w:space="0" w:color="auto"/>
              <w:right w:val="single" w:sz="4" w:space="0" w:color="auto"/>
            </w:tcBorders>
          </w:tcPr>
          <w:p w14:paraId="7C331377" w14:textId="77777777" w:rsidR="008F369D" w:rsidRPr="00E40FB5" w:rsidRDefault="00016F29" w:rsidP="008919D7">
            <w:pPr>
              <w:keepNext/>
              <w:keepLines/>
              <w:rPr>
                <w:b/>
                <w:sz w:val="18"/>
                <w:szCs w:val="18"/>
                <w:lang w:val="en-GB"/>
              </w:rPr>
            </w:pPr>
            <w:r w:rsidRPr="00E40FB5">
              <w:rPr>
                <w:b/>
                <w:sz w:val="18"/>
                <w:szCs w:val="18"/>
                <w:lang w:val="en-GB"/>
              </w:rPr>
              <w:t>Blood and lymphatic system disorders</w:t>
            </w:r>
          </w:p>
        </w:tc>
        <w:tc>
          <w:tcPr>
            <w:tcW w:w="891" w:type="pct"/>
            <w:tcBorders>
              <w:top w:val="single" w:sz="4" w:space="0" w:color="auto"/>
              <w:left w:val="single" w:sz="4" w:space="0" w:color="auto"/>
              <w:right w:val="single" w:sz="4" w:space="0" w:color="auto"/>
            </w:tcBorders>
          </w:tcPr>
          <w:p w14:paraId="7C331378" w14:textId="77777777" w:rsidR="008F369D" w:rsidRPr="00F332AF" w:rsidRDefault="008F369D" w:rsidP="008919D7">
            <w:pPr>
              <w:keepNext/>
              <w:keepLines/>
              <w:rPr>
                <w:sz w:val="18"/>
                <w:szCs w:val="18"/>
                <w:lang w:val="en-GB"/>
              </w:rPr>
            </w:pPr>
          </w:p>
        </w:tc>
        <w:tc>
          <w:tcPr>
            <w:tcW w:w="892" w:type="pct"/>
            <w:tcBorders>
              <w:top w:val="single" w:sz="4" w:space="0" w:color="auto"/>
              <w:left w:val="single" w:sz="4" w:space="0" w:color="auto"/>
              <w:right w:val="single" w:sz="4" w:space="0" w:color="auto"/>
            </w:tcBorders>
          </w:tcPr>
          <w:p w14:paraId="7C331379" w14:textId="77777777" w:rsidR="008F369D" w:rsidRPr="00F332AF" w:rsidRDefault="00016F29" w:rsidP="008919D7">
            <w:pPr>
              <w:keepNext/>
              <w:keepLines/>
              <w:rPr>
                <w:sz w:val="18"/>
                <w:szCs w:val="18"/>
                <w:lang w:val="en-GB"/>
              </w:rPr>
            </w:pPr>
            <w:r w:rsidRPr="00F332AF">
              <w:rPr>
                <w:sz w:val="18"/>
                <w:szCs w:val="18"/>
                <w:lang w:val="en-GB"/>
              </w:rPr>
              <w:t>neutropenia</w:t>
            </w:r>
            <w:r w:rsidRPr="00F332AF">
              <w:rPr>
                <w:sz w:val="18"/>
                <w:szCs w:val="18"/>
                <w:vertAlign w:val="superscript"/>
                <w:lang w:val="en-GB"/>
              </w:rPr>
              <w:t>1</w:t>
            </w:r>
          </w:p>
        </w:tc>
        <w:tc>
          <w:tcPr>
            <w:tcW w:w="816" w:type="pct"/>
            <w:tcBorders>
              <w:top w:val="single" w:sz="4" w:space="0" w:color="auto"/>
              <w:left w:val="single" w:sz="4" w:space="0" w:color="auto"/>
              <w:right w:val="single" w:sz="4" w:space="0" w:color="auto"/>
            </w:tcBorders>
          </w:tcPr>
          <w:p w14:paraId="7C33137A" w14:textId="77777777" w:rsidR="008F369D" w:rsidRPr="00525A55" w:rsidRDefault="008F369D" w:rsidP="008919D7">
            <w:pPr>
              <w:keepNext/>
              <w:keepLines/>
              <w:rPr>
                <w:sz w:val="18"/>
                <w:szCs w:val="18"/>
                <w:lang w:val="en-GB"/>
              </w:rPr>
            </w:pPr>
          </w:p>
        </w:tc>
        <w:tc>
          <w:tcPr>
            <w:tcW w:w="670" w:type="pct"/>
            <w:tcBorders>
              <w:top w:val="single" w:sz="4" w:space="0" w:color="auto"/>
              <w:left w:val="single" w:sz="4" w:space="0" w:color="auto"/>
              <w:right w:val="single" w:sz="4" w:space="0" w:color="auto"/>
            </w:tcBorders>
          </w:tcPr>
          <w:p w14:paraId="7C33137B" w14:textId="77777777" w:rsidR="008F369D" w:rsidRPr="00DF4B74" w:rsidRDefault="00016F29" w:rsidP="008919D7">
            <w:pPr>
              <w:keepNext/>
              <w:keepLines/>
              <w:rPr>
                <w:sz w:val="18"/>
                <w:szCs w:val="18"/>
                <w:lang w:val="en-GB"/>
              </w:rPr>
            </w:pPr>
            <w:r w:rsidRPr="00525A55">
              <w:rPr>
                <w:sz w:val="18"/>
                <w:szCs w:val="18"/>
                <w:lang w:val="en-GB"/>
              </w:rPr>
              <w:t>late neutropenia</w:t>
            </w:r>
            <w:r w:rsidRPr="00EF300D">
              <w:rPr>
                <w:sz w:val="18"/>
                <w:szCs w:val="18"/>
                <w:vertAlign w:val="superscript"/>
                <w:lang w:val="en-GB"/>
              </w:rPr>
              <w:t>2</w:t>
            </w:r>
          </w:p>
        </w:tc>
        <w:tc>
          <w:tcPr>
            <w:tcW w:w="766" w:type="pct"/>
            <w:tcBorders>
              <w:top w:val="single" w:sz="4" w:space="0" w:color="auto"/>
              <w:left w:val="single" w:sz="4" w:space="0" w:color="auto"/>
            </w:tcBorders>
          </w:tcPr>
          <w:p w14:paraId="7C33137C" w14:textId="77777777" w:rsidR="008F369D" w:rsidRPr="00B76154" w:rsidRDefault="00016F29" w:rsidP="008919D7">
            <w:pPr>
              <w:keepNext/>
              <w:keepLines/>
              <w:rPr>
                <w:sz w:val="18"/>
                <w:szCs w:val="18"/>
                <w:lang w:val="en-GB"/>
              </w:rPr>
            </w:pPr>
            <w:r w:rsidRPr="00811833">
              <w:rPr>
                <w:sz w:val="18"/>
                <w:szCs w:val="18"/>
                <w:lang w:val="en-GB"/>
              </w:rPr>
              <w:t>s</w:t>
            </w:r>
            <w:r w:rsidRPr="00B76154">
              <w:rPr>
                <w:sz w:val="18"/>
                <w:szCs w:val="18"/>
                <w:lang w:val="en-GB"/>
              </w:rPr>
              <w:t>erum sickness</w:t>
            </w:r>
            <w:r w:rsidR="000A6DDA" w:rsidRPr="00B76154">
              <w:rPr>
                <w:sz w:val="18"/>
                <w:szCs w:val="18"/>
                <w:lang w:val="en-GB"/>
              </w:rPr>
              <w:noBreakHyphen/>
            </w:r>
            <w:r w:rsidRPr="00B76154">
              <w:rPr>
                <w:sz w:val="18"/>
                <w:szCs w:val="18"/>
                <w:lang w:val="en-GB"/>
              </w:rPr>
              <w:t>like reaction</w:t>
            </w:r>
          </w:p>
        </w:tc>
      </w:tr>
      <w:tr w:rsidR="003A788B" w14:paraId="7C331384" w14:textId="77777777" w:rsidTr="00E06A78">
        <w:tc>
          <w:tcPr>
            <w:tcW w:w="965" w:type="pct"/>
            <w:tcBorders>
              <w:top w:val="single" w:sz="4" w:space="0" w:color="auto"/>
              <w:left w:val="single" w:sz="4" w:space="0" w:color="auto"/>
              <w:bottom w:val="single" w:sz="4" w:space="0" w:color="auto"/>
              <w:right w:val="single" w:sz="4" w:space="0" w:color="auto"/>
            </w:tcBorders>
          </w:tcPr>
          <w:p w14:paraId="7C33137E" w14:textId="77777777" w:rsidR="008F369D" w:rsidRPr="00E40FB5" w:rsidRDefault="00016F29" w:rsidP="00BB746D">
            <w:pPr>
              <w:keepNext/>
              <w:keepLines/>
              <w:rPr>
                <w:b/>
                <w:sz w:val="18"/>
                <w:szCs w:val="18"/>
                <w:lang w:val="en-GB"/>
              </w:rPr>
            </w:pPr>
            <w:r>
              <w:rPr>
                <w:b/>
                <w:sz w:val="18"/>
                <w:szCs w:val="18"/>
                <w:lang w:val="en-GB"/>
              </w:rPr>
              <w:t xml:space="preserve">Immune </w:t>
            </w:r>
            <w:r w:rsidR="00BB746D">
              <w:rPr>
                <w:b/>
                <w:sz w:val="18"/>
                <w:szCs w:val="18"/>
                <w:lang w:val="en-GB"/>
              </w:rPr>
              <w:t>system d</w:t>
            </w:r>
            <w:r w:rsidRPr="00E40FB5">
              <w:rPr>
                <w:b/>
                <w:sz w:val="18"/>
                <w:szCs w:val="18"/>
                <w:lang w:val="en-GB"/>
              </w:rPr>
              <w:t>isorders</w:t>
            </w:r>
          </w:p>
        </w:tc>
        <w:tc>
          <w:tcPr>
            <w:tcW w:w="891" w:type="pct"/>
            <w:vMerge w:val="restart"/>
            <w:tcBorders>
              <w:top w:val="single" w:sz="4" w:space="0" w:color="auto"/>
              <w:left w:val="single" w:sz="4" w:space="0" w:color="auto"/>
              <w:right w:val="single" w:sz="4" w:space="0" w:color="auto"/>
            </w:tcBorders>
          </w:tcPr>
          <w:p w14:paraId="7C33137F" w14:textId="77777777" w:rsidR="008F369D" w:rsidRPr="00F332AF" w:rsidRDefault="00016F29" w:rsidP="005B7FA0">
            <w:pPr>
              <w:keepNext/>
              <w:keepLines/>
              <w:rPr>
                <w:sz w:val="18"/>
                <w:szCs w:val="18"/>
                <w:lang w:val="en-GB"/>
              </w:rPr>
            </w:pPr>
            <w:r w:rsidRPr="00811833">
              <w:rPr>
                <w:sz w:val="18"/>
                <w:szCs w:val="18"/>
                <w:vertAlign w:val="superscript"/>
                <w:lang w:val="en-GB"/>
              </w:rPr>
              <w:t>3</w:t>
            </w:r>
            <w:r w:rsidR="00075CC1" w:rsidRPr="00811833">
              <w:rPr>
                <w:sz w:val="18"/>
                <w:szCs w:val="18"/>
                <w:lang w:val="en-GB"/>
              </w:rPr>
              <w:t>i</w:t>
            </w:r>
            <w:r w:rsidRPr="00811833">
              <w:rPr>
                <w:sz w:val="18"/>
                <w:szCs w:val="18"/>
                <w:lang w:val="en-GB"/>
              </w:rPr>
              <w:t>nfusion</w:t>
            </w:r>
            <w:r w:rsidR="005B7FA0">
              <w:rPr>
                <w:sz w:val="18"/>
                <w:szCs w:val="18"/>
                <w:lang w:val="en-GB"/>
              </w:rPr>
              <w:t>-</w:t>
            </w:r>
            <w:r w:rsidRPr="00F332AF">
              <w:rPr>
                <w:sz w:val="18"/>
                <w:szCs w:val="18"/>
                <w:lang w:val="en-GB"/>
              </w:rPr>
              <w:t xml:space="preserve">related reactions (hypertension, </w:t>
            </w:r>
            <w:r w:rsidRPr="00E40FB5">
              <w:rPr>
                <w:sz w:val="18"/>
                <w:szCs w:val="18"/>
                <w:lang w:val="en-GB"/>
              </w:rPr>
              <w:t>nausea, rash, pyrexia, pruritus, urticaria, throat irritation, hot flush,  hypotension, rhinitis, rigors, tachycardia, fatigue, oropharyngeal pain, peripheral oedema, erythema)</w:t>
            </w:r>
          </w:p>
        </w:tc>
        <w:tc>
          <w:tcPr>
            <w:tcW w:w="892" w:type="pct"/>
            <w:vMerge w:val="restart"/>
            <w:tcBorders>
              <w:top w:val="single" w:sz="4" w:space="0" w:color="auto"/>
              <w:left w:val="single" w:sz="4" w:space="0" w:color="auto"/>
              <w:right w:val="single" w:sz="4" w:space="0" w:color="auto"/>
            </w:tcBorders>
          </w:tcPr>
          <w:p w14:paraId="7C331380" w14:textId="77777777" w:rsidR="008F369D" w:rsidRPr="00F332AF" w:rsidRDefault="008F369D" w:rsidP="008919D7">
            <w:pPr>
              <w:keepNext/>
              <w:keepLines/>
              <w:rPr>
                <w:sz w:val="18"/>
                <w:szCs w:val="18"/>
                <w:lang w:val="en-GB"/>
              </w:rPr>
            </w:pPr>
          </w:p>
        </w:tc>
        <w:tc>
          <w:tcPr>
            <w:tcW w:w="816" w:type="pct"/>
            <w:vMerge w:val="restart"/>
            <w:tcBorders>
              <w:top w:val="single" w:sz="4" w:space="0" w:color="auto"/>
              <w:left w:val="single" w:sz="4" w:space="0" w:color="auto"/>
              <w:right w:val="single" w:sz="4" w:space="0" w:color="auto"/>
            </w:tcBorders>
          </w:tcPr>
          <w:p w14:paraId="7C331381" w14:textId="77777777" w:rsidR="008F369D" w:rsidRPr="00F332AF" w:rsidRDefault="00016F29" w:rsidP="008919D7">
            <w:pPr>
              <w:keepNext/>
              <w:keepLines/>
              <w:rPr>
                <w:sz w:val="18"/>
                <w:szCs w:val="18"/>
                <w:lang w:val="en-GB"/>
              </w:rPr>
            </w:pPr>
            <w:r w:rsidRPr="00811833">
              <w:rPr>
                <w:sz w:val="18"/>
                <w:szCs w:val="18"/>
                <w:vertAlign w:val="superscript"/>
                <w:lang w:val="en-GB"/>
              </w:rPr>
              <w:t>3</w:t>
            </w:r>
            <w:r w:rsidR="00075CC1" w:rsidRPr="00811833">
              <w:rPr>
                <w:sz w:val="18"/>
                <w:szCs w:val="18"/>
                <w:lang w:val="en-GB"/>
              </w:rPr>
              <w:t>i</w:t>
            </w:r>
            <w:r w:rsidRPr="00811833">
              <w:rPr>
                <w:sz w:val="18"/>
                <w:szCs w:val="18"/>
                <w:lang w:val="en-GB"/>
              </w:rPr>
              <w:t>nfusion</w:t>
            </w:r>
            <w:r w:rsidRPr="00F332AF">
              <w:rPr>
                <w:sz w:val="18"/>
                <w:szCs w:val="18"/>
                <w:lang w:val="en-GB"/>
              </w:rPr>
              <w:t xml:space="preserve"> related reactions (</w:t>
            </w:r>
            <w:r w:rsidRPr="00E40FB5">
              <w:rPr>
                <w:sz w:val="18"/>
                <w:szCs w:val="18"/>
                <w:lang w:val="en-GB"/>
              </w:rPr>
              <w:t>generalized oedema, bronchospasm, wheezing, laryngeal oedema, angioneurotic oedema, generali</w:t>
            </w:r>
            <w:r w:rsidRPr="00811BCC">
              <w:rPr>
                <w:iCs/>
                <w:sz w:val="18"/>
                <w:szCs w:val="18"/>
                <w:lang w:val="en-GB"/>
              </w:rPr>
              <w:t>zed pruritus,</w:t>
            </w:r>
            <w:r w:rsidRPr="00E40FB5">
              <w:rPr>
                <w:sz w:val="18"/>
                <w:szCs w:val="18"/>
                <w:lang w:val="en-GB"/>
              </w:rPr>
              <w:t xml:space="preserve"> anaphylaxis, anaphylactoid reaction)</w:t>
            </w:r>
          </w:p>
        </w:tc>
        <w:tc>
          <w:tcPr>
            <w:tcW w:w="670" w:type="pct"/>
            <w:vMerge w:val="restart"/>
            <w:tcBorders>
              <w:left w:val="single" w:sz="4" w:space="0" w:color="auto"/>
              <w:right w:val="single" w:sz="4" w:space="0" w:color="auto"/>
            </w:tcBorders>
          </w:tcPr>
          <w:p w14:paraId="7C331382" w14:textId="77777777" w:rsidR="008F369D" w:rsidRPr="00F332AF" w:rsidRDefault="008F369D" w:rsidP="008919D7">
            <w:pPr>
              <w:keepNext/>
              <w:keepLines/>
              <w:rPr>
                <w:sz w:val="18"/>
                <w:szCs w:val="18"/>
                <w:lang w:val="en-GB"/>
              </w:rPr>
            </w:pPr>
          </w:p>
        </w:tc>
        <w:tc>
          <w:tcPr>
            <w:tcW w:w="766" w:type="pct"/>
            <w:vMerge w:val="restart"/>
            <w:tcBorders>
              <w:top w:val="single" w:sz="4" w:space="0" w:color="auto"/>
              <w:left w:val="single" w:sz="4" w:space="0" w:color="auto"/>
            </w:tcBorders>
          </w:tcPr>
          <w:p w14:paraId="7C331383" w14:textId="77777777" w:rsidR="008F369D" w:rsidRPr="00F332AF" w:rsidRDefault="008F369D" w:rsidP="008919D7">
            <w:pPr>
              <w:keepNext/>
              <w:keepLines/>
              <w:rPr>
                <w:sz w:val="18"/>
                <w:szCs w:val="18"/>
                <w:lang w:val="en-GB"/>
              </w:rPr>
            </w:pPr>
          </w:p>
        </w:tc>
      </w:tr>
      <w:tr w:rsidR="003A788B" w14:paraId="7C33138B" w14:textId="77777777" w:rsidTr="00E06A78">
        <w:tc>
          <w:tcPr>
            <w:tcW w:w="965" w:type="pct"/>
            <w:tcBorders>
              <w:top w:val="single" w:sz="4" w:space="0" w:color="auto"/>
              <w:left w:val="single" w:sz="4" w:space="0" w:color="auto"/>
              <w:bottom w:val="single" w:sz="4" w:space="0" w:color="auto"/>
              <w:right w:val="single" w:sz="4" w:space="0" w:color="auto"/>
            </w:tcBorders>
          </w:tcPr>
          <w:p w14:paraId="7C331385" w14:textId="77777777" w:rsidR="008F369D" w:rsidRPr="00E40FB5" w:rsidRDefault="00016F29" w:rsidP="008919D7">
            <w:pPr>
              <w:keepNext/>
              <w:keepLines/>
              <w:rPr>
                <w:b/>
                <w:sz w:val="18"/>
                <w:szCs w:val="18"/>
                <w:lang w:val="en-GB"/>
              </w:rPr>
            </w:pPr>
            <w:r w:rsidRPr="00E40FB5">
              <w:rPr>
                <w:b/>
                <w:sz w:val="18"/>
                <w:szCs w:val="18"/>
                <w:lang w:val="en-GB"/>
              </w:rPr>
              <w:t>General disorders and administration site conditions</w:t>
            </w:r>
          </w:p>
        </w:tc>
        <w:tc>
          <w:tcPr>
            <w:tcW w:w="891" w:type="pct"/>
            <w:vMerge/>
            <w:tcBorders>
              <w:left w:val="single" w:sz="4" w:space="0" w:color="auto"/>
              <w:bottom w:val="single" w:sz="4" w:space="0" w:color="auto"/>
              <w:right w:val="single" w:sz="4" w:space="0" w:color="auto"/>
            </w:tcBorders>
          </w:tcPr>
          <w:p w14:paraId="7C331386" w14:textId="77777777" w:rsidR="008F369D" w:rsidRPr="00E40FB5" w:rsidRDefault="008F369D" w:rsidP="008919D7">
            <w:pPr>
              <w:jc w:val="center"/>
              <w:rPr>
                <w:sz w:val="18"/>
                <w:szCs w:val="18"/>
                <w:lang w:val="en-GB"/>
              </w:rPr>
            </w:pPr>
          </w:p>
        </w:tc>
        <w:tc>
          <w:tcPr>
            <w:tcW w:w="892" w:type="pct"/>
            <w:vMerge/>
            <w:tcBorders>
              <w:left w:val="single" w:sz="4" w:space="0" w:color="auto"/>
              <w:bottom w:val="single" w:sz="4" w:space="0" w:color="auto"/>
              <w:right w:val="single" w:sz="4" w:space="0" w:color="auto"/>
            </w:tcBorders>
          </w:tcPr>
          <w:p w14:paraId="7C331387" w14:textId="77777777" w:rsidR="008F369D" w:rsidRPr="00F332AF" w:rsidRDefault="008F369D" w:rsidP="008919D7">
            <w:pPr>
              <w:rPr>
                <w:sz w:val="18"/>
                <w:szCs w:val="18"/>
                <w:lang w:val="en-GB"/>
              </w:rPr>
            </w:pPr>
          </w:p>
        </w:tc>
        <w:tc>
          <w:tcPr>
            <w:tcW w:w="816" w:type="pct"/>
            <w:vMerge/>
            <w:tcBorders>
              <w:left w:val="single" w:sz="4" w:space="0" w:color="auto"/>
              <w:bottom w:val="single" w:sz="4" w:space="0" w:color="auto"/>
              <w:right w:val="single" w:sz="4" w:space="0" w:color="auto"/>
            </w:tcBorders>
          </w:tcPr>
          <w:p w14:paraId="7C331388" w14:textId="77777777" w:rsidR="008F369D" w:rsidRPr="00F332AF" w:rsidRDefault="008F369D" w:rsidP="008919D7">
            <w:pPr>
              <w:rPr>
                <w:sz w:val="18"/>
                <w:szCs w:val="18"/>
                <w:lang w:val="en-GB"/>
              </w:rPr>
            </w:pPr>
          </w:p>
        </w:tc>
        <w:tc>
          <w:tcPr>
            <w:tcW w:w="670" w:type="pct"/>
            <w:vMerge/>
            <w:tcBorders>
              <w:left w:val="single" w:sz="4" w:space="0" w:color="auto"/>
              <w:bottom w:val="single" w:sz="4" w:space="0" w:color="auto"/>
              <w:right w:val="single" w:sz="4" w:space="0" w:color="auto"/>
            </w:tcBorders>
          </w:tcPr>
          <w:p w14:paraId="7C331389" w14:textId="77777777" w:rsidR="008F369D" w:rsidRPr="00F332AF" w:rsidRDefault="008F369D" w:rsidP="008919D7">
            <w:pPr>
              <w:rPr>
                <w:sz w:val="18"/>
                <w:szCs w:val="18"/>
                <w:lang w:val="en-GB"/>
              </w:rPr>
            </w:pPr>
          </w:p>
        </w:tc>
        <w:tc>
          <w:tcPr>
            <w:tcW w:w="766" w:type="pct"/>
            <w:vMerge/>
            <w:tcBorders>
              <w:left w:val="single" w:sz="4" w:space="0" w:color="auto"/>
              <w:bottom w:val="single" w:sz="4" w:space="0" w:color="auto"/>
            </w:tcBorders>
          </w:tcPr>
          <w:p w14:paraId="7C33138A" w14:textId="77777777" w:rsidR="008F369D" w:rsidRPr="00F332AF" w:rsidRDefault="008F369D" w:rsidP="008919D7">
            <w:pPr>
              <w:rPr>
                <w:sz w:val="18"/>
                <w:szCs w:val="18"/>
                <w:lang w:val="en-GB"/>
              </w:rPr>
            </w:pPr>
          </w:p>
        </w:tc>
      </w:tr>
      <w:tr w:rsidR="003A788B" w14:paraId="7C331392" w14:textId="77777777" w:rsidTr="00E06A78">
        <w:tc>
          <w:tcPr>
            <w:tcW w:w="965" w:type="pct"/>
            <w:tcBorders>
              <w:top w:val="single" w:sz="4" w:space="0" w:color="auto"/>
              <w:left w:val="single" w:sz="4" w:space="0" w:color="auto"/>
              <w:bottom w:val="single" w:sz="4" w:space="0" w:color="auto"/>
              <w:right w:val="single" w:sz="4" w:space="0" w:color="auto"/>
            </w:tcBorders>
          </w:tcPr>
          <w:p w14:paraId="7C33138C" w14:textId="77777777" w:rsidR="008F369D" w:rsidRPr="00E40FB5" w:rsidRDefault="00016F29" w:rsidP="008919D7">
            <w:pPr>
              <w:rPr>
                <w:sz w:val="18"/>
                <w:szCs w:val="18"/>
                <w:lang w:val="en-GB"/>
              </w:rPr>
            </w:pPr>
            <w:r>
              <w:rPr>
                <w:b/>
                <w:sz w:val="18"/>
                <w:szCs w:val="18"/>
                <w:lang w:val="en-GB"/>
              </w:rPr>
              <w:t>Metabolism and nutrition d</w:t>
            </w:r>
            <w:r w:rsidRPr="00E40FB5">
              <w:rPr>
                <w:b/>
                <w:sz w:val="18"/>
                <w:szCs w:val="18"/>
                <w:lang w:val="en-GB"/>
              </w:rPr>
              <w:t>isorders</w:t>
            </w:r>
          </w:p>
        </w:tc>
        <w:tc>
          <w:tcPr>
            <w:tcW w:w="891" w:type="pct"/>
            <w:tcBorders>
              <w:top w:val="single" w:sz="4" w:space="0" w:color="auto"/>
              <w:left w:val="single" w:sz="4" w:space="0" w:color="auto"/>
              <w:bottom w:val="single" w:sz="4" w:space="0" w:color="auto"/>
              <w:right w:val="single" w:sz="4" w:space="0" w:color="auto"/>
            </w:tcBorders>
          </w:tcPr>
          <w:p w14:paraId="7C33138D" w14:textId="77777777" w:rsidR="008F369D" w:rsidRPr="00F332AF" w:rsidRDefault="008F369D" w:rsidP="008919D7">
            <w:pPr>
              <w:jc w:val="center"/>
              <w:rPr>
                <w:sz w:val="18"/>
                <w:szCs w:val="18"/>
                <w:lang w:val="en-GB"/>
              </w:rPr>
            </w:pPr>
          </w:p>
        </w:tc>
        <w:tc>
          <w:tcPr>
            <w:tcW w:w="892" w:type="pct"/>
            <w:tcBorders>
              <w:top w:val="single" w:sz="4" w:space="0" w:color="auto"/>
              <w:left w:val="single" w:sz="4" w:space="0" w:color="auto"/>
              <w:bottom w:val="single" w:sz="4" w:space="0" w:color="auto"/>
              <w:right w:val="single" w:sz="4" w:space="0" w:color="auto"/>
            </w:tcBorders>
          </w:tcPr>
          <w:p w14:paraId="7C33138E" w14:textId="77777777" w:rsidR="008F369D" w:rsidRPr="00F332AF" w:rsidRDefault="00016F29" w:rsidP="008919D7">
            <w:pPr>
              <w:rPr>
                <w:sz w:val="18"/>
                <w:szCs w:val="18"/>
                <w:lang w:val="en-GB"/>
              </w:rPr>
            </w:pPr>
            <w:r w:rsidRPr="00E06A78">
              <w:rPr>
                <w:sz w:val="18"/>
                <w:szCs w:val="18"/>
                <w:lang w:val="en-GB"/>
              </w:rPr>
              <w:t>H</w:t>
            </w:r>
            <w:r w:rsidR="00F742D8" w:rsidRPr="00811833">
              <w:rPr>
                <w:sz w:val="18"/>
                <w:szCs w:val="18"/>
                <w:lang w:val="en-GB"/>
              </w:rPr>
              <w:t>ypercholesterolemia</w:t>
            </w:r>
          </w:p>
        </w:tc>
        <w:tc>
          <w:tcPr>
            <w:tcW w:w="816" w:type="pct"/>
            <w:tcBorders>
              <w:top w:val="single" w:sz="4" w:space="0" w:color="auto"/>
              <w:left w:val="single" w:sz="4" w:space="0" w:color="auto"/>
              <w:bottom w:val="single" w:sz="4" w:space="0" w:color="auto"/>
              <w:right w:val="single" w:sz="4" w:space="0" w:color="auto"/>
            </w:tcBorders>
          </w:tcPr>
          <w:p w14:paraId="7C33138F" w14:textId="77777777" w:rsidR="008F369D" w:rsidRPr="00E40FB5" w:rsidRDefault="008F369D" w:rsidP="008919D7">
            <w:pPr>
              <w:rPr>
                <w:sz w:val="18"/>
                <w:szCs w:val="18"/>
                <w:lang w:val="en-GB"/>
              </w:rPr>
            </w:pPr>
          </w:p>
        </w:tc>
        <w:tc>
          <w:tcPr>
            <w:tcW w:w="670" w:type="pct"/>
            <w:tcBorders>
              <w:top w:val="single" w:sz="4" w:space="0" w:color="auto"/>
              <w:left w:val="single" w:sz="4" w:space="0" w:color="auto"/>
              <w:bottom w:val="single" w:sz="4" w:space="0" w:color="auto"/>
              <w:right w:val="single" w:sz="4" w:space="0" w:color="auto"/>
            </w:tcBorders>
          </w:tcPr>
          <w:p w14:paraId="7C331390" w14:textId="77777777" w:rsidR="008F369D" w:rsidRPr="00E40FB5" w:rsidRDefault="008F369D" w:rsidP="008919D7">
            <w:pPr>
              <w:rPr>
                <w:sz w:val="18"/>
                <w:szCs w:val="18"/>
                <w:lang w:val="en-GB"/>
              </w:rPr>
            </w:pPr>
          </w:p>
        </w:tc>
        <w:tc>
          <w:tcPr>
            <w:tcW w:w="766" w:type="pct"/>
            <w:tcBorders>
              <w:top w:val="single" w:sz="4" w:space="0" w:color="auto"/>
              <w:left w:val="single" w:sz="4" w:space="0" w:color="auto"/>
              <w:bottom w:val="single" w:sz="4" w:space="0" w:color="auto"/>
              <w:right w:val="single" w:sz="4" w:space="0" w:color="auto"/>
            </w:tcBorders>
          </w:tcPr>
          <w:p w14:paraId="7C331391" w14:textId="77777777" w:rsidR="008F369D" w:rsidRPr="00E40FB5" w:rsidRDefault="008F369D" w:rsidP="008919D7">
            <w:pPr>
              <w:rPr>
                <w:sz w:val="18"/>
                <w:szCs w:val="18"/>
                <w:lang w:val="en-GB"/>
              </w:rPr>
            </w:pPr>
          </w:p>
        </w:tc>
      </w:tr>
      <w:tr w:rsidR="003A788B" w14:paraId="7C331399" w14:textId="77777777" w:rsidTr="00E06A78">
        <w:tc>
          <w:tcPr>
            <w:tcW w:w="965" w:type="pct"/>
            <w:tcBorders>
              <w:top w:val="single" w:sz="4" w:space="0" w:color="auto"/>
              <w:left w:val="single" w:sz="4" w:space="0" w:color="auto"/>
              <w:bottom w:val="single" w:sz="4" w:space="0" w:color="auto"/>
              <w:right w:val="single" w:sz="4" w:space="0" w:color="auto"/>
            </w:tcBorders>
          </w:tcPr>
          <w:p w14:paraId="7C331393" w14:textId="77777777" w:rsidR="008F369D" w:rsidRPr="00E40FB5" w:rsidRDefault="00016F29" w:rsidP="008919D7">
            <w:pPr>
              <w:rPr>
                <w:b/>
                <w:sz w:val="18"/>
                <w:szCs w:val="18"/>
                <w:lang w:val="en-GB"/>
              </w:rPr>
            </w:pPr>
            <w:r>
              <w:rPr>
                <w:b/>
                <w:sz w:val="18"/>
                <w:szCs w:val="18"/>
                <w:lang w:val="en-GB"/>
              </w:rPr>
              <w:t>Psychiatric d</w:t>
            </w:r>
            <w:r w:rsidRPr="00E40FB5">
              <w:rPr>
                <w:b/>
                <w:sz w:val="18"/>
                <w:szCs w:val="18"/>
                <w:lang w:val="en-GB"/>
              </w:rPr>
              <w:t>isorders</w:t>
            </w:r>
          </w:p>
        </w:tc>
        <w:tc>
          <w:tcPr>
            <w:tcW w:w="891" w:type="pct"/>
            <w:tcBorders>
              <w:top w:val="single" w:sz="4" w:space="0" w:color="auto"/>
              <w:left w:val="single" w:sz="4" w:space="0" w:color="auto"/>
              <w:bottom w:val="single" w:sz="4" w:space="0" w:color="auto"/>
              <w:right w:val="single" w:sz="4" w:space="0" w:color="auto"/>
            </w:tcBorders>
          </w:tcPr>
          <w:p w14:paraId="7C331394" w14:textId="77777777" w:rsidR="008F369D" w:rsidRPr="00F332AF" w:rsidRDefault="008F369D" w:rsidP="008919D7">
            <w:pPr>
              <w:jc w:val="center"/>
              <w:rPr>
                <w:sz w:val="18"/>
                <w:szCs w:val="18"/>
                <w:lang w:val="en-GB"/>
              </w:rPr>
            </w:pPr>
          </w:p>
        </w:tc>
        <w:tc>
          <w:tcPr>
            <w:tcW w:w="892" w:type="pct"/>
            <w:tcBorders>
              <w:top w:val="single" w:sz="4" w:space="0" w:color="auto"/>
              <w:left w:val="single" w:sz="4" w:space="0" w:color="auto"/>
              <w:bottom w:val="single" w:sz="4" w:space="0" w:color="auto"/>
              <w:right w:val="single" w:sz="4" w:space="0" w:color="auto"/>
            </w:tcBorders>
          </w:tcPr>
          <w:p w14:paraId="7C331395" w14:textId="77777777" w:rsidR="008F369D" w:rsidRPr="00F332AF" w:rsidRDefault="00016F29" w:rsidP="008919D7">
            <w:pPr>
              <w:rPr>
                <w:sz w:val="18"/>
                <w:szCs w:val="18"/>
                <w:lang w:val="en-GB"/>
              </w:rPr>
            </w:pPr>
            <w:r w:rsidRPr="00F332AF">
              <w:rPr>
                <w:sz w:val="18"/>
                <w:szCs w:val="18"/>
                <w:lang w:val="en-GB"/>
              </w:rPr>
              <w:t>depression, anxiety</w:t>
            </w:r>
          </w:p>
        </w:tc>
        <w:tc>
          <w:tcPr>
            <w:tcW w:w="816" w:type="pct"/>
            <w:tcBorders>
              <w:top w:val="single" w:sz="4" w:space="0" w:color="auto"/>
              <w:left w:val="single" w:sz="4" w:space="0" w:color="auto"/>
              <w:bottom w:val="single" w:sz="4" w:space="0" w:color="auto"/>
              <w:right w:val="single" w:sz="4" w:space="0" w:color="auto"/>
            </w:tcBorders>
          </w:tcPr>
          <w:p w14:paraId="7C331396" w14:textId="77777777" w:rsidR="008F369D" w:rsidRPr="00F332AF" w:rsidRDefault="008F369D" w:rsidP="008919D7">
            <w:pPr>
              <w:rPr>
                <w:sz w:val="18"/>
                <w:szCs w:val="18"/>
                <w:lang w:val="en-GB"/>
              </w:rPr>
            </w:pPr>
          </w:p>
        </w:tc>
        <w:tc>
          <w:tcPr>
            <w:tcW w:w="670" w:type="pct"/>
            <w:tcBorders>
              <w:top w:val="single" w:sz="4" w:space="0" w:color="auto"/>
              <w:left w:val="single" w:sz="4" w:space="0" w:color="auto"/>
              <w:bottom w:val="single" w:sz="4" w:space="0" w:color="auto"/>
              <w:right w:val="single" w:sz="4" w:space="0" w:color="auto"/>
            </w:tcBorders>
          </w:tcPr>
          <w:p w14:paraId="7C331397" w14:textId="77777777" w:rsidR="008F369D" w:rsidRPr="00F332AF" w:rsidRDefault="008F369D" w:rsidP="008919D7">
            <w:pPr>
              <w:rPr>
                <w:sz w:val="18"/>
                <w:szCs w:val="18"/>
                <w:lang w:val="en-GB"/>
              </w:rPr>
            </w:pPr>
          </w:p>
        </w:tc>
        <w:tc>
          <w:tcPr>
            <w:tcW w:w="766" w:type="pct"/>
            <w:tcBorders>
              <w:top w:val="single" w:sz="4" w:space="0" w:color="auto"/>
              <w:left w:val="single" w:sz="4" w:space="0" w:color="auto"/>
              <w:bottom w:val="single" w:sz="4" w:space="0" w:color="auto"/>
              <w:right w:val="single" w:sz="4" w:space="0" w:color="auto"/>
            </w:tcBorders>
          </w:tcPr>
          <w:p w14:paraId="7C331398" w14:textId="77777777" w:rsidR="008F369D" w:rsidRPr="00525A55" w:rsidRDefault="008F369D" w:rsidP="008919D7">
            <w:pPr>
              <w:rPr>
                <w:sz w:val="18"/>
                <w:szCs w:val="18"/>
                <w:lang w:val="en-GB"/>
              </w:rPr>
            </w:pPr>
          </w:p>
        </w:tc>
      </w:tr>
      <w:tr w:rsidR="003A788B" w14:paraId="7C3313A0" w14:textId="77777777" w:rsidTr="00E06A78">
        <w:tc>
          <w:tcPr>
            <w:tcW w:w="965" w:type="pct"/>
            <w:tcBorders>
              <w:top w:val="single" w:sz="4" w:space="0" w:color="auto"/>
              <w:left w:val="single" w:sz="4" w:space="0" w:color="auto"/>
              <w:bottom w:val="single" w:sz="4" w:space="0" w:color="auto"/>
              <w:right w:val="single" w:sz="4" w:space="0" w:color="auto"/>
            </w:tcBorders>
          </w:tcPr>
          <w:p w14:paraId="7C33139A" w14:textId="77777777" w:rsidR="008F369D" w:rsidRPr="00811833" w:rsidRDefault="00016F29" w:rsidP="008919D7">
            <w:pPr>
              <w:rPr>
                <w:b/>
                <w:sz w:val="18"/>
                <w:szCs w:val="18"/>
                <w:lang w:val="en-GB"/>
              </w:rPr>
            </w:pPr>
            <w:r w:rsidRPr="00811833">
              <w:rPr>
                <w:b/>
                <w:sz w:val="18"/>
                <w:szCs w:val="18"/>
                <w:lang w:val="en-GB"/>
              </w:rPr>
              <w:t>Nervous s</w:t>
            </w:r>
            <w:r w:rsidR="0053310F" w:rsidRPr="00811833">
              <w:rPr>
                <w:b/>
                <w:sz w:val="18"/>
                <w:szCs w:val="18"/>
                <w:lang w:val="en-GB"/>
              </w:rPr>
              <w:t>ystem disorders</w:t>
            </w:r>
          </w:p>
        </w:tc>
        <w:tc>
          <w:tcPr>
            <w:tcW w:w="891" w:type="pct"/>
            <w:tcBorders>
              <w:top w:val="single" w:sz="4" w:space="0" w:color="auto"/>
              <w:left w:val="single" w:sz="4" w:space="0" w:color="auto"/>
              <w:bottom w:val="single" w:sz="4" w:space="0" w:color="auto"/>
              <w:right w:val="single" w:sz="4" w:space="0" w:color="auto"/>
            </w:tcBorders>
          </w:tcPr>
          <w:p w14:paraId="7C33139B" w14:textId="77777777" w:rsidR="008F369D" w:rsidRPr="00811833" w:rsidRDefault="00016F29" w:rsidP="008919D7">
            <w:pPr>
              <w:rPr>
                <w:sz w:val="18"/>
                <w:szCs w:val="18"/>
                <w:lang w:val="en-GB"/>
              </w:rPr>
            </w:pPr>
            <w:r w:rsidRPr="00811833">
              <w:rPr>
                <w:sz w:val="18"/>
                <w:szCs w:val="18"/>
                <w:lang w:val="en-GB"/>
              </w:rPr>
              <w:t>h</w:t>
            </w:r>
            <w:r w:rsidR="00B63DC8" w:rsidRPr="00811833">
              <w:rPr>
                <w:sz w:val="18"/>
                <w:szCs w:val="18"/>
                <w:lang w:val="en-GB"/>
              </w:rPr>
              <w:t>eadache</w:t>
            </w:r>
          </w:p>
        </w:tc>
        <w:tc>
          <w:tcPr>
            <w:tcW w:w="892" w:type="pct"/>
            <w:tcBorders>
              <w:top w:val="single" w:sz="4" w:space="0" w:color="auto"/>
              <w:left w:val="single" w:sz="4" w:space="0" w:color="auto"/>
              <w:bottom w:val="single" w:sz="4" w:space="0" w:color="auto"/>
              <w:right w:val="single" w:sz="4" w:space="0" w:color="auto"/>
            </w:tcBorders>
          </w:tcPr>
          <w:p w14:paraId="7C33139C" w14:textId="77777777" w:rsidR="008F369D" w:rsidRPr="00811833" w:rsidRDefault="00016F29" w:rsidP="008919D7">
            <w:pPr>
              <w:rPr>
                <w:sz w:val="18"/>
                <w:szCs w:val="18"/>
                <w:lang w:val="en-GB"/>
              </w:rPr>
            </w:pPr>
            <w:r w:rsidRPr="00811833">
              <w:rPr>
                <w:sz w:val="18"/>
                <w:szCs w:val="18"/>
                <w:lang w:val="en-GB"/>
              </w:rPr>
              <w:t>paraesthesia, migraine, dizziness, sciatica</w:t>
            </w:r>
          </w:p>
        </w:tc>
        <w:tc>
          <w:tcPr>
            <w:tcW w:w="816" w:type="pct"/>
            <w:tcBorders>
              <w:top w:val="single" w:sz="4" w:space="0" w:color="auto"/>
              <w:left w:val="single" w:sz="4" w:space="0" w:color="auto"/>
              <w:bottom w:val="single" w:sz="4" w:space="0" w:color="auto"/>
              <w:right w:val="single" w:sz="4" w:space="0" w:color="auto"/>
            </w:tcBorders>
          </w:tcPr>
          <w:p w14:paraId="7C33139D" w14:textId="77777777" w:rsidR="008F369D" w:rsidRPr="00811833" w:rsidRDefault="008F369D" w:rsidP="008919D7">
            <w:pPr>
              <w:rPr>
                <w:sz w:val="18"/>
                <w:szCs w:val="18"/>
                <w:lang w:val="en-GB"/>
              </w:rPr>
            </w:pPr>
          </w:p>
        </w:tc>
        <w:tc>
          <w:tcPr>
            <w:tcW w:w="670" w:type="pct"/>
            <w:tcBorders>
              <w:top w:val="single" w:sz="4" w:space="0" w:color="auto"/>
              <w:left w:val="single" w:sz="4" w:space="0" w:color="auto"/>
              <w:bottom w:val="single" w:sz="4" w:space="0" w:color="auto"/>
              <w:right w:val="single" w:sz="4" w:space="0" w:color="auto"/>
            </w:tcBorders>
          </w:tcPr>
          <w:p w14:paraId="7C33139E" w14:textId="77777777" w:rsidR="008F369D" w:rsidRPr="00811833" w:rsidRDefault="008F369D" w:rsidP="008919D7">
            <w:pPr>
              <w:rPr>
                <w:sz w:val="18"/>
                <w:szCs w:val="18"/>
                <w:lang w:val="en-GB"/>
              </w:rPr>
            </w:pPr>
          </w:p>
        </w:tc>
        <w:tc>
          <w:tcPr>
            <w:tcW w:w="766" w:type="pct"/>
            <w:tcBorders>
              <w:top w:val="single" w:sz="4" w:space="0" w:color="auto"/>
              <w:left w:val="single" w:sz="4" w:space="0" w:color="auto"/>
              <w:bottom w:val="single" w:sz="4" w:space="0" w:color="auto"/>
              <w:right w:val="single" w:sz="4" w:space="0" w:color="auto"/>
            </w:tcBorders>
          </w:tcPr>
          <w:p w14:paraId="7C33139F" w14:textId="77777777" w:rsidR="008F369D" w:rsidRPr="00811833" w:rsidRDefault="008F369D" w:rsidP="008919D7">
            <w:pPr>
              <w:rPr>
                <w:sz w:val="18"/>
                <w:szCs w:val="18"/>
                <w:lang w:val="en-GB"/>
              </w:rPr>
            </w:pPr>
          </w:p>
        </w:tc>
      </w:tr>
      <w:tr w:rsidR="003A788B" w14:paraId="7C3313A7" w14:textId="77777777" w:rsidTr="00E06A78">
        <w:tc>
          <w:tcPr>
            <w:tcW w:w="965" w:type="pct"/>
            <w:tcBorders>
              <w:top w:val="single" w:sz="4" w:space="0" w:color="auto"/>
              <w:left w:val="single" w:sz="4" w:space="0" w:color="auto"/>
              <w:bottom w:val="single" w:sz="4" w:space="0" w:color="auto"/>
              <w:right w:val="single" w:sz="4" w:space="0" w:color="auto"/>
            </w:tcBorders>
          </w:tcPr>
          <w:p w14:paraId="7C3313A1" w14:textId="77777777" w:rsidR="00E432F4" w:rsidRPr="00811833" w:rsidRDefault="00016F29" w:rsidP="00E432F4">
            <w:pPr>
              <w:rPr>
                <w:b/>
                <w:sz w:val="18"/>
                <w:szCs w:val="18"/>
                <w:lang w:val="en-GB"/>
              </w:rPr>
            </w:pPr>
            <w:r w:rsidRPr="00811833">
              <w:rPr>
                <w:b/>
                <w:sz w:val="18"/>
                <w:szCs w:val="18"/>
                <w:lang w:val="en-GB"/>
              </w:rPr>
              <w:t>Cardiac disorders</w:t>
            </w:r>
          </w:p>
        </w:tc>
        <w:tc>
          <w:tcPr>
            <w:tcW w:w="891" w:type="pct"/>
            <w:tcBorders>
              <w:top w:val="single" w:sz="4" w:space="0" w:color="auto"/>
              <w:left w:val="single" w:sz="4" w:space="0" w:color="auto"/>
              <w:bottom w:val="single" w:sz="4" w:space="0" w:color="auto"/>
              <w:right w:val="single" w:sz="4" w:space="0" w:color="auto"/>
            </w:tcBorders>
          </w:tcPr>
          <w:p w14:paraId="7C3313A2" w14:textId="77777777" w:rsidR="00E432F4" w:rsidRPr="00811833" w:rsidRDefault="00E432F4" w:rsidP="00E432F4">
            <w:pPr>
              <w:rPr>
                <w:sz w:val="18"/>
                <w:szCs w:val="18"/>
                <w:lang w:val="en-GB"/>
              </w:rPr>
            </w:pPr>
          </w:p>
        </w:tc>
        <w:tc>
          <w:tcPr>
            <w:tcW w:w="892" w:type="pct"/>
            <w:tcBorders>
              <w:top w:val="single" w:sz="4" w:space="0" w:color="auto"/>
              <w:left w:val="single" w:sz="4" w:space="0" w:color="auto"/>
              <w:bottom w:val="single" w:sz="4" w:space="0" w:color="auto"/>
              <w:right w:val="single" w:sz="4" w:space="0" w:color="auto"/>
            </w:tcBorders>
          </w:tcPr>
          <w:p w14:paraId="7C3313A3" w14:textId="77777777" w:rsidR="00E432F4" w:rsidRPr="00811833" w:rsidRDefault="00E432F4" w:rsidP="00E432F4">
            <w:pPr>
              <w:rPr>
                <w:sz w:val="18"/>
                <w:szCs w:val="18"/>
                <w:lang w:val="en-GB"/>
              </w:rPr>
            </w:pPr>
          </w:p>
        </w:tc>
        <w:tc>
          <w:tcPr>
            <w:tcW w:w="816" w:type="pct"/>
            <w:tcBorders>
              <w:top w:val="single" w:sz="4" w:space="0" w:color="auto"/>
              <w:left w:val="single" w:sz="4" w:space="0" w:color="auto"/>
              <w:bottom w:val="single" w:sz="4" w:space="0" w:color="auto"/>
              <w:right w:val="single" w:sz="4" w:space="0" w:color="auto"/>
            </w:tcBorders>
          </w:tcPr>
          <w:p w14:paraId="7C3313A4" w14:textId="77777777" w:rsidR="00E432F4" w:rsidRPr="00811833" w:rsidRDefault="00E432F4" w:rsidP="00E432F4">
            <w:pPr>
              <w:rPr>
                <w:sz w:val="18"/>
                <w:szCs w:val="18"/>
                <w:lang w:val="en-GB"/>
              </w:rPr>
            </w:pPr>
          </w:p>
        </w:tc>
        <w:tc>
          <w:tcPr>
            <w:tcW w:w="670" w:type="pct"/>
            <w:tcBorders>
              <w:top w:val="single" w:sz="4" w:space="0" w:color="auto"/>
              <w:left w:val="single" w:sz="4" w:space="0" w:color="auto"/>
              <w:bottom w:val="single" w:sz="4" w:space="0" w:color="auto"/>
              <w:right w:val="single" w:sz="4" w:space="0" w:color="auto"/>
            </w:tcBorders>
          </w:tcPr>
          <w:p w14:paraId="7C3313A5" w14:textId="77777777" w:rsidR="00E432F4" w:rsidRPr="00811833" w:rsidRDefault="00016F29" w:rsidP="00E432F4">
            <w:pPr>
              <w:rPr>
                <w:sz w:val="18"/>
                <w:szCs w:val="18"/>
                <w:lang w:val="en-GB"/>
              </w:rPr>
            </w:pPr>
            <w:r w:rsidRPr="00811833">
              <w:rPr>
                <w:sz w:val="18"/>
                <w:szCs w:val="18"/>
                <w:lang w:val="en-GB"/>
              </w:rPr>
              <w:t>angina pectoris, atrial fibrillation, heart failure, myocardial infarction</w:t>
            </w:r>
          </w:p>
        </w:tc>
        <w:tc>
          <w:tcPr>
            <w:tcW w:w="766" w:type="pct"/>
            <w:tcBorders>
              <w:top w:val="single" w:sz="4" w:space="0" w:color="auto"/>
              <w:left w:val="single" w:sz="4" w:space="0" w:color="auto"/>
              <w:bottom w:val="single" w:sz="4" w:space="0" w:color="auto"/>
              <w:right w:val="single" w:sz="4" w:space="0" w:color="auto"/>
            </w:tcBorders>
          </w:tcPr>
          <w:p w14:paraId="7C3313A6" w14:textId="77777777" w:rsidR="00E432F4" w:rsidRPr="00811833" w:rsidRDefault="00016F29" w:rsidP="00E432F4">
            <w:pPr>
              <w:rPr>
                <w:sz w:val="18"/>
                <w:szCs w:val="18"/>
                <w:lang w:val="en-GB"/>
              </w:rPr>
            </w:pPr>
            <w:r w:rsidRPr="00811833">
              <w:rPr>
                <w:sz w:val="18"/>
                <w:szCs w:val="18"/>
                <w:lang w:val="en-GB"/>
              </w:rPr>
              <w:t>atrial flutter</w:t>
            </w:r>
          </w:p>
        </w:tc>
      </w:tr>
      <w:tr w:rsidR="003A788B" w14:paraId="7C3313AE" w14:textId="77777777" w:rsidTr="00E06A78">
        <w:tc>
          <w:tcPr>
            <w:tcW w:w="965" w:type="pct"/>
            <w:tcBorders>
              <w:top w:val="single" w:sz="4" w:space="0" w:color="auto"/>
              <w:left w:val="single" w:sz="4" w:space="0" w:color="auto"/>
              <w:bottom w:val="single" w:sz="4" w:space="0" w:color="auto"/>
              <w:right w:val="single" w:sz="4" w:space="0" w:color="auto"/>
            </w:tcBorders>
          </w:tcPr>
          <w:p w14:paraId="7C3313A8" w14:textId="77777777" w:rsidR="008F369D" w:rsidRPr="00E06A78" w:rsidRDefault="00016F29" w:rsidP="00E06A78">
            <w:pPr>
              <w:rPr>
                <w:b/>
                <w:sz w:val="18"/>
                <w:lang w:val="en-GB"/>
              </w:rPr>
            </w:pPr>
            <w:r>
              <w:rPr>
                <w:b/>
                <w:sz w:val="18"/>
                <w:szCs w:val="18"/>
                <w:lang w:val="en-GB"/>
              </w:rPr>
              <w:t>Gastrointestinal d</w:t>
            </w:r>
            <w:r w:rsidRPr="00E40FB5">
              <w:rPr>
                <w:b/>
                <w:sz w:val="18"/>
                <w:szCs w:val="18"/>
                <w:lang w:val="en-GB"/>
              </w:rPr>
              <w:t>isorders</w:t>
            </w:r>
          </w:p>
        </w:tc>
        <w:tc>
          <w:tcPr>
            <w:tcW w:w="891" w:type="pct"/>
            <w:tcBorders>
              <w:top w:val="single" w:sz="4" w:space="0" w:color="auto"/>
              <w:left w:val="single" w:sz="4" w:space="0" w:color="auto"/>
              <w:bottom w:val="single" w:sz="4" w:space="0" w:color="auto"/>
              <w:right w:val="single" w:sz="4" w:space="0" w:color="auto"/>
            </w:tcBorders>
          </w:tcPr>
          <w:p w14:paraId="7C3313A9" w14:textId="77777777" w:rsidR="008F369D" w:rsidRPr="00F332AF" w:rsidRDefault="008F369D" w:rsidP="00E06A78">
            <w:pPr>
              <w:rPr>
                <w:sz w:val="18"/>
                <w:szCs w:val="18"/>
                <w:lang w:val="en-GB"/>
              </w:rPr>
            </w:pPr>
          </w:p>
        </w:tc>
        <w:tc>
          <w:tcPr>
            <w:tcW w:w="892" w:type="pct"/>
            <w:tcBorders>
              <w:top w:val="single" w:sz="4" w:space="0" w:color="auto"/>
              <w:left w:val="single" w:sz="4" w:space="0" w:color="auto"/>
              <w:bottom w:val="single" w:sz="4" w:space="0" w:color="auto"/>
              <w:right w:val="single" w:sz="4" w:space="0" w:color="auto"/>
            </w:tcBorders>
          </w:tcPr>
          <w:p w14:paraId="7C3313AA" w14:textId="77777777" w:rsidR="008F369D" w:rsidRPr="00F332AF" w:rsidRDefault="00016F29" w:rsidP="00E06A78">
            <w:pPr>
              <w:rPr>
                <w:sz w:val="18"/>
                <w:szCs w:val="18"/>
                <w:lang w:val="en-GB"/>
              </w:rPr>
            </w:pPr>
            <w:r w:rsidRPr="00811833">
              <w:rPr>
                <w:sz w:val="18"/>
                <w:szCs w:val="18"/>
                <w:lang w:val="en-GB"/>
              </w:rPr>
              <w:t>dyspepsia</w:t>
            </w:r>
            <w:r w:rsidRPr="005B5A38">
              <w:rPr>
                <w:sz w:val="18"/>
                <w:szCs w:val="18"/>
                <w:lang w:val="en-GB"/>
              </w:rPr>
              <w:t>, diarrhoea, gastro</w:t>
            </w:r>
            <w:r w:rsidR="000A6DDA" w:rsidRPr="005B5A38">
              <w:rPr>
                <w:sz w:val="18"/>
                <w:szCs w:val="18"/>
                <w:lang w:val="en-GB"/>
              </w:rPr>
              <w:noBreakHyphen/>
            </w:r>
            <w:r w:rsidRPr="005B5A38">
              <w:rPr>
                <w:sz w:val="18"/>
                <w:szCs w:val="18"/>
                <w:lang w:val="en-GB"/>
              </w:rPr>
              <w:t>oesophageal reflux, mouth ulceration, upper abdom</w:t>
            </w:r>
            <w:r w:rsidRPr="00F332AF">
              <w:rPr>
                <w:sz w:val="18"/>
                <w:szCs w:val="18"/>
                <w:lang w:val="en-GB"/>
              </w:rPr>
              <w:t>inal pain</w:t>
            </w:r>
          </w:p>
        </w:tc>
        <w:tc>
          <w:tcPr>
            <w:tcW w:w="816" w:type="pct"/>
            <w:tcBorders>
              <w:top w:val="single" w:sz="4" w:space="0" w:color="auto"/>
              <w:left w:val="single" w:sz="4" w:space="0" w:color="auto"/>
              <w:bottom w:val="single" w:sz="4" w:space="0" w:color="auto"/>
              <w:right w:val="single" w:sz="4" w:space="0" w:color="auto"/>
            </w:tcBorders>
          </w:tcPr>
          <w:p w14:paraId="7C3313AB" w14:textId="77777777" w:rsidR="008F369D" w:rsidRPr="00525A55" w:rsidRDefault="008F369D" w:rsidP="00E06A78">
            <w:pPr>
              <w:rPr>
                <w:sz w:val="18"/>
                <w:szCs w:val="18"/>
                <w:lang w:val="en-GB"/>
              </w:rPr>
            </w:pPr>
          </w:p>
        </w:tc>
        <w:tc>
          <w:tcPr>
            <w:tcW w:w="670" w:type="pct"/>
            <w:tcBorders>
              <w:top w:val="single" w:sz="4" w:space="0" w:color="auto"/>
              <w:left w:val="single" w:sz="4" w:space="0" w:color="auto"/>
              <w:bottom w:val="single" w:sz="4" w:space="0" w:color="auto"/>
              <w:right w:val="single" w:sz="4" w:space="0" w:color="auto"/>
            </w:tcBorders>
          </w:tcPr>
          <w:p w14:paraId="7C3313AC" w14:textId="77777777" w:rsidR="008F369D" w:rsidRPr="00525A55" w:rsidRDefault="008F369D" w:rsidP="00E06A78">
            <w:pPr>
              <w:rPr>
                <w:sz w:val="18"/>
                <w:szCs w:val="18"/>
                <w:lang w:val="en-GB"/>
              </w:rPr>
            </w:pPr>
          </w:p>
        </w:tc>
        <w:tc>
          <w:tcPr>
            <w:tcW w:w="766" w:type="pct"/>
            <w:tcBorders>
              <w:top w:val="single" w:sz="4" w:space="0" w:color="auto"/>
              <w:left w:val="single" w:sz="4" w:space="0" w:color="auto"/>
              <w:bottom w:val="single" w:sz="4" w:space="0" w:color="auto"/>
              <w:right w:val="single" w:sz="4" w:space="0" w:color="auto"/>
            </w:tcBorders>
          </w:tcPr>
          <w:p w14:paraId="7C3313AD" w14:textId="77777777" w:rsidR="008F369D" w:rsidRPr="00EF300D" w:rsidRDefault="008F369D" w:rsidP="00E06A78">
            <w:pPr>
              <w:rPr>
                <w:sz w:val="18"/>
                <w:szCs w:val="18"/>
                <w:lang w:val="en-GB"/>
              </w:rPr>
            </w:pPr>
          </w:p>
        </w:tc>
      </w:tr>
      <w:tr w:rsidR="003A788B" w14:paraId="7C3313B5" w14:textId="77777777" w:rsidTr="00E06A78">
        <w:tc>
          <w:tcPr>
            <w:tcW w:w="965" w:type="pct"/>
            <w:tcBorders>
              <w:top w:val="single" w:sz="4" w:space="0" w:color="auto"/>
              <w:left w:val="single" w:sz="4" w:space="0" w:color="auto"/>
              <w:bottom w:val="single" w:sz="4" w:space="0" w:color="auto"/>
              <w:right w:val="single" w:sz="4" w:space="0" w:color="auto"/>
            </w:tcBorders>
          </w:tcPr>
          <w:p w14:paraId="7C3313AF" w14:textId="77777777" w:rsidR="00E432F4" w:rsidRPr="00811833" w:rsidRDefault="00016F29" w:rsidP="00E432F4">
            <w:pPr>
              <w:keepNext/>
              <w:rPr>
                <w:b/>
                <w:sz w:val="18"/>
                <w:szCs w:val="18"/>
                <w:lang w:val="en-GB"/>
              </w:rPr>
            </w:pPr>
            <w:r w:rsidRPr="00811833">
              <w:rPr>
                <w:b/>
                <w:sz w:val="18"/>
                <w:szCs w:val="18"/>
                <w:lang w:val="en-GB"/>
              </w:rPr>
              <w:t>Skin and subcutaneous tissue disorders</w:t>
            </w:r>
          </w:p>
        </w:tc>
        <w:tc>
          <w:tcPr>
            <w:tcW w:w="891" w:type="pct"/>
            <w:tcBorders>
              <w:top w:val="single" w:sz="4" w:space="0" w:color="auto"/>
              <w:left w:val="single" w:sz="4" w:space="0" w:color="auto"/>
              <w:bottom w:val="single" w:sz="4" w:space="0" w:color="auto"/>
              <w:right w:val="single" w:sz="4" w:space="0" w:color="auto"/>
            </w:tcBorders>
          </w:tcPr>
          <w:p w14:paraId="7C3313B0" w14:textId="77777777" w:rsidR="00E432F4" w:rsidRPr="00811833" w:rsidRDefault="00E432F4" w:rsidP="00E432F4">
            <w:pPr>
              <w:keepNext/>
              <w:jc w:val="center"/>
              <w:rPr>
                <w:sz w:val="18"/>
                <w:szCs w:val="18"/>
                <w:lang w:val="en-GB"/>
              </w:rPr>
            </w:pPr>
          </w:p>
        </w:tc>
        <w:tc>
          <w:tcPr>
            <w:tcW w:w="892" w:type="pct"/>
            <w:tcBorders>
              <w:top w:val="single" w:sz="4" w:space="0" w:color="auto"/>
              <w:left w:val="single" w:sz="4" w:space="0" w:color="auto"/>
              <w:bottom w:val="single" w:sz="4" w:space="0" w:color="auto"/>
              <w:right w:val="single" w:sz="4" w:space="0" w:color="auto"/>
            </w:tcBorders>
          </w:tcPr>
          <w:p w14:paraId="7C3313B1" w14:textId="77777777" w:rsidR="00E432F4" w:rsidRPr="00811833" w:rsidRDefault="00016F29" w:rsidP="00E432F4">
            <w:pPr>
              <w:keepNext/>
              <w:rPr>
                <w:sz w:val="18"/>
                <w:szCs w:val="18"/>
                <w:lang w:val="en-GB"/>
              </w:rPr>
            </w:pPr>
            <w:r w:rsidRPr="00811833">
              <w:rPr>
                <w:sz w:val="18"/>
                <w:szCs w:val="18"/>
                <w:lang w:val="en-GB"/>
              </w:rPr>
              <w:t>alopecia</w:t>
            </w:r>
          </w:p>
        </w:tc>
        <w:tc>
          <w:tcPr>
            <w:tcW w:w="816" w:type="pct"/>
            <w:tcBorders>
              <w:top w:val="single" w:sz="4" w:space="0" w:color="auto"/>
              <w:left w:val="single" w:sz="4" w:space="0" w:color="auto"/>
              <w:bottom w:val="single" w:sz="4" w:space="0" w:color="auto"/>
              <w:right w:val="single" w:sz="4" w:space="0" w:color="auto"/>
            </w:tcBorders>
          </w:tcPr>
          <w:p w14:paraId="7C3313B2" w14:textId="77777777" w:rsidR="00E432F4" w:rsidRPr="00811833" w:rsidRDefault="00E432F4" w:rsidP="00E432F4">
            <w:pPr>
              <w:keepNext/>
              <w:rPr>
                <w:sz w:val="18"/>
                <w:szCs w:val="18"/>
                <w:lang w:val="en-GB"/>
              </w:rPr>
            </w:pPr>
          </w:p>
        </w:tc>
        <w:tc>
          <w:tcPr>
            <w:tcW w:w="670" w:type="pct"/>
            <w:tcBorders>
              <w:top w:val="single" w:sz="4" w:space="0" w:color="auto"/>
              <w:left w:val="single" w:sz="4" w:space="0" w:color="auto"/>
              <w:bottom w:val="single" w:sz="4" w:space="0" w:color="auto"/>
              <w:right w:val="single" w:sz="4" w:space="0" w:color="auto"/>
            </w:tcBorders>
          </w:tcPr>
          <w:p w14:paraId="7C3313B3" w14:textId="77777777" w:rsidR="00E432F4" w:rsidRPr="00811833" w:rsidRDefault="00E432F4" w:rsidP="00E432F4">
            <w:pPr>
              <w:keepNext/>
              <w:rPr>
                <w:sz w:val="18"/>
                <w:szCs w:val="18"/>
                <w:lang w:val="en-GB"/>
              </w:rPr>
            </w:pPr>
          </w:p>
        </w:tc>
        <w:tc>
          <w:tcPr>
            <w:tcW w:w="766" w:type="pct"/>
            <w:tcBorders>
              <w:top w:val="single" w:sz="4" w:space="0" w:color="auto"/>
              <w:left w:val="single" w:sz="4" w:space="0" w:color="auto"/>
              <w:bottom w:val="single" w:sz="4" w:space="0" w:color="auto"/>
              <w:right w:val="single" w:sz="4" w:space="0" w:color="auto"/>
            </w:tcBorders>
          </w:tcPr>
          <w:p w14:paraId="7C3313B4" w14:textId="77777777" w:rsidR="00E432F4" w:rsidRPr="00E06A78" w:rsidRDefault="00016F29" w:rsidP="00E432F4">
            <w:pPr>
              <w:keepNext/>
              <w:rPr>
                <w:sz w:val="18"/>
                <w:szCs w:val="18"/>
                <w:lang w:val="fr-CH"/>
              </w:rPr>
            </w:pPr>
            <w:r w:rsidRPr="00E06A78">
              <w:rPr>
                <w:sz w:val="18"/>
                <w:szCs w:val="18"/>
                <w:lang w:val="fr-CH"/>
              </w:rPr>
              <w:t xml:space="preserve">toxic epidermal necrolysis </w:t>
            </w:r>
            <w:r w:rsidRPr="00E06A78">
              <w:rPr>
                <w:iCs/>
                <w:sz w:val="18"/>
                <w:szCs w:val="18"/>
                <w:lang w:val="fr-CH"/>
              </w:rPr>
              <w:t>(Lyell’s syndrome)</w:t>
            </w:r>
            <w:r w:rsidRPr="00E06A78">
              <w:rPr>
                <w:sz w:val="18"/>
                <w:szCs w:val="18"/>
                <w:lang w:val="fr-CH"/>
              </w:rPr>
              <w:t>, Stevens</w:t>
            </w:r>
            <w:r w:rsidRPr="00E06A78">
              <w:rPr>
                <w:sz w:val="18"/>
                <w:szCs w:val="18"/>
                <w:lang w:val="fr-CH"/>
              </w:rPr>
              <w:noBreakHyphen/>
              <w:t>Johnson syndrome</w:t>
            </w:r>
            <w:r w:rsidRPr="00E06A78">
              <w:rPr>
                <w:sz w:val="18"/>
                <w:szCs w:val="18"/>
                <w:vertAlign w:val="superscript"/>
                <w:lang w:val="fr-CH"/>
              </w:rPr>
              <w:t>5</w:t>
            </w:r>
          </w:p>
        </w:tc>
      </w:tr>
      <w:tr w:rsidR="003A788B" w14:paraId="7C3313BC" w14:textId="77777777" w:rsidTr="00E06A78">
        <w:tc>
          <w:tcPr>
            <w:tcW w:w="965" w:type="pct"/>
            <w:tcBorders>
              <w:top w:val="single" w:sz="4" w:space="0" w:color="auto"/>
              <w:left w:val="single" w:sz="4" w:space="0" w:color="auto"/>
              <w:bottom w:val="single" w:sz="4" w:space="0" w:color="auto"/>
              <w:right w:val="single" w:sz="4" w:space="0" w:color="auto"/>
            </w:tcBorders>
          </w:tcPr>
          <w:p w14:paraId="7C3313B6" w14:textId="77777777" w:rsidR="008F369D" w:rsidRPr="00E40FB5" w:rsidRDefault="00016F29" w:rsidP="00E06A78">
            <w:pPr>
              <w:rPr>
                <w:b/>
                <w:sz w:val="18"/>
                <w:szCs w:val="18"/>
                <w:lang w:val="en-GB"/>
              </w:rPr>
            </w:pPr>
            <w:r w:rsidRPr="00E40FB5">
              <w:rPr>
                <w:b/>
                <w:sz w:val="18"/>
                <w:szCs w:val="18"/>
                <w:lang w:val="en-GB"/>
              </w:rPr>
              <w:t>Musculo skeletal disorders</w:t>
            </w:r>
            <w:r w:rsidR="007830E0" w:rsidRPr="00811833">
              <w:rPr>
                <w:b/>
                <w:sz w:val="18"/>
                <w:szCs w:val="18"/>
                <w:lang w:val="en-GB"/>
              </w:rPr>
              <w:t xml:space="preserve"> and connective tissue disorders</w:t>
            </w:r>
          </w:p>
        </w:tc>
        <w:tc>
          <w:tcPr>
            <w:tcW w:w="891" w:type="pct"/>
            <w:tcBorders>
              <w:top w:val="single" w:sz="4" w:space="0" w:color="auto"/>
              <w:left w:val="single" w:sz="4" w:space="0" w:color="auto"/>
              <w:bottom w:val="single" w:sz="4" w:space="0" w:color="auto"/>
              <w:right w:val="single" w:sz="4" w:space="0" w:color="auto"/>
            </w:tcBorders>
          </w:tcPr>
          <w:p w14:paraId="7C3313B7" w14:textId="77777777" w:rsidR="008F369D" w:rsidRPr="00F332AF" w:rsidRDefault="008F369D" w:rsidP="00E06A78">
            <w:pPr>
              <w:rPr>
                <w:sz w:val="18"/>
                <w:szCs w:val="18"/>
                <w:lang w:val="en-GB"/>
              </w:rPr>
            </w:pPr>
          </w:p>
        </w:tc>
        <w:tc>
          <w:tcPr>
            <w:tcW w:w="892" w:type="pct"/>
            <w:tcBorders>
              <w:top w:val="single" w:sz="4" w:space="0" w:color="auto"/>
              <w:left w:val="single" w:sz="4" w:space="0" w:color="auto"/>
              <w:bottom w:val="single" w:sz="4" w:space="0" w:color="auto"/>
              <w:right w:val="single" w:sz="4" w:space="0" w:color="auto"/>
            </w:tcBorders>
          </w:tcPr>
          <w:p w14:paraId="7C3313B8" w14:textId="77777777" w:rsidR="008F369D" w:rsidRPr="00F332AF" w:rsidRDefault="00016F29" w:rsidP="00E06A78">
            <w:pPr>
              <w:rPr>
                <w:sz w:val="18"/>
                <w:szCs w:val="18"/>
                <w:lang w:val="en-GB"/>
              </w:rPr>
            </w:pPr>
            <w:r w:rsidRPr="00F332AF">
              <w:rPr>
                <w:sz w:val="18"/>
                <w:szCs w:val="18"/>
                <w:lang w:val="en-GB"/>
              </w:rPr>
              <w:t>arthralgia / musculoskeletal pain, osteoarthritis, bursitis</w:t>
            </w:r>
          </w:p>
        </w:tc>
        <w:tc>
          <w:tcPr>
            <w:tcW w:w="816" w:type="pct"/>
            <w:tcBorders>
              <w:top w:val="single" w:sz="4" w:space="0" w:color="auto"/>
              <w:left w:val="single" w:sz="4" w:space="0" w:color="auto"/>
              <w:bottom w:val="single" w:sz="4" w:space="0" w:color="auto"/>
              <w:right w:val="single" w:sz="4" w:space="0" w:color="auto"/>
            </w:tcBorders>
          </w:tcPr>
          <w:p w14:paraId="7C3313B9" w14:textId="77777777" w:rsidR="008F369D" w:rsidRPr="00525A55" w:rsidRDefault="008F369D" w:rsidP="00E06A78">
            <w:pPr>
              <w:rPr>
                <w:sz w:val="18"/>
                <w:szCs w:val="18"/>
                <w:lang w:val="en-GB"/>
              </w:rPr>
            </w:pPr>
          </w:p>
        </w:tc>
        <w:tc>
          <w:tcPr>
            <w:tcW w:w="670" w:type="pct"/>
            <w:tcBorders>
              <w:top w:val="single" w:sz="4" w:space="0" w:color="auto"/>
              <w:left w:val="single" w:sz="4" w:space="0" w:color="auto"/>
              <w:bottom w:val="single" w:sz="4" w:space="0" w:color="auto"/>
              <w:right w:val="single" w:sz="4" w:space="0" w:color="auto"/>
            </w:tcBorders>
          </w:tcPr>
          <w:p w14:paraId="7C3313BA" w14:textId="77777777" w:rsidR="008F369D" w:rsidRPr="00525A55" w:rsidRDefault="008F369D" w:rsidP="00E06A78">
            <w:pPr>
              <w:rPr>
                <w:sz w:val="18"/>
                <w:szCs w:val="18"/>
                <w:lang w:val="en-GB"/>
              </w:rPr>
            </w:pPr>
          </w:p>
        </w:tc>
        <w:tc>
          <w:tcPr>
            <w:tcW w:w="766" w:type="pct"/>
            <w:tcBorders>
              <w:top w:val="single" w:sz="4" w:space="0" w:color="auto"/>
              <w:left w:val="single" w:sz="4" w:space="0" w:color="auto"/>
              <w:bottom w:val="single" w:sz="4" w:space="0" w:color="auto"/>
              <w:right w:val="single" w:sz="4" w:space="0" w:color="auto"/>
            </w:tcBorders>
          </w:tcPr>
          <w:p w14:paraId="7C3313BB" w14:textId="77777777" w:rsidR="008F369D" w:rsidRPr="00EF300D" w:rsidRDefault="008F369D" w:rsidP="00E06A78">
            <w:pPr>
              <w:rPr>
                <w:sz w:val="18"/>
                <w:szCs w:val="18"/>
                <w:lang w:val="en-GB"/>
              </w:rPr>
            </w:pPr>
          </w:p>
        </w:tc>
      </w:tr>
      <w:tr w:rsidR="003A788B" w14:paraId="7C3313C3" w14:textId="77777777" w:rsidTr="00E06A78">
        <w:tc>
          <w:tcPr>
            <w:tcW w:w="965" w:type="pct"/>
            <w:tcBorders>
              <w:top w:val="single" w:sz="4" w:space="0" w:color="auto"/>
              <w:left w:val="single" w:sz="4" w:space="0" w:color="auto"/>
              <w:bottom w:val="single" w:sz="4" w:space="0" w:color="auto"/>
              <w:right w:val="single" w:sz="4" w:space="0" w:color="auto"/>
            </w:tcBorders>
            <w:shd w:val="clear" w:color="auto" w:fill="auto"/>
          </w:tcPr>
          <w:p w14:paraId="7C3313BD" w14:textId="77777777" w:rsidR="008F369D" w:rsidRPr="00E40FB5" w:rsidRDefault="00016F29" w:rsidP="00E06A78">
            <w:pPr>
              <w:rPr>
                <w:b/>
                <w:sz w:val="18"/>
                <w:szCs w:val="18"/>
                <w:lang w:val="en-GB"/>
              </w:rPr>
            </w:pPr>
            <w:r w:rsidRPr="00E40FB5">
              <w:rPr>
                <w:b/>
                <w:sz w:val="18"/>
                <w:szCs w:val="18"/>
                <w:lang w:val="en-GB"/>
              </w:rPr>
              <w:t>Investigations</w:t>
            </w:r>
          </w:p>
        </w:tc>
        <w:tc>
          <w:tcPr>
            <w:tcW w:w="891" w:type="pct"/>
            <w:tcBorders>
              <w:top w:val="single" w:sz="4" w:space="0" w:color="auto"/>
              <w:left w:val="single" w:sz="4" w:space="0" w:color="auto"/>
              <w:bottom w:val="single" w:sz="4" w:space="0" w:color="auto"/>
              <w:right w:val="single" w:sz="4" w:space="0" w:color="auto"/>
            </w:tcBorders>
            <w:shd w:val="clear" w:color="auto" w:fill="auto"/>
          </w:tcPr>
          <w:p w14:paraId="7C3313BE" w14:textId="77777777" w:rsidR="008F369D" w:rsidRPr="00F332AF" w:rsidRDefault="00016F29" w:rsidP="00E06A78">
            <w:pPr>
              <w:rPr>
                <w:sz w:val="18"/>
                <w:szCs w:val="18"/>
                <w:lang w:val="en-GB"/>
              </w:rPr>
            </w:pPr>
            <w:r w:rsidRPr="00F332AF">
              <w:rPr>
                <w:sz w:val="18"/>
                <w:szCs w:val="18"/>
                <w:lang w:val="en-GB"/>
              </w:rPr>
              <w:t>decreased IgM levels</w:t>
            </w:r>
            <w:r w:rsidRPr="00F332AF">
              <w:rPr>
                <w:sz w:val="18"/>
                <w:szCs w:val="18"/>
                <w:vertAlign w:val="superscript"/>
                <w:lang w:val="en-GB"/>
              </w:rPr>
              <w:t>4</w:t>
            </w:r>
          </w:p>
        </w:tc>
        <w:tc>
          <w:tcPr>
            <w:tcW w:w="892" w:type="pct"/>
            <w:tcBorders>
              <w:top w:val="single" w:sz="4" w:space="0" w:color="auto"/>
              <w:left w:val="single" w:sz="4" w:space="0" w:color="auto"/>
              <w:bottom w:val="single" w:sz="4" w:space="0" w:color="auto"/>
              <w:right w:val="single" w:sz="4" w:space="0" w:color="auto"/>
            </w:tcBorders>
            <w:shd w:val="clear" w:color="auto" w:fill="auto"/>
          </w:tcPr>
          <w:p w14:paraId="7C3313BF" w14:textId="77777777" w:rsidR="008F369D" w:rsidRPr="00525A55" w:rsidRDefault="00016F29" w:rsidP="00E06A78">
            <w:pPr>
              <w:rPr>
                <w:sz w:val="18"/>
                <w:szCs w:val="18"/>
                <w:lang w:val="en-GB"/>
              </w:rPr>
            </w:pPr>
            <w:r w:rsidRPr="00F332AF">
              <w:rPr>
                <w:sz w:val="18"/>
                <w:szCs w:val="18"/>
                <w:lang w:val="en-GB"/>
              </w:rPr>
              <w:t>decreased IgG levels</w:t>
            </w:r>
            <w:r w:rsidRPr="00525A55">
              <w:rPr>
                <w:sz w:val="18"/>
                <w:szCs w:val="18"/>
                <w:vertAlign w:val="superscript"/>
                <w:lang w:val="en-GB"/>
              </w:rPr>
              <w:t>4</w:t>
            </w:r>
          </w:p>
        </w:tc>
        <w:tc>
          <w:tcPr>
            <w:tcW w:w="816" w:type="pct"/>
            <w:tcBorders>
              <w:top w:val="single" w:sz="4" w:space="0" w:color="auto"/>
              <w:left w:val="single" w:sz="4" w:space="0" w:color="auto"/>
              <w:bottom w:val="single" w:sz="4" w:space="0" w:color="auto"/>
              <w:right w:val="single" w:sz="4" w:space="0" w:color="auto"/>
            </w:tcBorders>
            <w:shd w:val="clear" w:color="auto" w:fill="auto"/>
          </w:tcPr>
          <w:p w14:paraId="7C3313C0" w14:textId="77777777" w:rsidR="008F369D" w:rsidRPr="00EF300D" w:rsidRDefault="008F369D" w:rsidP="00E06A78">
            <w:pPr>
              <w:rPr>
                <w:sz w:val="18"/>
                <w:szCs w:val="18"/>
                <w:lang w:val="en-GB"/>
              </w:rPr>
            </w:pPr>
          </w:p>
        </w:tc>
        <w:tc>
          <w:tcPr>
            <w:tcW w:w="670" w:type="pct"/>
            <w:tcBorders>
              <w:top w:val="single" w:sz="4" w:space="0" w:color="auto"/>
              <w:left w:val="single" w:sz="4" w:space="0" w:color="auto"/>
              <w:bottom w:val="single" w:sz="4" w:space="0" w:color="auto"/>
              <w:right w:val="single" w:sz="4" w:space="0" w:color="auto"/>
            </w:tcBorders>
            <w:shd w:val="clear" w:color="auto" w:fill="auto"/>
          </w:tcPr>
          <w:p w14:paraId="7C3313C1" w14:textId="77777777" w:rsidR="008F369D" w:rsidRPr="00DF4B74" w:rsidRDefault="008F369D" w:rsidP="00E06A78">
            <w:pPr>
              <w:rPr>
                <w:sz w:val="18"/>
                <w:szCs w:val="18"/>
                <w:lang w:val="en-GB"/>
              </w:rPr>
            </w:pPr>
          </w:p>
        </w:tc>
        <w:tc>
          <w:tcPr>
            <w:tcW w:w="766" w:type="pct"/>
            <w:tcBorders>
              <w:top w:val="single" w:sz="4" w:space="0" w:color="auto"/>
              <w:left w:val="single" w:sz="4" w:space="0" w:color="auto"/>
              <w:bottom w:val="single" w:sz="4" w:space="0" w:color="auto"/>
              <w:right w:val="single" w:sz="4" w:space="0" w:color="auto"/>
            </w:tcBorders>
            <w:shd w:val="clear" w:color="auto" w:fill="auto"/>
          </w:tcPr>
          <w:p w14:paraId="7C3313C2" w14:textId="77777777" w:rsidR="008F369D" w:rsidRPr="00964018" w:rsidRDefault="008F369D" w:rsidP="00E06A78">
            <w:pPr>
              <w:rPr>
                <w:sz w:val="18"/>
                <w:szCs w:val="18"/>
                <w:lang w:val="en-GB"/>
              </w:rPr>
            </w:pPr>
          </w:p>
        </w:tc>
      </w:tr>
      <w:tr w:rsidR="003A788B" w14:paraId="7C3313C9" w14:textId="77777777" w:rsidTr="00E06A78">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7C3313C4" w14:textId="77777777" w:rsidR="008F369D" w:rsidRPr="003201FA" w:rsidRDefault="00016F29" w:rsidP="00E06A78">
            <w:pPr>
              <w:rPr>
                <w:sz w:val="18"/>
                <w:szCs w:val="18"/>
                <w:lang w:val="en-GB"/>
              </w:rPr>
            </w:pPr>
            <w:r w:rsidRPr="00E40FB5">
              <w:rPr>
                <w:sz w:val="18"/>
                <w:szCs w:val="18"/>
                <w:vertAlign w:val="superscript"/>
                <w:lang w:val="en-GB"/>
              </w:rPr>
              <w:t>1</w:t>
            </w:r>
            <w:r w:rsidRPr="00E40FB5">
              <w:rPr>
                <w:sz w:val="18"/>
                <w:szCs w:val="18"/>
                <w:lang w:val="en-GB"/>
              </w:rPr>
              <w:t xml:space="preserve"> </w:t>
            </w:r>
            <w:r w:rsidRPr="003201FA">
              <w:rPr>
                <w:sz w:val="18"/>
                <w:szCs w:val="18"/>
                <w:lang w:val="en-GB"/>
              </w:rPr>
              <w:t>Frequency category derived from laboratory values collected as part of routine laboratory monitoring in clinical trials</w:t>
            </w:r>
          </w:p>
          <w:p w14:paraId="7C3313C5" w14:textId="77777777" w:rsidR="008F369D" w:rsidRPr="003201FA" w:rsidRDefault="00016F29" w:rsidP="00E06A78">
            <w:pPr>
              <w:rPr>
                <w:sz w:val="18"/>
                <w:szCs w:val="18"/>
                <w:lang w:val="en-GB"/>
              </w:rPr>
            </w:pPr>
            <w:r w:rsidRPr="003201FA">
              <w:rPr>
                <w:sz w:val="18"/>
                <w:szCs w:val="18"/>
                <w:vertAlign w:val="superscript"/>
                <w:lang w:val="en-GB"/>
              </w:rPr>
              <w:t>2</w:t>
            </w:r>
            <w:r w:rsidRPr="003201FA">
              <w:rPr>
                <w:sz w:val="18"/>
                <w:szCs w:val="18"/>
                <w:lang w:val="en-GB"/>
              </w:rPr>
              <w:t xml:space="preserve"> Frequency category derived from post</w:t>
            </w:r>
            <w:r w:rsidR="000A6DDA" w:rsidRPr="003201FA">
              <w:rPr>
                <w:sz w:val="18"/>
                <w:szCs w:val="18"/>
                <w:lang w:val="en-GB"/>
              </w:rPr>
              <w:noBreakHyphen/>
            </w:r>
            <w:r w:rsidRPr="003201FA">
              <w:rPr>
                <w:sz w:val="18"/>
                <w:szCs w:val="18"/>
                <w:lang w:val="en-GB"/>
              </w:rPr>
              <w:t>marketing data.</w:t>
            </w:r>
          </w:p>
          <w:p w14:paraId="7C3313C6" w14:textId="77777777" w:rsidR="008F369D" w:rsidRPr="003201FA" w:rsidRDefault="00016F29" w:rsidP="00E06A78">
            <w:pPr>
              <w:rPr>
                <w:sz w:val="18"/>
                <w:szCs w:val="18"/>
                <w:lang w:val="en-GB"/>
              </w:rPr>
            </w:pPr>
            <w:r w:rsidRPr="003201FA">
              <w:rPr>
                <w:sz w:val="18"/>
                <w:szCs w:val="18"/>
                <w:vertAlign w:val="superscript"/>
                <w:lang w:val="en-GB"/>
              </w:rPr>
              <w:t xml:space="preserve">3 </w:t>
            </w:r>
            <w:r w:rsidRPr="003201FA">
              <w:rPr>
                <w:sz w:val="18"/>
                <w:szCs w:val="18"/>
                <w:lang w:val="en-GB"/>
              </w:rPr>
              <w:t>Reactions occurring during or within 24 hours of infusion. See also infusion</w:t>
            </w:r>
            <w:r w:rsidR="000A6DDA" w:rsidRPr="003201FA">
              <w:rPr>
                <w:sz w:val="18"/>
                <w:szCs w:val="18"/>
                <w:lang w:val="en-GB"/>
              </w:rPr>
              <w:noBreakHyphen/>
            </w:r>
            <w:r w:rsidRPr="003201FA">
              <w:rPr>
                <w:sz w:val="18"/>
                <w:szCs w:val="18"/>
                <w:lang w:val="en-GB"/>
              </w:rPr>
              <w:t>related reactions below. IRRs may occur as a result of hypersensitivity and/or to the mechanism of action.</w:t>
            </w:r>
          </w:p>
          <w:p w14:paraId="7C3313C7" w14:textId="77777777" w:rsidR="008F369D" w:rsidRPr="003201FA" w:rsidRDefault="00016F29" w:rsidP="00E06A78">
            <w:pPr>
              <w:rPr>
                <w:sz w:val="18"/>
                <w:szCs w:val="18"/>
                <w:lang w:val="en-GB"/>
              </w:rPr>
            </w:pPr>
            <w:r w:rsidRPr="003201FA">
              <w:rPr>
                <w:sz w:val="18"/>
                <w:szCs w:val="18"/>
                <w:vertAlign w:val="superscript"/>
                <w:lang w:val="en-GB"/>
              </w:rPr>
              <w:t>4</w:t>
            </w:r>
            <w:r w:rsidRPr="003201FA">
              <w:rPr>
                <w:sz w:val="18"/>
                <w:szCs w:val="18"/>
                <w:lang w:val="en-GB"/>
              </w:rPr>
              <w:t xml:space="preserve"> Includes observations collected as part of routine laboratory monitoring.</w:t>
            </w:r>
          </w:p>
          <w:p w14:paraId="7C3313C8" w14:textId="77777777" w:rsidR="008F369D" w:rsidRPr="00F332AF" w:rsidRDefault="00016F29" w:rsidP="00E06A78">
            <w:pPr>
              <w:rPr>
                <w:sz w:val="18"/>
                <w:szCs w:val="18"/>
                <w:lang w:val="en-GB"/>
              </w:rPr>
            </w:pPr>
            <w:r w:rsidRPr="003201FA">
              <w:rPr>
                <w:sz w:val="18"/>
                <w:szCs w:val="18"/>
                <w:vertAlign w:val="superscript"/>
                <w:lang w:val="en-GB"/>
              </w:rPr>
              <w:t>5</w:t>
            </w:r>
            <w:r w:rsidRPr="003201FA">
              <w:rPr>
                <w:sz w:val="18"/>
                <w:szCs w:val="18"/>
                <w:lang w:val="en-GB"/>
              </w:rPr>
              <w:t xml:space="preserve"> Includes fatal cases</w:t>
            </w:r>
          </w:p>
        </w:tc>
      </w:tr>
    </w:tbl>
    <w:p w14:paraId="7C3313CA" w14:textId="77777777" w:rsidR="008F369D" w:rsidRPr="004D365B" w:rsidRDefault="008F369D" w:rsidP="008F369D">
      <w:pPr>
        <w:rPr>
          <w:b/>
          <w:szCs w:val="22"/>
          <w:lang w:val="en-GB"/>
        </w:rPr>
      </w:pPr>
    </w:p>
    <w:p w14:paraId="7C3313CB" w14:textId="77777777" w:rsidR="008F369D" w:rsidRPr="005439A0" w:rsidRDefault="00016F29" w:rsidP="008F369D">
      <w:pPr>
        <w:keepNext/>
        <w:keepLines/>
        <w:outlineLvl w:val="0"/>
        <w:rPr>
          <w:i/>
          <w:szCs w:val="22"/>
          <w:lang w:val="en-GB"/>
        </w:rPr>
      </w:pPr>
      <w:r w:rsidRPr="005439A0">
        <w:rPr>
          <w:i/>
          <w:szCs w:val="22"/>
          <w:lang w:val="en-GB"/>
        </w:rPr>
        <w:t>Multiple courses</w:t>
      </w:r>
    </w:p>
    <w:p w14:paraId="7C3313CC" w14:textId="77777777" w:rsidR="008F369D" w:rsidRPr="005439A0" w:rsidRDefault="00016F29" w:rsidP="008F369D">
      <w:pPr>
        <w:keepNext/>
        <w:keepLines/>
        <w:rPr>
          <w:i/>
          <w:szCs w:val="22"/>
          <w:lang w:val="en-GB"/>
        </w:rPr>
      </w:pPr>
      <w:r w:rsidRPr="005439A0">
        <w:rPr>
          <w:szCs w:val="22"/>
          <w:lang w:val="en-GB"/>
        </w:rPr>
        <w:t xml:space="preserve">Multiple courses of treatment are associated with a similar ADR profile to that observed following first exposure. The rate of all ADRs following first MabThera exposure was highest during the first 6 months and declined thereafter. This is mostly accounted for by </w:t>
      </w:r>
      <w:r>
        <w:rPr>
          <w:szCs w:val="22"/>
          <w:lang w:val="en-GB"/>
        </w:rPr>
        <w:t>IRR</w:t>
      </w:r>
      <w:r w:rsidRPr="005439A0">
        <w:rPr>
          <w:szCs w:val="22"/>
          <w:lang w:val="en-GB"/>
        </w:rPr>
        <w:t xml:space="preserve">s (most frequent during the first treatment course), RA exacerbation and infections, all of which were more frequent in the first 6 months of treatment. </w:t>
      </w:r>
    </w:p>
    <w:p w14:paraId="7C3313CD" w14:textId="77777777" w:rsidR="005B7FA0" w:rsidRDefault="005B7FA0" w:rsidP="005B7FA0">
      <w:pPr>
        <w:rPr>
          <w:i/>
          <w:szCs w:val="22"/>
          <w:u w:val="single"/>
          <w:lang w:val="en-GB"/>
        </w:rPr>
      </w:pPr>
    </w:p>
    <w:p w14:paraId="7C3313CE" w14:textId="77777777" w:rsidR="005B7FA0" w:rsidRPr="00F638AF" w:rsidRDefault="00016F29" w:rsidP="005B7FA0">
      <w:pPr>
        <w:rPr>
          <w:i/>
          <w:szCs w:val="22"/>
          <w:u w:val="single"/>
          <w:lang w:val="en-GB"/>
        </w:rPr>
      </w:pPr>
      <w:r w:rsidRPr="00F638AF">
        <w:rPr>
          <w:i/>
          <w:szCs w:val="22"/>
          <w:u w:val="single"/>
          <w:lang w:val="en-GB"/>
        </w:rPr>
        <w:t>Description of selected adverse reactions</w:t>
      </w:r>
    </w:p>
    <w:p w14:paraId="7C3313CF" w14:textId="77777777" w:rsidR="008F369D" w:rsidRPr="00F638AF" w:rsidRDefault="008F369D" w:rsidP="008F369D">
      <w:pPr>
        <w:rPr>
          <w:szCs w:val="22"/>
          <w:lang w:val="en-GB"/>
        </w:rPr>
      </w:pPr>
    </w:p>
    <w:p w14:paraId="7C3313D0" w14:textId="77777777" w:rsidR="008F369D" w:rsidRPr="00F638AF" w:rsidRDefault="00016F29" w:rsidP="008F369D">
      <w:pPr>
        <w:keepNext/>
        <w:keepLines/>
        <w:outlineLvl w:val="0"/>
        <w:rPr>
          <w:i/>
          <w:szCs w:val="22"/>
          <w:lang w:val="en-GB"/>
        </w:rPr>
      </w:pPr>
      <w:r w:rsidRPr="00F638AF">
        <w:rPr>
          <w:i/>
          <w:szCs w:val="22"/>
          <w:lang w:val="en-GB"/>
        </w:rPr>
        <w:t>Infusion</w:t>
      </w:r>
      <w:r w:rsidR="000A6DDA" w:rsidRPr="00F638AF">
        <w:rPr>
          <w:i/>
          <w:szCs w:val="22"/>
          <w:lang w:val="en-GB"/>
        </w:rPr>
        <w:noBreakHyphen/>
      </w:r>
      <w:r w:rsidRPr="00F638AF">
        <w:rPr>
          <w:i/>
          <w:szCs w:val="22"/>
          <w:lang w:val="en-GB"/>
        </w:rPr>
        <w:t>related reactions</w:t>
      </w:r>
    </w:p>
    <w:p w14:paraId="7C3313D1" w14:textId="77777777" w:rsidR="008F369D" w:rsidRPr="005B5A38" w:rsidRDefault="00016F29" w:rsidP="008F369D">
      <w:pPr>
        <w:keepNext/>
        <w:keepLines/>
        <w:rPr>
          <w:szCs w:val="22"/>
          <w:lang w:val="en-GB"/>
        </w:rPr>
      </w:pPr>
      <w:r w:rsidRPr="00F638AF">
        <w:rPr>
          <w:szCs w:val="22"/>
          <w:lang w:val="en-GB"/>
        </w:rPr>
        <w:t>The most frequent ADRs following receipt of MabThera in clinical studies were IRRs (refer to Table</w:t>
      </w:r>
      <w:r w:rsidR="00AB35E5">
        <w:rPr>
          <w:szCs w:val="22"/>
          <w:lang w:val="en-GB"/>
        </w:rPr>
        <w:t> </w:t>
      </w:r>
      <w:r w:rsidR="00394E4C">
        <w:rPr>
          <w:szCs w:val="22"/>
          <w:lang w:val="en-GB"/>
        </w:rPr>
        <w:t>4</w:t>
      </w:r>
      <w:r w:rsidRPr="00F638AF">
        <w:rPr>
          <w:szCs w:val="22"/>
          <w:lang w:val="en-GB"/>
        </w:rPr>
        <w:t>). Among the 3189 patients treated with MabThera, 1135 (36%) experienced at least one IRR with 733/3189 (23%) of patients experiencing an IRR following first infusion of the first exposure to MabThera</w:t>
      </w:r>
      <w:r w:rsidRPr="00811BCC">
        <w:rPr>
          <w:szCs w:val="22"/>
          <w:lang w:val="en-GB"/>
        </w:rPr>
        <w:t>. The incidence of IRRs declined with subsequent infusions.</w:t>
      </w:r>
      <w:r w:rsidRPr="005439A0">
        <w:rPr>
          <w:szCs w:val="22"/>
          <w:lang w:val="en-GB"/>
        </w:rPr>
        <w:t xml:space="preserve"> In clinical </w:t>
      </w:r>
      <w:r>
        <w:rPr>
          <w:szCs w:val="22"/>
          <w:lang w:val="en-GB"/>
        </w:rPr>
        <w:t>trial</w:t>
      </w:r>
      <w:r w:rsidRPr="005439A0">
        <w:rPr>
          <w:szCs w:val="22"/>
          <w:lang w:val="en-GB"/>
        </w:rPr>
        <w:t xml:space="preserve">s fewer than 1% </w:t>
      </w:r>
      <w:r w:rsidRPr="00811BCC">
        <w:rPr>
          <w:szCs w:val="22"/>
          <w:lang w:val="en-GB"/>
        </w:rPr>
        <w:t xml:space="preserve">(17/3189) </w:t>
      </w:r>
      <w:r w:rsidRPr="005439A0">
        <w:rPr>
          <w:szCs w:val="22"/>
          <w:lang w:val="en-GB"/>
        </w:rPr>
        <w:t>of patients experienced a serious IRR. There were no CTC Grade 4 IRRs and no deaths due to IRRs in the clinical trials. The proportion of CTC Grade 3 events and of IRRs leading to withdrawal decreased by course and were rare from course 3 onwards. Premedication with intravenous glucocorticoid significantly reduced the incidence and severity of IRRs (see section</w:t>
      </w:r>
      <w:r w:rsidRPr="00811BCC">
        <w:rPr>
          <w:szCs w:val="22"/>
          <w:lang w:val="en-GB"/>
        </w:rPr>
        <w:t>s</w:t>
      </w:r>
      <w:r w:rsidRPr="005439A0">
        <w:rPr>
          <w:szCs w:val="22"/>
          <w:lang w:val="en-GB"/>
        </w:rPr>
        <w:t xml:space="preserve"> 4.2 and 4.4). </w:t>
      </w:r>
      <w:r w:rsidRPr="005B5A38">
        <w:rPr>
          <w:szCs w:val="22"/>
          <w:lang w:val="en-GB"/>
        </w:rPr>
        <w:t>Severe IRRs with fatal outcome have been reported in the post</w:t>
      </w:r>
      <w:r w:rsidR="000A6DDA" w:rsidRPr="005B5A38">
        <w:rPr>
          <w:szCs w:val="22"/>
          <w:lang w:val="en-GB"/>
        </w:rPr>
        <w:noBreakHyphen/>
      </w:r>
      <w:r w:rsidRPr="005B5A38">
        <w:rPr>
          <w:szCs w:val="22"/>
          <w:lang w:val="en-GB"/>
        </w:rPr>
        <w:t>marketing setting.</w:t>
      </w:r>
    </w:p>
    <w:p w14:paraId="7C3313D2" w14:textId="77777777" w:rsidR="008F369D" w:rsidRDefault="008F369D" w:rsidP="008F369D">
      <w:pPr>
        <w:rPr>
          <w:szCs w:val="22"/>
          <w:lang w:val="en-GB"/>
        </w:rPr>
      </w:pPr>
    </w:p>
    <w:p w14:paraId="7C3313D3" w14:textId="77777777" w:rsidR="008F369D" w:rsidRPr="00811BCC" w:rsidRDefault="00016F29" w:rsidP="008F369D">
      <w:pPr>
        <w:keepNext/>
        <w:keepLines/>
        <w:rPr>
          <w:szCs w:val="22"/>
          <w:lang w:val="en-GB"/>
        </w:rPr>
      </w:pPr>
      <w:r w:rsidRPr="005B5A38">
        <w:rPr>
          <w:szCs w:val="22"/>
          <w:lang w:val="en-GB"/>
        </w:rPr>
        <w:t>In a trial designed to evaluate the safety of a more rapid MabThera infusion in patients with rheumatoid arthritis, patients with moderate</w:t>
      </w:r>
      <w:r w:rsidR="000A6DDA" w:rsidRPr="005B5A38">
        <w:rPr>
          <w:szCs w:val="22"/>
          <w:lang w:val="en-GB"/>
        </w:rPr>
        <w:noBreakHyphen/>
      </w:r>
      <w:r w:rsidRPr="005B5A38">
        <w:rPr>
          <w:szCs w:val="22"/>
          <w:lang w:val="en-GB"/>
        </w:rPr>
        <w:t>to</w:t>
      </w:r>
      <w:r w:rsidR="000A6DDA" w:rsidRPr="005B5A38">
        <w:rPr>
          <w:szCs w:val="22"/>
          <w:lang w:val="en-GB"/>
        </w:rPr>
        <w:noBreakHyphen/>
      </w:r>
      <w:r w:rsidRPr="005B5A38">
        <w:rPr>
          <w:szCs w:val="22"/>
          <w:lang w:val="en-GB"/>
        </w:rPr>
        <w:t>severe active RA who did not experience a serious IRR during or within 24 hours of their first studied infusion were allowed to receive a 2</w:t>
      </w:r>
      <w:r w:rsidR="000A6DDA" w:rsidRPr="005B5A38">
        <w:rPr>
          <w:szCs w:val="22"/>
          <w:lang w:val="en-GB"/>
        </w:rPr>
        <w:noBreakHyphen/>
      </w:r>
      <w:r w:rsidRPr="005B5A38">
        <w:rPr>
          <w:szCs w:val="22"/>
          <w:lang w:val="en-GB"/>
        </w:rPr>
        <w:t>hour</w:t>
      </w:r>
      <w:r w:rsidRPr="00811BCC">
        <w:rPr>
          <w:szCs w:val="22"/>
          <w:lang w:val="en-GB"/>
        </w:rPr>
        <w:t xml:space="preserve"> intravenous infusion of MabThera. Patients with a history of a serious infusion reaction to a biologic therapy for RA were excluded from entry. The incidence, types and severity of IRRs were consistent with that observed historically.  No serious IRRs were observed.</w:t>
      </w:r>
    </w:p>
    <w:p w14:paraId="7C3313D4" w14:textId="77777777" w:rsidR="008F369D" w:rsidRPr="005439A0" w:rsidRDefault="008F369D" w:rsidP="008F369D">
      <w:pPr>
        <w:rPr>
          <w:szCs w:val="22"/>
          <w:lang w:val="en-GB"/>
        </w:rPr>
      </w:pPr>
    </w:p>
    <w:p w14:paraId="7C3313D5" w14:textId="77777777" w:rsidR="008F369D" w:rsidRPr="005439A0" w:rsidRDefault="00016F29" w:rsidP="008F369D">
      <w:pPr>
        <w:keepNext/>
        <w:keepLines/>
        <w:outlineLvl w:val="0"/>
        <w:rPr>
          <w:i/>
          <w:szCs w:val="22"/>
          <w:lang w:val="en-GB"/>
        </w:rPr>
      </w:pPr>
      <w:r w:rsidRPr="005439A0">
        <w:rPr>
          <w:i/>
          <w:szCs w:val="22"/>
          <w:lang w:val="en-GB"/>
        </w:rPr>
        <w:t>Infections</w:t>
      </w:r>
    </w:p>
    <w:p w14:paraId="7C3313D6" w14:textId="77777777" w:rsidR="008F369D" w:rsidRPr="005439A0" w:rsidRDefault="00016F29" w:rsidP="008F369D">
      <w:pPr>
        <w:keepNext/>
        <w:keepLines/>
        <w:rPr>
          <w:szCs w:val="22"/>
          <w:lang w:val="en-GB"/>
        </w:rPr>
      </w:pPr>
      <w:r w:rsidRPr="005439A0">
        <w:rPr>
          <w:szCs w:val="22"/>
          <w:lang w:val="en-GB"/>
        </w:rPr>
        <w:t>The overall rate of infection was approximately 94 per 100 patient years in MabThera treated patients. The infections were predominately mild to moderate and consisted mostly of upper respiratory tract infections and urinary tract infections. The incidence of infections that were serious or required IV antibiotic</w:t>
      </w:r>
      <w:r w:rsidRPr="00811BCC">
        <w:rPr>
          <w:szCs w:val="22"/>
          <w:lang w:val="en-GB"/>
        </w:rPr>
        <w:t>s</w:t>
      </w:r>
      <w:r w:rsidRPr="005439A0">
        <w:rPr>
          <w:szCs w:val="22"/>
          <w:lang w:val="en-GB"/>
        </w:rPr>
        <w:t xml:space="preserve"> was approximately 4 per 100 patient years. The rate of serious infections did not show any significant increase following multiple courses of MabThera. Lower respiratory tract infections (including pneumonia) have been reported during clinical trials, at a similar incidence in the MabThera arms compared to control arms.</w:t>
      </w:r>
    </w:p>
    <w:p w14:paraId="7C3313D7" w14:textId="77777777" w:rsidR="008F369D" w:rsidRPr="005439A0" w:rsidRDefault="008F369D" w:rsidP="008F369D">
      <w:pPr>
        <w:rPr>
          <w:szCs w:val="22"/>
          <w:lang w:val="en-GB"/>
        </w:rPr>
      </w:pPr>
    </w:p>
    <w:p w14:paraId="7C3313D8" w14:textId="77777777" w:rsidR="008F369D" w:rsidRPr="005B5A38" w:rsidRDefault="00016F29" w:rsidP="008F369D">
      <w:pPr>
        <w:rPr>
          <w:iCs/>
          <w:szCs w:val="22"/>
          <w:lang w:val="en-GB"/>
        </w:rPr>
      </w:pPr>
      <w:r w:rsidRPr="005B5A38">
        <w:rPr>
          <w:iCs/>
          <w:szCs w:val="22"/>
          <w:lang w:val="en-GB"/>
        </w:rPr>
        <w:t>Cases of progressive multifocal leukoencephalopathy with fatal outcome have been reported following use of MabThera for the treatment of autoimmune diseases. This includes rheumatoid arthritis and off</w:t>
      </w:r>
      <w:r w:rsidR="000A6DDA" w:rsidRPr="005B5A38">
        <w:rPr>
          <w:iCs/>
          <w:szCs w:val="22"/>
          <w:lang w:val="en-GB"/>
        </w:rPr>
        <w:noBreakHyphen/>
      </w:r>
      <w:r w:rsidRPr="005B5A38">
        <w:rPr>
          <w:iCs/>
          <w:szCs w:val="22"/>
          <w:lang w:val="en-GB"/>
        </w:rPr>
        <w:t>label autoimmune diseases, including Systemic Lupus Erythematosus (SLE) and vasculitis.</w:t>
      </w:r>
    </w:p>
    <w:p w14:paraId="7C3313D9" w14:textId="77777777" w:rsidR="008F369D" w:rsidRPr="005B5A38" w:rsidRDefault="008F369D" w:rsidP="008F369D">
      <w:pPr>
        <w:rPr>
          <w:rFonts w:eastAsia="MS Mincho"/>
          <w:lang w:val="en-GB"/>
        </w:rPr>
      </w:pPr>
    </w:p>
    <w:p w14:paraId="7C3313DA" w14:textId="77777777" w:rsidR="008F369D" w:rsidRPr="00525A55" w:rsidRDefault="00016F29" w:rsidP="008F369D">
      <w:pPr>
        <w:rPr>
          <w:rFonts w:eastAsia="MS Mincho"/>
          <w:lang w:val="en-GB"/>
        </w:rPr>
      </w:pPr>
      <w:r w:rsidRPr="005B5A38">
        <w:rPr>
          <w:rFonts w:eastAsia="MS Mincho"/>
          <w:lang w:val="en-GB"/>
        </w:rPr>
        <w:t>In patients with non</w:t>
      </w:r>
      <w:r w:rsidR="000A6DDA" w:rsidRPr="005B5A38">
        <w:rPr>
          <w:rFonts w:eastAsia="MS Mincho"/>
          <w:lang w:val="en-GB"/>
        </w:rPr>
        <w:noBreakHyphen/>
      </w:r>
      <w:r w:rsidRPr="005B5A38">
        <w:rPr>
          <w:rFonts w:eastAsia="MS Mincho"/>
          <w:lang w:val="en-GB"/>
        </w:rPr>
        <w:t>Hodgkin’s lymphoma receiving MabThera in combination with cytotoxic chemotherapy, cases of hepatitis B reactivation have been reported (see non</w:t>
      </w:r>
      <w:r w:rsidR="000A6DDA" w:rsidRPr="005B5A38">
        <w:rPr>
          <w:rFonts w:eastAsia="MS Mincho"/>
          <w:lang w:val="en-GB"/>
        </w:rPr>
        <w:noBreakHyphen/>
      </w:r>
      <w:r w:rsidRPr="005B5A38">
        <w:rPr>
          <w:rFonts w:eastAsia="MS Mincho"/>
          <w:lang w:val="en-GB"/>
        </w:rPr>
        <w:t>Hodgkin’s lymphoma).</w:t>
      </w:r>
      <w:r w:rsidRPr="00525A55">
        <w:rPr>
          <w:rFonts w:eastAsia="MS Mincho"/>
          <w:lang w:val="en-GB"/>
        </w:rPr>
        <w:t xml:space="preserve">  Reactivation of hepatitis B infection has also been very rarely reported in RA patients receiving MabThera (see Section 4.4).</w:t>
      </w:r>
    </w:p>
    <w:p w14:paraId="7C3313DB" w14:textId="77777777" w:rsidR="008F369D" w:rsidRPr="005439A0" w:rsidRDefault="008F369D" w:rsidP="008F369D">
      <w:pPr>
        <w:rPr>
          <w:szCs w:val="22"/>
          <w:lang w:val="en-GB"/>
        </w:rPr>
      </w:pPr>
    </w:p>
    <w:p w14:paraId="7C3313DC" w14:textId="77777777" w:rsidR="008F369D" w:rsidRPr="005439A0" w:rsidRDefault="00016F29" w:rsidP="008F369D">
      <w:pPr>
        <w:outlineLvl w:val="0"/>
        <w:rPr>
          <w:i/>
          <w:szCs w:val="22"/>
          <w:lang w:val="en-GB" w:eastAsia="nl-NL"/>
        </w:rPr>
      </w:pPr>
      <w:r w:rsidRPr="005439A0">
        <w:rPr>
          <w:i/>
          <w:szCs w:val="22"/>
          <w:lang w:val="en-GB" w:eastAsia="nl-NL"/>
        </w:rPr>
        <w:t>Cardiovascular</w:t>
      </w:r>
      <w:r>
        <w:rPr>
          <w:i/>
          <w:szCs w:val="22"/>
          <w:lang w:val="en-GB" w:eastAsia="nl-NL"/>
        </w:rPr>
        <w:t xml:space="preserve"> adverse </w:t>
      </w:r>
      <w:r w:rsidRPr="009912E9">
        <w:rPr>
          <w:i/>
          <w:szCs w:val="22"/>
          <w:lang w:val="en-GB" w:eastAsia="nl-NL"/>
        </w:rPr>
        <w:t>reactions</w:t>
      </w:r>
    </w:p>
    <w:p w14:paraId="7C3313DD" w14:textId="77777777" w:rsidR="008F369D" w:rsidRPr="00F332AF" w:rsidRDefault="00016F29" w:rsidP="008F369D">
      <w:pPr>
        <w:rPr>
          <w:szCs w:val="22"/>
          <w:lang w:val="en-GB"/>
        </w:rPr>
      </w:pPr>
      <w:r w:rsidRPr="005439A0">
        <w:rPr>
          <w:szCs w:val="22"/>
          <w:lang w:val="en-GB"/>
        </w:rPr>
        <w:t xml:space="preserve">Serious cardiac </w:t>
      </w:r>
      <w:r>
        <w:rPr>
          <w:szCs w:val="22"/>
          <w:lang w:val="en-GB"/>
        </w:rPr>
        <w:t>reactions</w:t>
      </w:r>
      <w:r w:rsidRPr="005439A0">
        <w:rPr>
          <w:szCs w:val="22"/>
          <w:lang w:val="en-GB"/>
        </w:rPr>
        <w:t xml:space="preserve"> were reported at a rate of </w:t>
      </w:r>
      <w:r w:rsidRPr="005439A0">
        <w:rPr>
          <w:lang w:val="en-GB"/>
        </w:rPr>
        <w:t xml:space="preserve">1.3 per 100 patient years in the MabThera treated patients compared to 1.3 per 100 patient years in placebo treated patients. The proportions of patients experiencing cardiac </w:t>
      </w:r>
      <w:r>
        <w:rPr>
          <w:lang w:val="en-GB"/>
        </w:rPr>
        <w:t>reactions</w:t>
      </w:r>
      <w:r w:rsidRPr="005439A0">
        <w:rPr>
          <w:lang w:val="en-GB"/>
        </w:rPr>
        <w:t xml:space="preserve"> (all or serious) did not increase over multiple courses.</w:t>
      </w:r>
    </w:p>
    <w:p w14:paraId="7C3313DE" w14:textId="77777777" w:rsidR="008F369D" w:rsidRDefault="008F369D" w:rsidP="008F369D">
      <w:pPr>
        <w:rPr>
          <w:szCs w:val="22"/>
          <w:lang w:val="en-GB"/>
        </w:rPr>
      </w:pPr>
    </w:p>
    <w:p w14:paraId="7C3313DF" w14:textId="77777777" w:rsidR="008F369D" w:rsidRPr="00811BCC" w:rsidRDefault="00016F29" w:rsidP="008F369D">
      <w:pPr>
        <w:outlineLvl w:val="0"/>
        <w:rPr>
          <w:i/>
          <w:szCs w:val="22"/>
          <w:lang w:val="en-GB" w:eastAsia="nl-NL"/>
        </w:rPr>
      </w:pPr>
      <w:r w:rsidRPr="00811BCC">
        <w:rPr>
          <w:i/>
          <w:szCs w:val="22"/>
          <w:lang w:val="en-GB" w:eastAsia="nl-NL"/>
        </w:rPr>
        <w:t>Neurologic events</w:t>
      </w:r>
    </w:p>
    <w:p w14:paraId="7C3313E0" w14:textId="77777777" w:rsidR="008F369D" w:rsidRPr="00811BCC" w:rsidRDefault="00016F29" w:rsidP="008F369D">
      <w:pPr>
        <w:rPr>
          <w:lang w:val="en-GB"/>
        </w:rPr>
      </w:pPr>
      <w:r w:rsidRPr="00811BCC">
        <w:rPr>
          <w:lang w:val="en-GB"/>
        </w:rPr>
        <w:t>Cases of posterior reversible encephalopathy syndrome (PRES)/reversible posterior leukoencephalopathy syndrome (RPLS) have been reported. Signs and symptoms included visual disturbance, headache, seizures and altered mental status, with or without associated hypertension. A diagnosis of PRES/RPLS requires confirmation by brain imaging. The reported cases had recognised risk factors for PRES/RPLS, including the patients’ underlying disease, hypertension, immunosuppressive therapy and/or chemotherapy.</w:t>
      </w:r>
    </w:p>
    <w:p w14:paraId="7C3313E1" w14:textId="77777777" w:rsidR="008F369D" w:rsidRPr="005439A0" w:rsidRDefault="008F369D" w:rsidP="008F369D">
      <w:pPr>
        <w:rPr>
          <w:szCs w:val="22"/>
          <w:lang w:val="en-GB"/>
        </w:rPr>
      </w:pPr>
    </w:p>
    <w:p w14:paraId="7C3313E2" w14:textId="77777777" w:rsidR="008F369D" w:rsidRPr="005439A0" w:rsidRDefault="00016F29" w:rsidP="008F369D">
      <w:pPr>
        <w:rPr>
          <w:szCs w:val="22"/>
          <w:lang w:val="en-GB"/>
        </w:rPr>
      </w:pPr>
      <w:r w:rsidRPr="00F332AF">
        <w:rPr>
          <w:i/>
          <w:szCs w:val="22"/>
          <w:lang w:val="en-GB"/>
        </w:rPr>
        <w:t>Neutropenia</w:t>
      </w:r>
    </w:p>
    <w:p w14:paraId="7C3313E3" w14:textId="77777777" w:rsidR="008F369D" w:rsidRPr="005439A0" w:rsidRDefault="00016F29" w:rsidP="008F369D">
      <w:pPr>
        <w:rPr>
          <w:lang w:val="en-GB"/>
        </w:rPr>
      </w:pPr>
      <w:r w:rsidRPr="005439A0">
        <w:rPr>
          <w:lang w:val="en-GB"/>
        </w:rPr>
        <w:t>Events of neutropenia were observed with MabThera treatment, the majority of which were transient and mild or moderate in severity. Neutropenia can occur several months after the administration of MabThera (see section 4.4).</w:t>
      </w:r>
    </w:p>
    <w:p w14:paraId="7C3313E4" w14:textId="77777777" w:rsidR="008F369D" w:rsidRPr="005439A0" w:rsidRDefault="008F369D" w:rsidP="008F369D">
      <w:pPr>
        <w:rPr>
          <w:lang w:val="en-GB"/>
        </w:rPr>
      </w:pPr>
    </w:p>
    <w:p w14:paraId="7C3313E5" w14:textId="77777777" w:rsidR="008F369D" w:rsidRPr="005B5A38" w:rsidRDefault="00016F29" w:rsidP="008F369D">
      <w:pPr>
        <w:rPr>
          <w:lang w:val="en-GB"/>
        </w:rPr>
      </w:pPr>
      <w:r w:rsidRPr="005B5A38">
        <w:rPr>
          <w:lang w:val="en-GB"/>
        </w:rPr>
        <w:t>In placebo</w:t>
      </w:r>
      <w:r w:rsidR="000A6DDA" w:rsidRPr="005B5A38">
        <w:rPr>
          <w:lang w:val="en-GB"/>
        </w:rPr>
        <w:noBreakHyphen/>
      </w:r>
      <w:r w:rsidRPr="005B5A38">
        <w:rPr>
          <w:lang w:val="en-GB"/>
        </w:rPr>
        <w:t>controlled periods of clinical trials, 0.94% (13/1382) of MabThera treated patients and 0.27% (2/731) of placebo patients developed severe neutropenia.</w:t>
      </w:r>
    </w:p>
    <w:p w14:paraId="7C3313E6" w14:textId="77777777" w:rsidR="008F369D" w:rsidRPr="005439A0" w:rsidRDefault="008F369D" w:rsidP="008F369D">
      <w:pPr>
        <w:rPr>
          <w:szCs w:val="22"/>
          <w:lang w:val="en-GB"/>
        </w:rPr>
      </w:pPr>
    </w:p>
    <w:p w14:paraId="7C3313E7" w14:textId="77777777" w:rsidR="008F369D" w:rsidRPr="005B5A38" w:rsidRDefault="00016F29" w:rsidP="008F369D">
      <w:pPr>
        <w:rPr>
          <w:szCs w:val="22"/>
          <w:lang w:val="en-GB"/>
        </w:rPr>
      </w:pPr>
      <w:r w:rsidRPr="005B5A38">
        <w:rPr>
          <w:szCs w:val="22"/>
          <w:lang w:val="en-GB"/>
        </w:rPr>
        <w:t>Neutropenic events, including severe late onset and persistent neutropenia, have been rarely reported in the post</w:t>
      </w:r>
      <w:r w:rsidR="000A6DDA" w:rsidRPr="005B5A38">
        <w:rPr>
          <w:szCs w:val="22"/>
          <w:lang w:val="en-GB"/>
        </w:rPr>
        <w:noBreakHyphen/>
      </w:r>
      <w:r w:rsidRPr="005B5A38">
        <w:rPr>
          <w:szCs w:val="22"/>
          <w:lang w:val="en-GB"/>
        </w:rPr>
        <w:t>marketing setting, some of which were associated with fatal infections.</w:t>
      </w:r>
    </w:p>
    <w:p w14:paraId="7C3313E8" w14:textId="77777777" w:rsidR="008F369D" w:rsidRPr="005439A0" w:rsidRDefault="008F369D" w:rsidP="008F369D">
      <w:pPr>
        <w:rPr>
          <w:szCs w:val="22"/>
          <w:lang w:val="en-GB"/>
        </w:rPr>
      </w:pPr>
    </w:p>
    <w:p w14:paraId="7C3313E9" w14:textId="77777777" w:rsidR="008F369D" w:rsidRPr="005439A0" w:rsidRDefault="00016F29" w:rsidP="008F369D">
      <w:pPr>
        <w:rPr>
          <w:rFonts w:cs="Arial"/>
          <w:i/>
          <w:lang w:val="en-GB"/>
        </w:rPr>
      </w:pPr>
      <w:r w:rsidRPr="005439A0">
        <w:rPr>
          <w:rFonts w:cs="Arial"/>
          <w:i/>
          <w:lang w:val="en-GB"/>
        </w:rPr>
        <w:t>Skin and subcutaneous tissue disorders</w:t>
      </w:r>
    </w:p>
    <w:p w14:paraId="7C3313EA" w14:textId="77777777" w:rsidR="008F369D" w:rsidRPr="005439A0" w:rsidRDefault="00016F29" w:rsidP="008F369D">
      <w:pPr>
        <w:rPr>
          <w:rFonts w:cs="Arial"/>
          <w:lang w:val="en-GB"/>
        </w:rPr>
      </w:pPr>
      <w:r w:rsidRPr="005B5A38">
        <w:rPr>
          <w:lang w:val="en-GB"/>
        </w:rPr>
        <w:t xml:space="preserve">Toxic Epidermal Necrolysis </w:t>
      </w:r>
      <w:r w:rsidRPr="005B5A38">
        <w:rPr>
          <w:iCs/>
          <w:lang w:val="en-GB"/>
        </w:rPr>
        <w:t xml:space="preserve">(Lyell’s syndrome) </w:t>
      </w:r>
      <w:r w:rsidRPr="005B5A38">
        <w:rPr>
          <w:lang w:val="en-GB"/>
        </w:rPr>
        <w:t>and Stevens</w:t>
      </w:r>
      <w:r w:rsidR="000A6DDA" w:rsidRPr="005B5A38">
        <w:rPr>
          <w:lang w:val="en-GB"/>
        </w:rPr>
        <w:noBreakHyphen/>
      </w:r>
      <w:r w:rsidRPr="005B5A38">
        <w:rPr>
          <w:lang w:val="en-GB"/>
        </w:rPr>
        <w:t>Johnson syndrome, some with fatal</w:t>
      </w:r>
      <w:r w:rsidRPr="005439A0">
        <w:rPr>
          <w:rFonts w:cs="Arial"/>
          <w:lang w:val="en-GB"/>
        </w:rPr>
        <w:t xml:space="preserve"> outcome, have been reported very rarely.</w:t>
      </w:r>
    </w:p>
    <w:p w14:paraId="7C3313EB" w14:textId="77777777" w:rsidR="008F369D" w:rsidRPr="005439A0" w:rsidRDefault="008F369D" w:rsidP="008F369D">
      <w:pPr>
        <w:rPr>
          <w:szCs w:val="22"/>
          <w:lang w:val="en-GB"/>
        </w:rPr>
      </w:pPr>
    </w:p>
    <w:p w14:paraId="7C3313EC" w14:textId="77777777" w:rsidR="008F369D" w:rsidRPr="004E4652" w:rsidRDefault="00016F29" w:rsidP="008F369D">
      <w:pPr>
        <w:keepNext/>
        <w:keepLines/>
        <w:rPr>
          <w:i/>
          <w:szCs w:val="22"/>
          <w:lang w:val="en-GB"/>
        </w:rPr>
      </w:pPr>
      <w:r w:rsidRPr="004E4652">
        <w:rPr>
          <w:i/>
          <w:szCs w:val="22"/>
          <w:lang w:val="en-GB"/>
        </w:rPr>
        <w:t>Laboratory abnormalities</w:t>
      </w:r>
    </w:p>
    <w:p w14:paraId="7C3313ED" w14:textId="77777777" w:rsidR="008F369D" w:rsidRPr="006E2A17" w:rsidRDefault="00016F29" w:rsidP="008F369D">
      <w:pPr>
        <w:rPr>
          <w:color w:val="000000"/>
          <w:szCs w:val="22"/>
          <w:lang w:val="en-GB"/>
        </w:rPr>
      </w:pPr>
      <w:r w:rsidRPr="006E2A17">
        <w:rPr>
          <w:color w:val="000000"/>
          <w:szCs w:val="22"/>
          <w:lang w:val="en-GB"/>
        </w:rPr>
        <w:t xml:space="preserve">Hypogammaglobulinaemia (IgG or IgM below the lower limit of normal) has been observed in RA patients treated with MabThera. There was no increased rate in overall infections or serious infections after the development of low IgG or IgM (see section 4.4). </w:t>
      </w:r>
    </w:p>
    <w:p w14:paraId="7C3313EE" w14:textId="77777777" w:rsidR="008F369D" w:rsidRPr="00F332AF" w:rsidRDefault="008F369D" w:rsidP="008F369D">
      <w:pPr>
        <w:rPr>
          <w:lang w:val="en-GB"/>
        </w:rPr>
      </w:pPr>
    </w:p>
    <w:p w14:paraId="7C3313EF" w14:textId="77777777" w:rsidR="008F369D" w:rsidRPr="005B5A38" w:rsidRDefault="00016F29" w:rsidP="008F369D">
      <w:pPr>
        <w:rPr>
          <w:lang w:val="en-GB"/>
        </w:rPr>
      </w:pPr>
      <w:r w:rsidRPr="005B5A38">
        <w:rPr>
          <w:iCs/>
          <w:lang w:val="en-GB"/>
        </w:rPr>
        <w:t xml:space="preserve">A small number of spontaneous and literature cases of </w:t>
      </w:r>
      <w:r w:rsidRPr="005B5A38">
        <w:rPr>
          <w:lang w:val="en-GB"/>
        </w:rPr>
        <w:t>hypogammaglobulinaemia have been observed in paediatric patients treated with MabThera, in some cases severe and requiring long</w:t>
      </w:r>
      <w:r w:rsidR="000A6DDA" w:rsidRPr="005B5A38">
        <w:rPr>
          <w:lang w:val="en-GB"/>
        </w:rPr>
        <w:noBreakHyphen/>
      </w:r>
      <w:r w:rsidRPr="005B5A38">
        <w:rPr>
          <w:lang w:val="en-GB"/>
        </w:rPr>
        <w:t>term immunoglobulin substitution therapy. The consequences of long</w:t>
      </w:r>
      <w:r w:rsidR="00E66C3F">
        <w:rPr>
          <w:lang w:val="en-GB"/>
        </w:rPr>
        <w:t>-</w:t>
      </w:r>
      <w:r w:rsidRPr="005B5A38">
        <w:rPr>
          <w:lang w:val="en-GB"/>
        </w:rPr>
        <w:t>term B cell depletion in paediatric patients are unknown.</w:t>
      </w:r>
    </w:p>
    <w:p w14:paraId="7C3313F0" w14:textId="77777777" w:rsidR="008F369D" w:rsidRPr="00F332AF" w:rsidRDefault="008F369D" w:rsidP="008F369D">
      <w:pPr>
        <w:rPr>
          <w:szCs w:val="22"/>
          <w:lang w:val="en-GB"/>
        </w:rPr>
      </w:pPr>
    </w:p>
    <w:p w14:paraId="7C3313F1" w14:textId="77777777" w:rsidR="008F369D" w:rsidRPr="00091F42" w:rsidRDefault="00016F29" w:rsidP="008F369D">
      <w:pPr>
        <w:keepNext/>
        <w:keepLines/>
        <w:rPr>
          <w:szCs w:val="22"/>
          <w:u w:val="single"/>
          <w:lang w:val="en-GB"/>
        </w:rPr>
      </w:pPr>
      <w:r w:rsidRPr="00091F42">
        <w:rPr>
          <w:szCs w:val="22"/>
          <w:u w:val="single"/>
          <w:lang w:val="en-GB"/>
        </w:rPr>
        <w:t xml:space="preserve">Experience from </w:t>
      </w:r>
      <w:r>
        <w:rPr>
          <w:szCs w:val="22"/>
          <w:u w:val="single"/>
          <w:lang w:val="en-GB"/>
        </w:rPr>
        <w:t>g</w:t>
      </w:r>
      <w:r w:rsidRPr="00091F42">
        <w:rPr>
          <w:szCs w:val="22"/>
          <w:u w:val="single"/>
          <w:lang w:val="en-GB"/>
        </w:rPr>
        <w:t xml:space="preserve">ranulomatosis with polyangiitis </w:t>
      </w:r>
      <w:r w:rsidR="00296933">
        <w:rPr>
          <w:szCs w:val="22"/>
          <w:u w:val="single"/>
          <w:lang w:val="en-GB"/>
        </w:rPr>
        <w:t xml:space="preserve">(GPA) </w:t>
      </w:r>
      <w:r w:rsidRPr="00091F42">
        <w:rPr>
          <w:szCs w:val="22"/>
          <w:u w:val="single"/>
          <w:lang w:val="en-GB"/>
        </w:rPr>
        <w:t xml:space="preserve">and </w:t>
      </w:r>
      <w:r>
        <w:rPr>
          <w:szCs w:val="22"/>
          <w:u w:val="single"/>
          <w:lang w:val="en-GB"/>
        </w:rPr>
        <w:t>m</w:t>
      </w:r>
      <w:r w:rsidRPr="00091F42">
        <w:rPr>
          <w:szCs w:val="22"/>
          <w:u w:val="single"/>
          <w:lang w:val="en-GB"/>
        </w:rPr>
        <w:t>icroscopic polyangiitis</w:t>
      </w:r>
      <w:r w:rsidR="00296933">
        <w:rPr>
          <w:szCs w:val="22"/>
          <w:u w:val="single"/>
          <w:lang w:val="en-GB"/>
        </w:rPr>
        <w:t xml:space="preserve"> (MPA)</w:t>
      </w:r>
    </w:p>
    <w:p w14:paraId="7C3313F2" w14:textId="77777777" w:rsidR="008F369D" w:rsidRPr="00F332AF" w:rsidRDefault="008F369D" w:rsidP="008F369D">
      <w:pPr>
        <w:keepNext/>
        <w:keepLines/>
        <w:rPr>
          <w:szCs w:val="22"/>
          <w:lang w:val="en-GB"/>
        </w:rPr>
      </w:pPr>
    </w:p>
    <w:p w14:paraId="7C3313F3" w14:textId="77777777" w:rsidR="008919AB" w:rsidRPr="003041F0" w:rsidRDefault="00016F29" w:rsidP="008F369D">
      <w:pPr>
        <w:outlineLvl w:val="0"/>
        <w:rPr>
          <w:rFonts w:eastAsia="Calibri"/>
          <w:i/>
          <w:szCs w:val="22"/>
          <w:lang w:val="en-GB" w:eastAsia="en-US"/>
        </w:rPr>
      </w:pPr>
      <w:r>
        <w:rPr>
          <w:rFonts w:eastAsia="Calibri"/>
          <w:i/>
          <w:szCs w:val="22"/>
          <w:lang w:val="en-GB" w:eastAsia="en-US"/>
        </w:rPr>
        <w:t>Adult i</w:t>
      </w:r>
      <w:r w:rsidRPr="003041F0">
        <w:rPr>
          <w:rFonts w:eastAsia="Calibri"/>
          <w:i/>
          <w:szCs w:val="22"/>
          <w:lang w:val="en-GB" w:eastAsia="en-US"/>
        </w:rPr>
        <w:t>nduction of remis</w:t>
      </w:r>
      <w:r w:rsidR="00BC5C47">
        <w:rPr>
          <w:rFonts w:eastAsia="Calibri"/>
          <w:i/>
          <w:szCs w:val="22"/>
          <w:lang w:val="en-GB" w:eastAsia="en-US"/>
        </w:rPr>
        <w:t>s</w:t>
      </w:r>
      <w:r w:rsidRPr="003041F0">
        <w:rPr>
          <w:rFonts w:eastAsia="Calibri"/>
          <w:i/>
          <w:szCs w:val="22"/>
          <w:lang w:val="en-GB" w:eastAsia="en-US"/>
        </w:rPr>
        <w:t>ion</w:t>
      </w:r>
      <w:r w:rsidR="00F95D68">
        <w:rPr>
          <w:rFonts w:eastAsia="Calibri"/>
          <w:i/>
          <w:szCs w:val="22"/>
          <w:lang w:val="en-GB" w:eastAsia="en-US"/>
        </w:rPr>
        <w:t xml:space="preserve"> </w:t>
      </w:r>
      <w:r w:rsidR="00D61019">
        <w:rPr>
          <w:rFonts w:eastAsia="Calibri"/>
          <w:i/>
          <w:szCs w:val="22"/>
          <w:lang w:val="en-GB" w:eastAsia="en-US"/>
        </w:rPr>
        <w:t xml:space="preserve">(GPA/MPA Study 1) </w:t>
      </w:r>
    </w:p>
    <w:p w14:paraId="7C3313F4" w14:textId="77777777" w:rsidR="008F369D" w:rsidRDefault="00016F29" w:rsidP="008F369D">
      <w:pPr>
        <w:outlineLvl w:val="0"/>
        <w:rPr>
          <w:rFonts w:eastAsia="Calibri"/>
          <w:i/>
          <w:szCs w:val="22"/>
          <w:lang w:val="en-GB" w:eastAsia="en-US"/>
        </w:rPr>
      </w:pPr>
      <w:r>
        <w:rPr>
          <w:rFonts w:eastAsia="Calibri"/>
          <w:szCs w:val="22"/>
          <w:lang w:val="en-GB" w:eastAsia="en-US"/>
        </w:rPr>
        <w:t>In GPA/MPA Study 1, 99</w:t>
      </w:r>
      <w:r w:rsidRPr="006E2A17">
        <w:rPr>
          <w:rFonts w:eastAsia="Calibri"/>
          <w:szCs w:val="22"/>
          <w:lang w:val="en-GB" w:eastAsia="en-US"/>
        </w:rPr>
        <w:t xml:space="preserve"> </w:t>
      </w:r>
      <w:r w:rsidR="00296933">
        <w:rPr>
          <w:rFonts w:eastAsia="Calibri"/>
          <w:szCs w:val="22"/>
          <w:lang w:val="en-GB" w:eastAsia="en-US"/>
        </w:rPr>
        <w:t xml:space="preserve">adult </w:t>
      </w:r>
      <w:r w:rsidRPr="006E2A17">
        <w:rPr>
          <w:rFonts w:eastAsia="Calibri"/>
          <w:szCs w:val="22"/>
          <w:lang w:val="en-GB" w:eastAsia="en-US"/>
        </w:rPr>
        <w:t xml:space="preserve">patients were treated </w:t>
      </w:r>
      <w:r w:rsidR="008919AB">
        <w:rPr>
          <w:rFonts w:eastAsia="Calibri"/>
          <w:szCs w:val="22"/>
          <w:lang w:val="en-GB" w:eastAsia="en-US"/>
        </w:rPr>
        <w:t xml:space="preserve">for induction of remission of </w:t>
      </w:r>
      <w:r w:rsidR="005D3814">
        <w:rPr>
          <w:rFonts w:eastAsia="Calibri"/>
          <w:szCs w:val="22"/>
          <w:lang w:val="en-GB" w:eastAsia="en-US"/>
        </w:rPr>
        <w:t xml:space="preserve">GPA and MPA </w:t>
      </w:r>
      <w:r w:rsidRPr="006E2A17">
        <w:rPr>
          <w:rFonts w:eastAsia="Calibri"/>
          <w:szCs w:val="22"/>
          <w:lang w:val="en-GB" w:eastAsia="en-US"/>
        </w:rPr>
        <w:t>with MabThera (375</w:t>
      </w:r>
      <w:r w:rsidR="00AB35E5">
        <w:rPr>
          <w:rFonts w:eastAsia="Calibri"/>
          <w:szCs w:val="22"/>
          <w:lang w:val="en-GB" w:eastAsia="en-US"/>
        </w:rPr>
        <w:t> </w:t>
      </w:r>
      <w:r w:rsidRPr="006E2A17">
        <w:rPr>
          <w:rFonts w:eastAsia="Calibri"/>
          <w:szCs w:val="22"/>
          <w:lang w:val="en-GB" w:eastAsia="en-US"/>
        </w:rPr>
        <w:t>mg/m</w:t>
      </w:r>
      <w:r w:rsidRPr="006E2A17">
        <w:rPr>
          <w:rFonts w:eastAsia="Calibri"/>
          <w:szCs w:val="22"/>
          <w:vertAlign w:val="superscript"/>
          <w:lang w:val="en-GB" w:eastAsia="en-US"/>
        </w:rPr>
        <w:t>2</w:t>
      </w:r>
      <w:r w:rsidRPr="006E2A17">
        <w:rPr>
          <w:rFonts w:eastAsia="Calibri"/>
          <w:szCs w:val="22"/>
          <w:lang w:val="en-GB" w:eastAsia="en-US"/>
        </w:rPr>
        <w:t>, once weekly for 4 weeks) and glucocorticoids (</w:t>
      </w:r>
      <w:r w:rsidRPr="008919AB">
        <w:rPr>
          <w:rFonts w:eastAsia="Calibri"/>
          <w:szCs w:val="22"/>
          <w:lang w:val="en-GB" w:eastAsia="en-US"/>
        </w:rPr>
        <w:t>see section 5.1</w:t>
      </w:r>
      <w:r w:rsidRPr="006E2A17">
        <w:rPr>
          <w:rFonts w:eastAsia="Calibri"/>
          <w:i/>
          <w:szCs w:val="22"/>
          <w:lang w:val="en-GB" w:eastAsia="en-US"/>
        </w:rPr>
        <w:t>).</w:t>
      </w:r>
    </w:p>
    <w:p w14:paraId="7C3313F5" w14:textId="77777777" w:rsidR="008F369D" w:rsidRDefault="008F369D" w:rsidP="006522A3">
      <w:pPr>
        <w:rPr>
          <w:rFonts w:eastAsia="Calibri"/>
          <w:lang w:val="en-GB" w:eastAsia="en-US"/>
        </w:rPr>
      </w:pPr>
    </w:p>
    <w:p w14:paraId="7C3313F6" w14:textId="77777777" w:rsidR="008F369D" w:rsidRPr="00F638AF" w:rsidRDefault="00016F29" w:rsidP="008F369D">
      <w:pPr>
        <w:rPr>
          <w:rFonts w:eastAsia="Calibri"/>
          <w:szCs w:val="22"/>
          <w:lang w:val="en-GB" w:eastAsia="en-US"/>
        </w:rPr>
      </w:pPr>
      <w:r w:rsidRPr="00F638AF">
        <w:rPr>
          <w:rFonts w:eastAsia="Calibri"/>
          <w:szCs w:val="22"/>
          <w:lang w:val="en-GB" w:eastAsia="en-US"/>
        </w:rPr>
        <w:t xml:space="preserve">The ADRs listed in Table </w:t>
      </w:r>
      <w:r w:rsidR="007266CA" w:rsidRPr="00F638AF">
        <w:rPr>
          <w:rFonts w:eastAsia="Calibri"/>
          <w:szCs w:val="22"/>
          <w:lang w:val="en-GB" w:eastAsia="en-US"/>
        </w:rPr>
        <w:t xml:space="preserve">5 </w:t>
      </w:r>
      <w:r w:rsidRPr="00F638AF">
        <w:rPr>
          <w:rFonts w:eastAsia="Calibri"/>
          <w:szCs w:val="22"/>
          <w:lang w:val="en-GB" w:eastAsia="en-US"/>
        </w:rPr>
        <w:t xml:space="preserve">were all adverse events which occurred at an incidence of </w:t>
      </w:r>
      <w:r w:rsidRPr="00F638AF">
        <w:rPr>
          <w:rFonts w:eastAsia="Calibri"/>
          <w:i/>
          <w:szCs w:val="22"/>
          <w:lang w:val="en-GB" w:eastAsia="en-US"/>
        </w:rPr>
        <w:t>≥</w:t>
      </w:r>
      <w:r w:rsidRPr="00F638AF">
        <w:rPr>
          <w:rFonts w:eastAsia="Calibri"/>
          <w:szCs w:val="22"/>
          <w:lang w:val="en-GB" w:eastAsia="en-US"/>
        </w:rPr>
        <w:t xml:space="preserve"> 5% in the MabThera group</w:t>
      </w:r>
      <w:r w:rsidR="005D3814" w:rsidRPr="00F638AF">
        <w:rPr>
          <w:rFonts w:eastAsia="Calibri"/>
          <w:szCs w:val="22"/>
          <w:lang w:val="en-GB" w:eastAsia="en-US"/>
        </w:rPr>
        <w:t xml:space="preserve"> and at a higher frequency than the comparator group</w:t>
      </w:r>
      <w:r w:rsidRPr="00F638AF">
        <w:rPr>
          <w:rFonts w:eastAsia="Calibri"/>
          <w:szCs w:val="22"/>
          <w:lang w:val="en-GB" w:eastAsia="en-US"/>
        </w:rPr>
        <w:t>.</w:t>
      </w:r>
    </w:p>
    <w:p w14:paraId="7C3313F7" w14:textId="77777777" w:rsidR="008F369D" w:rsidRPr="00F638AF" w:rsidRDefault="008F369D" w:rsidP="008F369D">
      <w:pPr>
        <w:rPr>
          <w:rFonts w:eastAsia="Calibri"/>
          <w:szCs w:val="22"/>
          <w:lang w:val="en-GB" w:eastAsia="en-US"/>
        </w:rPr>
      </w:pPr>
    </w:p>
    <w:p w14:paraId="7C3313F8" w14:textId="77777777" w:rsidR="008F369D" w:rsidRPr="006E2A17" w:rsidRDefault="00016F29" w:rsidP="008F369D">
      <w:pPr>
        <w:keepNext/>
        <w:keepLines/>
        <w:ind w:left="1077" w:hanging="1077"/>
        <w:rPr>
          <w:rFonts w:eastAsia="Calibri"/>
          <w:b/>
          <w:bCs/>
          <w:szCs w:val="22"/>
          <w:lang w:val="en-GB" w:eastAsia="en-US"/>
        </w:rPr>
      </w:pPr>
      <w:r w:rsidRPr="00F638AF">
        <w:rPr>
          <w:rFonts w:eastAsia="Calibri"/>
          <w:b/>
          <w:bCs/>
          <w:szCs w:val="22"/>
          <w:lang w:val="en-GB" w:eastAsia="en-US"/>
        </w:rPr>
        <w:t xml:space="preserve">Table </w:t>
      </w:r>
      <w:r w:rsidR="007266CA" w:rsidRPr="00F638AF">
        <w:rPr>
          <w:rFonts w:eastAsia="Calibri"/>
          <w:b/>
          <w:bCs/>
          <w:szCs w:val="22"/>
          <w:lang w:val="en-GB" w:eastAsia="en-US"/>
        </w:rPr>
        <w:t>5</w:t>
      </w:r>
      <w:r w:rsidRPr="00F638AF">
        <w:rPr>
          <w:b/>
          <w:szCs w:val="22"/>
          <w:lang w:val="en-GB"/>
        </w:rPr>
        <w:tab/>
      </w:r>
      <w:r w:rsidR="009953F0" w:rsidRPr="00F638AF">
        <w:rPr>
          <w:rFonts w:eastAsia="Calibri"/>
          <w:b/>
          <w:bCs/>
          <w:szCs w:val="22"/>
          <w:lang w:val="en-GB" w:eastAsia="en-US"/>
        </w:rPr>
        <w:t>Adverse r</w:t>
      </w:r>
      <w:r w:rsidRPr="00F638AF">
        <w:rPr>
          <w:rFonts w:eastAsia="Calibri"/>
          <w:b/>
          <w:bCs/>
          <w:szCs w:val="22"/>
          <w:lang w:val="en-GB" w:eastAsia="en-US"/>
        </w:rPr>
        <w:t>eactions occurring at 6</w:t>
      </w:r>
      <w:r w:rsidR="000A6DDA" w:rsidRPr="00F638AF">
        <w:rPr>
          <w:rFonts w:eastAsia="Calibri"/>
          <w:b/>
          <w:bCs/>
          <w:szCs w:val="22"/>
          <w:lang w:val="en-GB" w:eastAsia="en-US"/>
        </w:rPr>
        <w:noBreakHyphen/>
      </w:r>
      <w:r w:rsidRPr="00F638AF">
        <w:rPr>
          <w:rFonts w:eastAsia="Calibri"/>
          <w:b/>
          <w:bCs/>
          <w:szCs w:val="22"/>
          <w:lang w:val="en-GB" w:eastAsia="en-US"/>
        </w:rPr>
        <w:t xml:space="preserve">months in ≥ 5% of </w:t>
      </w:r>
      <w:r w:rsidR="00296933" w:rsidRPr="00F638AF">
        <w:rPr>
          <w:rFonts w:eastAsia="Calibri"/>
          <w:b/>
          <w:bCs/>
          <w:szCs w:val="22"/>
          <w:lang w:val="en-GB" w:eastAsia="en-US"/>
        </w:rPr>
        <w:t xml:space="preserve">adult </w:t>
      </w:r>
      <w:r w:rsidRPr="00F638AF">
        <w:rPr>
          <w:rFonts w:eastAsia="Calibri"/>
          <w:b/>
          <w:bCs/>
          <w:szCs w:val="22"/>
          <w:lang w:val="en-GB" w:eastAsia="en-US"/>
        </w:rPr>
        <w:t>patients receiving MabThera</w:t>
      </w:r>
      <w:r w:rsidR="00D83CED">
        <w:rPr>
          <w:rFonts w:eastAsia="Calibri"/>
          <w:b/>
          <w:bCs/>
          <w:szCs w:val="22"/>
          <w:lang w:val="en-GB" w:eastAsia="en-US"/>
        </w:rPr>
        <w:t xml:space="preserve"> </w:t>
      </w:r>
      <w:r w:rsidR="006C009C" w:rsidRPr="00811833">
        <w:rPr>
          <w:rFonts w:eastAsia="Calibri"/>
          <w:b/>
          <w:bCs/>
          <w:szCs w:val="22"/>
          <w:lang w:val="en-GB" w:eastAsia="en-US"/>
        </w:rPr>
        <w:t>in GPA/MPA Study 1</w:t>
      </w:r>
      <w:r w:rsidRPr="006E2A17">
        <w:rPr>
          <w:rFonts w:eastAsia="Calibri"/>
          <w:b/>
          <w:bCs/>
          <w:szCs w:val="22"/>
          <w:lang w:val="en-GB" w:eastAsia="en-US"/>
        </w:rPr>
        <w:t>, and at a higher frequency than the comparator group</w:t>
      </w:r>
      <w:r w:rsidR="005B7FA0">
        <w:rPr>
          <w:rFonts w:eastAsia="Calibri"/>
          <w:b/>
          <w:bCs/>
          <w:szCs w:val="22"/>
          <w:lang w:val="en-GB" w:eastAsia="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0"/>
        <w:gridCol w:w="3180"/>
      </w:tblGrid>
      <w:tr w:rsidR="003A788B" w14:paraId="7C3313FD" w14:textId="77777777" w:rsidTr="00E06A78">
        <w:trPr>
          <w:tblHeader/>
        </w:trPr>
        <w:tc>
          <w:tcPr>
            <w:tcW w:w="4470" w:type="dxa"/>
            <w:tcBorders>
              <w:top w:val="single" w:sz="4" w:space="0" w:color="auto"/>
              <w:left w:val="single" w:sz="4" w:space="0" w:color="auto"/>
              <w:bottom w:val="single" w:sz="4" w:space="0" w:color="auto"/>
              <w:right w:val="single" w:sz="4" w:space="0" w:color="auto"/>
            </w:tcBorders>
          </w:tcPr>
          <w:p w14:paraId="7C3313F9" w14:textId="77777777" w:rsidR="008F369D" w:rsidRPr="00091F42" w:rsidRDefault="00016F29" w:rsidP="008919D7">
            <w:pPr>
              <w:keepNext/>
              <w:keepLines/>
              <w:rPr>
                <w:rFonts w:eastAsia="Calibri"/>
                <w:b/>
                <w:szCs w:val="22"/>
                <w:lang w:val="en-GB" w:eastAsia="en-US"/>
              </w:rPr>
            </w:pPr>
            <w:r w:rsidRPr="00811833">
              <w:rPr>
                <w:rFonts w:eastAsia="Calibri"/>
                <w:b/>
                <w:szCs w:val="22"/>
                <w:lang w:val="en-GB" w:eastAsia="en-US"/>
              </w:rPr>
              <w:t>MedDRA</w:t>
            </w:r>
            <w:r w:rsidR="0039717E" w:rsidRPr="00811833">
              <w:rPr>
                <w:rFonts w:eastAsia="Calibri"/>
                <w:b/>
                <w:szCs w:val="22"/>
                <w:lang w:val="en-GB" w:eastAsia="en-US"/>
              </w:rPr>
              <w:t xml:space="preserve"> </w:t>
            </w:r>
            <w:r w:rsidR="009E5B23" w:rsidRPr="00811833">
              <w:rPr>
                <w:rFonts w:eastAsia="Calibri"/>
                <w:b/>
                <w:szCs w:val="22"/>
                <w:lang w:val="en-GB" w:eastAsia="en-US"/>
              </w:rPr>
              <w:t>S</w:t>
            </w:r>
            <w:r w:rsidR="007830E0" w:rsidRPr="00811833">
              <w:rPr>
                <w:rFonts w:eastAsia="Calibri"/>
                <w:b/>
                <w:szCs w:val="22"/>
                <w:lang w:val="en-GB" w:eastAsia="en-US"/>
              </w:rPr>
              <w:t>ystem</w:t>
            </w:r>
            <w:r w:rsidR="009E5B23" w:rsidRPr="00811833">
              <w:rPr>
                <w:rFonts w:eastAsia="Calibri"/>
                <w:b/>
                <w:szCs w:val="22"/>
                <w:lang w:val="en-GB" w:eastAsia="en-US"/>
              </w:rPr>
              <w:t xml:space="preserve"> organ class</w:t>
            </w:r>
          </w:p>
          <w:p w14:paraId="7C3313FA" w14:textId="77777777" w:rsidR="008F369D" w:rsidRPr="00091F42" w:rsidRDefault="00016F29" w:rsidP="008919D7">
            <w:pPr>
              <w:keepNext/>
              <w:keepLines/>
              <w:ind w:left="720"/>
              <w:rPr>
                <w:rFonts w:eastAsia="Calibri"/>
                <w:b/>
                <w:szCs w:val="22"/>
                <w:lang w:val="en-GB" w:eastAsia="en-US"/>
              </w:rPr>
            </w:pPr>
            <w:r w:rsidRPr="00091F42">
              <w:rPr>
                <w:rFonts w:eastAsia="Calibri"/>
                <w:b/>
                <w:szCs w:val="22"/>
                <w:lang w:val="en-GB" w:eastAsia="en-US"/>
              </w:rPr>
              <w:t xml:space="preserve">Adverse </w:t>
            </w:r>
            <w:r w:rsidR="009E5B23" w:rsidRPr="00811833">
              <w:rPr>
                <w:rFonts w:eastAsia="Calibri"/>
                <w:b/>
                <w:szCs w:val="22"/>
                <w:lang w:val="en-GB" w:eastAsia="en-US"/>
              </w:rPr>
              <w:t>reaction</w:t>
            </w:r>
          </w:p>
        </w:tc>
        <w:tc>
          <w:tcPr>
            <w:tcW w:w="3180" w:type="dxa"/>
            <w:tcBorders>
              <w:top w:val="single" w:sz="4" w:space="0" w:color="auto"/>
              <w:left w:val="single" w:sz="4" w:space="0" w:color="auto"/>
              <w:bottom w:val="single" w:sz="4" w:space="0" w:color="auto"/>
              <w:right w:val="single" w:sz="4" w:space="0" w:color="auto"/>
            </w:tcBorders>
          </w:tcPr>
          <w:p w14:paraId="7C3313FB" w14:textId="77777777" w:rsidR="008F369D" w:rsidRPr="00091F42" w:rsidRDefault="00016F29" w:rsidP="008919D7">
            <w:pPr>
              <w:keepNext/>
              <w:keepLines/>
              <w:jc w:val="center"/>
              <w:rPr>
                <w:rFonts w:eastAsia="Calibri"/>
                <w:b/>
                <w:szCs w:val="22"/>
                <w:lang w:val="en-GB" w:eastAsia="en-US"/>
              </w:rPr>
            </w:pPr>
            <w:r w:rsidRPr="00091F42">
              <w:rPr>
                <w:rFonts w:eastAsia="Calibri"/>
                <w:b/>
                <w:szCs w:val="22"/>
                <w:lang w:val="en-GB" w:eastAsia="en-US"/>
              </w:rPr>
              <w:t>Rituximab</w:t>
            </w:r>
          </w:p>
          <w:p w14:paraId="7C3313FC" w14:textId="77777777" w:rsidR="008F369D" w:rsidRPr="00091F42" w:rsidRDefault="00016F29" w:rsidP="008919D7">
            <w:pPr>
              <w:keepNext/>
              <w:keepLines/>
              <w:jc w:val="center"/>
              <w:rPr>
                <w:rFonts w:eastAsia="Calibri"/>
                <w:b/>
                <w:szCs w:val="22"/>
                <w:lang w:val="en-GB" w:eastAsia="en-US"/>
              </w:rPr>
            </w:pPr>
            <w:r w:rsidRPr="00091F42">
              <w:rPr>
                <w:rFonts w:eastAsia="Calibri"/>
                <w:b/>
                <w:szCs w:val="22"/>
                <w:lang w:val="en-GB" w:eastAsia="en-US"/>
              </w:rPr>
              <w:t>(n=99)</w:t>
            </w:r>
          </w:p>
        </w:tc>
      </w:tr>
      <w:tr w:rsidR="003A788B" w14:paraId="7C3313FF" w14:textId="77777777" w:rsidTr="00E06A78">
        <w:trPr>
          <w:trHeight w:val="283"/>
        </w:trPr>
        <w:tc>
          <w:tcPr>
            <w:tcW w:w="7650" w:type="dxa"/>
            <w:gridSpan w:val="2"/>
            <w:tcBorders>
              <w:top w:val="single" w:sz="4" w:space="0" w:color="auto"/>
              <w:left w:val="single" w:sz="4" w:space="0" w:color="auto"/>
              <w:bottom w:val="single" w:sz="4" w:space="0" w:color="auto"/>
              <w:right w:val="single" w:sz="4" w:space="0" w:color="auto"/>
            </w:tcBorders>
          </w:tcPr>
          <w:p w14:paraId="7C3313FE" w14:textId="77777777" w:rsidR="00B27E7B" w:rsidRPr="00811833" w:rsidRDefault="00016F29" w:rsidP="00B27E7B">
            <w:pPr>
              <w:keepNext/>
              <w:keepLines/>
              <w:rPr>
                <w:rFonts w:eastAsia="Calibri"/>
                <w:szCs w:val="22"/>
                <w:lang w:val="en-GB" w:eastAsia="en-US"/>
              </w:rPr>
            </w:pPr>
            <w:r w:rsidRPr="00811833">
              <w:rPr>
                <w:rFonts w:eastAsia="Calibri"/>
                <w:b/>
                <w:szCs w:val="22"/>
                <w:lang w:val="en-GB" w:eastAsia="en-US"/>
              </w:rPr>
              <w:t>Infections and infestations</w:t>
            </w:r>
          </w:p>
        </w:tc>
      </w:tr>
      <w:tr w:rsidR="003A788B" w14:paraId="7C331402" w14:textId="77777777" w:rsidTr="00E06A78">
        <w:trPr>
          <w:trHeight w:val="283"/>
        </w:trPr>
        <w:tc>
          <w:tcPr>
            <w:tcW w:w="4470" w:type="dxa"/>
            <w:tcBorders>
              <w:top w:val="single" w:sz="4" w:space="0" w:color="auto"/>
              <w:left w:val="single" w:sz="4" w:space="0" w:color="auto"/>
              <w:bottom w:val="single" w:sz="4" w:space="0" w:color="auto"/>
              <w:right w:val="single" w:sz="4" w:space="0" w:color="auto"/>
            </w:tcBorders>
          </w:tcPr>
          <w:p w14:paraId="7C331400" w14:textId="77777777" w:rsidR="00B27E7B" w:rsidRPr="00811833" w:rsidRDefault="00016F29" w:rsidP="00B27E7B">
            <w:pPr>
              <w:keepNext/>
              <w:keepLines/>
              <w:ind w:left="720"/>
              <w:rPr>
                <w:rFonts w:eastAsia="Calibri"/>
                <w:szCs w:val="22"/>
                <w:lang w:val="en-GB" w:eastAsia="en-US"/>
              </w:rPr>
            </w:pPr>
            <w:r w:rsidRPr="00811833">
              <w:rPr>
                <w:rFonts w:eastAsia="Calibri"/>
                <w:szCs w:val="22"/>
                <w:lang w:val="en-GB" w:eastAsia="en-US"/>
              </w:rPr>
              <w:t>Urinary tract infection</w:t>
            </w:r>
          </w:p>
        </w:tc>
        <w:tc>
          <w:tcPr>
            <w:tcW w:w="3180" w:type="dxa"/>
            <w:tcBorders>
              <w:top w:val="single" w:sz="4" w:space="0" w:color="auto"/>
              <w:left w:val="single" w:sz="4" w:space="0" w:color="auto"/>
              <w:bottom w:val="single" w:sz="4" w:space="0" w:color="auto"/>
              <w:right w:val="single" w:sz="4" w:space="0" w:color="auto"/>
            </w:tcBorders>
          </w:tcPr>
          <w:p w14:paraId="7C331401" w14:textId="77777777" w:rsidR="00B27E7B" w:rsidRPr="00811833" w:rsidRDefault="00016F29" w:rsidP="00B27E7B">
            <w:pPr>
              <w:jc w:val="center"/>
              <w:rPr>
                <w:rFonts w:eastAsia="Calibri"/>
                <w:szCs w:val="22"/>
                <w:lang w:val="en-GB" w:eastAsia="en-US"/>
              </w:rPr>
            </w:pPr>
            <w:r w:rsidRPr="00811833">
              <w:rPr>
                <w:rFonts w:eastAsia="Calibri"/>
                <w:szCs w:val="22"/>
                <w:lang w:val="en-GB" w:eastAsia="en-US"/>
              </w:rPr>
              <w:t>7%</w:t>
            </w:r>
          </w:p>
        </w:tc>
      </w:tr>
      <w:tr w:rsidR="003A788B" w14:paraId="7C331405" w14:textId="77777777" w:rsidTr="00E06A78">
        <w:trPr>
          <w:trHeight w:val="283"/>
        </w:trPr>
        <w:tc>
          <w:tcPr>
            <w:tcW w:w="4470" w:type="dxa"/>
            <w:tcBorders>
              <w:top w:val="single" w:sz="4" w:space="0" w:color="auto"/>
              <w:left w:val="single" w:sz="4" w:space="0" w:color="auto"/>
              <w:bottom w:val="single" w:sz="4" w:space="0" w:color="auto"/>
              <w:right w:val="single" w:sz="4" w:space="0" w:color="auto"/>
            </w:tcBorders>
          </w:tcPr>
          <w:p w14:paraId="7C331403" w14:textId="77777777" w:rsidR="00B27E7B" w:rsidRPr="00811833" w:rsidRDefault="00016F29" w:rsidP="00B27E7B">
            <w:pPr>
              <w:keepNext/>
              <w:keepLines/>
              <w:ind w:left="720"/>
              <w:rPr>
                <w:rFonts w:eastAsia="Calibri"/>
                <w:szCs w:val="22"/>
                <w:lang w:val="en-GB" w:eastAsia="en-US"/>
              </w:rPr>
            </w:pPr>
            <w:r w:rsidRPr="00811833">
              <w:rPr>
                <w:rFonts w:eastAsia="Calibri"/>
                <w:szCs w:val="22"/>
                <w:lang w:val="en-GB" w:eastAsia="en-US"/>
              </w:rPr>
              <w:t>Bronchitis</w:t>
            </w:r>
          </w:p>
        </w:tc>
        <w:tc>
          <w:tcPr>
            <w:tcW w:w="3180" w:type="dxa"/>
            <w:tcBorders>
              <w:top w:val="single" w:sz="4" w:space="0" w:color="auto"/>
              <w:left w:val="single" w:sz="4" w:space="0" w:color="auto"/>
              <w:bottom w:val="single" w:sz="4" w:space="0" w:color="auto"/>
              <w:right w:val="single" w:sz="4" w:space="0" w:color="auto"/>
            </w:tcBorders>
          </w:tcPr>
          <w:p w14:paraId="7C331404" w14:textId="77777777" w:rsidR="00B27E7B" w:rsidRPr="00811833" w:rsidRDefault="00016F29" w:rsidP="00B27E7B">
            <w:pPr>
              <w:jc w:val="center"/>
              <w:rPr>
                <w:rFonts w:eastAsia="Calibri"/>
                <w:szCs w:val="22"/>
                <w:lang w:val="en-GB" w:eastAsia="en-US"/>
              </w:rPr>
            </w:pPr>
            <w:r w:rsidRPr="00811833">
              <w:rPr>
                <w:rFonts w:eastAsia="Calibri"/>
                <w:szCs w:val="22"/>
                <w:lang w:val="en-GB" w:eastAsia="en-US"/>
              </w:rPr>
              <w:t>5%</w:t>
            </w:r>
          </w:p>
        </w:tc>
      </w:tr>
      <w:tr w:rsidR="003A788B" w14:paraId="7C331408" w14:textId="77777777" w:rsidTr="00E06A78">
        <w:trPr>
          <w:trHeight w:val="283"/>
        </w:trPr>
        <w:tc>
          <w:tcPr>
            <w:tcW w:w="4470" w:type="dxa"/>
            <w:tcBorders>
              <w:top w:val="single" w:sz="4" w:space="0" w:color="auto"/>
              <w:left w:val="single" w:sz="4" w:space="0" w:color="auto"/>
              <w:bottom w:val="single" w:sz="4" w:space="0" w:color="auto"/>
              <w:right w:val="single" w:sz="4" w:space="0" w:color="auto"/>
            </w:tcBorders>
          </w:tcPr>
          <w:p w14:paraId="7C331406" w14:textId="77777777" w:rsidR="00B27E7B" w:rsidRPr="00811833" w:rsidRDefault="00016F29" w:rsidP="00B27E7B">
            <w:pPr>
              <w:ind w:left="720"/>
              <w:rPr>
                <w:rFonts w:eastAsia="Calibri"/>
                <w:szCs w:val="22"/>
                <w:lang w:val="en-GB" w:eastAsia="en-US"/>
              </w:rPr>
            </w:pPr>
            <w:r w:rsidRPr="00811833">
              <w:rPr>
                <w:rFonts w:eastAsia="Calibri"/>
                <w:szCs w:val="22"/>
                <w:lang w:val="en-GB" w:eastAsia="en-US"/>
              </w:rPr>
              <w:t>Herpes zoster</w:t>
            </w:r>
          </w:p>
        </w:tc>
        <w:tc>
          <w:tcPr>
            <w:tcW w:w="3180" w:type="dxa"/>
            <w:tcBorders>
              <w:top w:val="single" w:sz="4" w:space="0" w:color="auto"/>
              <w:left w:val="single" w:sz="4" w:space="0" w:color="auto"/>
              <w:bottom w:val="single" w:sz="4" w:space="0" w:color="auto"/>
              <w:right w:val="single" w:sz="4" w:space="0" w:color="auto"/>
            </w:tcBorders>
          </w:tcPr>
          <w:p w14:paraId="7C331407" w14:textId="77777777" w:rsidR="00B27E7B" w:rsidRPr="00811833" w:rsidRDefault="00016F29" w:rsidP="00B27E7B">
            <w:pPr>
              <w:jc w:val="center"/>
              <w:rPr>
                <w:rFonts w:eastAsia="Calibri"/>
                <w:szCs w:val="22"/>
                <w:lang w:val="en-GB" w:eastAsia="en-US"/>
              </w:rPr>
            </w:pPr>
            <w:r w:rsidRPr="00811833">
              <w:rPr>
                <w:rFonts w:eastAsia="Calibri"/>
                <w:szCs w:val="22"/>
                <w:lang w:val="en-GB" w:eastAsia="en-US"/>
              </w:rPr>
              <w:t>5%</w:t>
            </w:r>
          </w:p>
        </w:tc>
      </w:tr>
      <w:tr w:rsidR="003A788B" w14:paraId="7C33140B" w14:textId="77777777" w:rsidTr="00E06A78">
        <w:trPr>
          <w:trHeight w:val="283"/>
        </w:trPr>
        <w:tc>
          <w:tcPr>
            <w:tcW w:w="4470" w:type="dxa"/>
            <w:tcBorders>
              <w:top w:val="single" w:sz="4" w:space="0" w:color="auto"/>
              <w:left w:val="single" w:sz="4" w:space="0" w:color="auto"/>
              <w:bottom w:val="single" w:sz="4" w:space="0" w:color="auto"/>
              <w:right w:val="single" w:sz="4" w:space="0" w:color="auto"/>
            </w:tcBorders>
          </w:tcPr>
          <w:p w14:paraId="7C331409" w14:textId="77777777" w:rsidR="00B27E7B" w:rsidRPr="00811833" w:rsidRDefault="00016F29" w:rsidP="00B27E7B">
            <w:pPr>
              <w:ind w:left="720"/>
              <w:rPr>
                <w:rFonts w:eastAsia="Calibri"/>
                <w:szCs w:val="22"/>
                <w:lang w:val="en-GB" w:eastAsia="en-US"/>
              </w:rPr>
            </w:pPr>
            <w:r w:rsidRPr="00811833">
              <w:rPr>
                <w:rFonts w:eastAsia="Calibri"/>
                <w:szCs w:val="22"/>
                <w:lang w:val="en-GB" w:eastAsia="en-US"/>
              </w:rPr>
              <w:t>Nasopharyngitis</w:t>
            </w:r>
          </w:p>
        </w:tc>
        <w:tc>
          <w:tcPr>
            <w:tcW w:w="3180" w:type="dxa"/>
            <w:tcBorders>
              <w:top w:val="single" w:sz="4" w:space="0" w:color="auto"/>
              <w:left w:val="single" w:sz="4" w:space="0" w:color="auto"/>
              <w:bottom w:val="single" w:sz="4" w:space="0" w:color="auto"/>
              <w:right w:val="single" w:sz="4" w:space="0" w:color="auto"/>
            </w:tcBorders>
          </w:tcPr>
          <w:p w14:paraId="7C33140A" w14:textId="77777777" w:rsidR="00B27E7B" w:rsidRPr="00811833" w:rsidRDefault="00016F29" w:rsidP="00B27E7B">
            <w:pPr>
              <w:jc w:val="center"/>
              <w:rPr>
                <w:rFonts w:eastAsia="Calibri"/>
                <w:szCs w:val="22"/>
                <w:lang w:val="en-GB" w:eastAsia="en-US"/>
              </w:rPr>
            </w:pPr>
            <w:r w:rsidRPr="00811833">
              <w:rPr>
                <w:rFonts w:eastAsia="Calibri"/>
                <w:szCs w:val="22"/>
                <w:lang w:val="en-GB" w:eastAsia="en-US"/>
              </w:rPr>
              <w:t>5%</w:t>
            </w:r>
          </w:p>
        </w:tc>
      </w:tr>
      <w:tr w:rsidR="003A788B" w14:paraId="7C33140D" w14:textId="77777777" w:rsidTr="00E06A78">
        <w:tc>
          <w:tcPr>
            <w:tcW w:w="7650" w:type="dxa"/>
            <w:gridSpan w:val="2"/>
            <w:tcBorders>
              <w:top w:val="single" w:sz="4" w:space="0" w:color="auto"/>
              <w:left w:val="single" w:sz="4" w:space="0" w:color="auto"/>
              <w:bottom w:val="single" w:sz="4" w:space="0" w:color="auto"/>
              <w:right w:val="single" w:sz="4" w:space="0" w:color="auto"/>
            </w:tcBorders>
          </w:tcPr>
          <w:p w14:paraId="7C33140C" w14:textId="77777777" w:rsidR="00B27E7B" w:rsidRPr="00811833" w:rsidRDefault="00016F29" w:rsidP="00B27E7B">
            <w:pPr>
              <w:keepNext/>
              <w:keepLines/>
              <w:rPr>
                <w:rFonts w:eastAsia="Calibri"/>
                <w:szCs w:val="22"/>
                <w:lang w:val="en-GB" w:eastAsia="en-US"/>
              </w:rPr>
            </w:pPr>
            <w:r w:rsidRPr="00811833">
              <w:rPr>
                <w:rFonts w:eastAsia="Calibri"/>
                <w:b/>
                <w:szCs w:val="22"/>
                <w:lang w:val="en-GB" w:eastAsia="en-US"/>
              </w:rPr>
              <w:t>B</w:t>
            </w:r>
            <w:r w:rsidR="00807DC7">
              <w:rPr>
                <w:rFonts w:eastAsia="Calibri"/>
                <w:b/>
                <w:szCs w:val="22"/>
                <w:lang w:val="en-GB" w:eastAsia="en-US"/>
              </w:rPr>
              <w:t>l</w:t>
            </w:r>
            <w:r w:rsidRPr="00811833">
              <w:rPr>
                <w:rFonts w:eastAsia="Calibri"/>
                <w:b/>
                <w:szCs w:val="22"/>
                <w:lang w:val="en-GB" w:eastAsia="en-US"/>
              </w:rPr>
              <w:t>ood and lymphatic</w:t>
            </w:r>
            <w:r w:rsidRPr="00811833">
              <w:rPr>
                <w:rFonts w:eastAsia="Calibri"/>
                <w:b/>
                <w:szCs w:val="22"/>
                <w:lang w:val="en-GB" w:eastAsia="en-US"/>
              </w:rPr>
              <w:br/>
              <w:t xml:space="preserve"> system disorde</w:t>
            </w:r>
            <w:r w:rsidR="007E415C">
              <w:rPr>
                <w:rFonts w:eastAsia="Calibri"/>
                <w:b/>
                <w:szCs w:val="22"/>
                <w:lang w:val="en-GB" w:eastAsia="en-US"/>
              </w:rPr>
              <w:t>r</w:t>
            </w:r>
          </w:p>
        </w:tc>
      </w:tr>
      <w:tr w:rsidR="003A788B" w14:paraId="7C331410" w14:textId="77777777" w:rsidTr="00E06A78">
        <w:trPr>
          <w:trHeight w:val="283"/>
        </w:trPr>
        <w:tc>
          <w:tcPr>
            <w:tcW w:w="4470" w:type="dxa"/>
            <w:tcBorders>
              <w:top w:val="single" w:sz="4" w:space="0" w:color="auto"/>
              <w:left w:val="single" w:sz="4" w:space="0" w:color="auto"/>
              <w:bottom w:val="single" w:sz="4" w:space="0" w:color="auto"/>
              <w:right w:val="single" w:sz="4" w:space="0" w:color="auto"/>
            </w:tcBorders>
          </w:tcPr>
          <w:p w14:paraId="7C33140E" w14:textId="77777777" w:rsidR="00B27E7B" w:rsidRPr="00811833" w:rsidRDefault="00016F29" w:rsidP="00B27E7B">
            <w:pPr>
              <w:keepNext/>
              <w:keepLines/>
              <w:ind w:left="720"/>
              <w:rPr>
                <w:rFonts w:eastAsia="Calibri"/>
                <w:szCs w:val="22"/>
                <w:lang w:val="en-GB" w:eastAsia="en-US"/>
              </w:rPr>
            </w:pPr>
            <w:r w:rsidRPr="00811833">
              <w:rPr>
                <w:rFonts w:eastAsia="Calibri"/>
                <w:szCs w:val="22"/>
                <w:lang w:val="en-GB" w:eastAsia="en-US"/>
              </w:rPr>
              <w:t>Thrombocytopenia</w:t>
            </w:r>
          </w:p>
        </w:tc>
        <w:tc>
          <w:tcPr>
            <w:tcW w:w="3180" w:type="dxa"/>
            <w:tcBorders>
              <w:top w:val="single" w:sz="4" w:space="0" w:color="auto"/>
              <w:left w:val="single" w:sz="4" w:space="0" w:color="auto"/>
              <w:bottom w:val="single" w:sz="4" w:space="0" w:color="auto"/>
              <w:right w:val="single" w:sz="4" w:space="0" w:color="auto"/>
            </w:tcBorders>
          </w:tcPr>
          <w:p w14:paraId="7C33140F" w14:textId="77777777" w:rsidR="00B27E7B" w:rsidRPr="00811833" w:rsidRDefault="00016F29" w:rsidP="00B27E7B">
            <w:pPr>
              <w:keepNext/>
              <w:keepLines/>
              <w:jc w:val="center"/>
              <w:rPr>
                <w:rFonts w:eastAsia="Calibri"/>
                <w:szCs w:val="22"/>
                <w:lang w:val="en-GB" w:eastAsia="en-US"/>
              </w:rPr>
            </w:pPr>
            <w:r w:rsidRPr="00811833">
              <w:rPr>
                <w:rFonts w:eastAsia="Calibri"/>
                <w:szCs w:val="22"/>
                <w:lang w:val="en-GB" w:eastAsia="en-US"/>
              </w:rPr>
              <w:t>7%</w:t>
            </w:r>
          </w:p>
        </w:tc>
      </w:tr>
      <w:tr w:rsidR="003A788B" w14:paraId="7C331412" w14:textId="77777777" w:rsidTr="00E06A78">
        <w:trPr>
          <w:trHeight w:val="283"/>
        </w:trPr>
        <w:tc>
          <w:tcPr>
            <w:tcW w:w="7650" w:type="dxa"/>
            <w:gridSpan w:val="2"/>
            <w:tcBorders>
              <w:top w:val="single" w:sz="4" w:space="0" w:color="auto"/>
              <w:left w:val="single" w:sz="4" w:space="0" w:color="auto"/>
              <w:bottom w:val="single" w:sz="4" w:space="0" w:color="auto"/>
              <w:right w:val="single" w:sz="4" w:space="0" w:color="auto"/>
            </w:tcBorders>
          </w:tcPr>
          <w:p w14:paraId="7C331411" w14:textId="77777777" w:rsidR="00B27E7B" w:rsidRPr="00811833" w:rsidRDefault="00016F29" w:rsidP="00B27E7B">
            <w:pPr>
              <w:rPr>
                <w:rFonts w:eastAsia="Calibri"/>
                <w:szCs w:val="22"/>
                <w:lang w:val="en-GB" w:eastAsia="en-US"/>
              </w:rPr>
            </w:pPr>
            <w:r w:rsidRPr="00811833">
              <w:rPr>
                <w:rFonts w:eastAsia="Calibri"/>
                <w:b/>
                <w:szCs w:val="22"/>
                <w:lang w:val="en-GB" w:eastAsia="en-US"/>
              </w:rPr>
              <w:t>Immune system disorders</w:t>
            </w:r>
          </w:p>
        </w:tc>
      </w:tr>
      <w:tr w:rsidR="003A788B" w14:paraId="7C331415" w14:textId="77777777" w:rsidTr="00E06A78">
        <w:trPr>
          <w:trHeight w:val="283"/>
        </w:trPr>
        <w:tc>
          <w:tcPr>
            <w:tcW w:w="4470" w:type="dxa"/>
            <w:tcBorders>
              <w:top w:val="single" w:sz="4" w:space="0" w:color="auto"/>
              <w:left w:val="single" w:sz="4" w:space="0" w:color="auto"/>
              <w:bottom w:val="single" w:sz="4" w:space="0" w:color="auto"/>
              <w:right w:val="single" w:sz="4" w:space="0" w:color="auto"/>
            </w:tcBorders>
          </w:tcPr>
          <w:p w14:paraId="7C331413" w14:textId="77777777" w:rsidR="00B27E7B" w:rsidRPr="00811833" w:rsidRDefault="00016F29" w:rsidP="00B27E7B">
            <w:pPr>
              <w:ind w:left="720"/>
              <w:rPr>
                <w:rFonts w:eastAsia="Calibri"/>
                <w:szCs w:val="22"/>
                <w:lang w:val="en-GB" w:eastAsia="en-US"/>
              </w:rPr>
            </w:pPr>
            <w:r w:rsidRPr="00811833">
              <w:rPr>
                <w:rFonts w:eastAsia="Calibri"/>
                <w:szCs w:val="22"/>
                <w:lang w:val="en-GB" w:eastAsia="en-US"/>
              </w:rPr>
              <w:t>Cytokine release syndrome</w:t>
            </w:r>
          </w:p>
        </w:tc>
        <w:tc>
          <w:tcPr>
            <w:tcW w:w="3180" w:type="dxa"/>
            <w:tcBorders>
              <w:top w:val="single" w:sz="4" w:space="0" w:color="auto"/>
              <w:left w:val="single" w:sz="4" w:space="0" w:color="auto"/>
              <w:bottom w:val="single" w:sz="4" w:space="0" w:color="auto"/>
              <w:right w:val="single" w:sz="4" w:space="0" w:color="auto"/>
            </w:tcBorders>
          </w:tcPr>
          <w:p w14:paraId="7C331414" w14:textId="77777777" w:rsidR="00B27E7B" w:rsidRPr="00811833" w:rsidRDefault="00016F29" w:rsidP="00B27E7B">
            <w:pPr>
              <w:jc w:val="center"/>
              <w:rPr>
                <w:rFonts w:eastAsia="Calibri"/>
                <w:szCs w:val="22"/>
                <w:lang w:val="en-GB" w:eastAsia="en-US"/>
              </w:rPr>
            </w:pPr>
            <w:r w:rsidRPr="00811833">
              <w:rPr>
                <w:rFonts w:eastAsia="Calibri"/>
                <w:szCs w:val="22"/>
                <w:lang w:val="en-GB" w:eastAsia="en-US"/>
              </w:rPr>
              <w:t>5%</w:t>
            </w:r>
          </w:p>
        </w:tc>
      </w:tr>
      <w:tr w:rsidR="003A788B" w14:paraId="7C331417" w14:textId="77777777" w:rsidTr="00E06A78">
        <w:trPr>
          <w:trHeight w:val="283"/>
        </w:trPr>
        <w:tc>
          <w:tcPr>
            <w:tcW w:w="7650" w:type="dxa"/>
            <w:gridSpan w:val="2"/>
            <w:tcBorders>
              <w:top w:val="single" w:sz="4" w:space="0" w:color="auto"/>
              <w:left w:val="single" w:sz="4" w:space="0" w:color="auto"/>
              <w:bottom w:val="single" w:sz="4" w:space="0" w:color="auto"/>
              <w:right w:val="single" w:sz="4" w:space="0" w:color="auto"/>
            </w:tcBorders>
          </w:tcPr>
          <w:p w14:paraId="7C331416" w14:textId="77777777" w:rsidR="00B27E7B" w:rsidRPr="00811833" w:rsidRDefault="00016F29" w:rsidP="00B27E7B">
            <w:pPr>
              <w:rPr>
                <w:rFonts w:eastAsia="Calibri"/>
                <w:szCs w:val="22"/>
                <w:lang w:val="en-GB" w:eastAsia="en-US"/>
              </w:rPr>
            </w:pPr>
            <w:r w:rsidRPr="00811833">
              <w:rPr>
                <w:rFonts w:eastAsia="Calibri"/>
                <w:b/>
                <w:szCs w:val="22"/>
                <w:lang w:val="en-GB" w:eastAsia="en-US"/>
              </w:rPr>
              <w:t>Metabolism and nutrition disorders</w:t>
            </w:r>
          </w:p>
        </w:tc>
      </w:tr>
      <w:tr w:rsidR="003A788B" w14:paraId="7C33141A" w14:textId="77777777" w:rsidTr="00E06A78">
        <w:trPr>
          <w:trHeight w:val="283"/>
        </w:trPr>
        <w:tc>
          <w:tcPr>
            <w:tcW w:w="4470" w:type="dxa"/>
            <w:tcBorders>
              <w:top w:val="single" w:sz="4" w:space="0" w:color="auto"/>
              <w:left w:val="single" w:sz="4" w:space="0" w:color="auto"/>
              <w:bottom w:val="single" w:sz="4" w:space="0" w:color="auto"/>
              <w:right w:val="single" w:sz="4" w:space="0" w:color="auto"/>
            </w:tcBorders>
          </w:tcPr>
          <w:p w14:paraId="7C331418" w14:textId="77777777" w:rsidR="00B27E7B" w:rsidRPr="00811833" w:rsidRDefault="00016F29" w:rsidP="00B27E7B">
            <w:pPr>
              <w:ind w:left="720"/>
              <w:rPr>
                <w:rFonts w:eastAsia="Calibri"/>
                <w:szCs w:val="22"/>
                <w:lang w:val="en-GB" w:eastAsia="en-US"/>
              </w:rPr>
            </w:pPr>
            <w:r w:rsidRPr="00811833">
              <w:rPr>
                <w:rFonts w:eastAsia="Calibri"/>
                <w:szCs w:val="22"/>
                <w:lang w:val="en-GB" w:eastAsia="en-US"/>
              </w:rPr>
              <w:t>Hyperkalaemia</w:t>
            </w:r>
          </w:p>
        </w:tc>
        <w:tc>
          <w:tcPr>
            <w:tcW w:w="3180" w:type="dxa"/>
            <w:tcBorders>
              <w:top w:val="single" w:sz="4" w:space="0" w:color="auto"/>
              <w:left w:val="single" w:sz="4" w:space="0" w:color="auto"/>
              <w:bottom w:val="single" w:sz="4" w:space="0" w:color="auto"/>
              <w:right w:val="single" w:sz="4" w:space="0" w:color="auto"/>
            </w:tcBorders>
          </w:tcPr>
          <w:p w14:paraId="7C331419" w14:textId="77777777" w:rsidR="00B27E7B" w:rsidRPr="00811833" w:rsidRDefault="00016F29" w:rsidP="00B27E7B">
            <w:pPr>
              <w:jc w:val="center"/>
              <w:rPr>
                <w:rFonts w:eastAsia="Calibri"/>
                <w:szCs w:val="22"/>
                <w:lang w:val="en-GB" w:eastAsia="en-US"/>
              </w:rPr>
            </w:pPr>
            <w:r w:rsidRPr="00811833">
              <w:rPr>
                <w:rFonts w:eastAsia="Calibri"/>
                <w:szCs w:val="22"/>
                <w:lang w:val="en-GB" w:eastAsia="en-US"/>
              </w:rPr>
              <w:t>5%</w:t>
            </w:r>
          </w:p>
        </w:tc>
      </w:tr>
      <w:tr w:rsidR="003A788B" w14:paraId="7C33141C" w14:textId="77777777" w:rsidTr="00E06A78">
        <w:trPr>
          <w:trHeight w:val="283"/>
        </w:trPr>
        <w:tc>
          <w:tcPr>
            <w:tcW w:w="7650" w:type="dxa"/>
            <w:gridSpan w:val="2"/>
            <w:tcBorders>
              <w:top w:val="single" w:sz="4" w:space="0" w:color="auto"/>
              <w:left w:val="single" w:sz="4" w:space="0" w:color="auto"/>
              <w:bottom w:val="single" w:sz="4" w:space="0" w:color="auto"/>
              <w:right w:val="single" w:sz="4" w:space="0" w:color="auto"/>
            </w:tcBorders>
          </w:tcPr>
          <w:p w14:paraId="7C33141B" w14:textId="77777777" w:rsidR="00B27E7B" w:rsidRPr="00811833" w:rsidRDefault="00016F29" w:rsidP="00B27E7B">
            <w:pPr>
              <w:rPr>
                <w:rFonts w:eastAsia="Calibri"/>
                <w:szCs w:val="22"/>
                <w:lang w:val="en-GB" w:eastAsia="en-US"/>
              </w:rPr>
            </w:pPr>
            <w:r w:rsidRPr="00811833">
              <w:rPr>
                <w:rFonts w:eastAsia="Calibri"/>
                <w:b/>
                <w:szCs w:val="22"/>
                <w:lang w:val="en-GB" w:eastAsia="en-US"/>
              </w:rPr>
              <w:t>Psychiatric disorders</w:t>
            </w:r>
          </w:p>
        </w:tc>
      </w:tr>
      <w:tr w:rsidR="003A788B" w14:paraId="7C33141F" w14:textId="77777777" w:rsidTr="00E06A78">
        <w:trPr>
          <w:trHeight w:val="283"/>
        </w:trPr>
        <w:tc>
          <w:tcPr>
            <w:tcW w:w="4470" w:type="dxa"/>
            <w:tcBorders>
              <w:top w:val="single" w:sz="4" w:space="0" w:color="auto"/>
              <w:left w:val="single" w:sz="4" w:space="0" w:color="auto"/>
              <w:bottom w:val="single" w:sz="4" w:space="0" w:color="auto"/>
              <w:right w:val="single" w:sz="4" w:space="0" w:color="auto"/>
            </w:tcBorders>
          </w:tcPr>
          <w:p w14:paraId="7C33141D" w14:textId="77777777" w:rsidR="00B27E7B" w:rsidRPr="00811833" w:rsidRDefault="00016F29" w:rsidP="00B27E7B">
            <w:pPr>
              <w:ind w:left="720"/>
              <w:rPr>
                <w:rFonts w:eastAsia="Calibri"/>
                <w:szCs w:val="22"/>
                <w:lang w:val="en-GB" w:eastAsia="en-US"/>
              </w:rPr>
            </w:pPr>
            <w:r w:rsidRPr="00811833">
              <w:rPr>
                <w:rFonts w:eastAsia="Calibri"/>
                <w:szCs w:val="22"/>
                <w:lang w:val="en-GB" w:eastAsia="en-US"/>
              </w:rPr>
              <w:t>Insomnia</w:t>
            </w:r>
          </w:p>
        </w:tc>
        <w:tc>
          <w:tcPr>
            <w:tcW w:w="3180" w:type="dxa"/>
            <w:tcBorders>
              <w:top w:val="single" w:sz="4" w:space="0" w:color="auto"/>
              <w:left w:val="single" w:sz="4" w:space="0" w:color="auto"/>
              <w:bottom w:val="single" w:sz="4" w:space="0" w:color="auto"/>
              <w:right w:val="single" w:sz="4" w:space="0" w:color="auto"/>
            </w:tcBorders>
          </w:tcPr>
          <w:p w14:paraId="7C33141E" w14:textId="77777777" w:rsidR="00B27E7B" w:rsidRPr="00811833" w:rsidRDefault="00016F29" w:rsidP="00B27E7B">
            <w:pPr>
              <w:jc w:val="center"/>
              <w:rPr>
                <w:rFonts w:eastAsia="Calibri"/>
                <w:szCs w:val="22"/>
                <w:lang w:val="en-GB" w:eastAsia="en-US"/>
              </w:rPr>
            </w:pPr>
            <w:r w:rsidRPr="00811833">
              <w:rPr>
                <w:rFonts w:eastAsia="Calibri"/>
                <w:szCs w:val="22"/>
                <w:lang w:val="en-GB" w:eastAsia="en-US"/>
              </w:rPr>
              <w:t>14%</w:t>
            </w:r>
          </w:p>
        </w:tc>
      </w:tr>
      <w:tr w:rsidR="003A788B" w14:paraId="7C331421" w14:textId="77777777" w:rsidTr="00E06A78">
        <w:trPr>
          <w:trHeight w:val="283"/>
        </w:trPr>
        <w:tc>
          <w:tcPr>
            <w:tcW w:w="7650" w:type="dxa"/>
            <w:gridSpan w:val="2"/>
            <w:tcBorders>
              <w:top w:val="single" w:sz="4" w:space="0" w:color="auto"/>
              <w:left w:val="single" w:sz="4" w:space="0" w:color="auto"/>
              <w:bottom w:val="single" w:sz="4" w:space="0" w:color="auto"/>
              <w:right w:val="single" w:sz="4" w:space="0" w:color="auto"/>
            </w:tcBorders>
          </w:tcPr>
          <w:p w14:paraId="7C331420" w14:textId="77777777" w:rsidR="00B27E7B" w:rsidRPr="00811833" w:rsidRDefault="00016F29" w:rsidP="00E06A78">
            <w:pPr>
              <w:keepNext/>
              <w:keepLines/>
              <w:rPr>
                <w:rFonts w:eastAsia="Calibri"/>
                <w:szCs w:val="22"/>
                <w:lang w:val="en-GB" w:eastAsia="en-US"/>
              </w:rPr>
            </w:pPr>
            <w:r w:rsidRPr="00811833">
              <w:rPr>
                <w:rFonts w:eastAsia="Calibri"/>
                <w:b/>
                <w:szCs w:val="22"/>
                <w:lang w:val="en-GB" w:eastAsia="en-US"/>
              </w:rPr>
              <w:t>Nervous system disorders</w:t>
            </w:r>
          </w:p>
        </w:tc>
      </w:tr>
      <w:tr w:rsidR="003A788B" w14:paraId="7C331424" w14:textId="77777777" w:rsidTr="00E06A78">
        <w:trPr>
          <w:trHeight w:val="283"/>
        </w:trPr>
        <w:tc>
          <w:tcPr>
            <w:tcW w:w="4470" w:type="dxa"/>
            <w:tcBorders>
              <w:top w:val="single" w:sz="4" w:space="0" w:color="auto"/>
              <w:left w:val="single" w:sz="4" w:space="0" w:color="auto"/>
              <w:bottom w:val="single" w:sz="4" w:space="0" w:color="auto"/>
              <w:right w:val="single" w:sz="4" w:space="0" w:color="auto"/>
            </w:tcBorders>
          </w:tcPr>
          <w:p w14:paraId="7C331422" w14:textId="77777777" w:rsidR="00B27E7B" w:rsidRPr="00811833" w:rsidRDefault="00016F29" w:rsidP="00E06A78">
            <w:pPr>
              <w:keepNext/>
              <w:keepLines/>
              <w:ind w:left="720"/>
              <w:rPr>
                <w:rFonts w:eastAsia="Calibri"/>
                <w:szCs w:val="22"/>
                <w:lang w:val="en-GB" w:eastAsia="en-US"/>
              </w:rPr>
            </w:pPr>
            <w:r w:rsidRPr="00811833">
              <w:rPr>
                <w:rFonts w:eastAsia="Calibri"/>
                <w:szCs w:val="22"/>
                <w:lang w:val="en-GB" w:eastAsia="en-US"/>
              </w:rPr>
              <w:t>Dizziness</w:t>
            </w:r>
          </w:p>
        </w:tc>
        <w:tc>
          <w:tcPr>
            <w:tcW w:w="3180" w:type="dxa"/>
            <w:tcBorders>
              <w:top w:val="single" w:sz="4" w:space="0" w:color="auto"/>
              <w:left w:val="single" w:sz="4" w:space="0" w:color="auto"/>
              <w:bottom w:val="single" w:sz="4" w:space="0" w:color="auto"/>
              <w:right w:val="single" w:sz="4" w:space="0" w:color="auto"/>
            </w:tcBorders>
          </w:tcPr>
          <w:p w14:paraId="7C331423" w14:textId="77777777" w:rsidR="00B27E7B" w:rsidRPr="00811833" w:rsidRDefault="00016F29" w:rsidP="00E06A78">
            <w:pPr>
              <w:keepNext/>
              <w:keepLines/>
              <w:jc w:val="center"/>
              <w:rPr>
                <w:rFonts w:eastAsia="Calibri"/>
                <w:szCs w:val="22"/>
                <w:lang w:val="en-GB" w:eastAsia="en-US"/>
              </w:rPr>
            </w:pPr>
            <w:r w:rsidRPr="00811833">
              <w:rPr>
                <w:rFonts w:eastAsia="Calibri"/>
                <w:szCs w:val="22"/>
                <w:lang w:val="en-GB" w:eastAsia="en-US"/>
              </w:rPr>
              <w:t>10%</w:t>
            </w:r>
          </w:p>
        </w:tc>
      </w:tr>
      <w:tr w:rsidR="003A788B" w14:paraId="7C331427" w14:textId="77777777" w:rsidTr="00E06A78">
        <w:trPr>
          <w:trHeight w:val="283"/>
        </w:trPr>
        <w:tc>
          <w:tcPr>
            <w:tcW w:w="4470" w:type="dxa"/>
            <w:tcBorders>
              <w:top w:val="single" w:sz="4" w:space="0" w:color="auto"/>
              <w:left w:val="single" w:sz="4" w:space="0" w:color="auto"/>
              <w:bottom w:val="single" w:sz="4" w:space="0" w:color="auto"/>
              <w:right w:val="single" w:sz="4" w:space="0" w:color="auto"/>
            </w:tcBorders>
          </w:tcPr>
          <w:p w14:paraId="7C331425" w14:textId="77777777" w:rsidR="00B27E7B" w:rsidRPr="00811833" w:rsidRDefault="00016F29" w:rsidP="00B27E7B">
            <w:pPr>
              <w:ind w:left="720"/>
              <w:rPr>
                <w:rFonts w:eastAsia="Calibri"/>
                <w:szCs w:val="22"/>
                <w:lang w:val="en-GB" w:eastAsia="en-US"/>
              </w:rPr>
            </w:pPr>
            <w:r w:rsidRPr="00811833">
              <w:rPr>
                <w:rFonts w:eastAsia="Calibri"/>
                <w:szCs w:val="22"/>
                <w:lang w:val="en-GB" w:eastAsia="en-US"/>
              </w:rPr>
              <w:t>Tremor</w:t>
            </w:r>
          </w:p>
        </w:tc>
        <w:tc>
          <w:tcPr>
            <w:tcW w:w="3180" w:type="dxa"/>
            <w:tcBorders>
              <w:top w:val="single" w:sz="4" w:space="0" w:color="auto"/>
              <w:left w:val="single" w:sz="4" w:space="0" w:color="auto"/>
              <w:bottom w:val="single" w:sz="4" w:space="0" w:color="auto"/>
              <w:right w:val="single" w:sz="4" w:space="0" w:color="auto"/>
            </w:tcBorders>
          </w:tcPr>
          <w:p w14:paraId="7C331426" w14:textId="77777777" w:rsidR="00B27E7B" w:rsidRPr="00811833" w:rsidRDefault="00016F29" w:rsidP="00B27E7B">
            <w:pPr>
              <w:jc w:val="center"/>
              <w:rPr>
                <w:rFonts w:eastAsia="Calibri"/>
                <w:szCs w:val="22"/>
                <w:lang w:val="en-GB" w:eastAsia="en-US"/>
              </w:rPr>
            </w:pPr>
            <w:r w:rsidRPr="00811833">
              <w:rPr>
                <w:rFonts w:eastAsia="Calibri"/>
                <w:szCs w:val="22"/>
                <w:lang w:val="en-GB" w:eastAsia="en-US"/>
              </w:rPr>
              <w:t>10%</w:t>
            </w:r>
          </w:p>
        </w:tc>
      </w:tr>
      <w:tr w:rsidR="003A788B" w14:paraId="7C331429" w14:textId="77777777" w:rsidTr="00E06A78">
        <w:trPr>
          <w:trHeight w:val="283"/>
        </w:trPr>
        <w:tc>
          <w:tcPr>
            <w:tcW w:w="7650" w:type="dxa"/>
            <w:gridSpan w:val="2"/>
            <w:tcBorders>
              <w:top w:val="single" w:sz="4" w:space="0" w:color="auto"/>
              <w:left w:val="single" w:sz="4" w:space="0" w:color="auto"/>
              <w:bottom w:val="single" w:sz="4" w:space="0" w:color="auto"/>
              <w:right w:val="single" w:sz="4" w:space="0" w:color="auto"/>
            </w:tcBorders>
          </w:tcPr>
          <w:p w14:paraId="7C331428" w14:textId="77777777" w:rsidR="00B27E7B" w:rsidRPr="00811833" w:rsidRDefault="00016F29" w:rsidP="00B27E7B">
            <w:pPr>
              <w:keepNext/>
              <w:keepLines/>
              <w:rPr>
                <w:rFonts w:eastAsia="Calibri"/>
                <w:szCs w:val="22"/>
                <w:lang w:val="en-GB" w:eastAsia="en-US"/>
              </w:rPr>
            </w:pPr>
            <w:r w:rsidRPr="00811833">
              <w:rPr>
                <w:rFonts w:eastAsia="Calibri"/>
                <w:b/>
                <w:szCs w:val="22"/>
                <w:lang w:val="en-GB" w:eastAsia="en-US"/>
              </w:rPr>
              <w:t>Vascular disorders</w:t>
            </w:r>
          </w:p>
        </w:tc>
      </w:tr>
      <w:tr w:rsidR="003A788B" w14:paraId="7C33142C" w14:textId="77777777" w:rsidTr="00E06A78">
        <w:trPr>
          <w:trHeight w:val="283"/>
        </w:trPr>
        <w:tc>
          <w:tcPr>
            <w:tcW w:w="4470" w:type="dxa"/>
            <w:tcBorders>
              <w:top w:val="single" w:sz="4" w:space="0" w:color="auto"/>
              <w:left w:val="single" w:sz="4" w:space="0" w:color="auto"/>
              <w:bottom w:val="single" w:sz="4" w:space="0" w:color="auto"/>
              <w:right w:val="single" w:sz="4" w:space="0" w:color="auto"/>
            </w:tcBorders>
          </w:tcPr>
          <w:p w14:paraId="7C33142A" w14:textId="77777777" w:rsidR="00B27E7B" w:rsidRPr="00811833" w:rsidRDefault="00016F29" w:rsidP="00B27E7B">
            <w:pPr>
              <w:keepNext/>
              <w:keepLines/>
              <w:ind w:left="720"/>
              <w:rPr>
                <w:rFonts w:eastAsia="Calibri"/>
                <w:szCs w:val="22"/>
                <w:lang w:val="en-GB" w:eastAsia="en-US"/>
              </w:rPr>
            </w:pPr>
            <w:r w:rsidRPr="00811833">
              <w:rPr>
                <w:rFonts w:eastAsia="Calibri"/>
                <w:szCs w:val="22"/>
                <w:lang w:val="en-GB" w:eastAsia="en-US"/>
              </w:rPr>
              <w:t>Hypertension</w:t>
            </w:r>
          </w:p>
        </w:tc>
        <w:tc>
          <w:tcPr>
            <w:tcW w:w="3180" w:type="dxa"/>
            <w:tcBorders>
              <w:top w:val="single" w:sz="4" w:space="0" w:color="auto"/>
              <w:left w:val="single" w:sz="4" w:space="0" w:color="auto"/>
              <w:bottom w:val="single" w:sz="4" w:space="0" w:color="auto"/>
              <w:right w:val="single" w:sz="4" w:space="0" w:color="auto"/>
            </w:tcBorders>
          </w:tcPr>
          <w:p w14:paraId="7C33142B" w14:textId="77777777" w:rsidR="00B27E7B" w:rsidRPr="00811833" w:rsidRDefault="00016F29" w:rsidP="00B27E7B">
            <w:pPr>
              <w:keepNext/>
              <w:keepLines/>
              <w:jc w:val="center"/>
              <w:rPr>
                <w:rFonts w:eastAsia="Calibri"/>
                <w:szCs w:val="22"/>
                <w:lang w:val="en-GB" w:eastAsia="en-US"/>
              </w:rPr>
            </w:pPr>
            <w:r w:rsidRPr="00811833">
              <w:rPr>
                <w:rFonts w:eastAsia="Calibri"/>
                <w:szCs w:val="22"/>
                <w:lang w:val="en-GB" w:eastAsia="en-US"/>
              </w:rPr>
              <w:t>12%</w:t>
            </w:r>
          </w:p>
        </w:tc>
      </w:tr>
      <w:tr w:rsidR="003A788B" w14:paraId="7C33142F" w14:textId="77777777" w:rsidTr="00E06A78">
        <w:trPr>
          <w:trHeight w:val="283"/>
        </w:trPr>
        <w:tc>
          <w:tcPr>
            <w:tcW w:w="4470" w:type="dxa"/>
            <w:tcBorders>
              <w:top w:val="single" w:sz="4" w:space="0" w:color="auto"/>
              <w:left w:val="single" w:sz="4" w:space="0" w:color="auto"/>
              <w:bottom w:val="single" w:sz="4" w:space="0" w:color="auto"/>
              <w:right w:val="single" w:sz="4" w:space="0" w:color="auto"/>
            </w:tcBorders>
          </w:tcPr>
          <w:p w14:paraId="7C33142D" w14:textId="77777777" w:rsidR="00B27E7B" w:rsidRPr="00811833" w:rsidRDefault="00016F29" w:rsidP="00B27E7B">
            <w:pPr>
              <w:ind w:left="720"/>
              <w:rPr>
                <w:rFonts w:eastAsia="Calibri"/>
                <w:szCs w:val="22"/>
                <w:lang w:val="en-GB" w:eastAsia="en-US"/>
              </w:rPr>
            </w:pPr>
            <w:r w:rsidRPr="00811833">
              <w:rPr>
                <w:rFonts w:eastAsia="Calibri"/>
                <w:szCs w:val="22"/>
                <w:lang w:val="en-GB" w:eastAsia="en-US"/>
              </w:rPr>
              <w:t>Flushing</w:t>
            </w:r>
          </w:p>
        </w:tc>
        <w:tc>
          <w:tcPr>
            <w:tcW w:w="3180" w:type="dxa"/>
            <w:tcBorders>
              <w:top w:val="single" w:sz="4" w:space="0" w:color="auto"/>
              <w:left w:val="single" w:sz="4" w:space="0" w:color="auto"/>
              <w:bottom w:val="single" w:sz="4" w:space="0" w:color="auto"/>
              <w:right w:val="single" w:sz="4" w:space="0" w:color="auto"/>
            </w:tcBorders>
          </w:tcPr>
          <w:p w14:paraId="7C33142E" w14:textId="77777777" w:rsidR="00B27E7B" w:rsidRPr="00811833" w:rsidRDefault="00016F29" w:rsidP="00B27E7B">
            <w:pPr>
              <w:jc w:val="center"/>
              <w:rPr>
                <w:rFonts w:eastAsia="Calibri"/>
                <w:szCs w:val="22"/>
                <w:lang w:val="en-GB" w:eastAsia="en-US"/>
              </w:rPr>
            </w:pPr>
            <w:r w:rsidRPr="00811833">
              <w:rPr>
                <w:rFonts w:eastAsia="Calibri"/>
                <w:szCs w:val="22"/>
                <w:lang w:val="en-GB" w:eastAsia="en-US"/>
              </w:rPr>
              <w:t>5%</w:t>
            </w:r>
          </w:p>
        </w:tc>
      </w:tr>
      <w:tr w:rsidR="003A788B" w14:paraId="7C331431" w14:textId="77777777" w:rsidTr="00E06A78">
        <w:tc>
          <w:tcPr>
            <w:tcW w:w="7650" w:type="dxa"/>
            <w:gridSpan w:val="2"/>
            <w:tcBorders>
              <w:top w:val="single" w:sz="4" w:space="0" w:color="auto"/>
              <w:left w:val="single" w:sz="4" w:space="0" w:color="auto"/>
              <w:bottom w:val="single" w:sz="4" w:space="0" w:color="auto"/>
              <w:right w:val="single" w:sz="4" w:space="0" w:color="auto"/>
            </w:tcBorders>
          </w:tcPr>
          <w:p w14:paraId="7C331430" w14:textId="77777777" w:rsidR="00B27E7B" w:rsidRPr="00811833" w:rsidRDefault="00016F29" w:rsidP="00B27E7B">
            <w:pPr>
              <w:keepNext/>
              <w:keepLines/>
              <w:rPr>
                <w:rFonts w:eastAsia="Calibri"/>
                <w:szCs w:val="22"/>
                <w:lang w:val="en-GB" w:eastAsia="en-US"/>
              </w:rPr>
            </w:pPr>
            <w:r w:rsidRPr="00811833">
              <w:rPr>
                <w:rFonts w:eastAsia="Calibri"/>
                <w:b/>
                <w:szCs w:val="22"/>
                <w:lang w:val="en-GB" w:eastAsia="en-US"/>
              </w:rPr>
              <w:t xml:space="preserve">Respiratory, thoracic and </w:t>
            </w:r>
            <w:r w:rsidRPr="00811833">
              <w:rPr>
                <w:rFonts w:eastAsia="Calibri"/>
                <w:b/>
                <w:szCs w:val="22"/>
                <w:lang w:val="en-GB" w:eastAsia="en-US"/>
              </w:rPr>
              <w:br/>
              <w:t>mediastinal disorders</w:t>
            </w:r>
          </w:p>
        </w:tc>
      </w:tr>
      <w:tr w:rsidR="003A788B" w14:paraId="7C331434" w14:textId="77777777" w:rsidTr="00E06A78">
        <w:trPr>
          <w:trHeight w:val="283"/>
        </w:trPr>
        <w:tc>
          <w:tcPr>
            <w:tcW w:w="4470" w:type="dxa"/>
            <w:tcBorders>
              <w:top w:val="single" w:sz="4" w:space="0" w:color="auto"/>
              <w:left w:val="single" w:sz="4" w:space="0" w:color="auto"/>
              <w:bottom w:val="single" w:sz="4" w:space="0" w:color="auto"/>
              <w:right w:val="single" w:sz="4" w:space="0" w:color="auto"/>
            </w:tcBorders>
          </w:tcPr>
          <w:p w14:paraId="7C331432" w14:textId="77777777" w:rsidR="00B27E7B" w:rsidRPr="00811833" w:rsidRDefault="00016F29" w:rsidP="00B27E7B">
            <w:pPr>
              <w:ind w:left="720"/>
              <w:rPr>
                <w:rFonts w:eastAsia="Calibri"/>
                <w:szCs w:val="22"/>
                <w:lang w:val="en-GB" w:eastAsia="en-US"/>
              </w:rPr>
            </w:pPr>
            <w:r w:rsidRPr="00811833">
              <w:rPr>
                <w:rFonts w:eastAsia="Calibri"/>
                <w:szCs w:val="22"/>
                <w:lang w:val="en-GB" w:eastAsia="en-US"/>
              </w:rPr>
              <w:t>Cough</w:t>
            </w:r>
          </w:p>
        </w:tc>
        <w:tc>
          <w:tcPr>
            <w:tcW w:w="3180" w:type="dxa"/>
            <w:tcBorders>
              <w:top w:val="single" w:sz="4" w:space="0" w:color="auto"/>
              <w:left w:val="single" w:sz="4" w:space="0" w:color="auto"/>
              <w:bottom w:val="single" w:sz="4" w:space="0" w:color="auto"/>
              <w:right w:val="single" w:sz="4" w:space="0" w:color="auto"/>
            </w:tcBorders>
          </w:tcPr>
          <w:p w14:paraId="7C331433" w14:textId="77777777" w:rsidR="00B27E7B" w:rsidRPr="00811833" w:rsidRDefault="00016F29" w:rsidP="00B27E7B">
            <w:pPr>
              <w:jc w:val="center"/>
              <w:rPr>
                <w:rFonts w:eastAsia="Calibri"/>
                <w:szCs w:val="22"/>
                <w:lang w:val="en-GB" w:eastAsia="en-US"/>
              </w:rPr>
            </w:pPr>
            <w:r w:rsidRPr="00811833">
              <w:rPr>
                <w:rFonts w:eastAsia="Calibri"/>
                <w:szCs w:val="22"/>
                <w:lang w:val="en-GB" w:eastAsia="en-US"/>
              </w:rPr>
              <w:t>12%</w:t>
            </w:r>
          </w:p>
        </w:tc>
      </w:tr>
      <w:tr w:rsidR="003A788B" w14:paraId="7C331437" w14:textId="77777777" w:rsidTr="00E06A78">
        <w:trPr>
          <w:trHeight w:val="283"/>
        </w:trPr>
        <w:tc>
          <w:tcPr>
            <w:tcW w:w="4470" w:type="dxa"/>
            <w:tcBorders>
              <w:top w:val="single" w:sz="4" w:space="0" w:color="auto"/>
              <w:left w:val="single" w:sz="4" w:space="0" w:color="auto"/>
              <w:bottom w:val="single" w:sz="4" w:space="0" w:color="auto"/>
              <w:right w:val="single" w:sz="4" w:space="0" w:color="auto"/>
            </w:tcBorders>
          </w:tcPr>
          <w:p w14:paraId="7C331435" w14:textId="77777777" w:rsidR="00B27E7B" w:rsidRPr="00811833" w:rsidRDefault="00016F29" w:rsidP="00B27E7B">
            <w:pPr>
              <w:ind w:left="720"/>
              <w:rPr>
                <w:rFonts w:eastAsia="Calibri"/>
                <w:szCs w:val="22"/>
                <w:lang w:val="en-GB" w:eastAsia="en-US"/>
              </w:rPr>
            </w:pPr>
            <w:r w:rsidRPr="00811833">
              <w:rPr>
                <w:rFonts w:eastAsia="Calibri"/>
                <w:szCs w:val="22"/>
                <w:lang w:val="en-GB" w:eastAsia="en-US"/>
              </w:rPr>
              <w:t>Dyspnoea</w:t>
            </w:r>
          </w:p>
        </w:tc>
        <w:tc>
          <w:tcPr>
            <w:tcW w:w="3180" w:type="dxa"/>
            <w:tcBorders>
              <w:top w:val="single" w:sz="4" w:space="0" w:color="auto"/>
              <w:left w:val="single" w:sz="4" w:space="0" w:color="auto"/>
              <w:bottom w:val="single" w:sz="4" w:space="0" w:color="auto"/>
              <w:right w:val="single" w:sz="4" w:space="0" w:color="auto"/>
            </w:tcBorders>
          </w:tcPr>
          <w:p w14:paraId="7C331436" w14:textId="77777777" w:rsidR="00B27E7B" w:rsidRPr="00811833" w:rsidRDefault="00016F29" w:rsidP="00B27E7B">
            <w:pPr>
              <w:jc w:val="center"/>
              <w:rPr>
                <w:rFonts w:eastAsia="Calibri"/>
                <w:szCs w:val="22"/>
                <w:lang w:val="en-GB" w:eastAsia="en-US"/>
              </w:rPr>
            </w:pPr>
            <w:r w:rsidRPr="00811833">
              <w:rPr>
                <w:rFonts w:eastAsia="Calibri"/>
                <w:szCs w:val="22"/>
                <w:lang w:val="en-GB" w:eastAsia="en-US"/>
              </w:rPr>
              <w:t>11%</w:t>
            </w:r>
          </w:p>
        </w:tc>
      </w:tr>
      <w:tr w:rsidR="003A788B" w14:paraId="7C33143A" w14:textId="77777777" w:rsidTr="00E06A78">
        <w:trPr>
          <w:trHeight w:val="283"/>
        </w:trPr>
        <w:tc>
          <w:tcPr>
            <w:tcW w:w="4470" w:type="dxa"/>
            <w:tcBorders>
              <w:top w:val="single" w:sz="4" w:space="0" w:color="auto"/>
              <w:left w:val="single" w:sz="4" w:space="0" w:color="auto"/>
              <w:bottom w:val="single" w:sz="4" w:space="0" w:color="auto"/>
              <w:right w:val="single" w:sz="4" w:space="0" w:color="auto"/>
            </w:tcBorders>
          </w:tcPr>
          <w:p w14:paraId="7C331438" w14:textId="77777777" w:rsidR="00B27E7B" w:rsidRPr="00811833" w:rsidRDefault="00016F29" w:rsidP="00B27E7B">
            <w:pPr>
              <w:ind w:left="720"/>
              <w:rPr>
                <w:rFonts w:eastAsia="Calibri"/>
                <w:szCs w:val="22"/>
                <w:lang w:val="en-GB" w:eastAsia="en-US"/>
              </w:rPr>
            </w:pPr>
            <w:r w:rsidRPr="00811833">
              <w:rPr>
                <w:rFonts w:eastAsia="Calibri"/>
                <w:szCs w:val="22"/>
                <w:lang w:val="en-GB" w:eastAsia="en-US"/>
              </w:rPr>
              <w:t>Epistaxis</w:t>
            </w:r>
          </w:p>
        </w:tc>
        <w:tc>
          <w:tcPr>
            <w:tcW w:w="3180" w:type="dxa"/>
            <w:tcBorders>
              <w:top w:val="single" w:sz="4" w:space="0" w:color="auto"/>
              <w:left w:val="single" w:sz="4" w:space="0" w:color="auto"/>
              <w:bottom w:val="single" w:sz="4" w:space="0" w:color="auto"/>
              <w:right w:val="single" w:sz="4" w:space="0" w:color="auto"/>
            </w:tcBorders>
          </w:tcPr>
          <w:p w14:paraId="7C331439" w14:textId="77777777" w:rsidR="00B27E7B" w:rsidRPr="00811833" w:rsidRDefault="00016F29" w:rsidP="00B27E7B">
            <w:pPr>
              <w:jc w:val="center"/>
              <w:rPr>
                <w:rFonts w:eastAsia="Calibri"/>
                <w:szCs w:val="22"/>
                <w:lang w:val="en-GB" w:eastAsia="en-US"/>
              </w:rPr>
            </w:pPr>
            <w:r w:rsidRPr="00811833">
              <w:rPr>
                <w:rFonts w:eastAsia="Calibri"/>
                <w:szCs w:val="22"/>
                <w:lang w:val="en-GB" w:eastAsia="en-US"/>
              </w:rPr>
              <w:t>11%</w:t>
            </w:r>
          </w:p>
        </w:tc>
      </w:tr>
      <w:tr w:rsidR="003A788B" w14:paraId="7C33143D" w14:textId="77777777" w:rsidTr="00E06A78">
        <w:trPr>
          <w:trHeight w:val="283"/>
        </w:trPr>
        <w:tc>
          <w:tcPr>
            <w:tcW w:w="4470" w:type="dxa"/>
            <w:tcBorders>
              <w:top w:val="single" w:sz="4" w:space="0" w:color="auto"/>
              <w:left w:val="single" w:sz="4" w:space="0" w:color="auto"/>
              <w:bottom w:val="single" w:sz="4" w:space="0" w:color="auto"/>
              <w:right w:val="single" w:sz="4" w:space="0" w:color="auto"/>
            </w:tcBorders>
          </w:tcPr>
          <w:p w14:paraId="7C33143B" w14:textId="77777777" w:rsidR="00B27E7B" w:rsidRPr="00811833" w:rsidRDefault="00016F29" w:rsidP="00B27E7B">
            <w:pPr>
              <w:ind w:left="720"/>
              <w:rPr>
                <w:rFonts w:eastAsia="Calibri"/>
                <w:szCs w:val="22"/>
                <w:lang w:val="en-GB" w:eastAsia="en-US"/>
              </w:rPr>
            </w:pPr>
            <w:r w:rsidRPr="00811833">
              <w:rPr>
                <w:rFonts w:eastAsia="Calibri"/>
                <w:szCs w:val="22"/>
                <w:lang w:val="en-GB" w:eastAsia="en-US"/>
              </w:rPr>
              <w:t>Nasal congestion</w:t>
            </w:r>
          </w:p>
        </w:tc>
        <w:tc>
          <w:tcPr>
            <w:tcW w:w="3180" w:type="dxa"/>
            <w:tcBorders>
              <w:top w:val="single" w:sz="4" w:space="0" w:color="auto"/>
              <w:left w:val="single" w:sz="4" w:space="0" w:color="auto"/>
              <w:bottom w:val="single" w:sz="4" w:space="0" w:color="auto"/>
              <w:right w:val="single" w:sz="4" w:space="0" w:color="auto"/>
            </w:tcBorders>
          </w:tcPr>
          <w:p w14:paraId="7C33143C" w14:textId="77777777" w:rsidR="00B27E7B" w:rsidRPr="00811833" w:rsidRDefault="00016F29" w:rsidP="00B27E7B">
            <w:pPr>
              <w:jc w:val="center"/>
              <w:rPr>
                <w:rFonts w:eastAsia="Calibri"/>
                <w:szCs w:val="22"/>
                <w:lang w:val="en-GB" w:eastAsia="en-US"/>
              </w:rPr>
            </w:pPr>
            <w:r w:rsidRPr="00811833">
              <w:rPr>
                <w:rFonts w:eastAsia="Calibri"/>
                <w:szCs w:val="22"/>
                <w:lang w:val="en-GB" w:eastAsia="en-US"/>
              </w:rPr>
              <w:t>6%</w:t>
            </w:r>
          </w:p>
        </w:tc>
      </w:tr>
      <w:tr w:rsidR="003A788B" w14:paraId="7C33143F" w14:textId="77777777" w:rsidTr="00E06A78">
        <w:tc>
          <w:tcPr>
            <w:tcW w:w="7650" w:type="dxa"/>
            <w:gridSpan w:val="2"/>
            <w:tcBorders>
              <w:top w:val="single" w:sz="4" w:space="0" w:color="auto"/>
              <w:left w:val="single" w:sz="4" w:space="0" w:color="auto"/>
              <w:bottom w:val="single" w:sz="4" w:space="0" w:color="auto"/>
              <w:right w:val="single" w:sz="4" w:space="0" w:color="auto"/>
            </w:tcBorders>
          </w:tcPr>
          <w:p w14:paraId="7C33143E" w14:textId="77777777" w:rsidR="00B27E7B" w:rsidRPr="00811833" w:rsidRDefault="00016F29" w:rsidP="00B27E7B">
            <w:pPr>
              <w:keepNext/>
              <w:keepLines/>
              <w:rPr>
                <w:rFonts w:eastAsia="Calibri"/>
                <w:szCs w:val="22"/>
                <w:lang w:val="en-GB" w:eastAsia="en-US"/>
              </w:rPr>
            </w:pPr>
            <w:r w:rsidRPr="00811833">
              <w:rPr>
                <w:rFonts w:eastAsia="Calibri"/>
                <w:b/>
                <w:szCs w:val="22"/>
                <w:lang w:val="en-GB" w:eastAsia="en-US"/>
              </w:rPr>
              <w:t xml:space="preserve">Gastrointestinal </w:t>
            </w:r>
            <w:r w:rsidRPr="00811833">
              <w:rPr>
                <w:rFonts w:eastAsia="Calibri"/>
                <w:b/>
                <w:szCs w:val="22"/>
                <w:lang w:val="en-GB" w:eastAsia="en-US"/>
              </w:rPr>
              <w:br/>
              <w:t>disorders</w:t>
            </w:r>
          </w:p>
        </w:tc>
      </w:tr>
      <w:tr w:rsidR="003A788B" w14:paraId="7C331442" w14:textId="77777777" w:rsidTr="00E06A78">
        <w:trPr>
          <w:trHeight w:val="283"/>
        </w:trPr>
        <w:tc>
          <w:tcPr>
            <w:tcW w:w="4470" w:type="dxa"/>
            <w:tcBorders>
              <w:top w:val="single" w:sz="4" w:space="0" w:color="auto"/>
              <w:left w:val="single" w:sz="4" w:space="0" w:color="auto"/>
              <w:bottom w:val="single" w:sz="4" w:space="0" w:color="auto"/>
              <w:right w:val="single" w:sz="4" w:space="0" w:color="auto"/>
            </w:tcBorders>
          </w:tcPr>
          <w:p w14:paraId="7C331440" w14:textId="77777777" w:rsidR="00B27E7B" w:rsidRPr="00811833" w:rsidRDefault="00016F29" w:rsidP="00B27E7B">
            <w:pPr>
              <w:keepNext/>
              <w:keepLines/>
              <w:ind w:left="720"/>
              <w:rPr>
                <w:rFonts w:eastAsia="Calibri"/>
                <w:szCs w:val="22"/>
                <w:lang w:val="en-GB" w:eastAsia="en-US"/>
              </w:rPr>
            </w:pPr>
            <w:r w:rsidRPr="00811833">
              <w:rPr>
                <w:rFonts w:eastAsia="Calibri"/>
                <w:szCs w:val="22"/>
                <w:lang w:val="en-GB" w:eastAsia="en-US"/>
              </w:rPr>
              <w:t>Diarrhoea</w:t>
            </w:r>
          </w:p>
        </w:tc>
        <w:tc>
          <w:tcPr>
            <w:tcW w:w="3180" w:type="dxa"/>
            <w:tcBorders>
              <w:top w:val="single" w:sz="4" w:space="0" w:color="auto"/>
              <w:left w:val="single" w:sz="4" w:space="0" w:color="auto"/>
              <w:bottom w:val="single" w:sz="4" w:space="0" w:color="auto"/>
              <w:right w:val="single" w:sz="4" w:space="0" w:color="auto"/>
            </w:tcBorders>
          </w:tcPr>
          <w:p w14:paraId="7C331441" w14:textId="77777777" w:rsidR="00B27E7B" w:rsidRPr="00811833" w:rsidRDefault="00016F29" w:rsidP="00B27E7B">
            <w:pPr>
              <w:keepNext/>
              <w:keepLines/>
              <w:jc w:val="center"/>
              <w:rPr>
                <w:rFonts w:eastAsia="Calibri"/>
                <w:szCs w:val="22"/>
                <w:lang w:val="en-GB" w:eastAsia="en-US"/>
              </w:rPr>
            </w:pPr>
            <w:r w:rsidRPr="00811833">
              <w:rPr>
                <w:rFonts w:eastAsia="Calibri"/>
                <w:szCs w:val="22"/>
                <w:lang w:val="en-GB" w:eastAsia="en-US"/>
              </w:rPr>
              <w:t>18%</w:t>
            </w:r>
          </w:p>
        </w:tc>
      </w:tr>
      <w:tr w:rsidR="003A788B" w14:paraId="7C331445" w14:textId="77777777" w:rsidTr="00E06A78">
        <w:trPr>
          <w:trHeight w:val="283"/>
        </w:trPr>
        <w:tc>
          <w:tcPr>
            <w:tcW w:w="4470" w:type="dxa"/>
            <w:tcBorders>
              <w:top w:val="single" w:sz="4" w:space="0" w:color="auto"/>
              <w:left w:val="single" w:sz="4" w:space="0" w:color="auto"/>
              <w:bottom w:val="single" w:sz="4" w:space="0" w:color="auto"/>
              <w:right w:val="single" w:sz="4" w:space="0" w:color="auto"/>
            </w:tcBorders>
          </w:tcPr>
          <w:p w14:paraId="7C331443" w14:textId="77777777" w:rsidR="00B27E7B" w:rsidRPr="00811833" w:rsidRDefault="00016F29" w:rsidP="00B27E7B">
            <w:pPr>
              <w:ind w:left="720"/>
              <w:rPr>
                <w:rFonts w:eastAsia="Calibri"/>
                <w:szCs w:val="22"/>
                <w:lang w:val="en-GB" w:eastAsia="en-US"/>
              </w:rPr>
            </w:pPr>
            <w:r w:rsidRPr="00811833">
              <w:rPr>
                <w:rFonts w:eastAsia="Calibri"/>
                <w:szCs w:val="22"/>
                <w:lang w:val="en-GB" w:eastAsia="en-US"/>
              </w:rPr>
              <w:t>Dyspepsia</w:t>
            </w:r>
          </w:p>
        </w:tc>
        <w:tc>
          <w:tcPr>
            <w:tcW w:w="3180" w:type="dxa"/>
            <w:tcBorders>
              <w:top w:val="single" w:sz="4" w:space="0" w:color="auto"/>
              <w:left w:val="single" w:sz="4" w:space="0" w:color="auto"/>
              <w:bottom w:val="single" w:sz="4" w:space="0" w:color="auto"/>
              <w:right w:val="single" w:sz="4" w:space="0" w:color="auto"/>
            </w:tcBorders>
          </w:tcPr>
          <w:p w14:paraId="7C331444" w14:textId="77777777" w:rsidR="00B27E7B" w:rsidRPr="00811833" w:rsidRDefault="00016F29" w:rsidP="00B27E7B">
            <w:pPr>
              <w:jc w:val="center"/>
              <w:rPr>
                <w:rFonts w:eastAsia="Calibri"/>
                <w:szCs w:val="22"/>
                <w:lang w:val="en-GB" w:eastAsia="en-US"/>
              </w:rPr>
            </w:pPr>
            <w:r w:rsidRPr="00811833">
              <w:rPr>
                <w:rFonts w:eastAsia="Calibri"/>
                <w:szCs w:val="22"/>
                <w:lang w:val="en-GB" w:eastAsia="en-US"/>
              </w:rPr>
              <w:t>6%</w:t>
            </w:r>
          </w:p>
        </w:tc>
      </w:tr>
      <w:tr w:rsidR="003A788B" w14:paraId="7C331448" w14:textId="77777777" w:rsidTr="00E06A78">
        <w:trPr>
          <w:trHeight w:val="283"/>
        </w:trPr>
        <w:tc>
          <w:tcPr>
            <w:tcW w:w="4470" w:type="dxa"/>
            <w:tcBorders>
              <w:top w:val="single" w:sz="4" w:space="0" w:color="auto"/>
              <w:left w:val="single" w:sz="4" w:space="0" w:color="auto"/>
              <w:bottom w:val="single" w:sz="4" w:space="0" w:color="auto"/>
              <w:right w:val="single" w:sz="4" w:space="0" w:color="auto"/>
            </w:tcBorders>
          </w:tcPr>
          <w:p w14:paraId="7C331446" w14:textId="77777777" w:rsidR="00B27E7B" w:rsidRPr="00811833" w:rsidRDefault="00016F29" w:rsidP="00B27E7B">
            <w:pPr>
              <w:ind w:left="720"/>
              <w:rPr>
                <w:rFonts w:eastAsia="Calibri"/>
                <w:szCs w:val="22"/>
                <w:lang w:val="en-GB" w:eastAsia="en-US"/>
              </w:rPr>
            </w:pPr>
            <w:r w:rsidRPr="00811833">
              <w:rPr>
                <w:rFonts w:eastAsia="Calibri"/>
                <w:szCs w:val="22"/>
                <w:lang w:val="en-GB" w:eastAsia="en-US"/>
              </w:rPr>
              <w:t>Constipation</w:t>
            </w:r>
          </w:p>
        </w:tc>
        <w:tc>
          <w:tcPr>
            <w:tcW w:w="3180" w:type="dxa"/>
            <w:tcBorders>
              <w:top w:val="single" w:sz="4" w:space="0" w:color="auto"/>
              <w:left w:val="single" w:sz="4" w:space="0" w:color="auto"/>
              <w:bottom w:val="single" w:sz="4" w:space="0" w:color="auto"/>
              <w:right w:val="single" w:sz="4" w:space="0" w:color="auto"/>
            </w:tcBorders>
          </w:tcPr>
          <w:p w14:paraId="7C331447" w14:textId="77777777" w:rsidR="00B27E7B" w:rsidRPr="00811833" w:rsidRDefault="00016F29" w:rsidP="00B27E7B">
            <w:pPr>
              <w:jc w:val="center"/>
              <w:rPr>
                <w:rFonts w:eastAsia="Calibri"/>
                <w:szCs w:val="22"/>
                <w:lang w:val="en-GB" w:eastAsia="en-US"/>
              </w:rPr>
            </w:pPr>
            <w:r w:rsidRPr="00811833">
              <w:rPr>
                <w:rFonts w:eastAsia="Calibri"/>
                <w:szCs w:val="22"/>
                <w:lang w:val="en-GB" w:eastAsia="en-US"/>
              </w:rPr>
              <w:t>5%</w:t>
            </w:r>
          </w:p>
        </w:tc>
      </w:tr>
      <w:tr w:rsidR="003A788B" w14:paraId="7C33144A" w14:textId="77777777" w:rsidTr="00E06A78">
        <w:tc>
          <w:tcPr>
            <w:tcW w:w="7650" w:type="dxa"/>
            <w:gridSpan w:val="2"/>
            <w:tcBorders>
              <w:top w:val="single" w:sz="4" w:space="0" w:color="auto"/>
              <w:left w:val="single" w:sz="4" w:space="0" w:color="auto"/>
              <w:bottom w:val="single" w:sz="4" w:space="0" w:color="auto"/>
              <w:right w:val="single" w:sz="4" w:space="0" w:color="auto"/>
            </w:tcBorders>
          </w:tcPr>
          <w:p w14:paraId="7C331449" w14:textId="77777777" w:rsidR="00B27E7B" w:rsidRPr="00811833" w:rsidRDefault="00016F29" w:rsidP="00B27E7B">
            <w:pPr>
              <w:keepNext/>
              <w:keepLines/>
              <w:rPr>
                <w:rFonts w:eastAsia="Calibri"/>
                <w:szCs w:val="22"/>
                <w:lang w:val="en-GB" w:eastAsia="en-US"/>
              </w:rPr>
            </w:pPr>
            <w:r w:rsidRPr="00811833">
              <w:rPr>
                <w:rFonts w:eastAsia="Calibri"/>
                <w:b/>
                <w:szCs w:val="22"/>
                <w:lang w:val="en-GB" w:eastAsia="en-US"/>
              </w:rPr>
              <w:t xml:space="preserve">Skin and subcutaneous </w:t>
            </w:r>
            <w:r w:rsidRPr="00811833">
              <w:rPr>
                <w:rFonts w:eastAsia="Calibri"/>
                <w:b/>
                <w:szCs w:val="22"/>
                <w:lang w:val="en-GB" w:eastAsia="en-US"/>
              </w:rPr>
              <w:br/>
              <w:t>tissue disorders</w:t>
            </w:r>
          </w:p>
        </w:tc>
      </w:tr>
      <w:tr w:rsidR="003A788B" w14:paraId="7C33144D" w14:textId="77777777" w:rsidTr="00E06A78">
        <w:trPr>
          <w:trHeight w:val="283"/>
        </w:trPr>
        <w:tc>
          <w:tcPr>
            <w:tcW w:w="4470" w:type="dxa"/>
            <w:tcBorders>
              <w:top w:val="single" w:sz="4" w:space="0" w:color="auto"/>
              <w:left w:val="single" w:sz="4" w:space="0" w:color="auto"/>
              <w:bottom w:val="single" w:sz="4" w:space="0" w:color="auto"/>
              <w:right w:val="single" w:sz="4" w:space="0" w:color="auto"/>
            </w:tcBorders>
          </w:tcPr>
          <w:p w14:paraId="7C33144B" w14:textId="77777777" w:rsidR="00B27E7B" w:rsidRPr="00811833" w:rsidRDefault="00016F29" w:rsidP="00B27E7B">
            <w:pPr>
              <w:keepNext/>
              <w:keepLines/>
              <w:ind w:left="720"/>
              <w:rPr>
                <w:rFonts w:eastAsia="Calibri"/>
                <w:szCs w:val="22"/>
                <w:lang w:val="en-GB" w:eastAsia="en-US"/>
              </w:rPr>
            </w:pPr>
            <w:r w:rsidRPr="00811833">
              <w:rPr>
                <w:rFonts w:eastAsia="Calibri"/>
                <w:szCs w:val="22"/>
                <w:lang w:val="en-GB" w:eastAsia="en-US"/>
              </w:rPr>
              <w:t>Acne</w:t>
            </w:r>
          </w:p>
        </w:tc>
        <w:tc>
          <w:tcPr>
            <w:tcW w:w="3180" w:type="dxa"/>
            <w:tcBorders>
              <w:top w:val="single" w:sz="4" w:space="0" w:color="auto"/>
              <w:left w:val="single" w:sz="4" w:space="0" w:color="auto"/>
              <w:bottom w:val="single" w:sz="4" w:space="0" w:color="auto"/>
              <w:right w:val="single" w:sz="4" w:space="0" w:color="auto"/>
            </w:tcBorders>
          </w:tcPr>
          <w:p w14:paraId="7C33144C" w14:textId="77777777" w:rsidR="00B27E7B" w:rsidRPr="00811833" w:rsidRDefault="00016F29" w:rsidP="00B27E7B">
            <w:pPr>
              <w:keepNext/>
              <w:keepLines/>
              <w:jc w:val="center"/>
              <w:rPr>
                <w:rFonts w:eastAsia="Calibri"/>
                <w:szCs w:val="22"/>
                <w:lang w:val="en-GB" w:eastAsia="en-US"/>
              </w:rPr>
            </w:pPr>
            <w:r w:rsidRPr="00811833">
              <w:rPr>
                <w:rFonts w:eastAsia="Calibri"/>
                <w:szCs w:val="22"/>
                <w:lang w:val="en-GB" w:eastAsia="en-US"/>
              </w:rPr>
              <w:t>7%</w:t>
            </w:r>
          </w:p>
        </w:tc>
      </w:tr>
      <w:tr w:rsidR="003A788B" w14:paraId="7C33144F" w14:textId="77777777" w:rsidTr="00E06A78">
        <w:tc>
          <w:tcPr>
            <w:tcW w:w="7650" w:type="dxa"/>
            <w:gridSpan w:val="2"/>
            <w:tcBorders>
              <w:top w:val="single" w:sz="4" w:space="0" w:color="auto"/>
              <w:left w:val="single" w:sz="4" w:space="0" w:color="auto"/>
              <w:bottom w:val="single" w:sz="4" w:space="0" w:color="auto"/>
              <w:right w:val="single" w:sz="4" w:space="0" w:color="auto"/>
            </w:tcBorders>
          </w:tcPr>
          <w:p w14:paraId="7C33144E" w14:textId="77777777" w:rsidR="00B27E7B" w:rsidRPr="00811833" w:rsidRDefault="00016F29" w:rsidP="00B27E7B">
            <w:pPr>
              <w:keepNext/>
              <w:keepLines/>
              <w:rPr>
                <w:rFonts w:eastAsia="Calibri"/>
                <w:szCs w:val="22"/>
                <w:lang w:val="en-GB" w:eastAsia="en-US"/>
              </w:rPr>
            </w:pPr>
            <w:r w:rsidRPr="00811833">
              <w:rPr>
                <w:rFonts w:eastAsia="Calibri"/>
                <w:b/>
                <w:szCs w:val="22"/>
                <w:lang w:val="en-GB" w:eastAsia="en-US"/>
              </w:rPr>
              <w:t xml:space="preserve">Musculoskeletal and connective </w:t>
            </w:r>
            <w:r w:rsidRPr="00811833">
              <w:rPr>
                <w:rFonts w:eastAsia="Calibri"/>
                <w:b/>
                <w:szCs w:val="22"/>
                <w:lang w:val="en-GB" w:eastAsia="en-US"/>
              </w:rPr>
              <w:br/>
              <w:t>tissue disorders</w:t>
            </w:r>
          </w:p>
        </w:tc>
      </w:tr>
      <w:tr w:rsidR="003A788B" w14:paraId="7C331452" w14:textId="77777777" w:rsidTr="00E06A78">
        <w:trPr>
          <w:trHeight w:val="283"/>
        </w:trPr>
        <w:tc>
          <w:tcPr>
            <w:tcW w:w="4470" w:type="dxa"/>
            <w:tcBorders>
              <w:top w:val="single" w:sz="4" w:space="0" w:color="auto"/>
              <w:left w:val="single" w:sz="4" w:space="0" w:color="auto"/>
              <w:bottom w:val="single" w:sz="4" w:space="0" w:color="auto"/>
              <w:right w:val="single" w:sz="4" w:space="0" w:color="auto"/>
            </w:tcBorders>
          </w:tcPr>
          <w:p w14:paraId="7C331450" w14:textId="77777777" w:rsidR="00B27E7B" w:rsidRPr="00811833" w:rsidRDefault="00016F29" w:rsidP="00B27E7B">
            <w:pPr>
              <w:ind w:left="720"/>
              <w:rPr>
                <w:rFonts w:eastAsia="Calibri"/>
                <w:szCs w:val="22"/>
                <w:lang w:val="en-GB" w:eastAsia="en-US"/>
              </w:rPr>
            </w:pPr>
            <w:r w:rsidRPr="00811833">
              <w:rPr>
                <w:rFonts w:eastAsia="Calibri"/>
                <w:szCs w:val="22"/>
                <w:lang w:val="en-GB" w:eastAsia="en-US"/>
              </w:rPr>
              <w:t>Muscle spasms</w:t>
            </w:r>
          </w:p>
        </w:tc>
        <w:tc>
          <w:tcPr>
            <w:tcW w:w="3180" w:type="dxa"/>
            <w:tcBorders>
              <w:top w:val="single" w:sz="4" w:space="0" w:color="auto"/>
              <w:left w:val="single" w:sz="4" w:space="0" w:color="auto"/>
              <w:bottom w:val="single" w:sz="4" w:space="0" w:color="auto"/>
              <w:right w:val="single" w:sz="4" w:space="0" w:color="auto"/>
            </w:tcBorders>
          </w:tcPr>
          <w:p w14:paraId="7C331451" w14:textId="77777777" w:rsidR="00B27E7B" w:rsidRPr="00811833" w:rsidRDefault="00016F29" w:rsidP="00B27E7B">
            <w:pPr>
              <w:jc w:val="center"/>
              <w:rPr>
                <w:rFonts w:eastAsia="Calibri"/>
                <w:szCs w:val="22"/>
                <w:lang w:val="en-GB" w:eastAsia="en-US"/>
              </w:rPr>
            </w:pPr>
            <w:r w:rsidRPr="00811833">
              <w:rPr>
                <w:rFonts w:eastAsia="Calibri"/>
                <w:szCs w:val="22"/>
                <w:lang w:val="en-GB" w:eastAsia="en-US"/>
              </w:rPr>
              <w:t>18%</w:t>
            </w:r>
          </w:p>
        </w:tc>
      </w:tr>
      <w:tr w:rsidR="003A788B" w14:paraId="7C331455" w14:textId="77777777" w:rsidTr="00E06A78">
        <w:trPr>
          <w:trHeight w:val="283"/>
        </w:trPr>
        <w:tc>
          <w:tcPr>
            <w:tcW w:w="4470" w:type="dxa"/>
            <w:tcBorders>
              <w:top w:val="single" w:sz="4" w:space="0" w:color="auto"/>
              <w:left w:val="single" w:sz="4" w:space="0" w:color="auto"/>
              <w:bottom w:val="single" w:sz="4" w:space="0" w:color="auto"/>
              <w:right w:val="single" w:sz="4" w:space="0" w:color="auto"/>
            </w:tcBorders>
          </w:tcPr>
          <w:p w14:paraId="7C331453" w14:textId="77777777" w:rsidR="00B27E7B" w:rsidRPr="00811833" w:rsidRDefault="00016F29" w:rsidP="00B27E7B">
            <w:pPr>
              <w:ind w:left="720"/>
              <w:rPr>
                <w:rFonts w:eastAsia="Calibri"/>
                <w:szCs w:val="22"/>
                <w:lang w:val="en-GB" w:eastAsia="en-US"/>
              </w:rPr>
            </w:pPr>
            <w:r w:rsidRPr="00811833">
              <w:rPr>
                <w:rFonts w:eastAsia="Calibri"/>
                <w:szCs w:val="22"/>
                <w:lang w:val="en-GB" w:eastAsia="en-US"/>
              </w:rPr>
              <w:t>Arthralgia</w:t>
            </w:r>
          </w:p>
        </w:tc>
        <w:tc>
          <w:tcPr>
            <w:tcW w:w="3180" w:type="dxa"/>
            <w:tcBorders>
              <w:top w:val="single" w:sz="4" w:space="0" w:color="auto"/>
              <w:left w:val="single" w:sz="4" w:space="0" w:color="auto"/>
              <w:bottom w:val="single" w:sz="4" w:space="0" w:color="auto"/>
              <w:right w:val="single" w:sz="4" w:space="0" w:color="auto"/>
            </w:tcBorders>
          </w:tcPr>
          <w:p w14:paraId="7C331454" w14:textId="77777777" w:rsidR="00B27E7B" w:rsidRPr="00811833" w:rsidRDefault="00016F29" w:rsidP="00B27E7B">
            <w:pPr>
              <w:jc w:val="center"/>
              <w:rPr>
                <w:rFonts w:eastAsia="Calibri"/>
                <w:szCs w:val="22"/>
                <w:lang w:val="en-GB" w:eastAsia="en-US"/>
              </w:rPr>
            </w:pPr>
            <w:r w:rsidRPr="00811833">
              <w:rPr>
                <w:rFonts w:eastAsia="Calibri"/>
                <w:szCs w:val="22"/>
                <w:lang w:val="en-GB" w:eastAsia="en-US"/>
              </w:rPr>
              <w:t>15%</w:t>
            </w:r>
          </w:p>
        </w:tc>
      </w:tr>
      <w:tr w:rsidR="003A788B" w14:paraId="7C331458" w14:textId="77777777" w:rsidTr="00E06A78">
        <w:trPr>
          <w:trHeight w:val="283"/>
        </w:trPr>
        <w:tc>
          <w:tcPr>
            <w:tcW w:w="4470" w:type="dxa"/>
            <w:tcBorders>
              <w:top w:val="single" w:sz="4" w:space="0" w:color="auto"/>
              <w:left w:val="single" w:sz="4" w:space="0" w:color="auto"/>
              <w:bottom w:val="single" w:sz="4" w:space="0" w:color="auto"/>
              <w:right w:val="single" w:sz="4" w:space="0" w:color="auto"/>
            </w:tcBorders>
          </w:tcPr>
          <w:p w14:paraId="7C331456" w14:textId="77777777" w:rsidR="00B27E7B" w:rsidRPr="00811833" w:rsidRDefault="00016F29" w:rsidP="00B27E7B">
            <w:pPr>
              <w:ind w:left="720"/>
              <w:rPr>
                <w:rFonts w:eastAsia="Calibri"/>
                <w:szCs w:val="22"/>
                <w:lang w:val="en-GB" w:eastAsia="en-US"/>
              </w:rPr>
            </w:pPr>
            <w:r w:rsidRPr="00811833">
              <w:rPr>
                <w:rFonts w:eastAsia="Calibri"/>
                <w:szCs w:val="22"/>
                <w:lang w:val="en-GB" w:eastAsia="en-US"/>
              </w:rPr>
              <w:t>Back pain</w:t>
            </w:r>
          </w:p>
        </w:tc>
        <w:tc>
          <w:tcPr>
            <w:tcW w:w="3180" w:type="dxa"/>
            <w:tcBorders>
              <w:top w:val="single" w:sz="4" w:space="0" w:color="auto"/>
              <w:left w:val="single" w:sz="4" w:space="0" w:color="auto"/>
              <w:bottom w:val="single" w:sz="4" w:space="0" w:color="auto"/>
              <w:right w:val="single" w:sz="4" w:space="0" w:color="auto"/>
            </w:tcBorders>
          </w:tcPr>
          <w:p w14:paraId="7C331457" w14:textId="77777777" w:rsidR="00B27E7B" w:rsidRPr="00811833" w:rsidRDefault="00016F29" w:rsidP="00B27E7B">
            <w:pPr>
              <w:jc w:val="center"/>
              <w:rPr>
                <w:rFonts w:eastAsia="Calibri"/>
                <w:szCs w:val="22"/>
                <w:lang w:val="en-GB" w:eastAsia="en-US"/>
              </w:rPr>
            </w:pPr>
            <w:r w:rsidRPr="00811833">
              <w:rPr>
                <w:rFonts w:eastAsia="Calibri"/>
                <w:szCs w:val="22"/>
                <w:lang w:val="en-GB" w:eastAsia="en-US"/>
              </w:rPr>
              <w:t>10%</w:t>
            </w:r>
          </w:p>
        </w:tc>
      </w:tr>
      <w:tr w:rsidR="003A788B" w14:paraId="7C33145B" w14:textId="77777777" w:rsidTr="00E06A78">
        <w:trPr>
          <w:trHeight w:val="283"/>
        </w:trPr>
        <w:tc>
          <w:tcPr>
            <w:tcW w:w="4470" w:type="dxa"/>
            <w:tcBorders>
              <w:top w:val="single" w:sz="4" w:space="0" w:color="auto"/>
              <w:left w:val="single" w:sz="4" w:space="0" w:color="auto"/>
              <w:bottom w:val="single" w:sz="4" w:space="0" w:color="auto"/>
              <w:right w:val="single" w:sz="4" w:space="0" w:color="auto"/>
            </w:tcBorders>
          </w:tcPr>
          <w:p w14:paraId="7C331459" w14:textId="77777777" w:rsidR="00B27E7B" w:rsidRPr="00811833" w:rsidRDefault="00016F29" w:rsidP="00B27E7B">
            <w:pPr>
              <w:ind w:left="720"/>
              <w:rPr>
                <w:rFonts w:eastAsia="Calibri"/>
                <w:szCs w:val="22"/>
                <w:lang w:val="en-GB" w:eastAsia="en-US"/>
              </w:rPr>
            </w:pPr>
            <w:r w:rsidRPr="00811833">
              <w:rPr>
                <w:rFonts w:eastAsia="Calibri"/>
                <w:szCs w:val="22"/>
                <w:lang w:val="en-GB" w:eastAsia="en-US"/>
              </w:rPr>
              <w:t>Muscle weakness</w:t>
            </w:r>
          </w:p>
        </w:tc>
        <w:tc>
          <w:tcPr>
            <w:tcW w:w="3180" w:type="dxa"/>
            <w:tcBorders>
              <w:top w:val="single" w:sz="4" w:space="0" w:color="auto"/>
              <w:left w:val="single" w:sz="4" w:space="0" w:color="auto"/>
              <w:bottom w:val="single" w:sz="4" w:space="0" w:color="auto"/>
              <w:right w:val="single" w:sz="4" w:space="0" w:color="auto"/>
            </w:tcBorders>
          </w:tcPr>
          <w:p w14:paraId="7C33145A" w14:textId="77777777" w:rsidR="00B27E7B" w:rsidRPr="00811833" w:rsidRDefault="00016F29" w:rsidP="00B27E7B">
            <w:pPr>
              <w:jc w:val="center"/>
              <w:rPr>
                <w:rFonts w:eastAsia="Calibri"/>
                <w:szCs w:val="22"/>
                <w:lang w:val="en-GB" w:eastAsia="en-US"/>
              </w:rPr>
            </w:pPr>
            <w:r w:rsidRPr="00811833">
              <w:rPr>
                <w:rFonts w:eastAsia="Calibri"/>
                <w:szCs w:val="22"/>
                <w:lang w:val="en-GB" w:eastAsia="en-US"/>
              </w:rPr>
              <w:t>5%</w:t>
            </w:r>
          </w:p>
        </w:tc>
      </w:tr>
      <w:tr w:rsidR="003A788B" w14:paraId="7C33145E" w14:textId="77777777" w:rsidTr="00E06A78">
        <w:trPr>
          <w:trHeight w:val="283"/>
        </w:trPr>
        <w:tc>
          <w:tcPr>
            <w:tcW w:w="4470" w:type="dxa"/>
            <w:tcBorders>
              <w:top w:val="single" w:sz="4" w:space="0" w:color="auto"/>
              <w:left w:val="single" w:sz="4" w:space="0" w:color="auto"/>
              <w:bottom w:val="single" w:sz="4" w:space="0" w:color="auto"/>
              <w:right w:val="single" w:sz="4" w:space="0" w:color="auto"/>
            </w:tcBorders>
          </w:tcPr>
          <w:p w14:paraId="7C33145C" w14:textId="77777777" w:rsidR="00B27E7B" w:rsidRPr="00811833" w:rsidRDefault="00016F29" w:rsidP="00B27E7B">
            <w:pPr>
              <w:ind w:left="720"/>
              <w:rPr>
                <w:rFonts w:eastAsia="Calibri"/>
                <w:szCs w:val="22"/>
                <w:lang w:val="en-GB" w:eastAsia="en-US"/>
              </w:rPr>
            </w:pPr>
            <w:r w:rsidRPr="00811833">
              <w:rPr>
                <w:rFonts w:eastAsia="Calibri"/>
                <w:szCs w:val="22"/>
                <w:lang w:val="en-GB" w:eastAsia="en-US"/>
              </w:rPr>
              <w:t>Musculoskeletal pain</w:t>
            </w:r>
          </w:p>
        </w:tc>
        <w:tc>
          <w:tcPr>
            <w:tcW w:w="3180" w:type="dxa"/>
            <w:tcBorders>
              <w:top w:val="single" w:sz="4" w:space="0" w:color="auto"/>
              <w:left w:val="single" w:sz="4" w:space="0" w:color="auto"/>
              <w:bottom w:val="single" w:sz="4" w:space="0" w:color="auto"/>
              <w:right w:val="single" w:sz="4" w:space="0" w:color="auto"/>
            </w:tcBorders>
          </w:tcPr>
          <w:p w14:paraId="7C33145D" w14:textId="77777777" w:rsidR="00B27E7B" w:rsidRPr="00811833" w:rsidRDefault="00016F29" w:rsidP="00B27E7B">
            <w:pPr>
              <w:jc w:val="center"/>
              <w:rPr>
                <w:rFonts w:eastAsia="Calibri"/>
                <w:szCs w:val="22"/>
                <w:lang w:val="en-GB" w:eastAsia="en-US"/>
              </w:rPr>
            </w:pPr>
            <w:r w:rsidRPr="00811833">
              <w:rPr>
                <w:rFonts w:eastAsia="Calibri"/>
                <w:szCs w:val="22"/>
                <w:lang w:val="en-GB" w:eastAsia="en-US"/>
              </w:rPr>
              <w:t>5%</w:t>
            </w:r>
          </w:p>
        </w:tc>
      </w:tr>
      <w:tr w:rsidR="003A788B" w14:paraId="7C331461" w14:textId="77777777" w:rsidTr="00E06A78">
        <w:trPr>
          <w:trHeight w:val="283"/>
        </w:trPr>
        <w:tc>
          <w:tcPr>
            <w:tcW w:w="4470" w:type="dxa"/>
            <w:tcBorders>
              <w:top w:val="single" w:sz="4" w:space="0" w:color="auto"/>
              <w:left w:val="single" w:sz="4" w:space="0" w:color="auto"/>
              <w:bottom w:val="single" w:sz="4" w:space="0" w:color="auto"/>
              <w:right w:val="single" w:sz="4" w:space="0" w:color="auto"/>
            </w:tcBorders>
          </w:tcPr>
          <w:p w14:paraId="7C33145F" w14:textId="77777777" w:rsidR="00B27E7B" w:rsidRPr="00811833" w:rsidRDefault="00016F29" w:rsidP="00B27E7B">
            <w:pPr>
              <w:ind w:left="720"/>
              <w:rPr>
                <w:rFonts w:eastAsia="Calibri"/>
                <w:szCs w:val="22"/>
                <w:lang w:val="en-GB" w:eastAsia="en-US"/>
              </w:rPr>
            </w:pPr>
            <w:r w:rsidRPr="00811833">
              <w:rPr>
                <w:rFonts w:eastAsia="Calibri"/>
                <w:szCs w:val="22"/>
                <w:lang w:val="en-GB" w:eastAsia="en-US"/>
              </w:rPr>
              <w:t>Pain in extremities</w:t>
            </w:r>
          </w:p>
        </w:tc>
        <w:tc>
          <w:tcPr>
            <w:tcW w:w="3180" w:type="dxa"/>
            <w:tcBorders>
              <w:top w:val="single" w:sz="4" w:space="0" w:color="auto"/>
              <w:left w:val="single" w:sz="4" w:space="0" w:color="auto"/>
              <w:bottom w:val="single" w:sz="4" w:space="0" w:color="auto"/>
              <w:right w:val="single" w:sz="4" w:space="0" w:color="auto"/>
            </w:tcBorders>
          </w:tcPr>
          <w:p w14:paraId="7C331460" w14:textId="77777777" w:rsidR="00B27E7B" w:rsidRPr="00811833" w:rsidRDefault="00016F29" w:rsidP="00B27E7B">
            <w:pPr>
              <w:jc w:val="center"/>
              <w:rPr>
                <w:rFonts w:eastAsia="Calibri"/>
                <w:szCs w:val="22"/>
                <w:lang w:val="en-GB" w:eastAsia="en-US"/>
              </w:rPr>
            </w:pPr>
            <w:r w:rsidRPr="00811833">
              <w:rPr>
                <w:rFonts w:eastAsia="Calibri"/>
                <w:szCs w:val="22"/>
                <w:lang w:val="en-GB" w:eastAsia="en-US"/>
              </w:rPr>
              <w:t>5%</w:t>
            </w:r>
          </w:p>
        </w:tc>
      </w:tr>
      <w:tr w:rsidR="003A788B" w14:paraId="7C331463" w14:textId="77777777" w:rsidTr="00E06A78">
        <w:tc>
          <w:tcPr>
            <w:tcW w:w="7650" w:type="dxa"/>
            <w:gridSpan w:val="2"/>
            <w:tcBorders>
              <w:top w:val="single" w:sz="4" w:space="0" w:color="auto"/>
              <w:left w:val="single" w:sz="4" w:space="0" w:color="auto"/>
              <w:bottom w:val="single" w:sz="4" w:space="0" w:color="auto"/>
              <w:right w:val="single" w:sz="4" w:space="0" w:color="auto"/>
            </w:tcBorders>
          </w:tcPr>
          <w:p w14:paraId="7C331462" w14:textId="77777777" w:rsidR="008F369D" w:rsidRPr="00091F42" w:rsidRDefault="00016F29" w:rsidP="008919D7">
            <w:pPr>
              <w:rPr>
                <w:rFonts w:eastAsia="Calibri"/>
                <w:szCs w:val="22"/>
                <w:lang w:val="en-GB" w:eastAsia="en-US"/>
              </w:rPr>
            </w:pPr>
            <w:r w:rsidRPr="00091F42">
              <w:rPr>
                <w:rFonts w:eastAsia="Calibri"/>
                <w:b/>
                <w:szCs w:val="22"/>
                <w:lang w:val="en-GB" w:eastAsia="en-US"/>
              </w:rPr>
              <w:t xml:space="preserve">General disorders and </w:t>
            </w:r>
            <w:r w:rsidRPr="00091F42">
              <w:rPr>
                <w:rFonts w:eastAsia="Calibri"/>
                <w:b/>
                <w:szCs w:val="22"/>
                <w:lang w:val="en-GB" w:eastAsia="en-US"/>
              </w:rPr>
              <w:br/>
              <w:t>administration site conditions</w:t>
            </w:r>
          </w:p>
        </w:tc>
      </w:tr>
      <w:tr w:rsidR="003A788B" w14:paraId="7C331466" w14:textId="77777777" w:rsidTr="00E06A78">
        <w:trPr>
          <w:trHeight w:val="283"/>
        </w:trPr>
        <w:tc>
          <w:tcPr>
            <w:tcW w:w="4470" w:type="dxa"/>
            <w:tcBorders>
              <w:top w:val="single" w:sz="4" w:space="0" w:color="auto"/>
              <w:left w:val="single" w:sz="4" w:space="0" w:color="auto"/>
              <w:bottom w:val="single" w:sz="4" w:space="0" w:color="auto"/>
              <w:right w:val="single" w:sz="4" w:space="0" w:color="auto"/>
            </w:tcBorders>
          </w:tcPr>
          <w:p w14:paraId="7C331464" w14:textId="77777777" w:rsidR="008F369D" w:rsidRPr="00091F42" w:rsidRDefault="00016F29" w:rsidP="008919D7">
            <w:pPr>
              <w:ind w:left="720"/>
              <w:rPr>
                <w:rFonts w:eastAsia="Calibri"/>
                <w:szCs w:val="22"/>
                <w:lang w:val="en-GB" w:eastAsia="en-US"/>
              </w:rPr>
            </w:pPr>
            <w:r w:rsidRPr="00091F42">
              <w:rPr>
                <w:rFonts w:eastAsia="Calibri"/>
                <w:szCs w:val="22"/>
                <w:lang w:val="en-GB" w:eastAsia="en-US"/>
              </w:rPr>
              <w:t>Peripheral oedema</w:t>
            </w:r>
          </w:p>
        </w:tc>
        <w:tc>
          <w:tcPr>
            <w:tcW w:w="3180" w:type="dxa"/>
            <w:tcBorders>
              <w:top w:val="single" w:sz="4" w:space="0" w:color="auto"/>
              <w:left w:val="single" w:sz="4" w:space="0" w:color="auto"/>
              <w:bottom w:val="single" w:sz="4" w:space="0" w:color="auto"/>
              <w:right w:val="single" w:sz="4" w:space="0" w:color="auto"/>
            </w:tcBorders>
          </w:tcPr>
          <w:p w14:paraId="7C331465" w14:textId="77777777" w:rsidR="008F369D" w:rsidRPr="00091F42" w:rsidRDefault="00016F29" w:rsidP="008919D7">
            <w:pPr>
              <w:jc w:val="center"/>
              <w:rPr>
                <w:rFonts w:eastAsia="Calibri"/>
                <w:szCs w:val="22"/>
                <w:lang w:val="en-GB" w:eastAsia="en-US"/>
              </w:rPr>
            </w:pPr>
            <w:r w:rsidRPr="00091F42">
              <w:rPr>
                <w:rFonts w:eastAsia="Calibri"/>
                <w:szCs w:val="22"/>
                <w:lang w:val="en-GB" w:eastAsia="en-US"/>
              </w:rPr>
              <w:t>16%</w:t>
            </w:r>
          </w:p>
        </w:tc>
      </w:tr>
      <w:tr w:rsidR="003A788B" w14:paraId="7C331468" w14:textId="77777777" w:rsidTr="00E06A78">
        <w:trPr>
          <w:trHeight w:val="283"/>
        </w:trPr>
        <w:tc>
          <w:tcPr>
            <w:tcW w:w="7650" w:type="dxa"/>
            <w:gridSpan w:val="2"/>
            <w:tcBorders>
              <w:top w:val="single" w:sz="4" w:space="0" w:color="auto"/>
              <w:left w:val="single" w:sz="4" w:space="0" w:color="auto"/>
              <w:bottom w:val="single" w:sz="4" w:space="0" w:color="auto"/>
              <w:right w:val="single" w:sz="4" w:space="0" w:color="auto"/>
            </w:tcBorders>
          </w:tcPr>
          <w:p w14:paraId="7C331467" w14:textId="77777777" w:rsidR="008F369D" w:rsidRPr="00091F42" w:rsidRDefault="00016F29" w:rsidP="008919D7">
            <w:pPr>
              <w:rPr>
                <w:rFonts w:eastAsia="Calibri"/>
                <w:szCs w:val="22"/>
                <w:lang w:val="en-GB" w:eastAsia="en-US"/>
              </w:rPr>
            </w:pPr>
            <w:r w:rsidRPr="00091F42">
              <w:rPr>
                <w:rFonts w:eastAsia="Calibri"/>
                <w:b/>
                <w:szCs w:val="22"/>
                <w:lang w:val="en-GB" w:eastAsia="en-US"/>
              </w:rPr>
              <w:t>Investigations</w:t>
            </w:r>
          </w:p>
        </w:tc>
      </w:tr>
      <w:tr w:rsidR="003A788B" w14:paraId="7C33146B" w14:textId="77777777" w:rsidTr="00E06A78">
        <w:trPr>
          <w:trHeight w:val="283"/>
        </w:trPr>
        <w:tc>
          <w:tcPr>
            <w:tcW w:w="4470" w:type="dxa"/>
            <w:tcBorders>
              <w:top w:val="single" w:sz="4" w:space="0" w:color="auto"/>
              <w:left w:val="single" w:sz="4" w:space="0" w:color="auto"/>
              <w:bottom w:val="single" w:sz="4" w:space="0" w:color="auto"/>
              <w:right w:val="single" w:sz="4" w:space="0" w:color="auto"/>
            </w:tcBorders>
          </w:tcPr>
          <w:p w14:paraId="7C331469" w14:textId="77777777" w:rsidR="008F369D" w:rsidRPr="00091F42" w:rsidRDefault="00016F29" w:rsidP="008919D7">
            <w:pPr>
              <w:ind w:left="720"/>
              <w:rPr>
                <w:rFonts w:eastAsia="Calibri"/>
                <w:szCs w:val="22"/>
                <w:lang w:val="en-GB" w:eastAsia="en-US"/>
              </w:rPr>
            </w:pPr>
            <w:r w:rsidRPr="00091F42">
              <w:rPr>
                <w:rFonts w:eastAsia="Calibri"/>
                <w:szCs w:val="22"/>
                <w:lang w:val="en-GB" w:eastAsia="en-US"/>
              </w:rPr>
              <w:t>Decreased haemoglobin</w:t>
            </w:r>
          </w:p>
        </w:tc>
        <w:tc>
          <w:tcPr>
            <w:tcW w:w="3180" w:type="dxa"/>
            <w:tcBorders>
              <w:top w:val="single" w:sz="4" w:space="0" w:color="auto"/>
              <w:left w:val="single" w:sz="4" w:space="0" w:color="auto"/>
              <w:bottom w:val="single" w:sz="4" w:space="0" w:color="auto"/>
              <w:right w:val="single" w:sz="4" w:space="0" w:color="auto"/>
            </w:tcBorders>
          </w:tcPr>
          <w:p w14:paraId="7C33146A" w14:textId="77777777" w:rsidR="008F369D" w:rsidRPr="00091F42" w:rsidRDefault="00016F29" w:rsidP="008919D7">
            <w:pPr>
              <w:jc w:val="center"/>
              <w:rPr>
                <w:rFonts w:eastAsia="Calibri"/>
                <w:szCs w:val="22"/>
                <w:lang w:val="en-GB" w:eastAsia="en-US"/>
              </w:rPr>
            </w:pPr>
            <w:r w:rsidRPr="00091F42">
              <w:rPr>
                <w:rFonts w:eastAsia="Calibri"/>
                <w:szCs w:val="22"/>
                <w:lang w:val="en-GB" w:eastAsia="en-US"/>
              </w:rPr>
              <w:t>6%</w:t>
            </w:r>
          </w:p>
        </w:tc>
      </w:tr>
    </w:tbl>
    <w:p w14:paraId="7C33146C" w14:textId="77777777" w:rsidR="008F369D" w:rsidRPr="006E2A17" w:rsidRDefault="008F369D" w:rsidP="008F369D">
      <w:pPr>
        <w:jc w:val="both"/>
        <w:rPr>
          <w:szCs w:val="22"/>
          <w:lang w:val="en-GB"/>
        </w:rPr>
      </w:pPr>
    </w:p>
    <w:p w14:paraId="7C33146D" w14:textId="77777777" w:rsidR="003041F0" w:rsidRPr="00531ACF" w:rsidRDefault="00016F29" w:rsidP="003041F0">
      <w:pPr>
        <w:spacing w:line="280" w:lineRule="atLeast"/>
        <w:rPr>
          <w:i/>
          <w:szCs w:val="22"/>
          <w:lang w:val="en-GB"/>
        </w:rPr>
      </w:pPr>
      <w:r w:rsidRPr="00ED26E7">
        <w:rPr>
          <w:i/>
          <w:szCs w:val="22"/>
          <w:lang w:val="en-GB"/>
        </w:rPr>
        <w:t xml:space="preserve">Adult </w:t>
      </w:r>
      <w:r w:rsidRPr="00531ACF">
        <w:rPr>
          <w:i/>
          <w:szCs w:val="22"/>
          <w:lang w:val="en-GB"/>
        </w:rPr>
        <w:t>maintenance treatment</w:t>
      </w:r>
      <w:r w:rsidR="006C009C" w:rsidRPr="00811833">
        <w:rPr>
          <w:i/>
          <w:szCs w:val="22"/>
          <w:lang w:val="en-GB"/>
        </w:rPr>
        <w:t xml:space="preserve"> (GPA/MPA Study 2)</w:t>
      </w:r>
    </w:p>
    <w:p w14:paraId="7C33146E" w14:textId="77777777" w:rsidR="003041F0" w:rsidRPr="00F638AF" w:rsidRDefault="00016F29" w:rsidP="003041F0">
      <w:pPr>
        <w:spacing w:line="280" w:lineRule="atLeast"/>
      </w:pPr>
      <w:r w:rsidRPr="00531ACF">
        <w:t xml:space="preserve">In </w:t>
      </w:r>
      <w:r w:rsidR="006C009C" w:rsidRPr="00811833">
        <w:rPr>
          <w:rFonts w:eastAsia="Calibri"/>
          <w:szCs w:val="22"/>
          <w:lang w:val="en-GB" w:eastAsia="en-US"/>
        </w:rPr>
        <w:t>GPA/MPA Study 2</w:t>
      </w:r>
      <w:r w:rsidRPr="00531ACF">
        <w:t xml:space="preserve">, a total of 57 </w:t>
      </w:r>
      <w:r w:rsidR="00B75616" w:rsidRPr="00531ACF">
        <w:t xml:space="preserve">adult patients with </w:t>
      </w:r>
      <w:r w:rsidRPr="00531ACF">
        <w:t>severe</w:t>
      </w:r>
      <w:r w:rsidR="00730DF9" w:rsidRPr="00531ACF">
        <w:t>,</w:t>
      </w:r>
      <w:r w:rsidRPr="00531ACF">
        <w:t xml:space="preserve"> active GPA and MPA were</w:t>
      </w:r>
      <w:r w:rsidRPr="00D83CED">
        <w:t xml:space="preserve"> treated</w:t>
      </w:r>
      <w:r w:rsidR="00423E91">
        <w:t xml:space="preserve"> </w:t>
      </w:r>
      <w:r w:rsidR="00423E91" w:rsidRPr="00F638AF">
        <w:t>with MabThera</w:t>
      </w:r>
      <w:r w:rsidRPr="00F638AF">
        <w:t xml:space="preserve"> for the maintenance of remission (see section </w:t>
      </w:r>
      <w:r w:rsidRPr="00F638AF">
        <w:rPr>
          <w:rFonts w:eastAsia="Calibri"/>
          <w:szCs w:val="22"/>
          <w:lang w:val="en-GB" w:eastAsia="en-US"/>
        </w:rPr>
        <w:t>5.1</w:t>
      </w:r>
      <w:r w:rsidRPr="00F638AF">
        <w:t>)</w:t>
      </w:r>
      <w:r w:rsidR="00635442" w:rsidRPr="00F638AF">
        <w:t>.</w:t>
      </w:r>
    </w:p>
    <w:p w14:paraId="7C33146F" w14:textId="77777777" w:rsidR="003B5AE4" w:rsidRPr="00F638AF" w:rsidRDefault="003B5AE4" w:rsidP="00E06A78">
      <w:pPr>
        <w:ind w:left="1077" w:hanging="1077"/>
        <w:rPr>
          <w:rFonts w:eastAsia="Calibri"/>
          <w:b/>
          <w:bCs/>
          <w:szCs w:val="22"/>
          <w:lang w:val="en-GB" w:eastAsia="en-US"/>
        </w:rPr>
      </w:pPr>
    </w:p>
    <w:p w14:paraId="7C331470" w14:textId="77777777" w:rsidR="00C51B26" w:rsidRPr="00DC4385" w:rsidRDefault="00016F29" w:rsidP="00E454FF">
      <w:pPr>
        <w:keepNext/>
        <w:keepLines/>
        <w:ind w:left="1077" w:hanging="1077"/>
        <w:rPr>
          <w:rFonts w:eastAsia="Calibri"/>
          <w:b/>
          <w:bCs/>
          <w:szCs w:val="22"/>
          <w:lang w:val="en-GB" w:eastAsia="en-US"/>
        </w:rPr>
      </w:pPr>
      <w:r w:rsidRPr="00F638AF">
        <w:rPr>
          <w:rFonts w:eastAsia="Calibri"/>
          <w:b/>
          <w:bCs/>
          <w:szCs w:val="22"/>
          <w:lang w:val="en-GB" w:eastAsia="en-US"/>
        </w:rPr>
        <w:t xml:space="preserve">Table </w:t>
      </w:r>
      <w:r w:rsidR="003E7D46">
        <w:rPr>
          <w:rFonts w:eastAsia="Calibri"/>
          <w:b/>
          <w:bCs/>
          <w:szCs w:val="22"/>
          <w:lang w:val="en-GB" w:eastAsia="en-US"/>
        </w:rPr>
        <w:t>6</w:t>
      </w:r>
      <w:r w:rsidRPr="00F638AF">
        <w:rPr>
          <w:b/>
          <w:szCs w:val="22"/>
          <w:lang w:val="en-GB"/>
        </w:rPr>
        <w:tab/>
      </w:r>
      <w:r w:rsidRPr="00F638AF">
        <w:rPr>
          <w:rFonts w:eastAsia="Calibri"/>
          <w:b/>
          <w:bCs/>
          <w:szCs w:val="22"/>
          <w:lang w:val="en-GB" w:eastAsia="en-US"/>
        </w:rPr>
        <w:t xml:space="preserve">Adverse reactions occurring in ≥ 5% of </w:t>
      </w:r>
      <w:r w:rsidR="00296933" w:rsidRPr="00F638AF">
        <w:rPr>
          <w:rFonts w:eastAsia="Calibri"/>
          <w:b/>
          <w:bCs/>
          <w:szCs w:val="22"/>
          <w:lang w:val="en-GB" w:eastAsia="en-US"/>
        </w:rPr>
        <w:t xml:space="preserve">adult </w:t>
      </w:r>
      <w:r w:rsidRPr="00F638AF">
        <w:rPr>
          <w:rFonts w:eastAsia="Calibri"/>
          <w:b/>
          <w:bCs/>
          <w:szCs w:val="22"/>
          <w:lang w:val="en-GB" w:eastAsia="en-US"/>
        </w:rPr>
        <w:t xml:space="preserve">patients receiving MabThera </w:t>
      </w:r>
      <w:r w:rsidR="006C009C" w:rsidRPr="00811833">
        <w:rPr>
          <w:rFonts w:eastAsia="Calibri"/>
          <w:b/>
          <w:bCs/>
          <w:szCs w:val="22"/>
          <w:lang w:val="en-GB" w:eastAsia="en-US"/>
        </w:rPr>
        <w:t>in GPA/MPA Study 2</w:t>
      </w:r>
      <w:r w:rsidRPr="00DC4385">
        <w:rPr>
          <w:rFonts w:eastAsia="Calibri"/>
          <w:b/>
          <w:bCs/>
          <w:szCs w:val="22"/>
          <w:lang w:val="en-GB" w:eastAsia="en-US"/>
        </w:rPr>
        <w:t>, and at a higher frequency than the comparator group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8"/>
        <w:gridCol w:w="3908"/>
      </w:tblGrid>
      <w:tr w:rsidR="003A788B" w14:paraId="7C331473" w14:textId="77777777" w:rsidTr="00B328AC">
        <w:trPr>
          <w:trHeight w:val="20"/>
        </w:trPr>
        <w:tc>
          <w:tcPr>
            <w:tcW w:w="4138" w:type="dxa"/>
            <w:tcBorders>
              <w:bottom w:val="single" w:sz="4" w:space="0" w:color="auto"/>
            </w:tcBorders>
            <w:shd w:val="clear" w:color="auto" w:fill="auto"/>
          </w:tcPr>
          <w:p w14:paraId="7C331471" w14:textId="77777777" w:rsidR="00C51B26" w:rsidRPr="00DC4385" w:rsidRDefault="00016F29" w:rsidP="00E454FF">
            <w:pPr>
              <w:keepNext/>
              <w:keepLines/>
              <w:spacing w:line="280" w:lineRule="atLeast"/>
              <w:ind w:left="426" w:hanging="426"/>
              <w:rPr>
                <w:vertAlign w:val="superscript"/>
              </w:rPr>
            </w:pPr>
            <w:r w:rsidRPr="00811833">
              <w:rPr>
                <w:b/>
              </w:rPr>
              <w:t xml:space="preserve">MedDRA </w:t>
            </w:r>
            <w:r w:rsidRPr="00DC4385">
              <w:rPr>
                <w:b/>
              </w:rPr>
              <w:t>System Organ Class</w:t>
            </w:r>
            <w:r w:rsidR="00003265" w:rsidRPr="00DC4385">
              <w:br/>
              <w:t>Adverse  reaction</w:t>
            </w:r>
          </w:p>
        </w:tc>
        <w:tc>
          <w:tcPr>
            <w:tcW w:w="3908" w:type="dxa"/>
            <w:shd w:val="clear" w:color="auto" w:fill="auto"/>
            <w:vAlign w:val="center"/>
          </w:tcPr>
          <w:p w14:paraId="7C331472" w14:textId="77777777" w:rsidR="00C51B26" w:rsidRPr="00DC4385" w:rsidRDefault="00016F29" w:rsidP="00E454FF">
            <w:pPr>
              <w:keepNext/>
              <w:keepLines/>
              <w:spacing w:line="280" w:lineRule="atLeast"/>
              <w:jc w:val="center"/>
            </w:pPr>
            <w:r w:rsidRPr="00DC4385">
              <w:t xml:space="preserve">Rituximab </w:t>
            </w:r>
            <w:r w:rsidRPr="00DC4385">
              <w:br/>
              <w:t>(n=57)</w:t>
            </w:r>
          </w:p>
        </w:tc>
      </w:tr>
      <w:tr w:rsidR="003A788B" w14:paraId="7C331476" w14:textId="77777777" w:rsidTr="00B328AC">
        <w:trPr>
          <w:trHeight w:val="20"/>
        </w:trPr>
        <w:tc>
          <w:tcPr>
            <w:tcW w:w="4138" w:type="dxa"/>
            <w:tcBorders>
              <w:right w:val="nil"/>
            </w:tcBorders>
            <w:shd w:val="clear" w:color="auto" w:fill="auto"/>
          </w:tcPr>
          <w:p w14:paraId="7C331474" w14:textId="77777777" w:rsidR="00C51B26" w:rsidRPr="00DC4385" w:rsidRDefault="00016F29" w:rsidP="00E454FF">
            <w:pPr>
              <w:keepNext/>
              <w:keepLines/>
              <w:spacing w:line="280" w:lineRule="atLeast"/>
              <w:rPr>
                <w:b/>
              </w:rPr>
            </w:pPr>
            <w:r w:rsidRPr="00DC4385">
              <w:rPr>
                <w:b/>
              </w:rPr>
              <w:t xml:space="preserve">Infections and infestations </w:t>
            </w:r>
          </w:p>
        </w:tc>
        <w:tc>
          <w:tcPr>
            <w:tcW w:w="3908" w:type="dxa"/>
            <w:tcBorders>
              <w:left w:val="nil"/>
            </w:tcBorders>
            <w:shd w:val="clear" w:color="auto" w:fill="auto"/>
            <w:vAlign w:val="center"/>
          </w:tcPr>
          <w:p w14:paraId="7C331475" w14:textId="77777777" w:rsidR="00C51B26" w:rsidRPr="00DC4385" w:rsidRDefault="00C51B26" w:rsidP="00E454FF">
            <w:pPr>
              <w:keepNext/>
              <w:keepLines/>
              <w:spacing w:line="280" w:lineRule="atLeast"/>
              <w:jc w:val="center"/>
            </w:pPr>
          </w:p>
        </w:tc>
      </w:tr>
      <w:tr w:rsidR="003A788B" w14:paraId="7C331479" w14:textId="77777777" w:rsidTr="00B328AC">
        <w:trPr>
          <w:trHeight w:val="20"/>
        </w:trPr>
        <w:tc>
          <w:tcPr>
            <w:tcW w:w="4138" w:type="dxa"/>
            <w:shd w:val="clear" w:color="auto" w:fill="auto"/>
          </w:tcPr>
          <w:p w14:paraId="7C331477" w14:textId="77777777" w:rsidR="00003265" w:rsidRPr="00DC4385" w:rsidRDefault="00016F29" w:rsidP="00E454FF">
            <w:pPr>
              <w:keepNext/>
              <w:keepLines/>
              <w:spacing w:line="280" w:lineRule="atLeast"/>
              <w:ind w:firstLine="426"/>
            </w:pPr>
            <w:r w:rsidRPr="00DC4385">
              <w:t>Bronchitis</w:t>
            </w:r>
          </w:p>
        </w:tc>
        <w:tc>
          <w:tcPr>
            <w:tcW w:w="3908" w:type="dxa"/>
            <w:shd w:val="clear" w:color="auto" w:fill="auto"/>
            <w:vAlign w:val="center"/>
          </w:tcPr>
          <w:p w14:paraId="7C331478" w14:textId="77777777" w:rsidR="00003265" w:rsidRPr="00DC4385" w:rsidRDefault="00016F29" w:rsidP="00E454FF">
            <w:pPr>
              <w:keepNext/>
              <w:keepLines/>
              <w:spacing w:line="280" w:lineRule="atLeast"/>
              <w:jc w:val="center"/>
            </w:pPr>
            <w:r w:rsidRPr="00DC4385">
              <w:t>14%</w:t>
            </w:r>
          </w:p>
        </w:tc>
      </w:tr>
      <w:tr w:rsidR="003A788B" w14:paraId="7C33147C" w14:textId="77777777" w:rsidTr="00B328AC">
        <w:trPr>
          <w:trHeight w:val="20"/>
        </w:trPr>
        <w:tc>
          <w:tcPr>
            <w:tcW w:w="4138" w:type="dxa"/>
            <w:tcBorders>
              <w:bottom w:val="single" w:sz="4" w:space="0" w:color="auto"/>
            </w:tcBorders>
            <w:shd w:val="clear" w:color="auto" w:fill="auto"/>
          </w:tcPr>
          <w:p w14:paraId="7C33147A" w14:textId="77777777" w:rsidR="00003265" w:rsidRPr="00DC4385" w:rsidRDefault="00016F29" w:rsidP="00E454FF">
            <w:pPr>
              <w:keepNext/>
              <w:keepLines/>
              <w:spacing w:line="280" w:lineRule="atLeast"/>
              <w:ind w:firstLine="426"/>
            </w:pPr>
            <w:r w:rsidRPr="00DC4385">
              <w:t>Rhinitis</w:t>
            </w:r>
          </w:p>
        </w:tc>
        <w:tc>
          <w:tcPr>
            <w:tcW w:w="3908" w:type="dxa"/>
            <w:shd w:val="clear" w:color="auto" w:fill="auto"/>
            <w:vAlign w:val="center"/>
          </w:tcPr>
          <w:p w14:paraId="7C33147B" w14:textId="77777777" w:rsidR="00003265" w:rsidRPr="00DC4385" w:rsidRDefault="00016F29" w:rsidP="00E454FF">
            <w:pPr>
              <w:keepNext/>
              <w:keepLines/>
              <w:spacing w:line="280" w:lineRule="atLeast"/>
              <w:jc w:val="center"/>
            </w:pPr>
            <w:r w:rsidRPr="00DC4385">
              <w:t>5%</w:t>
            </w:r>
          </w:p>
        </w:tc>
      </w:tr>
      <w:tr w:rsidR="003A788B" w14:paraId="7C33147E" w14:textId="77777777" w:rsidTr="00F742D8">
        <w:trPr>
          <w:trHeight w:val="20"/>
        </w:trPr>
        <w:tc>
          <w:tcPr>
            <w:tcW w:w="8046" w:type="dxa"/>
            <w:gridSpan w:val="2"/>
            <w:tcBorders>
              <w:bottom w:val="single" w:sz="4" w:space="0" w:color="auto"/>
            </w:tcBorders>
            <w:shd w:val="clear" w:color="auto" w:fill="auto"/>
          </w:tcPr>
          <w:p w14:paraId="7C33147D" w14:textId="77777777" w:rsidR="00DB5852" w:rsidRPr="00811833" w:rsidRDefault="00016F29" w:rsidP="00E06A78">
            <w:pPr>
              <w:keepNext/>
              <w:keepLines/>
              <w:spacing w:line="280" w:lineRule="atLeast"/>
              <w:ind w:right="3833"/>
            </w:pPr>
            <w:r w:rsidRPr="00811833">
              <w:rPr>
                <w:b/>
              </w:rPr>
              <w:t>Respiratory, thoracic and mediastinal disorders</w:t>
            </w:r>
          </w:p>
        </w:tc>
      </w:tr>
      <w:tr w:rsidR="003A788B" w14:paraId="7C331481" w14:textId="77777777" w:rsidTr="00B328AC">
        <w:trPr>
          <w:trHeight w:val="20"/>
        </w:trPr>
        <w:tc>
          <w:tcPr>
            <w:tcW w:w="4138" w:type="dxa"/>
            <w:tcBorders>
              <w:bottom w:val="single" w:sz="4" w:space="0" w:color="auto"/>
            </w:tcBorders>
            <w:shd w:val="clear" w:color="auto" w:fill="auto"/>
          </w:tcPr>
          <w:p w14:paraId="7C33147F" w14:textId="77777777" w:rsidR="00DB5852" w:rsidRPr="00811833" w:rsidRDefault="00016F29" w:rsidP="00451AB3">
            <w:pPr>
              <w:keepNext/>
              <w:keepLines/>
              <w:spacing w:line="280" w:lineRule="atLeast"/>
              <w:ind w:firstLine="426"/>
            </w:pPr>
            <w:r w:rsidRPr="00811833">
              <w:t>Dyspnoea</w:t>
            </w:r>
          </w:p>
        </w:tc>
        <w:tc>
          <w:tcPr>
            <w:tcW w:w="3908" w:type="dxa"/>
            <w:shd w:val="clear" w:color="auto" w:fill="auto"/>
            <w:vAlign w:val="center"/>
          </w:tcPr>
          <w:p w14:paraId="7C331480" w14:textId="77777777" w:rsidR="00DB5852" w:rsidRPr="00811833" w:rsidRDefault="00016F29" w:rsidP="00451AB3">
            <w:pPr>
              <w:keepNext/>
              <w:keepLines/>
              <w:spacing w:line="280" w:lineRule="atLeast"/>
              <w:jc w:val="center"/>
            </w:pPr>
            <w:r w:rsidRPr="00811833">
              <w:t>9%</w:t>
            </w:r>
          </w:p>
        </w:tc>
      </w:tr>
      <w:tr w:rsidR="003A788B" w14:paraId="7C331483" w14:textId="77777777" w:rsidTr="00F742D8">
        <w:trPr>
          <w:trHeight w:val="20"/>
        </w:trPr>
        <w:tc>
          <w:tcPr>
            <w:tcW w:w="8046" w:type="dxa"/>
            <w:gridSpan w:val="2"/>
            <w:tcBorders>
              <w:bottom w:val="single" w:sz="4" w:space="0" w:color="auto"/>
            </w:tcBorders>
            <w:shd w:val="clear" w:color="auto" w:fill="auto"/>
          </w:tcPr>
          <w:p w14:paraId="7C331482" w14:textId="77777777" w:rsidR="00DB5852" w:rsidRPr="00811833" w:rsidRDefault="00016F29" w:rsidP="00E06A78">
            <w:pPr>
              <w:keepNext/>
              <w:keepLines/>
              <w:spacing w:line="280" w:lineRule="atLeast"/>
            </w:pPr>
            <w:r w:rsidRPr="00811833">
              <w:rPr>
                <w:b/>
              </w:rPr>
              <w:t xml:space="preserve">Gastrointestinal disorders </w:t>
            </w:r>
          </w:p>
        </w:tc>
      </w:tr>
      <w:tr w:rsidR="003A788B" w14:paraId="7C331486" w14:textId="77777777" w:rsidTr="00B328AC">
        <w:trPr>
          <w:trHeight w:val="20"/>
        </w:trPr>
        <w:tc>
          <w:tcPr>
            <w:tcW w:w="4138" w:type="dxa"/>
            <w:tcBorders>
              <w:bottom w:val="single" w:sz="4" w:space="0" w:color="auto"/>
            </w:tcBorders>
            <w:shd w:val="clear" w:color="auto" w:fill="auto"/>
          </w:tcPr>
          <w:p w14:paraId="7C331484" w14:textId="77777777" w:rsidR="00DB5852" w:rsidRPr="00811833" w:rsidRDefault="00016F29" w:rsidP="00451AB3">
            <w:pPr>
              <w:keepNext/>
              <w:keepLines/>
              <w:spacing w:line="280" w:lineRule="atLeast"/>
              <w:ind w:firstLine="426"/>
            </w:pPr>
            <w:r w:rsidRPr="00811833">
              <w:t>Diarrhoea</w:t>
            </w:r>
          </w:p>
        </w:tc>
        <w:tc>
          <w:tcPr>
            <w:tcW w:w="3908" w:type="dxa"/>
            <w:shd w:val="clear" w:color="auto" w:fill="auto"/>
            <w:vAlign w:val="center"/>
          </w:tcPr>
          <w:p w14:paraId="7C331485" w14:textId="77777777" w:rsidR="00DB5852" w:rsidRPr="00811833" w:rsidRDefault="00016F29" w:rsidP="00451AB3">
            <w:pPr>
              <w:keepNext/>
              <w:keepLines/>
              <w:spacing w:line="280" w:lineRule="atLeast"/>
              <w:jc w:val="center"/>
            </w:pPr>
            <w:r w:rsidRPr="00811833">
              <w:t>7%</w:t>
            </w:r>
          </w:p>
        </w:tc>
      </w:tr>
      <w:tr w:rsidR="003A788B" w14:paraId="7C331489" w14:textId="77777777" w:rsidTr="00B328AC">
        <w:trPr>
          <w:trHeight w:val="20"/>
        </w:trPr>
        <w:tc>
          <w:tcPr>
            <w:tcW w:w="4138" w:type="dxa"/>
            <w:tcBorders>
              <w:right w:val="nil"/>
            </w:tcBorders>
            <w:shd w:val="clear" w:color="auto" w:fill="auto"/>
          </w:tcPr>
          <w:p w14:paraId="7C331487" w14:textId="77777777" w:rsidR="00C51B26" w:rsidRPr="00DC4385" w:rsidRDefault="00016F29" w:rsidP="00E454FF">
            <w:pPr>
              <w:keepNext/>
              <w:keepLines/>
              <w:spacing w:line="280" w:lineRule="atLeast"/>
              <w:rPr>
                <w:b/>
              </w:rPr>
            </w:pPr>
            <w:r w:rsidRPr="00DC4385">
              <w:rPr>
                <w:b/>
              </w:rPr>
              <w:t>General disorders and administration site conditions</w:t>
            </w:r>
          </w:p>
        </w:tc>
        <w:tc>
          <w:tcPr>
            <w:tcW w:w="3908" w:type="dxa"/>
            <w:tcBorders>
              <w:left w:val="nil"/>
            </w:tcBorders>
            <w:shd w:val="clear" w:color="auto" w:fill="auto"/>
            <w:vAlign w:val="center"/>
          </w:tcPr>
          <w:p w14:paraId="7C331488" w14:textId="77777777" w:rsidR="00C51B26" w:rsidRPr="00DC4385" w:rsidRDefault="00C51B26" w:rsidP="00E454FF">
            <w:pPr>
              <w:keepNext/>
              <w:keepLines/>
              <w:spacing w:line="280" w:lineRule="atLeast"/>
              <w:jc w:val="center"/>
            </w:pPr>
          </w:p>
        </w:tc>
      </w:tr>
      <w:tr w:rsidR="003A788B" w14:paraId="7C33148C" w14:textId="77777777" w:rsidTr="00B328AC">
        <w:trPr>
          <w:trHeight w:val="20"/>
        </w:trPr>
        <w:tc>
          <w:tcPr>
            <w:tcW w:w="4138" w:type="dxa"/>
            <w:shd w:val="clear" w:color="auto" w:fill="auto"/>
          </w:tcPr>
          <w:p w14:paraId="7C33148A" w14:textId="77777777" w:rsidR="00003265" w:rsidRPr="00DC4385" w:rsidRDefault="00016F29" w:rsidP="00E454FF">
            <w:pPr>
              <w:keepNext/>
              <w:keepLines/>
              <w:spacing w:line="280" w:lineRule="atLeast"/>
              <w:ind w:firstLine="426"/>
            </w:pPr>
            <w:r w:rsidRPr="00DC4385">
              <w:t>Pyrexia</w:t>
            </w:r>
          </w:p>
        </w:tc>
        <w:tc>
          <w:tcPr>
            <w:tcW w:w="3908" w:type="dxa"/>
            <w:shd w:val="clear" w:color="auto" w:fill="auto"/>
            <w:vAlign w:val="center"/>
          </w:tcPr>
          <w:p w14:paraId="7C33148B" w14:textId="77777777" w:rsidR="00003265" w:rsidRPr="00DC4385" w:rsidRDefault="00016F29" w:rsidP="00E454FF">
            <w:pPr>
              <w:keepNext/>
              <w:keepLines/>
              <w:spacing w:line="280" w:lineRule="atLeast"/>
              <w:jc w:val="center"/>
            </w:pPr>
            <w:r w:rsidRPr="00DC4385">
              <w:t>9%</w:t>
            </w:r>
          </w:p>
        </w:tc>
      </w:tr>
      <w:tr w:rsidR="003A788B" w14:paraId="7C33148F" w14:textId="77777777" w:rsidTr="00B328AC">
        <w:trPr>
          <w:trHeight w:val="20"/>
        </w:trPr>
        <w:tc>
          <w:tcPr>
            <w:tcW w:w="4138" w:type="dxa"/>
            <w:shd w:val="clear" w:color="auto" w:fill="auto"/>
          </w:tcPr>
          <w:p w14:paraId="7C33148D" w14:textId="77777777" w:rsidR="00003265" w:rsidRPr="00DC4385" w:rsidRDefault="00016F29" w:rsidP="00E454FF">
            <w:pPr>
              <w:keepNext/>
              <w:keepLines/>
              <w:spacing w:line="280" w:lineRule="atLeast"/>
              <w:ind w:firstLine="426"/>
            </w:pPr>
            <w:r w:rsidRPr="00DC4385">
              <w:t>Influenza-like illness</w:t>
            </w:r>
          </w:p>
        </w:tc>
        <w:tc>
          <w:tcPr>
            <w:tcW w:w="3908" w:type="dxa"/>
            <w:shd w:val="clear" w:color="auto" w:fill="auto"/>
            <w:vAlign w:val="center"/>
          </w:tcPr>
          <w:p w14:paraId="7C33148E" w14:textId="77777777" w:rsidR="00003265" w:rsidRPr="00DC4385" w:rsidRDefault="00016F29" w:rsidP="00E454FF">
            <w:pPr>
              <w:keepNext/>
              <w:keepLines/>
              <w:spacing w:line="280" w:lineRule="atLeast"/>
              <w:jc w:val="center"/>
            </w:pPr>
            <w:r w:rsidRPr="00DC4385">
              <w:t>5%</w:t>
            </w:r>
          </w:p>
        </w:tc>
      </w:tr>
      <w:tr w:rsidR="003A788B" w14:paraId="7C331492" w14:textId="77777777" w:rsidTr="00B328AC">
        <w:trPr>
          <w:trHeight w:val="20"/>
        </w:trPr>
        <w:tc>
          <w:tcPr>
            <w:tcW w:w="4138" w:type="dxa"/>
            <w:tcBorders>
              <w:bottom w:val="single" w:sz="4" w:space="0" w:color="auto"/>
            </w:tcBorders>
            <w:shd w:val="clear" w:color="auto" w:fill="auto"/>
          </w:tcPr>
          <w:p w14:paraId="7C331490" w14:textId="77777777" w:rsidR="00003265" w:rsidRPr="00DC4385" w:rsidRDefault="00016F29" w:rsidP="00E06A78">
            <w:pPr>
              <w:keepNext/>
              <w:keepLines/>
              <w:spacing w:line="280" w:lineRule="atLeast"/>
              <w:ind w:firstLine="426"/>
            </w:pPr>
            <w:r w:rsidRPr="00DC4385">
              <w:t>Oedema peripheral</w:t>
            </w:r>
          </w:p>
        </w:tc>
        <w:tc>
          <w:tcPr>
            <w:tcW w:w="3908" w:type="dxa"/>
            <w:shd w:val="clear" w:color="auto" w:fill="auto"/>
            <w:vAlign w:val="center"/>
          </w:tcPr>
          <w:p w14:paraId="7C331491" w14:textId="77777777" w:rsidR="00003265" w:rsidRPr="00DC4385" w:rsidRDefault="00016F29" w:rsidP="00E06A78">
            <w:pPr>
              <w:keepNext/>
              <w:keepLines/>
              <w:spacing w:line="280" w:lineRule="atLeast"/>
              <w:jc w:val="center"/>
            </w:pPr>
            <w:r w:rsidRPr="00DC4385">
              <w:t>5%</w:t>
            </w:r>
          </w:p>
        </w:tc>
      </w:tr>
      <w:tr w:rsidR="003A788B" w14:paraId="7C331495" w14:textId="77777777" w:rsidTr="00B328AC">
        <w:trPr>
          <w:trHeight w:val="20"/>
        </w:trPr>
        <w:tc>
          <w:tcPr>
            <w:tcW w:w="4138" w:type="dxa"/>
            <w:tcBorders>
              <w:right w:val="nil"/>
            </w:tcBorders>
            <w:shd w:val="clear" w:color="auto" w:fill="auto"/>
          </w:tcPr>
          <w:p w14:paraId="7C331493" w14:textId="77777777" w:rsidR="00C51B26" w:rsidRPr="00DC4385" w:rsidRDefault="00016F29" w:rsidP="00E06A78">
            <w:pPr>
              <w:keepNext/>
              <w:keepLines/>
              <w:spacing w:line="280" w:lineRule="atLeast"/>
              <w:rPr>
                <w:b/>
              </w:rPr>
            </w:pPr>
            <w:r w:rsidRPr="00DC4385">
              <w:rPr>
                <w:b/>
              </w:rPr>
              <w:t>Injury, poisoning and procedural complications</w:t>
            </w:r>
          </w:p>
        </w:tc>
        <w:tc>
          <w:tcPr>
            <w:tcW w:w="3908" w:type="dxa"/>
            <w:tcBorders>
              <w:left w:val="nil"/>
            </w:tcBorders>
            <w:shd w:val="clear" w:color="auto" w:fill="auto"/>
            <w:vAlign w:val="center"/>
          </w:tcPr>
          <w:p w14:paraId="7C331494" w14:textId="77777777" w:rsidR="00C51B26" w:rsidRPr="00DC4385" w:rsidRDefault="00C51B26" w:rsidP="00E06A78">
            <w:pPr>
              <w:keepNext/>
              <w:keepLines/>
              <w:spacing w:line="280" w:lineRule="atLeast"/>
              <w:jc w:val="center"/>
            </w:pPr>
          </w:p>
        </w:tc>
      </w:tr>
      <w:tr w:rsidR="003A788B" w14:paraId="7C331498" w14:textId="77777777" w:rsidTr="00B328AC">
        <w:trPr>
          <w:trHeight w:val="20"/>
        </w:trPr>
        <w:tc>
          <w:tcPr>
            <w:tcW w:w="4138" w:type="dxa"/>
            <w:shd w:val="clear" w:color="auto" w:fill="auto"/>
          </w:tcPr>
          <w:p w14:paraId="7C331496" w14:textId="77777777" w:rsidR="00003265" w:rsidRPr="00DC4385" w:rsidRDefault="00016F29" w:rsidP="00003265">
            <w:pPr>
              <w:spacing w:line="280" w:lineRule="atLeast"/>
              <w:ind w:firstLine="426"/>
            </w:pPr>
            <w:r>
              <w:t>Infusion-</w:t>
            </w:r>
            <w:r w:rsidRPr="00DC4385">
              <w:t xml:space="preserve">related </w:t>
            </w:r>
            <w:r w:rsidR="00807DC7" w:rsidRPr="00811833">
              <w:t>reactions</w:t>
            </w:r>
            <w:r w:rsidR="00807DC7">
              <w:rPr>
                <w:vertAlign w:val="superscript"/>
              </w:rPr>
              <w:t>1</w:t>
            </w:r>
          </w:p>
        </w:tc>
        <w:tc>
          <w:tcPr>
            <w:tcW w:w="3908" w:type="dxa"/>
            <w:shd w:val="clear" w:color="auto" w:fill="auto"/>
            <w:vAlign w:val="center"/>
          </w:tcPr>
          <w:p w14:paraId="7C331497" w14:textId="77777777" w:rsidR="00003265" w:rsidRPr="00DC4385" w:rsidRDefault="00016F29" w:rsidP="00003265">
            <w:pPr>
              <w:spacing w:line="280" w:lineRule="atLeast"/>
              <w:jc w:val="center"/>
            </w:pPr>
            <w:r w:rsidRPr="00DC4385">
              <w:t>12%</w:t>
            </w:r>
          </w:p>
        </w:tc>
      </w:tr>
      <w:tr w:rsidR="003A788B" w14:paraId="7C33149A" w14:textId="77777777" w:rsidTr="00B328AC">
        <w:trPr>
          <w:trHeight w:val="20"/>
        </w:trPr>
        <w:tc>
          <w:tcPr>
            <w:tcW w:w="8046" w:type="dxa"/>
            <w:gridSpan w:val="2"/>
            <w:shd w:val="clear" w:color="auto" w:fill="auto"/>
          </w:tcPr>
          <w:p w14:paraId="7C331499" w14:textId="77777777" w:rsidR="00003265" w:rsidRPr="00DC4385" w:rsidRDefault="00016F29" w:rsidP="00003265">
            <w:pPr>
              <w:spacing w:line="280" w:lineRule="atLeast"/>
            </w:pPr>
            <w:r>
              <w:rPr>
                <w:sz w:val="20"/>
                <w:vertAlign w:val="superscript"/>
              </w:rPr>
              <w:t>1</w:t>
            </w:r>
            <w:r w:rsidRPr="00811833">
              <w:rPr>
                <w:sz w:val="20"/>
              </w:rPr>
              <w:t>Details</w:t>
            </w:r>
            <w:r w:rsidRPr="00DC4385">
              <w:rPr>
                <w:sz w:val="20"/>
              </w:rPr>
              <w:t xml:space="preserve"> on infusion related reactions are provided in the description of selected adverse reactions section.</w:t>
            </w:r>
          </w:p>
        </w:tc>
      </w:tr>
    </w:tbl>
    <w:p w14:paraId="7C33149B" w14:textId="77777777" w:rsidR="00F95D68" w:rsidRDefault="00F95D68" w:rsidP="003041F0"/>
    <w:p w14:paraId="7C33149C" w14:textId="77777777" w:rsidR="003041F0" w:rsidRDefault="00016F29" w:rsidP="003041F0">
      <w:r>
        <w:t xml:space="preserve">The overall </w:t>
      </w:r>
      <w:r w:rsidRPr="00BD0AE8">
        <w:t xml:space="preserve">safety profile was consistent with the well-established safety profile for MabThera in approved autoimmune indications, including </w:t>
      </w:r>
      <w:r>
        <w:t>GPA</w:t>
      </w:r>
      <w:r w:rsidR="007830E0">
        <w:t>/</w:t>
      </w:r>
      <w:r>
        <w:t>MPA</w:t>
      </w:r>
      <w:r w:rsidRPr="00BD0AE8">
        <w:t>. Overall, 4% of patients in the MabThera arm experienced adverse events leading to discontinuation. Most adverse events in the MabThera arm were mild or moderate in intensity.  No patients in the MabThera</w:t>
      </w:r>
      <w:r>
        <w:t xml:space="preserve"> arm had fatal adverse events.</w:t>
      </w:r>
    </w:p>
    <w:p w14:paraId="7C33149D" w14:textId="77777777" w:rsidR="003041F0" w:rsidRDefault="003041F0" w:rsidP="003041F0"/>
    <w:p w14:paraId="7C33149E" w14:textId="77777777" w:rsidR="008C4A9B" w:rsidRDefault="00016F29" w:rsidP="006D17B8">
      <w:r w:rsidRPr="00897F8D">
        <w:t>The</w:t>
      </w:r>
      <w:r>
        <w:t xml:space="preserve"> most </w:t>
      </w:r>
      <w:r w:rsidRPr="00897F8D">
        <w:t xml:space="preserve">commonly reported events considered </w:t>
      </w:r>
      <w:r>
        <w:t xml:space="preserve">as </w:t>
      </w:r>
      <w:r w:rsidRPr="00897F8D">
        <w:t xml:space="preserve">ADRs were infusion-related reactions and infections.  </w:t>
      </w:r>
    </w:p>
    <w:p w14:paraId="7C33149F" w14:textId="77777777" w:rsidR="008C4A9B" w:rsidRDefault="008C4A9B" w:rsidP="006D17B8"/>
    <w:p w14:paraId="7C3314A0" w14:textId="77777777" w:rsidR="006C009C" w:rsidRDefault="00016F29" w:rsidP="001F368C">
      <w:pPr>
        <w:spacing w:line="280" w:lineRule="atLeast"/>
        <w:rPr>
          <w:rFonts w:eastAsia="Calibri"/>
          <w:szCs w:val="22"/>
          <w:lang w:val="en-GB" w:eastAsia="en-US"/>
        </w:rPr>
      </w:pPr>
      <w:r w:rsidRPr="001F368C">
        <w:rPr>
          <w:i/>
          <w:szCs w:val="22"/>
          <w:lang w:val="en-GB"/>
        </w:rPr>
        <w:t>Long-term follow-up (GPA/MPA Study 3)</w:t>
      </w:r>
    </w:p>
    <w:p w14:paraId="7C3314A1" w14:textId="77777777" w:rsidR="006D17B8" w:rsidRPr="00D301E6" w:rsidRDefault="00016F29" w:rsidP="006D17B8">
      <w:r w:rsidRPr="00AB47D0">
        <w:t>In a long-term observational safety study, 97 GPA</w:t>
      </w:r>
      <w:r w:rsidR="007830E0" w:rsidRPr="00AB47D0">
        <w:t>/</w:t>
      </w:r>
      <w:r w:rsidRPr="00AB47D0">
        <w:t>MPA patients received treatment with MabThera (mean of 8 infusions [range 1-28]) for up to 4 years, according to their physician’s standard practice and discretion. </w:t>
      </w:r>
      <w:r w:rsidR="007830E0" w:rsidRPr="00AB47D0">
        <w:t xml:space="preserve"> </w:t>
      </w:r>
      <w:r w:rsidRPr="00AB47D0">
        <w:t>The overall safety profile was consistent with the well-established safety profile of MabThera in RA and GPA</w:t>
      </w:r>
      <w:r w:rsidR="007830E0" w:rsidRPr="00AB47D0">
        <w:t>/</w:t>
      </w:r>
      <w:r w:rsidRPr="00AB47D0">
        <w:t>MPA</w:t>
      </w:r>
      <w:r w:rsidR="00AB47D0">
        <w:t xml:space="preserve"> </w:t>
      </w:r>
      <w:r w:rsidRPr="00AB47D0">
        <w:t xml:space="preserve">and no new </w:t>
      </w:r>
      <w:r w:rsidRPr="00D301E6">
        <w:t xml:space="preserve">adverse reactions were reported.   </w:t>
      </w:r>
    </w:p>
    <w:p w14:paraId="7C3314A2" w14:textId="77777777" w:rsidR="00897F8D" w:rsidRPr="00D301E6" w:rsidRDefault="00897F8D" w:rsidP="00897F8D">
      <w:pPr>
        <w:rPr>
          <w:i/>
          <w:szCs w:val="22"/>
          <w:u w:val="single"/>
        </w:rPr>
      </w:pPr>
    </w:p>
    <w:p w14:paraId="7C3314A3" w14:textId="77777777" w:rsidR="00296933" w:rsidRPr="00D301E6" w:rsidRDefault="00016F29" w:rsidP="00296933">
      <w:r w:rsidRPr="00D301E6">
        <w:rPr>
          <w:rFonts w:eastAsia="Calibri"/>
          <w:i/>
          <w:szCs w:val="22"/>
          <w:lang w:val="en-GB" w:eastAsia="en-US"/>
        </w:rPr>
        <w:t>Paediatric population</w:t>
      </w:r>
      <w:r w:rsidRPr="00D301E6">
        <w:t xml:space="preserve"> </w:t>
      </w:r>
    </w:p>
    <w:p w14:paraId="7C3314A4" w14:textId="77777777" w:rsidR="00296933" w:rsidRPr="00D301E6" w:rsidRDefault="00016F29" w:rsidP="00296933">
      <w:r w:rsidRPr="00D301E6">
        <w:t xml:space="preserve">An open-label, single arm study was conducted in 25 paediatric patients with </w:t>
      </w:r>
      <w:r w:rsidR="001917D5" w:rsidRPr="00D301E6">
        <w:t xml:space="preserve">severe, </w:t>
      </w:r>
      <w:r w:rsidRPr="00D301E6">
        <w:t xml:space="preserve">active GPA or MPA.  The overall study period consisted of a 6-month remission induction phase </w:t>
      </w:r>
      <w:r w:rsidR="003717C0" w:rsidRPr="00D301E6">
        <w:t>with</w:t>
      </w:r>
      <w:r w:rsidRPr="00D301E6">
        <w:t xml:space="preserve"> a minimum 18-month follow-up, up to 4.5 years</w:t>
      </w:r>
      <w:r w:rsidR="003717C0" w:rsidRPr="00D301E6">
        <w:t xml:space="preserve"> overall</w:t>
      </w:r>
      <w:r w:rsidRPr="00D301E6">
        <w:t>.  During the follow-up phase, MabThera was given at the discretion of the investigator (17 out of 25 patients received additional MabThera treatment).  Concomitant treatment with other immunosuppressive therapy was permitted (see section 5.1).</w:t>
      </w:r>
    </w:p>
    <w:p w14:paraId="7C3314A5" w14:textId="77777777" w:rsidR="00296933" w:rsidRPr="00D301E6" w:rsidRDefault="00296933" w:rsidP="00296933"/>
    <w:p w14:paraId="7C3314A6" w14:textId="77777777" w:rsidR="00296933" w:rsidRPr="00D301E6" w:rsidRDefault="00016F29" w:rsidP="00296933">
      <w:r w:rsidRPr="00F638AF">
        <w:t xml:space="preserve">ADRs were considered as adverse events that occurred at an incidence of ≥ 10%.  </w:t>
      </w:r>
      <w:r w:rsidRPr="00D301E6">
        <w:t xml:space="preserve">These included: infections (17 patients [68%] in the remission induction phase; 23 patients [92%] in the overall study period), IRRs (15 patients [60%] in the remission induction phase; 17 patients [68%] in the overall study period), and nausea (4 patients [16%] in the remission induction phase; 5 patients [20%] in the overall study period).   </w:t>
      </w:r>
    </w:p>
    <w:p w14:paraId="7C3314A7" w14:textId="77777777" w:rsidR="00296933" w:rsidRPr="00D301E6" w:rsidRDefault="00296933" w:rsidP="00296933"/>
    <w:p w14:paraId="7C3314A8" w14:textId="77777777" w:rsidR="003E7D46" w:rsidRDefault="00016F29" w:rsidP="00296933">
      <w:r w:rsidRPr="00D301E6">
        <w:t>During the overall study period, the safety profile of MabThera was consistent with that reported during the remission induction phase.</w:t>
      </w:r>
    </w:p>
    <w:p w14:paraId="7C3314A9" w14:textId="77777777" w:rsidR="003E7D46" w:rsidRDefault="003E7D46" w:rsidP="00296933"/>
    <w:p w14:paraId="7C3314AA" w14:textId="77777777" w:rsidR="00296933" w:rsidRDefault="00016F29" w:rsidP="00296933">
      <w:r>
        <w:t xml:space="preserve">The </w:t>
      </w:r>
      <w:r w:rsidRPr="00D301E6">
        <w:t xml:space="preserve">safety profile of MabThera in paediatric GPA or MPA patients was consistent in type, nature and severity with the known safety profile in adult patients </w:t>
      </w:r>
      <w:r w:rsidRPr="00F638AF">
        <w:t>in the approved autoimmune indications</w:t>
      </w:r>
      <w:r w:rsidRPr="00D301E6">
        <w:t>, including adult GPA or MPA.</w:t>
      </w:r>
      <w:r w:rsidRPr="00AB47D0">
        <w:t xml:space="preserve">   </w:t>
      </w:r>
    </w:p>
    <w:p w14:paraId="7C3314AB" w14:textId="77777777" w:rsidR="00296933" w:rsidRPr="006D17B8" w:rsidRDefault="00296933" w:rsidP="00897F8D">
      <w:pPr>
        <w:rPr>
          <w:i/>
          <w:szCs w:val="22"/>
          <w:u w:val="single"/>
        </w:rPr>
      </w:pPr>
    </w:p>
    <w:p w14:paraId="7C3314AC" w14:textId="77777777" w:rsidR="008F369D" w:rsidRPr="00E06A78" w:rsidRDefault="00016F29" w:rsidP="00E06A78">
      <w:pPr>
        <w:spacing w:line="280" w:lineRule="atLeast"/>
        <w:rPr>
          <w:b/>
          <w:lang w:val="en-GB"/>
        </w:rPr>
      </w:pPr>
      <w:r>
        <w:rPr>
          <w:i/>
          <w:szCs w:val="22"/>
          <w:u w:val="single"/>
          <w:lang w:val="en-GB"/>
        </w:rPr>
        <w:t>Description of s</w:t>
      </w:r>
      <w:r w:rsidRPr="003D1687">
        <w:rPr>
          <w:i/>
          <w:szCs w:val="22"/>
          <w:u w:val="single"/>
          <w:lang w:val="en-GB"/>
        </w:rPr>
        <w:t>elected adverse  reactions</w:t>
      </w:r>
    </w:p>
    <w:p w14:paraId="7C3314AD" w14:textId="77777777" w:rsidR="00026E7C" w:rsidRPr="006E2A17" w:rsidRDefault="00026E7C" w:rsidP="00026E7C">
      <w:pPr>
        <w:spacing w:line="280" w:lineRule="atLeast"/>
        <w:rPr>
          <w:b/>
          <w:szCs w:val="22"/>
          <w:lang w:val="en-GB"/>
        </w:rPr>
      </w:pPr>
    </w:p>
    <w:p w14:paraId="7C3314AE" w14:textId="77777777" w:rsidR="008F369D" w:rsidRPr="006E2A17" w:rsidRDefault="00016F29" w:rsidP="008F369D">
      <w:pPr>
        <w:ind w:right="-449"/>
        <w:rPr>
          <w:rFonts w:eastAsia="Calibri"/>
          <w:i/>
          <w:szCs w:val="22"/>
          <w:lang w:val="en-GB" w:eastAsia="en-US"/>
        </w:rPr>
      </w:pPr>
      <w:r w:rsidRPr="006E2A17">
        <w:rPr>
          <w:rFonts w:eastAsia="Calibri"/>
          <w:i/>
          <w:szCs w:val="22"/>
          <w:lang w:val="en-GB" w:eastAsia="en-US"/>
        </w:rPr>
        <w:t>Infusion</w:t>
      </w:r>
      <w:r w:rsidR="005B7FA0">
        <w:rPr>
          <w:rFonts w:eastAsia="Calibri"/>
          <w:i/>
          <w:szCs w:val="22"/>
          <w:lang w:val="en-GB" w:eastAsia="en-US"/>
        </w:rPr>
        <w:t>-</w:t>
      </w:r>
      <w:r w:rsidRPr="006E2A17">
        <w:rPr>
          <w:rFonts w:eastAsia="Calibri"/>
          <w:i/>
          <w:szCs w:val="22"/>
          <w:lang w:val="en-GB" w:eastAsia="en-US"/>
        </w:rPr>
        <w:t>related reactions</w:t>
      </w:r>
    </w:p>
    <w:p w14:paraId="7C3314AF" w14:textId="77777777" w:rsidR="008F369D" w:rsidRDefault="00016F29" w:rsidP="005B2928">
      <w:pPr>
        <w:rPr>
          <w:rFonts w:eastAsia="SimSun"/>
          <w:szCs w:val="22"/>
          <w:lang w:val="en-GB" w:eastAsia="zh-CN"/>
        </w:rPr>
      </w:pPr>
      <w:r>
        <w:rPr>
          <w:color w:val="000000"/>
          <w:szCs w:val="22"/>
          <w:lang w:val="en-GB"/>
        </w:rPr>
        <w:t xml:space="preserve">In </w:t>
      </w:r>
      <w:r w:rsidR="006C009C">
        <w:rPr>
          <w:rFonts w:eastAsia="Calibri"/>
          <w:szCs w:val="22"/>
          <w:lang w:val="en-GB" w:eastAsia="en-US"/>
        </w:rPr>
        <w:t>GPA/MPA Study 1</w:t>
      </w:r>
      <w:r w:rsidR="00247F31">
        <w:rPr>
          <w:rFonts w:eastAsia="Calibri"/>
          <w:szCs w:val="22"/>
          <w:lang w:val="en-GB" w:eastAsia="en-US"/>
        </w:rPr>
        <w:t xml:space="preserve"> </w:t>
      </w:r>
      <w:r w:rsidR="006C009C">
        <w:rPr>
          <w:rFonts w:eastAsia="Calibri"/>
          <w:szCs w:val="22"/>
          <w:lang w:val="en-GB" w:eastAsia="en-US"/>
        </w:rPr>
        <w:t>(adult induction of remission study)</w:t>
      </w:r>
      <w:r w:rsidR="004C0889">
        <w:rPr>
          <w:color w:val="000000"/>
          <w:szCs w:val="22"/>
          <w:lang w:val="en-GB"/>
        </w:rPr>
        <w:t xml:space="preserve">, </w:t>
      </w:r>
      <w:r w:rsidRPr="005B5A38">
        <w:rPr>
          <w:szCs w:val="22"/>
          <w:lang w:val="en-GB"/>
        </w:rPr>
        <w:t>IRRs were defined as any adverse event occurring within 24 hours of an infusion and considered to be infusion</w:t>
      </w:r>
      <w:r w:rsidR="000A6DDA" w:rsidRPr="005B5A38">
        <w:rPr>
          <w:szCs w:val="22"/>
          <w:lang w:val="en-GB"/>
        </w:rPr>
        <w:noBreakHyphen/>
      </w:r>
      <w:r w:rsidRPr="005B5A38">
        <w:rPr>
          <w:szCs w:val="22"/>
          <w:lang w:val="en-GB"/>
        </w:rPr>
        <w:t>related by investigators in the safety population</w:t>
      </w:r>
      <w:r w:rsidRPr="005B5A38">
        <w:rPr>
          <w:rFonts w:eastAsia="SimSun"/>
          <w:szCs w:val="22"/>
          <w:lang w:val="en-GB" w:eastAsia="zh-CN"/>
        </w:rPr>
        <w:t xml:space="preserve">. </w:t>
      </w:r>
      <w:r w:rsidR="004C0889">
        <w:rPr>
          <w:rFonts w:eastAsia="SimSun"/>
          <w:szCs w:val="22"/>
          <w:lang w:val="en-GB" w:eastAsia="zh-CN"/>
        </w:rPr>
        <w:t>Of the 99</w:t>
      </w:r>
      <w:r w:rsidRPr="005B5A38">
        <w:rPr>
          <w:rFonts w:eastAsia="SimSun"/>
          <w:szCs w:val="22"/>
          <w:lang w:val="en-GB" w:eastAsia="zh-CN"/>
        </w:rPr>
        <w:t xml:space="preserve"> patients treated with MabThera</w:t>
      </w:r>
      <w:r w:rsidR="00153C08">
        <w:rPr>
          <w:rFonts w:eastAsia="SimSun"/>
          <w:szCs w:val="22"/>
          <w:lang w:val="en-GB" w:eastAsia="zh-CN"/>
        </w:rPr>
        <w:t>,</w:t>
      </w:r>
      <w:r w:rsidRPr="005B5A38">
        <w:rPr>
          <w:rFonts w:eastAsia="SimSun"/>
          <w:szCs w:val="22"/>
          <w:lang w:val="en-GB" w:eastAsia="zh-CN"/>
        </w:rPr>
        <w:t xml:space="preserve"> </w:t>
      </w:r>
      <w:r w:rsidR="004C0889">
        <w:rPr>
          <w:rFonts w:eastAsia="SimSun"/>
          <w:szCs w:val="22"/>
          <w:lang w:val="en-GB" w:eastAsia="zh-CN"/>
        </w:rPr>
        <w:t>12 (</w:t>
      </w:r>
      <w:r w:rsidRPr="005B5A38">
        <w:rPr>
          <w:rFonts w:eastAsia="SimSun"/>
          <w:szCs w:val="22"/>
          <w:lang w:val="en-GB" w:eastAsia="zh-CN"/>
        </w:rPr>
        <w:t>12%</w:t>
      </w:r>
      <w:r w:rsidR="004C0889">
        <w:rPr>
          <w:rFonts w:eastAsia="SimSun"/>
          <w:szCs w:val="22"/>
          <w:lang w:val="en-GB" w:eastAsia="zh-CN"/>
        </w:rPr>
        <w:t>)</w:t>
      </w:r>
      <w:r w:rsidRPr="005B5A38">
        <w:rPr>
          <w:rFonts w:eastAsia="SimSun"/>
          <w:szCs w:val="22"/>
          <w:lang w:val="en-GB" w:eastAsia="zh-CN"/>
        </w:rPr>
        <w:t xml:space="preserve"> experienced at least one IRR. </w:t>
      </w:r>
      <w:r w:rsidRPr="005B5A38">
        <w:rPr>
          <w:szCs w:val="22"/>
          <w:lang w:val="en-GB"/>
        </w:rPr>
        <w:t xml:space="preserve">All IRRs were CTC Grade 1 or 2. The most common IRRs included cytokine release syndrome, flushing, throat irritation, and tremor. </w:t>
      </w:r>
      <w:r w:rsidRPr="005B5A38">
        <w:rPr>
          <w:rFonts w:eastAsia="SimSun"/>
          <w:szCs w:val="22"/>
          <w:lang w:val="en-GB" w:eastAsia="zh-CN"/>
        </w:rPr>
        <w:t>MabThera was given in combination with intravenous glucocorticoids which may reduce the incidence and severity of these events.</w:t>
      </w:r>
    </w:p>
    <w:p w14:paraId="7C3314B0" w14:textId="77777777" w:rsidR="004C0889" w:rsidRDefault="004C0889" w:rsidP="005B2928">
      <w:pPr>
        <w:rPr>
          <w:rFonts w:eastAsia="SimSun"/>
          <w:szCs w:val="22"/>
          <w:lang w:val="en-GB" w:eastAsia="zh-CN"/>
        </w:rPr>
      </w:pPr>
    </w:p>
    <w:p w14:paraId="7C3314B1" w14:textId="77777777" w:rsidR="004C0889" w:rsidRPr="004C0889" w:rsidRDefault="00016F29" w:rsidP="004C0889">
      <w:pPr>
        <w:rPr>
          <w:rFonts w:eastAsia="MS Mincho"/>
          <w:lang w:eastAsia="en-US"/>
        </w:rPr>
      </w:pPr>
      <w:r w:rsidRPr="004C0889">
        <w:t xml:space="preserve">In </w:t>
      </w:r>
      <w:r w:rsidR="006C009C">
        <w:rPr>
          <w:rFonts w:eastAsia="Calibri"/>
          <w:szCs w:val="22"/>
          <w:lang w:val="en-GB" w:eastAsia="en-US"/>
        </w:rPr>
        <w:t>GPA/MPA Study 2 (adult maintenance study)</w:t>
      </w:r>
      <w:r w:rsidRPr="004C0889">
        <w:t xml:space="preserve">, 7/57 (12%) patients in the MabThera </w:t>
      </w:r>
      <w:r w:rsidRPr="0029534C">
        <w:t xml:space="preserve">arm </w:t>
      </w:r>
      <w:r w:rsidR="000D49B6" w:rsidRPr="0029534C">
        <w:t xml:space="preserve">experienced </w:t>
      </w:r>
      <w:r w:rsidR="000E27A5" w:rsidRPr="0029534C">
        <w:t xml:space="preserve">at least one </w:t>
      </w:r>
      <w:r w:rsidRPr="0029534C">
        <w:t>infusion-related reaction.</w:t>
      </w:r>
      <w:r w:rsidRPr="004C0889">
        <w:t xml:space="preserve">  The incidence of IRR symptoms was highest during or after the first infusion (9%) and decreased with subsequent infusions (&lt;4%). All IRR symptoms were mild or moderate and most of them were reported from the SOCs Respiratory, Thoracic and Mediastinal Disorders and Skin and Subcutaneous Tissue disorders. </w:t>
      </w:r>
    </w:p>
    <w:p w14:paraId="7C3314B2" w14:textId="77777777" w:rsidR="00296933" w:rsidRPr="003E7D46" w:rsidRDefault="00296933" w:rsidP="003E7D46"/>
    <w:p w14:paraId="7C3314B3" w14:textId="77777777" w:rsidR="008F369D" w:rsidRPr="00D301E6" w:rsidRDefault="00016F29" w:rsidP="00296933">
      <w:pPr>
        <w:jc w:val="both"/>
        <w:rPr>
          <w:rFonts w:eastAsia="MS Mincho"/>
          <w:lang w:eastAsia="en-US"/>
        </w:rPr>
      </w:pPr>
      <w:r w:rsidRPr="004A0C2D">
        <w:rPr>
          <w:rFonts w:eastAsia="MS Mincho"/>
          <w:lang w:eastAsia="en-US"/>
        </w:rPr>
        <w:t>In the clinical trial in p</w:t>
      </w:r>
      <w:r>
        <w:rPr>
          <w:rFonts w:eastAsia="MS Mincho"/>
          <w:lang w:eastAsia="en-US"/>
        </w:rPr>
        <w:t>a</w:t>
      </w:r>
      <w:r w:rsidRPr="004A0C2D">
        <w:rPr>
          <w:rFonts w:eastAsia="MS Mincho"/>
          <w:lang w:eastAsia="en-US"/>
        </w:rPr>
        <w:t>ediatric patients with GPA</w:t>
      </w:r>
      <w:r>
        <w:rPr>
          <w:rFonts w:eastAsia="MS Mincho"/>
          <w:lang w:eastAsia="en-US"/>
        </w:rPr>
        <w:t xml:space="preserve"> or </w:t>
      </w:r>
      <w:r w:rsidRPr="004A0C2D">
        <w:rPr>
          <w:rFonts w:eastAsia="MS Mincho"/>
          <w:lang w:eastAsia="en-US"/>
        </w:rPr>
        <w:t xml:space="preserve">MPA, the reported IRRs were predominantly seen with the first infusion (8 patients [32%]), and then </w:t>
      </w:r>
      <w:r w:rsidRPr="00D301E6">
        <w:rPr>
          <w:rFonts w:eastAsia="MS Mincho"/>
          <w:lang w:eastAsia="en-US"/>
        </w:rPr>
        <w:t>decreased over time with the number of MabThera infusions (20% with the second infusion, 12% with the third infusion and 8% with the fourth infusion).  The most common IRR symptoms reported during the remission induction phase were: headache, rash, rhinorrhea and pyrexia (8%, for each symptom).  The observed symptoms of IRRs were similar to those known in adult GPA or MPA patients treated with MabThera.  The majority of IRRs were Grade 1 and Grade 2, there were two non-serious Grade 3 IRRs, and no Grade 4 or 5 IRRs reported.  One serious Grade 2 IRR (generalized oedema which resolved with treatment) was reported in one patient (see section 4.4).</w:t>
      </w:r>
    </w:p>
    <w:p w14:paraId="7C3314B4" w14:textId="77777777" w:rsidR="00296933" w:rsidRPr="00D301E6" w:rsidRDefault="00296933" w:rsidP="00296933">
      <w:pPr>
        <w:jc w:val="both"/>
        <w:rPr>
          <w:rFonts w:eastAsia="MS Mincho"/>
          <w:lang w:eastAsia="en-US"/>
        </w:rPr>
      </w:pPr>
    </w:p>
    <w:p w14:paraId="7C3314B5" w14:textId="77777777" w:rsidR="008F369D" w:rsidRPr="00D301E6" w:rsidRDefault="00016F29" w:rsidP="008F369D">
      <w:pPr>
        <w:jc w:val="both"/>
        <w:rPr>
          <w:i/>
          <w:szCs w:val="22"/>
          <w:lang w:val="en-GB"/>
        </w:rPr>
      </w:pPr>
      <w:r w:rsidRPr="00D301E6">
        <w:rPr>
          <w:i/>
          <w:szCs w:val="22"/>
          <w:lang w:val="en-GB"/>
        </w:rPr>
        <w:t xml:space="preserve">Infections </w:t>
      </w:r>
    </w:p>
    <w:p w14:paraId="7C3314B6" w14:textId="77777777" w:rsidR="00C72576" w:rsidRPr="00D301E6" w:rsidRDefault="00016F29" w:rsidP="005B2928">
      <w:pPr>
        <w:rPr>
          <w:szCs w:val="22"/>
          <w:lang w:val="en-GB"/>
        </w:rPr>
      </w:pPr>
      <w:r w:rsidRPr="00D301E6">
        <w:rPr>
          <w:szCs w:val="22"/>
          <w:lang w:val="en-GB"/>
        </w:rPr>
        <w:t xml:space="preserve">In </w:t>
      </w:r>
      <w:r w:rsidR="006C009C">
        <w:rPr>
          <w:rFonts w:eastAsia="Calibri"/>
          <w:szCs w:val="22"/>
          <w:lang w:val="en-GB" w:eastAsia="en-US"/>
        </w:rPr>
        <w:t>GPA/MPA Study 1</w:t>
      </w:r>
      <w:r w:rsidRPr="00D301E6">
        <w:rPr>
          <w:szCs w:val="22"/>
          <w:lang w:val="en-GB"/>
        </w:rPr>
        <w:t xml:space="preserve">, the overall rate of infection was approximately 237 per 100 patient years (95% CI 197 </w:t>
      </w:r>
      <w:r w:rsidR="000A6DDA" w:rsidRPr="00D301E6">
        <w:rPr>
          <w:szCs w:val="22"/>
          <w:lang w:val="en-GB"/>
        </w:rPr>
        <w:noBreakHyphen/>
      </w:r>
      <w:r w:rsidRPr="00D301E6">
        <w:rPr>
          <w:szCs w:val="22"/>
          <w:lang w:val="en-GB"/>
        </w:rPr>
        <w:t xml:space="preserve"> 285) at the 6</w:t>
      </w:r>
      <w:r w:rsidR="000A6DDA" w:rsidRPr="00D301E6">
        <w:rPr>
          <w:szCs w:val="22"/>
          <w:lang w:val="en-GB"/>
        </w:rPr>
        <w:noBreakHyphen/>
      </w:r>
      <w:r w:rsidRPr="00D301E6">
        <w:rPr>
          <w:szCs w:val="22"/>
          <w:lang w:val="en-GB"/>
        </w:rPr>
        <w:t>month primary endpoint. Infections were predominately mild to moderate and consisted mostly of upper respiratory tract infections, herpes zoster and urinary tract infections. The rate of serious infections was approximately 25 per 100 patient years. The most frequently reported serious infection in the MabThera group was pneumonia at a frequency of 4%.</w:t>
      </w:r>
    </w:p>
    <w:p w14:paraId="7C3314B7" w14:textId="77777777" w:rsidR="009730B9" w:rsidRPr="00D301E6" w:rsidRDefault="009730B9" w:rsidP="005B2928">
      <w:pPr>
        <w:rPr>
          <w:szCs w:val="22"/>
          <w:lang w:val="en-GB"/>
        </w:rPr>
      </w:pPr>
    </w:p>
    <w:p w14:paraId="7C3314B8" w14:textId="77777777" w:rsidR="00C72576" w:rsidRDefault="00016F29">
      <w:pPr>
        <w:pStyle w:val="TextTi12"/>
        <w:spacing w:after="0" w:line="240" w:lineRule="atLeast"/>
        <w:jc w:val="left"/>
        <w:rPr>
          <w:sz w:val="22"/>
          <w:szCs w:val="22"/>
        </w:rPr>
      </w:pPr>
      <w:r w:rsidRPr="00E06A78">
        <w:rPr>
          <w:sz w:val="22"/>
          <w:szCs w:val="22"/>
          <w:lang w:val="en-GB"/>
        </w:rPr>
        <w:t xml:space="preserve">In </w:t>
      </w:r>
      <w:r w:rsidR="006C009C" w:rsidRPr="00E06A78">
        <w:rPr>
          <w:sz w:val="22"/>
          <w:szCs w:val="22"/>
          <w:lang w:val="en-GB"/>
        </w:rPr>
        <w:t xml:space="preserve">GPA/MPA Study </w:t>
      </w:r>
      <w:r w:rsidR="00AD589B" w:rsidRPr="00E06A78">
        <w:rPr>
          <w:sz w:val="22"/>
          <w:szCs w:val="22"/>
          <w:lang w:val="en-GB"/>
        </w:rPr>
        <w:t>2</w:t>
      </w:r>
      <w:r w:rsidRPr="00E06A78">
        <w:rPr>
          <w:sz w:val="22"/>
          <w:szCs w:val="22"/>
          <w:lang w:val="en-GB"/>
        </w:rPr>
        <w:t>, 30/57 (53%) patients in the MabThera</w:t>
      </w:r>
      <w:r w:rsidRPr="00D301E6">
        <w:rPr>
          <w:sz w:val="22"/>
          <w:szCs w:val="22"/>
        </w:rPr>
        <w:t xml:space="preserve"> arm</w:t>
      </w:r>
      <w:r w:rsidR="003546BD" w:rsidRPr="00D301E6">
        <w:rPr>
          <w:sz w:val="22"/>
          <w:szCs w:val="22"/>
        </w:rPr>
        <w:t xml:space="preserve"> </w:t>
      </w:r>
      <w:r w:rsidR="000D49B6" w:rsidRPr="00D301E6">
        <w:rPr>
          <w:sz w:val="22"/>
          <w:szCs w:val="22"/>
        </w:rPr>
        <w:t>experienced</w:t>
      </w:r>
      <w:r w:rsidR="0058456D" w:rsidRPr="00D301E6">
        <w:rPr>
          <w:sz w:val="22"/>
          <w:szCs w:val="22"/>
        </w:rPr>
        <w:t xml:space="preserve"> </w:t>
      </w:r>
      <w:r w:rsidRPr="00D301E6">
        <w:rPr>
          <w:sz w:val="22"/>
          <w:szCs w:val="22"/>
        </w:rPr>
        <w:t xml:space="preserve">infections. The incidence of all grade infections was similar between the arms. </w:t>
      </w:r>
      <w:r w:rsidRPr="00D301E6">
        <w:rPr>
          <w:rFonts w:cs="Arial"/>
          <w:sz w:val="22"/>
          <w:szCs w:val="22"/>
        </w:rPr>
        <w:t>Infections were predominately mild to moderate</w:t>
      </w:r>
      <w:r w:rsidRPr="00D301E6">
        <w:rPr>
          <w:sz w:val="22"/>
          <w:szCs w:val="22"/>
        </w:rPr>
        <w:t xml:space="preserve">. </w:t>
      </w:r>
      <w:r w:rsidR="00153C08" w:rsidRPr="00D301E6">
        <w:rPr>
          <w:sz w:val="22"/>
          <w:szCs w:val="22"/>
        </w:rPr>
        <w:t xml:space="preserve">The most </w:t>
      </w:r>
      <w:r w:rsidRPr="00D301E6">
        <w:rPr>
          <w:sz w:val="22"/>
          <w:szCs w:val="22"/>
        </w:rPr>
        <w:t>common infections in the MabThera arm included upper respiratory tract infections, gastroenteritis, urinary tract infections and herpes zoster. The incidence of serious infections was similar in both arms (</w:t>
      </w:r>
      <w:r w:rsidR="00175ABF" w:rsidRPr="00D301E6">
        <w:rPr>
          <w:sz w:val="22"/>
          <w:szCs w:val="22"/>
        </w:rPr>
        <w:t xml:space="preserve">approximately </w:t>
      </w:r>
      <w:r w:rsidRPr="00D301E6">
        <w:rPr>
          <w:sz w:val="22"/>
          <w:szCs w:val="22"/>
        </w:rPr>
        <w:t>12%). The most commonly reported serious infection in the MabThera group was mild or moderate bronchitis.</w:t>
      </w:r>
    </w:p>
    <w:p w14:paraId="7C3314B9" w14:textId="77777777" w:rsidR="008479F9" w:rsidRPr="00D301E6" w:rsidRDefault="008479F9">
      <w:pPr>
        <w:pStyle w:val="TextTi12"/>
        <w:spacing w:after="0" w:line="240" w:lineRule="atLeast"/>
        <w:jc w:val="left"/>
        <w:rPr>
          <w:sz w:val="22"/>
          <w:szCs w:val="22"/>
        </w:rPr>
      </w:pPr>
    </w:p>
    <w:p w14:paraId="7C3314BA" w14:textId="77777777" w:rsidR="00296933" w:rsidRDefault="00016F29" w:rsidP="00A56CE7">
      <w:pPr>
        <w:pStyle w:val="TextTi12"/>
        <w:spacing w:after="0" w:line="240" w:lineRule="atLeast"/>
        <w:jc w:val="left"/>
        <w:rPr>
          <w:sz w:val="22"/>
          <w:szCs w:val="22"/>
        </w:rPr>
      </w:pPr>
      <w:r w:rsidRPr="00F638AF">
        <w:rPr>
          <w:sz w:val="22"/>
          <w:szCs w:val="22"/>
        </w:rPr>
        <w:t>In the clinical trial in paediatric patients with</w:t>
      </w:r>
      <w:r w:rsidR="001917D5" w:rsidRPr="00D301E6">
        <w:rPr>
          <w:sz w:val="22"/>
          <w:szCs w:val="22"/>
        </w:rPr>
        <w:t xml:space="preserve"> severe,</w:t>
      </w:r>
      <w:r w:rsidRPr="00F638AF">
        <w:rPr>
          <w:sz w:val="22"/>
          <w:szCs w:val="22"/>
        </w:rPr>
        <w:t xml:space="preserve"> active GPA and MPA, 91% of reported infections were non-serious and 90% were mild to moderate.</w:t>
      </w:r>
      <w:r w:rsidRPr="00680575">
        <w:rPr>
          <w:sz w:val="22"/>
          <w:szCs w:val="22"/>
        </w:rPr>
        <w:t xml:space="preserve"> </w:t>
      </w:r>
    </w:p>
    <w:p w14:paraId="7C3314BB" w14:textId="77777777" w:rsidR="008479F9" w:rsidRDefault="008479F9" w:rsidP="00A56CE7">
      <w:pPr>
        <w:pStyle w:val="TextTi12"/>
        <w:spacing w:after="0" w:line="240" w:lineRule="atLeast"/>
        <w:jc w:val="left"/>
        <w:rPr>
          <w:sz w:val="22"/>
          <w:szCs w:val="22"/>
        </w:rPr>
      </w:pPr>
    </w:p>
    <w:p w14:paraId="7C3314BC" w14:textId="77777777" w:rsidR="00296933" w:rsidRPr="00BB3CA5" w:rsidRDefault="00016F29" w:rsidP="00A56CE7">
      <w:pPr>
        <w:pStyle w:val="TextTi12"/>
        <w:spacing w:after="0" w:line="240" w:lineRule="atLeast"/>
        <w:jc w:val="left"/>
        <w:rPr>
          <w:sz w:val="22"/>
          <w:szCs w:val="22"/>
        </w:rPr>
      </w:pPr>
      <w:r w:rsidRPr="004A0C2D">
        <w:rPr>
          <w:sz w:val="22"/>
          <w:szCs w:val="22"/>
        </w:rPr>
        <w:t>The most common infections in the overall phase were: upper respiratory tract infections (URTIs) (48%), influenza (24%), conjunctivitis (20%), nasopharyngitis (20%), lower respiratory tract infections (16%), sinusitis (16%), viral URTIs (16%), ear infection (12%), gastroenteritis (12%), pharyngitis (12%), urinary tract infection (12%).  Serious infections were reported in 7 patients (28%), and included: influenza (2 patients [8%]) and lower respiratory tract infection (2 patients [8%]) as the most frequently reported events.</w:t>
      </w:r>
    </w:p>
    <w:p w14:paraId="7C3314BD" w14:textId="77777777" w:rsidR="00296933" w:rsidRPr="00E06A78" w:rsidRDefault="00296933" w:rsidP="008F369D">
      <w:pPr>
        <w:jc w:val="both"/>
      </w:pPr>
    </w:p>
    <w:p w14:paraId="7C3314BE" w14:textId="77777777" w:rsidR="008F369D" w:rsidRPr="005B5A38" w:rsidRDefault="00016F29" w:rsidP="00E06A78">
      <w:pPr>
        <w:keepNext/>
        <w:keepLines/>
        <w:rPr>
          <w:szCs w:val="22"/>
          <w:lang w:val="en-GB"/>
        </w:rPr>
      </w:pPr>
      <w:r w:rsidRPr="006E2A17">
        <w:rPr>
          <w:i/>
          <w:szCs w:val="22"/>
          <w:lang w:val="en-GB"/>
        </w:rPr>
        <w:t>Malignancies</w:t>
      </w:r>
      <w:r w:rsidRPr="006E2A17">
        <w:rPr>
          <w:szCs w:val="22"/>
          <w:lang w:val="en-GB"/>
        </w:rPr>
        <w:br/>
      </w:r>
      <w:r w:rsidR="00C72576">
        <w:rPr>
          <w:szCs w:val="22"/>
          <w:lang w:val="en-GB"/>
        </w:rPr>
        <w:t xml:space="preserve">In </w:t>
      </w:r>
      <w:r w:rsidR="006C009C">
        <w:rPr>
          <w:rFonts w:eastAsia="Calibri"/>
          <w:szCs w:val="22"/>
          <w:lang w:val="en-GB" w:eastAsia="en-US"/>
        </w:rPr>
        <w:t>GPA/MPA Study 1</w:t>
      </w:r>
      <w:r w:rsidR="00C72576">
        <w:rPr>
          <w:szCs w:val="22"/>
          <w:lang w:val="en-GB"/>
        </w:rPr>
        <w:t>, t</w:t>
      </w:r>
      <w:r w:rsidRPr="005B5A38">
        <w:rPr>
          <w:szCs w:val="22"/>
          <w:lang w:val="en-GB"/>
        </w:rPr>
        <w:t xml:space="preserve">he incidence of malignancy in MabThera treated patients in the </w:t>
      </w:r>
      <w:r w:rsidR="00296933">
        <w:rPr>
          <w:szCs w:val="22"/>
          <w:lang w:val="en-GB"/>
        </w:rPr>
        <w:t>GPA</w:t>
      </w:r>
      <w:r w:rsidRPr="005B5A38">
        <w:rPr>
          <w:rFonts w:eastAsia="SimSun"/>
          <w:szCs w:val="22"/>
          <w:lang w:val="en-GB" w:eastAsia="zh-CN"/>
        </w:rPr>
        <w:t xml:space="preserve"> and </w:t>
      </w:r>
      <w:r w:rsidR="00296933">
        <w:rPr>
          <w:rFonts w:eastAsia="SimSun"/>
          <w:szCs w:val="22"/>
          <w:lang w:val="en-GB" w:eastAsia="zh-CN"/>
        </w:rPr>
        <w:t>MPA</w:t>
      </w:r>
      <w:r w:rsidRPr="005B5A38">
        <w:rPr>
          <w:rFonts w:eastAsia="SimSun"/>
          <w:szCs w:val="22"/>
          <w:lang w:val="en-GB" w:eastAsia="zh-CN"/>
        </w:rPr>
        <w:t xml:space="preserve"> </w:t>
      </w:r>
      <w:r w:rsidRPr="005B5A38">
        <w:rPr>
          <w:szCs w:val="22"/>
          <w:lang w:val="en-GB"/>
        </w:rPr>
        <w:t>clinical study was 2.00 per 100 patient years at the study common closing date (when the final patient had completed the follow</w:t>
      </w:r>
      <w:r w:rsidR="000A6DDA" w:rsidRPr="005B5A38">
        <w:rPr>
          <w:szCs w:val="22"/>
          <w:lang w:val="en-GB"/>
        </w:rPr>
        <w:noBreakHyphen/>
      </w:r>
      <w:r w:rsidRPr="005B5A38">
        <w:rPr>
          <w:szCs w:val="22"/>
          <w:lang w:val="en-GB"/>
        </w:rPr>
        <w:t>up period).  On the basis of standardi</w:t>
      </w:r>
      <w:r w:rsidR="00C01433">
        <w:rPr>
          <w:szCs w:val="22"/>
          <w:lang w:val="en-GB"/>
        </w:rPr>
        <w:t>s</w:t>
      </w:r>
      <w:r w:rsidRPr="005B5A38">
        <w:rPr>
          <w:szCs w:val="22"/>
          <w:lang w:val="en-GB"/>
        </w:rPr>
        <w:t>ed incidence ratios, the incidence of malignancies appears to be similar to that previously reported in patients with ANCA</w:t>
      </w:r>
      <w:r w:rsidR="000A6DDA" w:rsidRPr="005B5A38">
        <w:rPr>
          <w:szCs w:val="22"/>
          <w:lang w:val="en-GB"/>
        </w:rPr>
        <w:noBreakHyphen/>
      </w:r>
      <w:r w:rsidRPr="005B5A38">
        <w:rPr>
          <w:szCs w:val="22"/>
          <w:lang w:val="en-GB"/>
        </w:rPr>
        <w:t>associated vasculitis.</w:t>
      </w:r>
    </w:p>
    <w:p w14:paraId="7C3314BF" w14:textId="77777777" w:rsidR="00B30AF7" w:rsidRDefault="00B30AF7" w:rsidP="00E06A78">
      <w:pPr>
        <w:rPr>
          <w:szCs w:val="22"/>
          <w:lang w:val="en-GB"/>
        </w:rPr>
      </w:pPr>
    </w:p>
    <w:p w14:paraId="7C3314C0" w14:textId="77777777" w:rsidR="00B30AF7" w:rsidRPr="005B5A38" w:rsidRDefault="00016F29" w:rsidP="00B30AF7">
      <w:pPr>
        <w:rPr>
          <w:szCs w:val="22"/>
          <w:lang w:val="en-GB"/>
        </w:rPr>
      </w:pPr>
      <w:r w:rsidRPr="002F2387">
        <w:rPr>
          <w:szCs w:val="22"/>
          <w:lang w:val="en-GB"/>
        </w:rPr>
        <w:t>In the p</w:t>
      </w:r>
      <w:r>
        <w:rPr>
          <w:szCs w:val="22"/>
          <w:lang w:val="en-GB"/>
        </w:rPr>
        <w:t>a</w:t>
      </w:r>
      <w:r w:rsidRPr="002F2387">
        <w:rPr>
          <w:szCs w:val="22"/>
          <w:lang w:val="en-GB"/>
        </w:rPr>
        <w:t>ediatric clinical trial, no malignancies were reported with a foll</w:t>
      </w:r>
      <w:r>
        <w:rPr>
          <w:szCs w:val="22"/>
          <w:lang w:val="en-GB"/>
        </w:rPr>
        <w:t>ow-up period of up to 54 months.</w:t>
      </w:r>
    </w:p>
    <w:p w14:paraId="7C3314C1" w14:textId="77777777" w:rsidR="00103794" w:rsidRPr="006E2A17" w:rsidRDefault="00103794" w:rsidP="008F369D">
      <w:pPr>
        <w:jc w:val="both"/>
        <w:rPr>
          <w:szCs w:val="22"/>
          <w:lang w:val="en-GB"/>
        </w:rPr>
      </w:pPr>
    </w:p>
    <w:p w14:paraId="7C3314C2" w14:textId="77777777" w:rsidR="008F369D" w:rsidRPr="006E2A17" w:rsidRDefault="00016F29" w:rsidP="008F369D">
      <w:pPr>
        <w:rPr>
          <w:rFonts w:eastAsia="SimSun"/>
          <w:i/>
          <w:szCs w:val="22"/>
          <w:lang w:val="en-GB" w:eastAsia="zh-CN"/>
        </w:rPr>
      </w:pPr>
      <w:r w:rsidRPr="006E2A17">
        <w:rPr>
          <w:rFonts w:eastAsia="SimSun"/>
          <w:i/>
          <w:szCs w:val="22"/>
          <w:lang w:val="en-GB" w:eastAsia="zh-CN"/>
        </w:rPr>
        <w:t>Cardiovascular</w:t>
      </w:r>
      <w:r>
        <w:rPr>
          <w:rFonts w:eastAsia="SimSun"/>
          <w:i/>
          <w:szCs w:val="22"/>
          <w:lang w:val="en-GB" w:eastAsia="zh-CN"/>
        </w:rPr>
        <w:t xml:space="preserve"> adverse reactions</w:t>
      </w:r>
    </w:p>
    <w:p w14:paraId="7C3314C3" w14:textId="77777777" w:rsidR="008F369D" w:rsidRDefault="00016F29" w:rsidP="008F369D">
      <w:pPr>
        <w:rPr>
          <w:rFonts w:eastAsia="SimSun"/>
          <w:szCs w:val="22"/>
          <w:lang w:val="en-GB" w:eastAsia="zh-CN"/>
        </w:rPr>
      </w:pPr>
      <w:r>
        <w:rPr>
          <w:szCs w:val="22"/>
          <w:lang w:val="en-GB"/>
        </w:rPr>
        <w:t xml:space="preserve">In </w:t>
      </w:r>
      <w:r w:rsidR="006C009C">
        <w:rPr>
          <w:rFonts w:eastAsia="Calibri"/>
          <w:szCs w:val="22"/>
          <w:lang w:val="en-GB" w:eastAsia="en-US"/>
        </w:rPr>
        <w:t>GPA/MPA Study 1</w:t>
      </w:r>
      <w:r>
        <w:rPr>
          <w:szCs w:val="22"/>
          <w:lang w:val="en-GB"/>
        </w:rPr>
        <w:t xml:space="preserve">, </w:t>
      </w:r>
      <w:r>
        <w:rPr>
          <w:rFonts w:eastAsia="SimSun"/>
          <w:szCs w:val="22"/>
          <w:lang w:val="en-GB" w:eastAsia="zh-CN"/>
        </w:rPr>
        <w:t>c</w:t>
      </w:r>
      <w:r w:rsidRPr="005B5A38">
        <w:rPr>
          <w:rFonts w:eastAsia="SimSun"/>
          <w:szCs w:val="22"/>
          <w:lang w:val="en-GB" w:eastAsia="zh-CN"/>
        </w:rPr>
        <w:t>ardiac events occurred at a rate of approximately 273 per 100 patient years (95% CI 149</w:t>
      </w:r>
      <w:r w:rsidR="000A6DDA" w:rsidRPr="005B5A38">
        <w:rPr>
          <w:rFonts w:eastAsia="SimSun"/>
          <w:szCs w:val="22"/>
          <w:lang w:val="en-GB" w:eastAsia="zh-CN"/>
        </w:rPr>
        <w:noBreakHyphen/>
      </w:r>
      <w:r w:rsidRPr="005B5A38">
        <w:rPr>
          <w:rFonts w:eastAsia="SimSun"/>
          <w:szCs w:val="22"/>
          <w:lang w:val="en-GB" w:eastAsia="zh-CN"/>
        </w:rPr>
        <w:t>470) at the 6</w:t>
      </w:r>
      <w:r w:rsidR="000A6DDA" w:rsidRPr="005B5A38">
        <w:rPr>
          <w:rFonts w:eastAsia="SimSun"/>
          <w:szCs w:val="22"/>
          <w:lang w:val="en-GB" w:eastAsia="zh-CN"/>
        </w:rPr>
        <w:noBreakHyphen/>
      </w:r>
      <w:r w:rsidRPr="005B5A38">
        <w:rPr>
          <w:rFonts w:eastAsia="SimSun"/>
          <w:szCs w:val="22"/>
          <w:lang w:val="en-GB" w:eastAsia="zh-CN"/>
        </w:rPr>
        <w:t xml:space="preserve">month primary endpoint.  The rate of serious cardiac events was 2.1 per 100 patient years (95% CI 3 </w:t>
      </w:r>
      <w:r w:rsidR="000A6DDA" w:rsidRPr="005B5A38">
        <w:rPr>
          <w:rFonts w:eastAsia="SimSun"/>
          <w:szCs w:val="22"/>
          <w:lang w:val="en-GB" w:eastAsia="zh-CN"/>
        </w:rPr>
        <w:noBreakHyphen/>
      </w:r>
      <w:r w:rsidRPr="005B5A38">
        <w:rPr>
          <w:rFonts w:eastAsia="SimSun"/>
          <w:szCs w:val="22"/>
          <w:lang w:val="en-GB" w:eastAsia="zh-CN"/>
        </w:rPr>
        <w:t>15).  The most frequently reported events were tachycardia (4%) and atrial fibrillation (3%) (see</w:t>
      </w:r>
      <w:r w:rsidRPr="006E2A17">
        <w:rPr>
          <w:rFonts w:eastAsia="SimSun"/>
          <w:szCs w:val="22"/>
          <w:lang w:val="en-GB" w:eastAsia="zh-CN"/>
        </w:rPr>
        <w:t xml:space="preserve"> </w:t>
      </w:r>
      <w:r>
        <w:rPr>
          <w:rFonts w:eastAsia="SimSun"/>
          <w:szCs w:val="22"/>
          <w:lang w:val="en-GB" w:eastAsia="zh-CN"/>
        </w:rPr>
        <w:t>s</w:t>
      </w:r>
      <w:r w:rsidRPr="006E2A17">
        <w:rPr>
          <w:rFonts w:eastAsia="SimSun"/>
          <w:szCs w:val="22"/>
          <w:lang w:val="en-GB" w:eastAsia="zh-CN"/>
        </w:rPr>
        <w:t>ection 4.4).</w:t>
      </w:r>
    </w:p>
    <w:p w14:paraId="7C3314C4" w14:textId="77777777" w:rsidR="008F369D" w:rsidRDefault="008F369D" w:rsidP="008F369D">
      <w:pPr>
        <w:rPr>
          <w:rFonts w:eastAsia="SimSun"/>
          <w:szCs w:val="22"/>
          <w:lang w:val="en-GB" w:eastAsia="zh-CN"/>
        </w:rPr>
      </w:pPr>
    </w:p>
    <w:p w14:paraId="7C3314C5" w14:textId="77777777" w:rsidR="008F369D" w:rsidRPr="00811BCC" w:rsidRDefault="00016F29" w:rsidP="008F369D">
      <w:pPr>
        <w:rPr>
          <w:rFonts w:eastAsia="SimSun"/>
          <w:i/>
          <w:szCs w:val="22"/>
          <w:lang w:val="en-GB" w:eastAsia="zh-CN"/>
        </w:rPr>
      </w:pPr>
      <w:r w:rsidRPr="00811BCC">
        <w:rPr>
          <w:rFonts w:eastAsia="SimSun"/>
          <w:i/>
          <w:szCs w:val="22"/>
          <w:lang w:val="en-GB" w:eastAsia="zh-CN"/>
        </w:rPr>
        <w:t>Neurologic events</w:t>
      </w:r>
    </w:p>
    <w:p w14:paraId="7C3314C6" w14:textId="77777777" w:rsidR="008F369D" w:rsidRPr="006E2A17" w:rsidRDefault="00016F29" w:rsidP="008F369D">
      <w:pPr>
        <w:rPr>
          <w:rFonts w:eastAsia="SimSun"/>
          <w:szCs w:val="22"/>
          <w:lang w:val="en-GB" w:eastAsia="zh-CN"/>
        </w:rPr>
      </w:pPr>
      <w:r w:rsidRPr="00811BCC">
        <w:rPr>
          <w:rFonts w:eastAsia="SimSun"/>
          <w:szCs w:val="22"/>
          <w:lang w:val="en-GB" w:eastAsia="zh-CN"/>
        </w:rPr>
        <w:t>Cases of posterior reversible encephalopathy syndrome (PRES)/reversible posterior leukoencephalopathy syndrome (RPLS) have been reported in autoimmune conditions. Signs and symptoms included visual disturbance, headache, seizures and altered mental status, with or without associated hypertension. A diagnosis of PRES/RPLS requires confirmation by brain imaging. The reported cases had recognised risk factors for PRES/RPLS, including the patients’ underlying disease, hypertension, immunosuppressive therapy and/or chemotherapy.</w:t>
      </w:r>
    </w:p>
    <w:p w14:paraId="7C3314C7" w14:textId="77777777" w:rsidR="008F369D" w:rsidRPr="006E2A17" w:rsidRDefault="008F369D" w:rsidP="008F369D">
      <w:pPr>
        <w:rPr>
          <w:rFonts w:eastAsia="SimSun"/>
          <w:szCs w:val="22"/>
          <w:lang w:val="en-GB" w:eastAsia="zh-CN"/>
        </w:rPr>
      </w:pPr>
    </w:p>
    <w:p w14:paraId="7C3314C8" w14:textId="77777777" w:rsidR="008F369D" w:rsidRPr="005B5A38" w:rsidRDefault="00016F29" w:rsidP="008F369D">
      <w:pPr>
        <w:rPr>
          <w:rFonts w:eastAsia="SimSun"/>
          <w:i/>
          <w:szCs w:val="22"/>
          <w:lang w:val="en-GB" w:eastAsia="zh-CN"/>
        </w:rPr>
      </w:pPr>
      <w:r w:rsidRPr="005B5A38">
        <w:rPr>
          <w:rFonts w:eastAsia="SimSun"/>
          <w:i/>
          <w:szCs w:val="22"/>
          <w:lang w:val="en-GB" w:eastAsia="zh-CN"/>
        </w:rPr>
        <w:t>Hepatitis</w:t>
      </w:r>
      <w:r w:rsidR="000A6DDA" w:rsidRPr="005B5A38">
        <w:rPr>
          <w:rFonts w:eastAsia="SimSun"/>
          <w:i/>
          <w:szCs w:val="22"/>
          <w:lang w:val="en-GB" w:eastAsia="zh-CN"/>
        </w:rPr>
        <w:noBreakHyphen/>
      </w:r>
      <w:r w:rsidRPr="005B5A38">
        <w:rPr>
          <w:rFonts w:eastAsia="SimSun"/>
          <w:i/>
          <w:szCs w:val="22"/>
          <w:lang w:val="en-GB" w:eastAsia="zh-CN"/>
        </w:rPr>
        <w:t>B reactivation</w:t>
      </w:r>
    </w:p>
    <w:p w14:paraId="7C3314C9" w14:textId="77777777" w:rsidR="008F369D" w:rsidRPr="006E2A17" w:rsidRDefault="00016F29" w:rsidP="008F369D">
      <w:pPr>
        <w:rPr>
          <w:rFonts w:eastAsia="SimSun"/>
          <w:szCs w:val="22"/>
          <w:lang w:val="en-GB" w:eastAsia="zh-CN"/>
        </w:rPr>
      </w:pPr>
      <w:r w:rsidRPr="005B5A38">
        <w:rPr>
          <w:rFonts w:eastAsia="SimSun"/>
          <w:szCs w:val="22"/>
          <w:lang w:val="en-GB" w:eastAsia="zh-CN"/>
        </w:rPr>
        <w:t>A small number of cases of hepatitis</w:t>
      </w:r>
      <w:r w:rsidR="000A6DDA" w:rsidRPr="005B5A38">
        <w:rPr>
          <w:rFonts w:eastAsia="SimSun"/>
          <w:szCs w:val="22"/>
          <w:lang w:val="en-GB" w:eastAsia="zh-CN"/>
        </w:rPr>
        <w:noBreakHyphen/>
      </w:r>
      <w:r w:rsidRPr="005B5A38">
        <w:rPr>
          <w:rFonts w:eastAsia="SimSun"/>
          <w:szCs w:val="22"/>
          <w:lang w:val="en-GB" w:eastAsia="zh-CN"/>
        </w:rPr>
        <w:t>B reactivation, some with fatal outcome, have been reported in granulomatosis with polyangiitis and microscopic polyangiitis patients receiving MabThera in the</w:t>
      </w:r>
      <w:r w:rsidRPr="006E2A17">
        <w:rPr>
          <w:rFonts w:eastAsia="SimSun"/>
          <w:szCs w:val="22"/>
          <w:lang w:val="en-GB" w:eastAsia="zh-CN"/>
        </w:rPr>
        <w:t xml:space="preserve"> postmarketing setting.</w:t>
      </w:r>
    </w:p>
    <w:p w14:paraId="7C3314CA" w14:textId="77777777" w:rsidR="008F369D" w:rsidRPr="006E2A17" w:rsidRDefault="008F369D" w:rsidP="008F369D">
      <w:pPr>
        <w:rPr>
          <w:rFonts w:eastAsia="SimSun"/>
          <w:szCs w:val="22"/>
          <w:lang w:val="en-GB" w:eastAsia="zh-CN"/>
        </w:rPr>
      </w:pPr>
    </w:p>
    <w:p w14:paraId="7C3314CB" w14:textId="77777777" w:rsidR="008F369D" w:rsidRPr="006E2A17" w:rsidRDefault="00016F29" w:rsidP="008F369D">
      <w:pPr>
        <w:rPr>
          <w:rFonts w:eastAsia="SimSun"/>
          <w:i/>
          <w:szCs w:val="22"/>
          <w:lang w:val="en-GB" w:eastAsia="zh-CN"/>
        </w:rPr>
      </w:pPr>
      <w:r w:rsidRPr="006E2A17">
        <w:rPr>
          <w:rFonts w:eastAsia="SimSun"/>
          <w:i/>
          <w:szCs w:val="22"/>
          <w:lang w:val="en-GB" w:eastAsia="zh-CN"/>
        </w:rPr>
        <w:t>Hypogammaglobulinaemia</w:t>
      </w:r>
    </w:p>
    <w:p w14:paraId="7C3314CC" w14:textId="77777777" w:rsidR="008636C1" w:rsidRDefault="00016F29" w:rsidP="008F369D">
      <w:pPr>
        <w:rPr>
          <w:rFonts w:eastAsia="PMingLiU"/>
          <w:szCs w:val="22"/>
          <w:lang w:val="en-GB" w:eastAsia="zh-TW"/>
        </w:rPr>
      </w:pPr>
      <w:r w:rsidRPr="006E2A17">
        <w:rPr>
          <w:rFonts w:eastAsia="PMingLiU"/>
          <w:szCs w:val="22"/>
          <w:lang w:val="en-GB" w:eastAsia="zh-TW"/>
        </w:rPr>
        <w:t xml:space="preserve">Hypogammaglobulinaemia (IgA, IgG or IgM below the lower limit of normal) has been observed in </w:t>
      </w:r>
      <w:r w:rsidR="00B30AF7">
        <w:rPr>
          <w:rFonts w:eastAsia="PMingLiU"/>
          <w:szCs w:val="22"/>
          <w:lang w:val="en-GB" w:eastAsia="zh-TW"/>
        </w:rPr>
        <w:t>adult and pediatric GPA</w:t>
      </w:r>
      <w:r w:rsidRPr="006E2A17">
        <w:rPr>
          <w:rFonts w:eastAsia="PMingLiU"/>
          <w:szCs w:val="22"/>
          <w:lang w:val="en-GB" w:eastAsia="zh-TW"/>
        </w:rPr>
        <w:t xml:space="preserve"> and </w:t>
      </w:r>
      <w:r w:rsidR="00B30AF7">
        <w:rPr>
          <w:rFonts w:eastAsia="PMingLiU"/>
          <w:szCs w:val="22"/>
          <w:lang w:val="en-GB" w:eastAsia="zh-TW"/>
        </w:rPr>
        <w:t>MPA</w:t>
      </w:r>
      <w:r w:rsidRPr="006E2A17">
        <w:rPr>
          <w:rFonts w:eastAsia="PMingLiU"/>
          <w:szCs w:val="22"/>
          <w:lang w:val="en-GB" w:eastAsia="zh-TW"/>
        </w:rPr>
        <w:t xml:space="preserve"> patients treated with MabThera. </w:t>
      </w:r>
    </w:p>
    <w:p w14:paraId="7C3314CD" w14:textId="77777777" w:rsidR="008636C1" w:rsidRDefault="008636C1" w:rsidP="008F369D">
      <w:pPr>
        <w:rPr>
          <w:rFonts w:eastAsia="PMingLiU"/>
          <w:szCs w:val="22"/>
          <w:lang w:val="en-GB" w:eastAsia="zh-TW"/>
        </w:rPr>
      </w:pPr>
    </w:p>
    <w:p w14:paraId="7C3314CE" w14:textId="77777777" w:rsidR="008F369D" w:rsidRPr="006E2A17" w:rsidRDefault="00016F29" w:rsidP="008F369D">
      <w:pPr>
        <w:rPr>
          <w:rFonts w:eastAsia="PMingLiU"/>
          <w:szCs w:val="22"/>
          <w:lang w:val="en-GB" w:eastAsia="zh-TW"/>
        </w:rPr>
      </w:pPr>
      <w:r>
        <w:rPr>
          <w:rFonts w:eastAsia="PMingLiU"/>
          <w:szCs w:val="22"/>
          <w:lang w:val="en-GB" w:eastAsia="zh-TW"/>
        </w:rPr>
        <w:t xml:space="preserve">In </w:t>
      </w:r>
      <w:r w:rsidR="006C009C">
        <w:rPr>
          <w:rFonts w:eastAsia="Calibri"/>
          <w:szCs w:val="22"/>
          <w:lang w:val="en-GB" w:eastAsia="en-US"/>
        </w:rPr>
        <w:t>GPA/MPA Study 1</w:t>
      </w:r>
      <w:r>
        <w:rPr>
          <w:rFonts w:eastAsia="PMingLiU"/>
          <w:szCs w:val="22"/>
          <w:lang w:val="en-GB" w:eastAsia="zh-TW"/>
        </w:rPr>
        <w:t>, a</w:t>
      </w:r>
      <w:r w:rsidRPr="006E2A17">
        <w:rPr>
          <w:rFonts w:eastAsia="PMingLiU"/>
          <w:szCs w:val="22"/>
          <w:lang w:val="en-GB" w:eastAsia="zh-TW"/>
        </w:rPr>
        <w:t xml:space="preserve">t 6 </w:t>
      </w:r>
      <w:r w:rsidRPr="005B5A38">
        <w:rPr>
          <w:rFonts w:eastAsia="PMingLiU"/>
          <w:szCs w:val="22"/>
          <w:lang w:val="en-GB" w:eastAsia="zh-TW"/>
        </w:rPr>
        <w:t>months</w:t>
      </w:r>
      <w:r w:rsidRPr="005B5A38">
        <w:rPr>
          <w:rFonts w:eastAsia="Calibri"/>
          <w:szCs w:val="22"/>
          <w:lang w:val="en-GB" w:eastAsia="en-US"/>
        </w:rPr>
        <w:t>, in the</w:t>
      </w:r>
      <w:r w:rsidRPr="005B5A38">
        <w:rPr>
          <w:rFonts w:eastAsia="PMingLiU"/>
          <w:szCs w:val="22"/>
          <w:lang w:val="en-GB" w:eastAsia="zh-TW"/>
        </w:rPr>
        <w:t xml:space="preserve"> MabThera group, 27%, 58% and 51% of patients with normal immunoglobulin levels at baseline had low IgA, IgG and IgM levels, respectively</w:t>
      </w:r>
      <w:r w:rsidR="00153C08">
        <w:rPr>
          <w:rFonts w:eastAsia="PMingLiU"/>
          <w:szCs w:val="22"/>
          <w:lang w:val="en-GB" w:eastAsia="zh-TW"/>
        </w:rPr>
        <w:t>,</w:t>
      </w:r>
      <w:r w:rsidRPr="005B5A38">
        <w:rPr>
          <w:rFonts w:eastAsia="PMingLiU"/>
          <w:szCs w:val="22"/>
          <w:lang w:val="en-GB" w:eastAsia="zh-TW"/>
        </w:rPr>
        <w:t xml:space="preserve"> compared to 25%, 50% and 46% in the cyclophosphamide</w:t>
      </w:r>
      <w:r w:rsidRPr="006E2A17">
        <w:rPr>
          <w:rFonts w:eastAsia="PMingLiU"/>
          <w:szCs w:val="22"/>
          <w:lang w:val="en-GB" w:eastAsia="zh-TW"/>
        </w:rPr>
        <w:t xml:space="preserve"> group. </w:t>
      </w:r>
      <w:r w:rsidR="00B30AF7" w:rsidRPr="006E2A17">
        <w:rPr>
          <w:color w:val="000000"/>
          <w:szCs w:val="22"/>
          <w:lang w:val="en-GB"/>
        </w:rPr>
        <w:t>The</w:t>
      </w:r>
      <w:r w:rsidR="00B30AF7">
        <w:rPr>
          <w:color w:val="000000"/>
          <w:szCs w:val="22"/>
          <w:lang w:val="en-GB"/>
        </w:rPr>
        <w:t xml:space="preserve"> rate of overall infections and serious infections was not</w:t>
      </w:r>
      <w:r w:rsidR="00B30AF7" w:rsidRPr="006E2A17">
        <w:rPr>
          <w:color w:val="000000"/>
          <w:szCs w:val="22"/>
          <w:lang w:val="en-GB"/>
        </w:rPr>
        <w:t xml:space="preserve"> increased</w:t>
      </w:r>
      <w:r w:rsidR="00B30AF7">
        <w:rPr>
          <w:color w:val="000000"/>
          <w:szCs w:val="22"/>
          <w:lang w:val="en-GB"/>
        </w:rPr>
        <w:t xml:space="preserve"> </w:t>
      </w:r>
      <w:r w:rsidR="00B30AF7" w:rsidRPr="006E2A17">
        <w:rPr>
          <w:color w:val="000000"/>
          <w:szCs w:val="22"/>
          <w:lang w:val="en-GB"/>
        </w:rPr>
        <w:t xml:space="preserve">after the development of low </w:t>
      </w:r>
      <w:r w:rsidR="00B30AF7">
        <w:rPr>
          <w:color w:val="000000"/>
          <w:szCs w:val="22"/>
          <w:lang w:val="en-GB"/>
        </w:rPr>
        <w:t xml:space="preserve">IgA, </w:t>
      </w:r>
      <w:r w:rsidR="00B30AF7" w:rsidRPr="006E2A17">
        <w:rPr>
          <w:color w:val="000000"/>
          <w:szCs w:val="22"/>
          <w:lang w:val="en-GB"/>
        </w:rPr>
        <w:t>IgG or IgM.</w:t>
      </w:r>
    </w:p>
    <w:p w14:paraId="7C3314CF" w14:textId="77777777" w:rsidR="008F369D" w:rsidRDefault="008F369D" w:rsidP="008F369D">
      <w:pPr>
        <w:rPr>
          <w:rFonts w:eastAsia="PMingLiU"/>
          <w:szCs w:val="22"/>
          <w:lang w:val="en-GB" w:eastAsia="zh-TW"/>
        </w:rPr>
      </w:pPr>
    </w:p>
    <w:p w14:paraId="7C3314D0" w14:textId="77777777" w:rsidR="002E576A" w:rsidRDefault="00016F29" w:rsidP="00E06A78">
      <w:pPr>
        <w:rPr>
          <w:rFonts w:eastAsia="PMingLiU" w:cs="Arial"/>
          <w:lang w:eastAsia="zh-TW"/>
        </w:rPr>
      </w:pPr>
      <w:r w:rsidRPr="008636C1">
        <w:rPr>
          <w:rFonts w:eastAsia="PMingLiU" w:cs="Arial"/>
          <w:lang w:eastAsia="zh-TW"/>
        </w:rPr>
        <w:t xml:space="preserve">In </w:t>
      </w:r>
      <w:r w:rsidR="006C009C">
        <w:rPr>
          <w:rFonts w:eastAsia="Calibri"/>
          <w:szCs w:val="22"/>
          <w:lang w:val="en-GB" w:eastAsia="en-US"/>
        </w:rPr>
        <w:t>GPA/MPA Study 2</w:t>
      </w:r>
      <w:r w:rsidRPr="008636C1">
        <w:rPr>
          <w:rFonts w:eastAsia="PMingLiU" w:cs="Arial"/>
          <w:lang w:eastAsia="zh-TW"/>
        </w:rPr>
        <w:t>, no clinically meaningful differences between the two treatment arms or decreases in total immunoglobulin, IgG, IgM or IgA levels were observed throughout the trial.</w:t>
      </w:r>
    </w:p>
    <w:p w14:paraId="7C3314D1" w14:textId="77777777" w:rsidR="00026E7C" w:rsidRPr="008636C1" w:rsidRDefault="00026E7C" w:rsidP="00026E7C">
      <w:pPr>
        <w:rPr>
          <w:rFonts w:eastAsia="PMingLiU" w:cs="Arial"/>
          <w:lang w:eastAsia="zh-TW"/>
        </w:rPr>
      </w:pPr>
    </w:p>
    <w:p w14:paraId="7C3314D2" w14:textId="271F7556" w:rsidR="00B30AF7" w:rsidRDefault="00016F29" w:rsidP="00063D4E">
      <w:pPr>
        <w:rPr>
          <w:szCs w:val="22"/>
          <w:lang w:val="en-GB"/>
        </w:rPr>
      </w:pPr>
      <w:r>
        <w:rPr>
          <w:szCs w:val="22"/>
          <w:lang w:val="en-GB"/>
        </w:rPr>
        <w:t>In the paediatric clinical trial, d</w:t>
      </w:r>
      <w:r w:rsidRPr="002F2387">
        <w:rPr>
          <w:szCs w:val="22"/>
          <w:lang w:val="en-GB"/>
        </w:rPr>
        <w:t xml:space="preserve">uring the overall study </w:t>
      </w:r>
      <w:r w:rsidRPr="00D301E6">
        <w:rPr>
          <w:szCs w:val="22"/>
          <w:lang w:val="en-GB"/>
        </w:rPr>
        <w:t xml:space="preserve">period, 3/25 (12%) patients reported an event of hypogammaglobulinaemia, 18 patients (72%) had prolonged </w:t>
      </w:r>
      <w:r w:rsidRPr="00D301E6">
        <w:rPr>
          <w:szCs w:val="22"/>
        </w:rPr>
        <w:t xml:space="preserve">(defined as Ig levels below lower limit of normal for at least 4 months) </w:t>
      </w:r>
      <w:r w:rsidRPr="00D301E6">
        <w:rPr>
          <w:szCs w:val="22"/>
          <w:lang w:val="en-GB"/>
        </w:rPr>
        <w:t xml:space="preserve">low IgG levels (of whom 15 patients also had prolonged low IgM).  Three patients received treatment with intravenous immunoglobulin (IV-IG).  </w:t>
      </w:r>
      <w:r w:rsidR="00B77DC8" w:rsidRPr="00D301E6">
        <w:rPr>
          <w:szCs w:val="22"/>
          <w:lang w:val="en-GB"/>
        </w:rPr>
        <w:t>Based on limited data</w:t>
      </w:r>
      <w:r w:rsidR="00C17D03" w:rsidRPr="00F638AF">
        <w:rPr>
          <w:szCs w:val="22"/>
          <w:lang w:val="en-GB"/>
        </w:rPr>
        <w:t>,</w:t>
      </w:r>
      <w:r w:rsidR="00B77DC8" w:rsidRPr="00D301E6">
        <w:rPr>
          <w:szCs w:val="22"/>
          <w:lang w:val="en-GB"/>
        </w:rPr>
        <w:t xml:space="preserve"> </w:t>
      </w:r>
      <w:r w:rsidR="00CD6CD1" w:rsidRPr="00D301E6">
        <w:rPr>
          <w:szCs w:val="22"/>
          <w:lang w:val="en-GB"/>
        </w:rPr>
        <w:t xml:space="preserve">no firm conclusions can be drawn regarding whether </w:t>
      </w:r>
      <w:r w:rsidRPr="00D301E6">
        <w:rPr>
          <w:szCs w:val="22"/>
          <w:lang w:val="en-GB"/>
        </w:rPr>
        <w:t xml:space="preserve">prolonged low IgG and IgM </w:t>
      </w:r>
      <w:r w:rsidR="00B87DB6" w:rsidRPr="00D301E6">
        <w:rPr>
          <w:szCs w:val="22"/>
          <w:lang w:val="en-GB"/>
        </w:rPr>
        <w:t>led to</w:t>
      </w:r>
      <w:r w:rsidRPr="00D301E6">
        <w:rPr>
          <w:szCs w:val="22"/>
          <w:lang w:val="en-GB"/>
        </w:rPr>
        <w:t xml:space="preserve"> an increased risk of serious infection</w:t>
      </w:r>
      <w:r w:rsidR="00CD6CD1" w:rsidRPr="00D301E6">
        <w:rPr>
          <w:szCs w:val="22"/>
          <w:lang w:val="en-GB"/>
        </w:rPr>
        <w:t xml:space="preserve"> in these patients</w:t>
      </w:r>
      <w:r w:rsidRPr="00D301E6">
        <w:rPr>
          <w:szCs w:val="22"/>
          <w:lang w:val="en-GB"/>
        </w:rPr>
        <w:t>.</w:t>
      </w:r>
      <w:r w:rsidR="00B77DC8" w:rsidRPr="00D301E6">
        <w:rPr>
          <w:szCs w:val="22"/>
          <w:lang w:val="en-GB"/>
        </w:rPr>
        <w:t xml:space="preserve"> The consequences of long term B cell depletion in paediatric patients are unknown.</w:t>
      </w:r>
    </w:p>
    <w:p w14:paraId="7CE51C83" w14:textId="77777777" w:rsidR="007C2443" w:rsidRPr="008636C1" w:rsidRDefault="007C2443" w:rsidP="00063D4E">
      <w:pPr>
        <w:rPr>
          <w:rFonts w:eastAsia="PMingLiU" w:cs="Arial"/>
          <w:lang w:eastAsia="zh-TW"/>
        </w:rPr>
      </w:pPr>
    </w:p>
    <w:p w14:paraId="7C3314D3" w14:textId="77777777" w:rsidR="008F369D" w:rsidRPr="006E2A17" w:rsidRDefault="00016F29" w:rsidP="008F369D">
      <w:pPr>
        <w:keepNext/>
        <w:keepLines/>
        <w:jc w:val="both"/>
        <w:textAlignment w:val="baseline"/>
        <w:rPr>
          <w:rFonts w:eastAsia="Calibri"/>
          <w:i/>
          <w:iCs/>
          <w:szCs w:val="22"/>
          <w:lang w:val="en-GB" w:eastAsia="en-US"/>
        </w:rPr>
      </w:pPr>
      <w:r w:rsidRPr="006E2A17">
        <w:rPr>
          <w:rFonts w:eastAsia="Calibri"/>
          <w:i/>
          <w:iCs/>
          <w:szCs w:val="22"/>
          <w:lang w:val="en-GB" w:eastAsia="en-US"/>
        </w:rPr>
        <w:t>Neutropenia</w:t>
      </w:r>
    </w:p>
    <w:p w14:paraId="7C3314D4" w14:textId="77777777" w:rsidR="008636C1" w:rsidRDefault="00016F29" w:rsidP="005B2928">
      <w:pPr>
        <w:textAlignment w:val="baseline"/>
        <w:rPr>
          <w:iCs/>
          <w:highlight w:val="yellow"/>
        </w:rPr>
      </w:pPr>
      <w:r w:rsidRPr="005B5A38">
        <w:rPr>
          <w:rFonts w:eastAsia="Calibri"/>
          <w:iCs/>
          <w:szCs w:val="22"/>
          <w:lang w:val="en-GB" w:eastAsia="en-US"/>
        </w:rPr>
        <w:t xml:space="preserve">In </w:t>
      </w:r>
      <w:r w:rsidR="006C009C">
        <w:rPr>
          <w:rFonts w:eastAsia="Calibri"/>
          <w:szCs w:val="22"/>
          <w:lang w:val="en-GB" w:eastAsia="en-US"/>
        </w:rPr>
        <w:t>GPA/MPA Study 1</w:t>
      </w:r>
      <w:r>
        <w:rPr>
          <w:rFonts w:eastAsia="Calibri"/>
          <w:szCs w:val="22"/>
          <w:lang w:val="en-GB" w:eastAsia="en-US"/>
        </w:rPr>
        <w:t xml:space="preserve">, </w:t>
      </w:r>
      <w:r w:rsidRPr="006E2A17">
        <w:rPr>
          <w:rFonts w:eastAsia="Calibri"/>
          <w:iCs/>
          <w:szCs w:val="22"/>
          <w:lang w:val="en-GB" w:eastAsia="en-US"/>
        </w:rPr>
        <w:t xml:space="preserve">24% of patients in the MabThera group (single course) and 23% of patients in the cyclophosphamide group developed CTC grade 3 or greater neutropenia. Neutropenia was not associated with an observed increase in serious infection in </w:t>
      </w:r>
      <w:r w:rsidRPr="005B5A38">
        <w:rPr>
          <w:rFonts w:eastAsia="Calibri"/>
          <w:iCs/>
          <w:szCs w:val="22"/>
          <w:lang w:val="en-GB" w:eastAsia="en-US"/>
        </w:rPr>
        <w:t>MabThera</w:t>
      </w:r>
      <w:r w:rsidR="000A6DDA" w:rsidRPr="005B5A38">
        <w:rPr>
          <w:rFonts w:eastAsia="Calibri"/>
          <w:iCs/>
          <w:szCs w:val="22"/>
          <w:lang w:val="en-GB" w:eastAsia="en-US"/>
        </w:rPr>
        <w:noBreakHyphen/>
      </w:r>
      <w:r w:rsidRPr="005B5A38">
        <w:rPr>
          <w:rFonts w:eastAsia="Calibri"/>
          <w:iCs/>
          <w:szCs w:val="22"/>
          <w:lang w:val="en-GB" w:eastAsia="en-US"/>
        </w:rPr>
        <w:t xml:space="preserve">treated patients. </w:t>
      </w:r>
      <w:r w:rsidRPr="008636C1">
        <w:rPr>
          <w:iCs/>
          <w:highlight w:val="yellow"/>
        </w:rPr>
        <w:t xml:space="preserve"> </w:t>
      </w:r>
    </w:p>
    <w:p w14:paraId="7C3314D5" w14:textId="77777777" w:rsidR="008F369D" w:rsidRPr="00D52F40" w:rsidRDefault="008F369D" w:rsidP="008F369D">
      <w:pPr>
        <w:jc w:val="both"/>
        <w:textAlignment w:val="baseline"/>
        <w:rPr>
          <w:rFonts w:eastAsia="Calibri"/>
          <w:szCs w:val="22"/>
          <w:lang w:val="en-GB" w:eastAsia="en-US"/>
        </w:rPr>
      </w:pPr>
    </w:p>
    <w:p w14:paraId="7C3314D6" w14:textId="77777777" w:rsidR="00D52F40" w:rsidRDefault="00016F29" w:rsidP="00224C2F">
      <w:pPr>
        <w:rPr>
          <w:rFonts w:eastAsia="PMingLiU" w:cs="Arial"/>
          <w:lang w:eastAsia="zh-TW"/>
        </w:rPr>
      </w:pPr>
      <w:r w:rsidRPr="00224C2F">
        <w:rPr>
          <w:rFonts w:eastAsia="PMingLiU" w:cs="Arial"/>
          <w:lang w:eastAsia="zh-TW"/>
        </w:rPr>
        <w:t xml:space="preserve">In </w:t>
      </w:r>
      <w:r w:rsidR="006C009C">
        <w:rPr>
          <w:rFonts w:eastAsia="Calibri"/>
          <w:szCs w:val="22"/>
          <w:lang w:val="en-GB" w:eastAsia="en-US"/>
        </w:rPr>
        <w:t>GPA/MPA Study 2</w:t>
      </w:r>
      <w:r w:rsidRPr="00224C2F">
        <w:rPr>
          <w:rFonts w:eastAsia="PMingLiU" w:cs="Arial"/>
          <w:lang w:eastAsia="zh-TW"/>
        </w:rPr>
        <w:t>, the incidence of all-grade neutropenia was 0% for MabThera-treated patients vs 5% for azathioprine treated patients.</w:t>
      </w:r>
    </w:p>
    <w:p w14:paraId="7C3314D7" w14:textId="77777777" w:rsidR="00224C2F" w:rsidRPr="006E2A17" w:rsidRDefault="00224C2F" w:rsidP="00224C2F">
      <w:pPr>
        <w:rPr>
          <w:rFonts w:eastAsia="Calibri"/>
          <w:szCs w:val="22"/>
          <w:lang w:val="en-GB" w:eastAsia="en-US"/>
        </w:rPr>
      </w:pPr>
    </w:p>
    <w:p w14:paraId="7C3314D8" w14:textId="77777777" w:rsidR="008F369D" w:rsidRPr="006E2A17" w:rsidRDefault="00016F29" w:rsidP="008F369D">
      <w:pPr>
        <w:rPr>
          <w:rFonts w:cs="Arial"/>
          <w:i/>
          <w:lang w:val="en-GB"/>
        </w:rPr>
      </w:pPr>
      <w:r w:rsidRPr="006E2A17">
        <w:rPr>
          <w:rFonts w:cs="Arial"/>
          <w:i/>
          <w:lang w:val="en-GB"/>
        </w:rPr>
        <w:t>Skin and subcutaneous tissue disorders</w:t>
      </w:r>
    </w:p>
    <w:p w14:paraId="7C3314D9" w14:textId="77777777" w:rsidR="00924BC8" w:rsidRPr="006E2A17" w:rsidRDefault="00016F29" w:rsidP="008F369D">
      <w:pPr>
        <w:rPr>
          <w:rFonts w:cs="Arial"/>
          <w:lang w:val="en-GB"/>
        </w:rPr>
      </w:pPr>
      <w:r w:rsidRPr="005B5A38">
        <w:rPr>
          <w:lang w:val="en-GB"/>
        </w:rPr>
        <w:t xml:space="preserve">Toxic Epidermal Necrolysis </w:t>
      </w:r>
      <w:r w:rsidRPr="005B5A38">
        <w:rPr>
          <w:iCs/>
          <w:lang w:val="en-GB"/>
        </w:rPr>
        <w:t xml:space="preserve">(Lyell’s syndrome) </w:t>
      </w:r>
      <w:r w:rsidRPr="005B5A38">
        <w:rPr>
          <w:lang w:val="en-GB"/>
        </w:rPr>
        <w:t>and Stevens</w:t>
      </w:r>
      <w:r w:rsidR="000A6DDA" w:rsidRPr="005B5A38">
        <w:rPr>
          <w:lang w:val="en-GB"/>
        </w:rPr>
        <w:noBreakHyphen/>
      </w:r>
      <w:r w:rsidRPr="005B5A38">
        <w:rPr>
          <w:lang w:val="en-GB"/>
        </w:rPr>
        <w:t>Johnson syndrome, some with fatal</w:t>
      </w:r>
      <w:r w:rsidRPr="006E2A17">
        <w:rPr>
          <w:rFonts w:cs="Arial"/>
          <w:lang w:val="en-GB"/>
        </w:rPr>
        <w:t xml:space="preserve"> outcome, have been reported very rarely.</w:t>
      </w:r>
    </w:p>
    <w:p w14:paraId="7C3314DA" w14:textId="77777777" w:rsidR="00C01433" w:rsidRDefault="00C01433" w:rsidP="00C01433">
      <w:pPr>
        <w:keepNext/>
        <w:keepLines/>
        <w:rPr>
          <w:szCs w:val="22"/>
          <w:u w:val="single"/>
          <w:lang w:val="en-GB"/>
        </w:rPr>
      </w:pPr>
    </w:p>
    <w:p w14:paraId="7C3314DB" w14:textId="77777777" w:rsidR="00C01433" w:rsidRDefault="00016F29" w:rsidP="00C01433">
      <w:pPr>
        <w:keepNext/>
        <w:keepLines/>
        <w:rPr>
          <w:szCs w:val="22"/>
          <w:u w:val="single"/>
          <w:lang w:val="en-GB"/>
        </w:rPr>
      </w:pPr>
      <w:r w:rsidRPr="00091F42">
        <w:rPr>
          <w:szCs w:val="22"/>
          <w:u w:val="single"/>
          <w:lang w:val="en-GB"/>
        </w:rPr>
        <w:t xml:space="preserve">Experience from </w:t>
      </w:r>
      <w:r>
        <w:rPr>
          <w:szCs w:val="22"/>
          <w:u w:val="single"/>
          <w:lang w:val="en-GB"/>
        </w:rPr>
        <w:t>pemphigus vulgaris</w:t>
      </w:r>
    </w:p>
    <w:p w14:paraId="7C3314DC" w14:textId="77777777" w:rsidR="00C01433" w:rsidRDefault="00C01433" w:rsidP="00C01433">
      <w:pPr>
        <w:keepNext/>
        <w:keepLines/>
        <w:rPr>
          <w:szCs w:val="22"/>
          <w:u w:val="single"/>
          <w:lang w:val="en-GB"/>
        </w:rPr>
      </w:pPr>
    </w:p>
    <w:p w14:paraId="7C3314DD" w14:textId="77777777" w:rsidR="00C01433" w:rsidRPr="00B26837" w:rsidRDefault="00016F29" w:rsidP="00C01433">
      <w:pPr>
        <w:pStyle w:val="TextTi12"/>
        <w:spacing w:after="0" w:line="240" w:lineRule="atLeast"/>
        <w:jc w:val="left"/>
        <w:rPr>
          <w:rFonts w:cs="Arial"/>
          <w:i/>
          <w:sz w:val="22"/>
          <w:szCs w:val="22"/>
          <w:u w:val="single"/>
        </w:rPr>
      </w:pPr>
      <w:r w:rsidRPr="00B26837">
        <w:rPr>
          <w:rFonts w:cs="Arial"/>
          <w:i/>
          <w:sz w:val="22"/>
          <w:szCs w:val="22"/>
          <w:u w:val="single"/>
        </w:rPr>
        <w:t>Summary of the safety profile</w:t>
      </w:r>
      <w:r w:rsidR="00760155">
        <w:rPr>
          <w:rFonts w:cs="Arial"/>
          <w:i/>
          <w:sz w:val="22"/>
          <w:szCs w:val="22"/>
          <w:u w:val="single"/>
        </w:rPr>
        <w:t xml:space="preserve"> </w:t>
      </w:r>
      <w:r w:rsidR="00D61019">
        <w:rPr>
          <w:rFonts w:cs="Arial"/>
          <w:i/>
          <w:sz w:val="22"/>
          <w:szCs w:val="22"/>
          <w:u w:val="single"/>
        </w:rPr>
        <w:t xml:space="preserve">in PV Study 1 </w:t>
      </w:r>
      <w:r w:rsidR="00D61019" w:rsidRPr="006C5B27">
        <w:rPr>
          <w:rFonts w:cs="Arial"/>
          <w:i/>
          <w:sz w:val="22"/>
          <w:szCs w:val="22"/>
          <w:u w:val="single"/>
        </w:rPr>
        <w:t>(Study ML22196)</w:t>
      </w:r>
      <w:r w:rsidR="00D61019">
        <w:rPr>
          <w:rFonts w:cs="Arial"/>
          <w:i/>
          <w:sz w:val="22"/>
          <w:szCs w:val="22"/>
          <w:u w:val="single"/>
        </w:rPr>
        <w:t xml:space="preserve"> and </w:t>
      </w:r>
      <w:r w:rsidR="00D61019" w:rsidRPr="006C5B27">
        <w:rPr>
          <w:rFonts w:cs="Arial"/>
          <w:i/>
          <w:sz w:val="22"/>
          <w:szCs w:val="22"/>
          <w:u w:val="single"/>
        </w:rPr>
        <w:t>PV Study 2</w:t>
      </w:r>
      <w:r w:rsidR="00D61019">
        <w:rPr>
          <w:rFonts w:cs="Arial"/>
          <w:i/>
          <w:sz w:val="22"/>
          <w:szCs w:val="22"/>
          <w:u w:val="single"/>
        </w:rPr>
        <w:t xml:space="preserve"> </w:t>
      </w:r>
      <w:r w:rsidR="00D61019" w:rsidRPr="006C5B27">
        <w:rPr>
          <w:rFonts w:cs="Arial"/>
          <w:i/>
          <w:sz w:val="22"/>
          <w:szCs w:val="22"/>
          <w:u w:val="single"/>
        </w:rPr>
        <w:t>(Study WA29330)</w:t>
      </w:r>
    </w:p>
    <w:p w14:paraId="7C3314DE" w14:textId="77777777" w:rsidR="00C01433" w:rsidRPr="00324478" w:rsidRDefault="00016F29" w:rsidP="00E06A78">
      <w:pPr>
        <w:spacing w:line="240" w:lineRule="atLeast"/>
        <w:ind w:right="1"/>
        <w:contextualSpacing/>
        <w:rPr>
          <w:rFonts w:cs="Arial"/>
          <w:szCs w:val="22"/>
        </w:rPr>
      </w:pPr>
      <w:r w:rsidRPr="00324478">
        <w:rPr>
          <w:rFonts w:cs="Arial"/>
          <w:szCs w:val="22"/>
        </w:rPr>
        <w:t xml:space="preserve">The safety profile of MabThera </w:t>
      </w:r>
      <w:r w:rsidRPr="001705F6">
        <w:rPr>
          <w:rFonts w:cs="Arial"/>
          <w:szCs w:val="22"/>
        </w:rPr>
        <w:t xml:space="preserve">in combination with </w:t>
      </w:r>
      <w:r>
        <w:rPr>
          <w:rFonts w:cs="Arial"/>
          <w:szCs w:val="22"/>
        </w:rPr>
        <w:t xml:space="preserve">short-term, low-dose </w:t>
      </w:r>
      <w:r w:rsidRPr="001705F6">
        <w:rPr>
          <w:rFonts w:cs="Arial"/>
          <w:szCs w:val="22"/>
        </w:rPr>
        <w:t>glucocorticoids</w:t>
      </w:r>
      <w:r w:rsidRPr="00324478">
        <w:rPr>
          <w:rFonts w:cs="Arial"/>
          <w:szCs w:val="22"/>
        </w:rPr>
        <w:t xml:space="preserve"> in the treatment of patients with pemphigus vulgaris </w:t>
      </w:r>
      <w:r w:rsidRPr="001705F6">
        <w:rPr>
          <w:rFonts w:cs="Arial"/>
          <w:szCs w:val="22"/>
        </w:rPr>
        <w:t xml:space="preserve">was studied in a </w:t>
      </w:r>
      <w:r>
        <w:rPr>
          <w:rFonts w:cs="Arial"/>
          <w:szCs w:val="22"/>
        </w:rPr>
        <w:t xml:space="preserve">Phase 3, </w:t>
      </w:r>
      <w:r w:rsidRPr="00324478">
        <w:rPr>
          <w:rFonts w:cs="Arial"/>
          <w:szCs w:val="22"/>
        </w:rPr>
        <w:t>randomi</w:t>
      </w:r>
      <w:r>
        <w:rPr>
          <w:rFonts w:cs="Arial"/>
          <w:szCs w:val="22"/>
        </w:rPr>
        <w:t>s</w:t>
      </w:r>
      <w:r w:rsidRPr="00324478">
        <w:rPr>
          <w:rFonts w:cs="Arial"/>
          <w:szCs w:val="22"/>
        </w:rPr>
        <w:t xml:space="preserve">ed, controlled, multicenter, open-label study </w:t>
      </w:r>
      <w:r>
        <w:rPr>
          <w:rFonts w:cs="Arial"/>
          <w:szCs w:val="22"/>
        </w:rPr>
        <w:t>in pemphigus patients that included</w:t>
      </w:r>
      <w:r w:rsidRPr="00324478">
        <w:rPr>
          <w:rFonts w:cs="Arial"/>
          <w:szCs w:val="22"/>
        </w:rPr>
        <w:t xml:space="preserve"> 38 pemphigus vulgaris</w:t>
      </w:r>
      <w:r>
        <w:rPr>
          <w:rFonts w:cs="Arial"/>
          <w:szCs w:val="22"/>
        </w:rPr>
        <w:t xml:space="preserve"> (PV)</w:t>
      </w:r>
      <w:r w:rsidRPr="001705F6">
        <w:rPr>
          <w:rFonts w:cs="Arial"/>
          <w:szCs w:val="22"/>
        </w:rPr>
        <w:t xml:space="preserve"> patients</w:t>
      </w:r>
      <w:r>
        <w:rPr>
          <w:rFonts w:cs="Arial"/>
          <w:szCs w:val="22"/>
        </w:rPr>
        <w:t xml:space="preserve"> randomised to the MabThera group</w:t>
      </w:r>
      <w:r w:rsidR="00FF1E78">
        <w:rPr>
          <w:rFonts w:cs="Arial"/>
          <w:szCs w:val="22"/>
        </w:rPr>
        <w:t xml:space="preserve"> (PV Study 1)</w:t>
      </w:r>
      <w:r w:rsidR="007830E0" w:rsidRPr="001705F6">
        <w:rPr>
          <w:rFonts w:cs="Arial"/>
          <w:szCs w:val="22"/>
        </w:rPr>
        <w:t>.</w:t>
      </w:r>
      <w:r w:rsidRPr="001705F6">
        <w:rPr>
          <w:rFonts w:cs="Arial"/>
          <w:szCs w:val="22"/>
        </w:rPr>
        <w:t xml:space="preserve"> Patients randomi</w:t>
      </w:r>
      <w:r>
        <w:rPr>
          <w:rFonts w:cs="Arial"/>
          <w:szCs w:val="22"/>
        </w:rPr>
        <w:t>s</w:t>
      </w:r>
      <w:r w:rsidRPr="001705F6">
        <w:rPr>
          <w:rFonts w:cs="Arial"/>
          <w:szCs w:val="22"/>
        </w:rPr>
        <w:t xml:space="preserve">ed to the MabThera </w:t>
      </w:r>
      <w:r w:rsidRPr="00464848">
        <w:rPr>
          <w:rFonts w:cs="Arial"/>
          <w:szCs w:val="22"/>
        </w:rPr>
        <w:t xml:space="preserve">group received an initial 1000 mg IV on </w:t>
      </w:r>
      <w:r w:rsidRPr="0051344B">
        <w:rPr>
          <w:rFonts w:cs="Arial"/>
          <w:szCs w:val="22"/>
        </w:rPr>
        <w:t xml:space="preserve">Study Day 1 and a second 1000 mg IV on Study </w:t>
      </w:r>
      <w:r w:rsidRPr="000E2F2E">
        <w:rPr>
          <w:rFonts w:cs="Arial"/>
          <w:szCs w:val="22"/>
        </w:rPr>
        <w:t>Day 15</w:t>
      </w:r>
      <w:r w:rsidRPr="00ED7333">
        <w:rPr>
          <w:rFonts w:cs="Arial"/>
          <w:szCs w:val="22"/>
        </w:rPr>
        <w:t xml:space="preserve">. </w:t>
      </w:r>
      <w:r w:rsidRPr="00E50974">
        <w:rPr>
          <w:rFonts w:cs="Arial"/>
          <w:szCs w:val="22"/>
        </w:rPr>
        <w:t>M</w:t>
      </w:r>
      <w:r w:rsidRPr="001F47E4">
        <w:rPr>
          <w:rFonts w:cs="Arial"/>
          <w:szCs w:val="22"/>
        </w:rPr>
        <w:t>aintenance doses of 500</w:t>
      </w:r>
      <w:r w:rsidRPr="00F052EF">
        <w:rPr>
          <w:rFonts w:cs="Arial"/>
          <w:szCs w:val="22"/>
        </w:rPr>
        <w:t> </w:t>
      </w:r>
      <w:r w:rsidRPr="001A2D52">
        <w:rPr>
          <w:rFonts w:cs="Arial"/>
          <w:szCs w:val="22"/>
        </w:rPr>
        <w:t>mg</w:t>
      </w:r>
      <w:r>
        <w:rPr>
          <w:rFonts w:cs="Arial"/>
          <w:szCs w:val="22"/>
        </w:rPr>
        <w:t xml:space="preserve"> </w:t>
      </w:r>
      <w:r w:rsidRPr="001A2D52">
        <w:rPr>
          <w:rFonts w:cs="Arial"/>
          <w:szCs w:val="22"/>
        </w:rPr>
        <w:t>IV were admin</w:t>
      </w:r>
      <w:r>
        <w:rPr>
          <w:rFonts w:cs="Arial"/>
          <w:szCs w:val="22"/>
        </w:rPr>
        <w:t>istered at m</w:t>
      </w:r>
      <w:r w:rsidRPr="001A2D52">
        <w:rPr>
          <w:rFonts w:cs="Arial"/>
          <w:szCs w:val="22"/>
        </w:rPr>
        <w:t xml:space="preserve">onths 12 and 18. Patients could </w:t>
      </w:r>
      <w:r w:rsidRPr="00324478">
        <w:rPr>
          <w:rFonts w:cs="Arial"/>
          <w:szCs w:val="22"/>
        </w:rPr>
        <w:t>receive</w:t>
      </w:r>
      <w:r w:rsidRPr="001A2D52">
        <w:rPr>
          <w:rFonts w:cs="Arial"/>
          <w:szCs w:val="22"/>
        </w:rPr>
        <w:t xml:space="preserve"> 1000 mg IV at the time of relapse </w:t>
      </w:r>
      <w:r w:rsidRPr="006E2A17">
        <w:rPr>
          <w:rFonts w:eastAsia="Calibri"/>
          <w:szCs w:val="22"/>
          <w:lang w:val="en-GB" w:eastAsia="en-US"/>
        </w:rPr>
        <w:t>(</w:t>
      </w:r>
      <w:r w:rsidRPr="009B3E39">
        <w:rPr>
          <w:rFonts w:eastAsia="Calibri"/>
          <w:szCs w:val="22"/>
          <w:lang w:val="en-GB" w:eastAsia="en-US"/>
        </w:rPr>
        <w:t>see section 5.1)</w:t>
      </w:r>
      <w:r w:rsidRPr="00324478">
        <w:rPr>
          <w:rFonts w:cs="Arial"/>
          <w:szCs w:val="22"/>
        </w:rPr>
        <w:t xml:space="preserve">.  </w:t>
      </w:r>
    </w:p>
    <w:p w14:paraId="7C3314DF" w14:textId="77777777" w:rsidR="0030426F" w:rsidRPr="00324478" w:rsidRDefault="0030426F" w:rsidP="006C5B27">
      <w:pPr>
        <w:spacing w:line="240" w:lineRule="atLeast"/>
        <w:ind w:right="1"/>
        <w:contextualSpacing/>
        <w:rPr>
          <w:rFonts w:cs="Arial"/>
          <w:szCs w:val="22"/>
        </w:rPr>
      </w:pPr>
    </w:p>
    <w:p w14:paraId="7C3314E0" w14:textId="77777777" w:rsidR="00C01433" w:rsidRPr="007830E0" w:rsidRDefault="00016F29" w:rsidP="00E06A78">
      <w:pPr>
        <w:spacing w:line="240" w:lineRule="atLeast"/>
        <w:ind w:right="1"/>
        <w:contextualSpacing/>
      </w:pPr>
      <w:r w:rsidRPr="00F947F8">
        <w:rPr>
          <w:szCs w:val="22"/>
        </w:rPr>
        <w:t xml:space="preserve">In PV Study 2, a randomized, double-blind, double-dummy, active-comparator, multicenter study evaluating the efficacy and safety of MabThera compared with mycophenolate mofetil (MMF) in patients with moderate-to-severe PV requiring oral corticosteroids, 67 PV patients received treatment with MabThera (initial 1000 mg IV on Study Day 1 and a second 1000 mg IV on Study Day 15 repeated at Weeks 24 and 26) for up to 52 weeks (see section 5.1). </w:t>
      </w:r>
    </w:p>
    <w:p w14:paraId="7C3314E1" w14:textId="77777777" w:rsidR="00C01433" w:rsidRPr="007830E0" w:rsidRDefault="00C01433" w:rsidP="00E06A78">
      <w:pPr>
        <w:spacing w:line="240" w:lineRule="atLeast"/>
        <w:ind w:right="1"/>
        <w:contextualSpacing/>
      </w:pPr>
    </w:p>
    <w:p w14:paraId="7C3314E2" w14:textId="77777777" w:rsidR="00D61019" w:rsidRDefault="00016F29" w:rsidP="00D61019">
      <w:pPr>
        <w:spacing w:line="240" w:lineRule="atLeast"/>
        <w:ind w:right="1"/>
        <w:contextualSpacing/>
        <w:rPr>
          <w:szCs w:val="22"/>
        </w:rPr>
      </w:pPr>
      <w:r>
        <w:rPr>
          <w:szCs w:val="22"/>
        </w:rPr>
        <w:t>T</w:t>
      </w:r>
      <w:r w:rsidRPr="00F947F8">
        <w:rPr>
          <w:szCs w:val="22"/>
        </w:rPr>
        <w:t xml:space="preserve">he safety profile of MabThera </w:t>
      </w:r>
      <w:r>
        <w:rPr>
          <w:szCs w:val="22"/>
        </w:rPr>
        <w:t xml:space="preserve">in PV </w:t>
      </w:r>
      <w:r w:rsidRPr="00F947F8">
        <w:rPr>
          <w:szCs w:val="22"/>
        </w:rPr>
        <w:t xml:space="preserve">was consistent with the established safety profile in other approved autoimmune indications.  </w:t>
      </w:r>
    </w:p>
    <w:p w14:paraId="7C3314E3" w14:textId="77777777" w:rsidR="00C01433" w:rsidRPr="00D73729" w:rsidRDefault="00C01433" w:rsidP="00C01433">
      <w:pPr>
        <w:pStyle w:val="TextTi12"/>
        <w:spacing w:after="0" w:line="240" w:lineRule="atLeast"/>
        <w:jc w:val="left"/>
        <w:rPr>
          <w:rFonts w:cs="Arial"/>
          <w:sz w:val="22"/>
          <w:szCs w:val="22"/>
        </w:rPr>
      </w:pPr>
    </w:p>
    <w:p w14:paraId="7C3314E4" w14:textId="77777777" w:rsidR="00C01433" w:rsidRPr="005C40FA" w:rsidRDefault="00016F29" w:rsidP="00C01433">
      <w:pPr>
        <w:keepNext/>
        <w:keepLines/>
        <w:rPr>
          <w:i/>
          <w:szCs w:val="22"/>
          <w:u w:val="single"/>
          <w:lang w:val="en-GB"/>
        </w:rPr>
      </w:pPr>
      <w:r w:rsidRPr="005C40FA">
        <w:rPr>
          <w:i/>
          <w:szCs w:val="22"/>
          <w:u w:val="single"/>
          <w:lang w:val="en-GB"/>
        </w:rPr>
        <w:t>Tabulated list of adverse reactions</w:t>
      </w:r>
      <w:r w:rsidR="00D61019">
        <w:rPr>
          <w:i/>
          <w:szCs w:val="22"/>
          <w:u w:val="single"/>
          <w:lang w:val="en-GB"/>
        </w:rPr>
        <w:t xml:space="preserve"> for PV Studies 1 and 2</w:t>
      </w:r>
    </w:p>
    <w:p w14:paraId="7C3314E5" w14:textId="77777777" w:rsidR="008F369D" w:rsidRPr="00F638AF" w:rsidRDefault="00016F29" w:rsidP="00C01433">
      <w:pPr>
        <w:rPr>
          <w:rFonts w:cs="Arial"/>
          <w:szCs w:val="22"/>
        </w:rPr>
      </w:pPr>
      <w:r w:rsidRPr="001705F6">
        <w:rPr>
          <w:rFonts w:cs="Arial"/>
          <w:szCs w:val="22"/>
        </w:rPr>
        <w:t xml:space="preserve">Adverse reactions </w:t>
      </w:r>
      <w:r w:rsidR="00FF1E78">
        <w:rPr>
          <w:rFonts w:cs="Arial"/>
          <w:szCs w:val="22"/>
        </w:rPr>
        <w:t>from PV Stud</w:t>
      </w:r>
      <w:r w:rsidR="00D61019">
        <w:rPr>
          <w:rFonts w:cs="Arial"/>
          <w:szCs w:val="22"/>
        </w:rPr>
        <w:t>ies</w:t>
      </w:r>
      <w:r w:rsidR="00FF1E78">
        <w:rPr>
          <w:rFonts w:cs="Arial"/>
          <w:szCs w:val="22"/>
        </w:rPr>
        <w:t xml:space="preserve"> 1</w:t>
      </w:r>
      <w:r w:rsidR="00D61019">
        <w:rPr>
          <w:rFonts w:cs="Arial"/>
          <w:szCs w:val="22"/>
        </w:rPr>
        <w:t xml:space="preserve"> and 2 </w:t>
      </w:r>
      <w:r w:rsidR="00FF1E78">
        <w:rPr>
          <w:rFonts w:cs="Arial"/>
          <w:szCs w:val="22"/>
        </w:rPr>
        <w:t xml:space="preserve">are </w:t>
      </w:r>
      <w:r w:rsidRPr="001705F6">
        <w:rPr>
          <w:rFonts w:cs="Arial"/>
          <w:szCs w:val="22"/>
        </w:rPr>
        <w:t xml:space="preserve">presented in Table </w:t>
      </w:r>
      <w:r w:rsidR="00EA0292">
        <w:rPr>
          <w:rFonts w:cs="Arial"/>
          <w:szCs w:val="22"/>
        </w:rPr>
        <w:t xml:space="preserve">7. </w:t>
      </w:r>
      <w:r w:rsidR="00D61019">
        <w:rPr>
          <w:rFonts w:cs="Arial"/>
          <w:szCs w:val="22"/>
        </w:rPr>
        <w:t xml:space="preserve">In PV Study 1, ADRs </w:t>
      </w:r>
      <w:r w:rsidRPr="001705F6">
        <w:rPr>
          <w:rFonts w:cs="Arial"/>
          <w:szCs w:val="22"/>
        </w:rPr>
        <w:t>were</w:t>
      </w:r>
      <w:r w:rsidR="007830E0" w:rsidRPr="001705F6">
        <w:rPr>
          <w:rFonts w:cs="Arial"/>
          <w:szCs w:val="22"/>
        </w:rPr>
        <w:t xml:space="preserve"> </w:t>
      </w:r>
      <w:r w:rsidR="00D61019">
        <w:rPr>
          <w:rFonts w:cs="Arial"/>
          <w:szCs w:val="22"/>
        </w:rPr>
        <w:t>defined as</w:t>
      </w:r>
      <w:r w:rsidRPr="001705F6">
        <w:rPr>
          <w:rFonts w:cs="Arial"/>
          <w:szCs w:val="22"/>
        </w:rPr>
        <w:t xml:space="preserve"> adverse events </w:t>
      </w:r>
      <w:r>
        <w:rPr>
          <w:rFonts w:cs="Arial"/>
          <w:szCs w:val="22"/>
        </w:rPr>
        <w:t xml:space="preserve">which occurred at a rate </w:t>
      </w:r>
      <w:r w:rsidRPr="00324478">
        <w:rPr>
          <w:rFonts w:cs="Arial"/>
          <w:szCs w:val="22"/>
        </w:rPr>
        <w:t>of  </w:t>
      </w:r>
      <w:r w:rsidRPr="00324478">
        <w:rPr>
          <w:rFonts w:ascii="Symbol" w:hAnsi="Symbol" w:cs="Arial"/>
          <w:szCs w:val="22"/>
        </w:rPr>
        <w:sym w:font="Symbol" w:char="F0B3"/>
      </w:r>
      <w:r w:rsidRPr="00324478">
        <w:rPr>
          <w:rFonts w:cs="Arial"/>
          <w:szCs w:val="22"/>
        </w:rPr>
        <w:t> 5%</w:t>
      </w:r>
      <w:r>
        <w:rPr>
          <w:rFonts w:cs="Arial"/>
          <w:szCs w:val="22"/>
        </w:rPr>
        <w:t xml:space="preserve"> among MabThera-treated PV </w:t>
      </w:r>
      <w:r w:rsidRPr="00F638AF">
        <w:rPr>
          <w:rFonts w:cs="Arial"/>
          <w:szCs w:val="22"/>
        </w:rPr>
        <w:t>patients, with a  </w:t>
      </w:r>
      <w:r w:rsidRPr="00F638AF">
        <w:rPr>
          <w:rFonts w:ascii="Symbol" w:hAnsi="Symbol" w:cs="Arial"/>
          <w:szCs w:val="22"/>
        </w:rPr>
        <w:sym w:font="Symbol" w:char="F0B3"/>
      </w:r>
      <w:r w:rsidRPr="00F638AF">
        <w:rPr>
          <w:rFonts w:cs="Arial"/>
          <w:szCs w:val="22"/>
        </w:rPr>
        <w:t xml:space="preserve"> 2% absolute difference in incidence between the MabThera-treated group and the standard-dose prednisone group up to month 24. </w:t>
      </w:r>
      <w:r w:rsidR="00760155">
        <w:rPr>
          <w:rFonts w:cs="Arial"/>
          <w:szCs w:val="22"/>
        </w:rPr>
        <w:t xml:space="preserve"> </w:t>
      </w:r>
      <w:r w:rsidRPr="00F638AF">
        <w:rPr>
          <w:rFonts w:cs="Arial"/>
          <w:szCs w:val="22"/>
        </w:rPr>
        <w:t>No patients were withdrawn due to ADRs</w:t>
      </w:r>
      <w:r w:rsidR="00D61019">
        <w:rPr>
          <w:rFonts w:cs="Arial"/>
          <w:szCs w:val="22"/>
        </w:rPr>
        <w:t xml:space="preserve">  in Study 1. In PV Study 2, ADRs were defined as adverse events occurring in </w:t>
      </w:r>
      <w:r w:rsidR="00D61019" w:rsidRPr="00F947F8">
        <w:rPr>
          <w:szCs w:val="22"/>
        </w:rPr>
        <w:t>≥5% of patients in the MabThera arm and assessed as rela</w:t>
      </w:r>
      <w:r w:rsidR="00D61019">
        <w:rPr>
          <w:szCs w:val="22"/>
        </w:rPr>
        <w:t>ted</w:t>
      </w:r>
      <w:r w:rsidRPr="00F638AF">
        <w:rPr>
          <w:rFonts w:cs="Arial"/>
          <w:szCs w:val="22"/>
        </w:rPr>
        <w:t>.</w:t>
      </w:r>
    </w:p>
    <w:p w14:paraId="7C3314E6" w14:textId="77777777" w:rsidR="00C01433" w:rsidRPr="00F638AF" w:rsidRDefault="00C01433" w:rsidP="00C01433">
      <w:pPr>
        <w:rPr>
          <w:rFonts w:cs="Arial"/>
          <w:szCs w:val="22"/>
        </w:rPr>
      </w:pPr>
    </w:p>
    <w:p w14:paraId="7C3314E7" w14:textId="77777777" w:rsidR="00C01433" w:rsidRDefault="00016F29" w:rsidP="00C01433">
      <w:pPr>
        <w:keepNext/>
        <w:keepLines/>
        <w:ind w:left="1134" w:hanging="1134"/>
        <w:rPr>
          <w:rFonts w:eastAsia="Calibri"/>
          <w:b/>
          <w:bCs/>
          <w:szCs w:val="22"/>
          <w:lang w:val="en-GB" w:eastAsia="en-US"/>
        </w:rPr>
      </w:pPr>
      <w:r w:rsidRPr="00F638AF">
        <w:rPr>
          <w:rFonts w:eastAsia="Calibri"/>
          <w:b/>
          <w:bCs/>
          <w:szCs w:val="22"/>
          <w:lang w:val="en-GB" w:eastAsia="en-US"/>
        </w:rPr>
        <w:t xml:space="preserve">Table </w:t>
      </w:r>
      <w:r w:rsidR="00E26FC8" w:rsidRPr="00F638AF">
        <w:rPr>
          <w:rFonts w:eastAsia="Calibri"/>
          <w:b/>
          <w:bCs/>
          <w:szCs w:val="22"/>
          <w:lang w:val="en-GB" w:eastAsia="en-US"/>
        </w:rPr>
        <w:t>7</w:t>
      </w:r>
      <w:r w:rsidRPr="00F638AF">
        <w:rPr>
          <w:b/>
          <w:szCs w:val="22"/>
          <w:lang w:val="en-GB"/>
        </w:rPr>
        <w:tab/>
      </w:r>
      <w:r w:rsidRPr="00F638AF">
        <w:rPr>
          <w:rFonts w:eastAsia="Calibri"/>
          <w:b/>
          <w:bCs/>
          <w:szCs w:val="22"/>
          <w:lang w:val="en-GB" w:eastAsia="en-US"/>
        </w:rPr>
        <w:t>Adverse reactions</w:t>
      </w:r>
      <w:r w:rsidRPr="003B1BAE">
        <w:rPr>
          <w:rFonts w:eastAsia="Calibri"/>
          <w:b/>
          <w:bCs/>
          <w:szCs w:val="22"/>
          <w:lang w:val="en-GB" w:eastAsia="en-US"/>
        </w:rPr>
        <w:t xml:space="preserve"> </w:t>
      </w:r>
      <w:r w:rsidR="00D61019">
        <w:rPr>
          <w:rFonts w:eastAsia="Calibri"/>
          <w:b/>
          <w:bCs/>
          <w:szCs w:val="22"/>
          <w:lang w:val="en-GB" w:eastAsia="en-US"/>
        </w:rPr>
        <w:t>in</w:t>
      </w:r>
      <w:r w:rsidRPr="003B1BAE">
        <w:rPr>
          <w:rFonts w:eastAsia="Calibri"/>
          <w:b/>
          <w:bCs/>
          <w:szCs w:val="22"/>
          <w:lang w:val="en-GB" w:eastAsia="en-US"/>
        </w:rPr>
        <w:t xml:space="preserve"> MabThera-treated pemphigus vulgaris patients </w:t>
      </w:r>
      <w:r>
        <w:rPr>
          <w:rFonts w:eastAsia="Calibri"/>
          <w:b/>
          <w:bCs/>
          <w:szCs w:val="22"/>
          <w:lang w:val="en-GB" w:eastAsia="en-US"/>
        </w:rPr>
        <w:t xml:space="preserve">in </w:t>
      </w:r>
      <w:r w:rsidR="00FF1E78">
        <w:rPr>
          <w:rFonts w:eastAsia="Calibri"/>
          <w:b/>
          <w:bCs/>
          <w:szCs w:val="22"/>
          <w:lang w:val="en-GB" w:eastAsia="en-US"/>
        </w:rPr>
        <w:t xml:space="preserve">PV </w:t>
      </w:r>
      <w:r w:rsidR="00D61019">
        <w:rPr>
          <w:rFonts w:eastAsia="Calibri"/>
          <w:b/>
          <w:bCs/>
          <w:szCs w:val="22"/>
          <w:lang w:val="en-GB" w:eastAsia="en-US"/>
        </w:rPr>
        <w:t>S</w:t>
      </w:r>
      <w:r w:rsidR="007830E0" w:rsidRPr="003B1BAE">
        <w:rPr>
          <w:rFonts w:eastAsia="Calibri"/>
          <w:b/>
          <w:bCs/>
          <w:szCs w:val="22"/>
          <w:lang w:val="en-GB" w:eastAsia="en-US"/>
        </w:rPr>
        <w:t xml:space="preserve">tudy </w:t>
      </w:r>
      <w:r w:rsidR="00FF1E78">
        <w:rPr>
          <w:rFonts w:eastAsia="Calibri"/>
          <w:b/>
          <w:bCs/>
          <w:szCs w:val="22"/>
          <w:lang w:val="en-GB" w:eastAsia="en-US"/>
        </w:rPr>
        <w:t>1 (</w:t>
      </w:r>
      <w:r w:rsidRPr="003B1BAE">
        <w:rPr>
          <w:rFonts w:eastAsia="Calibri"/>
          <w:b/>
          <w:bCs/>
          <w:szCs w:val="22"/>
          <w:lang w:val="en-GB" w:eastAsia="en-US"/>
        </w:rPr>
        <w:t xml:space="preserve">up to </w:t>
      </w:r>
      <w:r w:rsidR="00D61019">
        <w:rPr>
          <w:rFonts w:eastAsia="Calibri"/>
          <w:b/>
          <w:bCs/>
          <w:szCs w:val="22"/>
          <w:lang w:val="en-GB" w:eastAsia="en-US"/>
        </w:rPr>
        <w:t>M</w:t>
      </w:r>
      <w:r w:rsidR="007830E0" w:rsidRPr="003B1BAE">
        <w:rPr>
          <w:rFonts w:eastAsia="Calibri"/>
          <w:b/>
          <w:bCs/>
          <w:szCs w:val="22"/>
          <w:lang w:val="en-GB" w:eastAsia="en-US"/>
        </w:rPr>
        <w:t>onth</w:t>
      </w:r>
      <w:r w:rsidRPr="003B1BAE">
        <w:rPr>
          <w:rFonts w:eastAsia="Calibri"/>
          <w:b/>
          <w:bCs/>
          <w:szCs w:val="22"/>
          <w:lang w:val="en-GB" w:eastAsia="en-US"/>
        </w:rPr>
        <w:t xml:space="preserve"> 24</w:t>
      </w:r>
      <w:r w:rsidR="00FF1E78">
        <w:rPr>
          <w:rFonts w:eastAsia="Calibri"/>
          <w:b/>
          <w:bCs/>
          <w:szCs w:val="22"/>
          <w:lang w:val="en-GB" w:eastAsia="en-US"/>
        </w:rPr>
        <w:t>)</w:t>
      </w:r>
      <w:r w:rsidR="00D61019">
        <w:rPr>
          <w:rFonts w:eastAsia="Calibri"/>
          <w:b/>
          <w:bCs/>
          <w:szCs w:val="22"/>
          <w:lang w:val="en-GB" w:eastAsia="en-US"/>
        </w:rPr>
        <w:t xml:space="preserve"> and PV Study 2 (up to</w:t>
      </w:r>
      <w:r w:rsidR="00D61019" w:rsidRPr="00F947F8">
        <w:rPr>
          <w:rFonts w:eastAsia="Calibri"/>
          <w:b/>
          <w:bCs/>
          <w:szCs w:val="22"/>
          <w:lang w:val="en-GB" w:eastAsia="en-US"/>
        </w:rPr>
        <w:t xml:space="preserve"> Week 52)</w:t>
      </w:r>
    </w:p>
    <w:tbl>
      <w:tblPr>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55"/>
        <w:gridCol w:w="2664"/>
        <w:gridCol w:w="2772"/>
      </w:tblGrid>
      <w:tr w:rsidR="003A788B" w14:paraId="7C3314EB" w14:textId="77777777" w:rsidTr="00E06A78">
        <w:trPr>
          <w:cantSplit/>
          <w:trHeight w:val="235"/>
          <w:tblHeader/>
        </w:trPr>
        <w:tc>
          <w:tcPr>
            <w:tcW w:w="1943" w:type="pct"/>
            <w:vAlign w:val="center"/>
          </w:tcPr>
          <w:p w14:paraId="7C3314E8" w14:textId="77777777" w:rsidR="004B6851" w:rsidRPr="001F368C" w:rsidRDefault="00016F29" w:rsidP="00E06A78">
            <w:pPr>
              <w:pStyle w:val="NormalWeb"/>
              <w:keepNext/>
              <w:keepLines/>
              <w:widowControl w:val="0"/>
              <w:jc w:val="center"/>
              <w:rPr>
                <w:sz w:val="17"/>
                <w:szCs w:val="17"/>
                <w:lang w:val="en-GB"/>
              </w:rPr>
            </w:pPr>
            <w:r>
              <w:rPr>
                <w:b/>
                <w:bCs/>
                <w:sz w:val="17"/>
                <w:szCs w:val="17"/>
                <w:lang w:val="en-GB"/>
              </w:rPr>
              <w:t xml:space="preserve">MedDRA </w:t>
            </w:r>
            <w:r w:rsidRPr="001F368C">
              <w:rPr>
                <w:b/>
                <w:bCs/>
                <w:sz w:val="17"/>
                <w:szCs w:val="17"/>
                <w:lang w:val="en-GB"/>
              </w:rPr>
              <w:t>System Organ Class</w:t>
            </w:r>
          </w:p>
        </w:tc>
        <w:tc>
          <w:tcPr>
            <w:tcW w:w="1498" w:type="pct"/>
            <w:vAlign w:val="center"/>
          </w:tcPr>
          <w:p w14:paraId="7C3314E9" w14:textId="77777777" w:rsidR="004B6851" w:rsidRPr="001F368C" w:rsidRDefault="00016F29" w:rsidP="00E06A78">
            <w:pPr>
              <w:keepNext/>
              <w:keepLines/>
              <w:widowControl w:val="0"/>
              <w:jc w:val="center"/>
              <w:rPr>
                <w:b/>
                <w:sz w:val="17"/>
                <w:szCs w:val="17"/>
                <w:lang w:val="en-GB"/>
              </w:rPr>
            </w:pPr>
            <w:r w:rsidRPr="001F368C">
              <w:rPr>
                <w:b/>
                <w:sz w:val="17"/>
                <w:szCs w:val="17"/>
                <w:lang w:val="en-GB"/>
              </w:rPr>
              <w:t>Very Common</w:t>
            </w:r>
          </w:p>
        </w:tc>
        <w:tc>
          <w:tcPr>
            <w:tcW w:w="1559" w:type="pct"/>
            <w:vAlign w:val="center"/>
          </w:tcPr>
          <w:p w14:paraId="7C3314EA" w14:textId="77777777" w:rsidR="004B6851" w:rsidRPr="001F368C" w:rsidRDefault="00016F29" w:rsidP="00E06A78">
            <w:pPr>
              <w:keepNext/>
              <w:keepLines/>
              <w:widowControl w:val="0"/>
              <w:jc w:val="center"/>
              <w:rPr>
                <w:b/>
                <w:sz w:val="17"/>
                <w:szCs w:val="17"/>
                <w:lang w:val="en-GB"/>
              </w:rPr>
            </w:pPr>
            <w:r w:rsidRPr="001F368C">
              <w:rPr>
                <w:b/>
                <w:sz w:val="17"/>
                <w:szCs w:val="17"/>
                <w:lang w:val="en-GB"/>
              </w:rPr>
              <w:t>Common</w:t>
            </w:r>
          </w:p>
        </w:tc>
      </w:tr>
      <w:tr w:rsidR="003A788B" w14:paraId="7C3314F5" w14:textId="77777777" w:rsidTr="00E06A78">
        <w:trPr>
          <w:cantSplit/>
          <w:trHeight w:val="1738"/>
        </w:trPr>
        <w:tc>
          <w:tcPr>
            <w:tcW w:w="1943" w:type="pct"/>
          </w:tcPr>
          <w:p w14:paraId="7C3314EC" w14:textId="77777777" w:rsidR="004B6851" w:rsidRPr="001F368C" w:rsidRDefault="00016F29" w:rsidP="00E06A78">
            <w:pPr>
              <w:keepNext/>
              <w:keepLines/>
              <w:widowControl w:val="0"/>
              <w:rPr>
                <w:sz w:val="18"/>
                <w:szCs w:val="18"/>
                <w:lang w:val="en-GB"/>
              </w:rPr>
            </w:pPr>
            <w:r w:rsidRPr="001F368C">
              <w:rPr>
                <w:b/>
                <w:sz w:val="18"/>
                <w:szCs w:val="18"/>
                <w:lang w:val="en-GB"/>
              </w:rPr>
              <w:t>Infections and infestations</w:t>
            </w:r>
          </w:p>
        </w:tc>
        <w:tc>
          <w:tcPr>
            <w:tcW w:w="1498" w:type="pct"/>
          </w:tcPr>
          <w:p w14:paraId="7C3314ED" w14:textId="77777777" w:rsidR="004B6851" w:rsidRPr="001F368C" w:rsidRDefault="00016F29" w:rsidP="00E06A78">
            <w:pPr>
              <w:keepNext/>
              <w:keepLines/>
              <w:widowControl w:val="0"/>
              <w:rPr>
                <w:sz w:val="18"/>
                <w:szCs w:val="18"/>
                <w:lang w:val="en-GB"/>
              </w:rPr>
            </w:pPr>
            <w:r w:rsidRPr="003E2A8A">
              <w:rPr>
                <w:sz w:val="18"/>
                <w:szCs w:val="18"/>
                <w:lang w:val="en-GB"/>
              </w:rPr>
              <w:t>Upper respiratory tract infection</w:t>
            </w:r>
          </w:p>
        </w:tc>
        <w:tc>
          <w:tcPr>
            <w:tcW w:w="1559" w:type="pct"/>
          </w:tcPr>
          <w:p w14:paraId="7C3314EE" w14:textId="77777777" w:rsidR="004B6851" w:rsidRPr="003E2A8A" w:rsidRDefault="00016F29" w:rsidP="00E06A78">
            <w:pPr>
              <w:keepNext/>
              <w:keepLines/>
              <w:widowControl w:val="0"/>
              <w:rPr>
                <w:sz w:val="18"/>
                <w:szCs w:val="18"/>
                <w:lang w:val="en-GB"/>
              </w:rPr>
            </w:pPr>
            <w:r w:rsidRPr="003E2A8A">
              <w:rPr>
                <w:sz w:val="18"/>
                <w:szCs w:val="18"/>
                <w:lang w:val="en-GB"/>
              </w:rPr>
              <w:t>Herpes virus infection</w:t>
            </w:r>
          </w:p>
          <w:p w14:paraId="7C3314EF" w14:textId="77777777" w:rsidR="004B6851" w:rsidRPr="003E2A8A" w:rsidRDefault="00016F29" w:rsidP="00E06A78">
            <w:pPr>
              <w:keepNext/>
              <w:keepLines/>
              <w:widowControl w:val="0"/>
              <w:rPr>
                <w:sz w:val="18"/>
                <w:szCs w:val="18"/>
                <w:lang w:val="en-GB"/>
              </w:rPr>
            </w:pPr>
            <w:r w:rsidRPr="003E2A8A">
              <w:rPr>
                <w:sz w:val="18"/>
                <w:szCs w:val="18"/>
                <w:lang w:val="en-GB"/>
              </w:rPr>
              <w:t>Herpes zoster</w:t>
            </w:r>
          </w:p>
          <w:p w14:paraId="7C3314F0" w14:textId="77777777" w:rsidR="004B6851" w:rsidRPr="003E2A8A" w:rsidRDefault="00016F29" w:rsidP="00E06A78">
            <w:pPr>
              <w:keepNext/>
              <w:keepLines/>
              <w:widowControl w:val="0"/>
              <w:rPr>
                <w:sz w:val="18"/>
                <w:szCs w:val="18"/>
                <w:lang w:val="en-GB"/>
              </w:rPr>
            </w:pPr>
            <w:r w:rsidRPr="003E2A8A">
              <w:rPr>
                <w:sz w:val="18"/>
                <w:szCs w:val="18"/>
                <w:lang w:val="en-GB"/>
              </w:rPr>
              <w:t>Oral herpes</w:t>
            </w:r>
          </w:p>
          <w:p w14:paraId="7C3314F1" w14:textId="77777777" w:rsidR="004B6851" w:rsidRDefault="00016F29" w:rsidP="00E06A78">
            <w:pPr>
              <w:keepNext/>
              <w:keepLines/>
              <w:widowControl w:val="0"/>
              <w:rPr>
                <w:sz w:val="18"/>
                <w:szCs w:val="18"/>
                <w:lang w:val="en-GB"/>
              </w:rPr>
            </w:pPr>
            <w:r w:rsidRPr="003E2A8A">
              <w:rPr>
                <w:sz w:val="18"/>
                <w:szCs w:val="18"/>
                <w:lang w:val="en-GB"/>
              </w:rPr>
              <w:t>Conjunctivitis</w:t>
            </w:r>
          </w:p>
          <w:p w14:paraId="7C3314F2" w14:textId="77777777" w:rsidR="004B6851" w:rsidRPr="003E2A8A" w:rsidRDefault="00016F29" w:rsidP="00E06A78">
            <w:pPr>
              <w:keepNext/>
              <w:keepLines/>
              <w:widowControl w:val="0"/>
              <w:rPr>
                <w:sz w:val="18"/>
                <w:szCs w:val="18"/>
                <w:lang w:val="en-GB"/>
              </w:rPr>
            </w:pPr>
            <w:r w:rsidRPr="003E2A8A">
              <w:rPr>
                <w:sz w:val="18"/>
                <w:szCs w:val="18"/>
                <w:lang w:val="en-GB"/>
              </w:rPr>
              <w:t>Nasopharyngitis</w:t>
            </w:r>
          </w:p>
          <w:p w14:paraId="7C3314F3" w14:textId="77777777" w:rsidR="004B6851" w:rsidRPr="003E2A8A" w:rsidRDefault="00016F29" w:rsidP="00E06A78">
            <w:pPr>
              <w:keepNext/>
              <w:keepLines/>
              <w:widowControl w:val="0"/>
              <w:rPr>
                <w:sz w:val="18"/>
                <w:szCs w:val="18"/>
                <w:lang w:val="en-GB"/>
              </w:rPr>
            </w:pPr>
            <w:r w:rsidRPr="003E2A8A">
              <w:rPr>
                <w:sz w:val="18"/>
                <w:szCs w:val="18"/>
                <w:lang w:val="en-GB"/>
              </w:rPr>
              <w:t>Oral candidiasis</w:t>
            </w:r>
          </w:p>
          <w:p w14:paraId="7C3314F4" w14:textId="77777777" w:rsidR="004B6851" w:rsidRPr="001F368C" w:rsidRDefault="00016F29" w:rsidP="00E06A78">
            <w:pPr>
              <w:keepNext/>
              <w:keepLines/>
              <w:widowControl w:val="0"/>
              <w:rPr>
                <w:sz w:val="18"/>
                <w:szCs w:val="18"/>
                <w:lang w:val="en-GB"/>
              </w:rPr>
            </w:pPr>
            <w:r w:rsidRPr="003E2A8A">
              <w:rPr>
                <w:sz w:val="18"/>
                <w:szCs w:val="18"/>
                <w:lang w:val="en-GB"/>
              </w:rPr>
              <w:t>Urinary tract infection</w:t>
            </w:r>
          </w:p>
        </w:tc>
      </w:tr>
      <w:tr w:rsidR="003A788B" w14:paraId="7C3314F9" w14:textId="77777777" w:rsidTr="00E06A78">
        <w:trPr>
          <w:cantSplit/>
          <w:trHeight w:val="732"/>
        </w:trPr>
        <w:tc>
          <w:tcPr>
            <w:tcW w:w="1943" w:type="pct"/>
          </w:tcPr>
          <w:p w14:paraId="7C3314F6" w14:textId="77777777" w:rsidR="004B6851" w:rsidRPr="001F368C" w:rsidRDefault="00016F29" w:rsidP="00E06A78">
            <w:pPr>
              <w:keepNext/>
              <w:keepLines/>
              <w:widowControl w:val="0"/>
              <w:rPr>
                <w:b/>
                <w:sz w:val="18"/>
                <w:szCs w:val="18"/>
                <w:lang w:val="en-GB"/>
              </w:rPr>
            </w:pPr>
            <w:r w:rsidRPr="003E2A8A">
              <w:rPr>
                <w:b/>
                <w:sz w:val="18"/>
                <w:szCs w:val="18"/>
                <w:lang w:val="en-GB"/>
              </w:rPr>
              <w:t>Neoplasms Benign, Malignant and Unspecified (incl cysts and polyps)</w:t>
            </w:r>
          </w:p>
        </w:tc>
        <w:tc>
          <w:tcPr>
            <w:tcW w:w="1498" w:type="pct"/>
          </w:tcPr>
          <w:p w14:paraId="7C3314F7" w14:textId="77777777" w:rsidR="004B6851" w:rsidRPr="003E2A8A" w:rsidRDefault="004B6851" w:rsidP="00E06A78">
            <w:pPr>
              <w:keepNext/>
              <w:keepLines/>
              <w:widowControl w:val="0"/>
              <w:rPr>
                <w:sz w:val="18"/>
                <w:szCs w:val="18"/>
                <w:lang w:val="en-GB"/>
              </w:rPr>
            </w:pPr>
          </w:p>
        </w:tc>
        <w:tc>
          <w:tcPr>
            <w:tcW w:w="1559" w:type="pct"/>
          </w:tcPr>
          <w:p w14:paraId="7C3314F8" w14:textId="77777777" w:rsidR="004B6851" w:rsidRPr="003E2A8A" w:rsidRDefault="00016F29" w:rsidP="00E06A78">
            <w:pPr>
              <w:keepNext/>
              <w:keepLines/>
              <w:widowControl w:val="0"/>
              <w:rPr>
                <w:sz w:val="18"/>
                <w:szCs w:val="18"/>
                <w:lang w:val="en-GB"/>
              </w:rPr>
            </w:pPr>
            <w:r w:rsidRPr="00AA0E83">
              <w:rPr>
                <w:sz w:val="18"/>
                <w:szCs w:val="18"/>
                <w:lang w:val="en-GB"/>
              </w:rPr>
              <w:t>Skin papilloma</w:t>
            </w:r>
          </w:p>
        </w:tc>
      </w:tr>
      <w:tr w:rsidR="003A788B" w14:paraId="7C3314FE" w14:textId="77777777" w:rsidTr="00E06A78">
        <w:trPr>
          <w:cantSplit/>
          <w:trHeight w:val="496"/>
        </w:trPr>
        <w:tc>
          <w:tcPr>
            <w:tcW w:w="1943" w:type="pct"/>
          </w:tcPr>
          <w:p w14:paraId="7C3314FA" w14:textId="77777777" w:rsidR="004B6851" w:rsidRPr="001F368C" w:rsidRDefault="00016F29" w:rsidP="00E06A78">
            <w:pPr>
              <w:keepNext/>
              <w:keepLines/>
              <w:widowControl w:val="0"/>
              <w:rPr>
                <w:sz w:val="18"/>
                <w:szCs w:val="18"/>
                <w:lang w:val="en-GB"/>
              </w:rPr>
            </w:pPr>
            <w:r w:rsidRPr="001F368C">
              <w:rPr>
                <w:b/>
                <w:sz w:val="18"/>
                <w:szCs w:val="18"/>
                <w:lang w:val="en-GB"/>
              </w:rPr>
              <w:t>Psychiatric disorders</w:t>
            </w:r>
          </w:p>
        </w:tc>
        <w:tc>
          <w:tcPr>
            <w:tcW w:w="1498" w:type="pct"/>
          </w:tcPr>
          <w:p w14:paraId="7C3314FB" w14:textId="77777777" w:rsidR="004B6851" w:rsidRPr="001F368C" w:rsidRDefault="00016F29" w:rsidP="00E06A78">
            <w:pPr>
              <w:keepNext/>
              <w:keepLines/>
              <w:widowControl w:val="0"/>
              <w:rPr>
                <w:sz w:val="18"/>
                <w:szCs w:val="18"/>
                <w:lang w:val="en-GB"/>
              </w:rPr>
            </w:pPr>
            <w:r w:rsidRPr="003E2A8A">
              <w:rPr>
                <w:sz w:val="18"/>
                <w:szCs w:val="18"/>
                <w:lang w:val="en-GB"/>
              </w:rPr>
              <w:t>Persistent depressive disorder</w:t>
            </w:r>
          </w:p>
        </w:tc>
        <w:tc>
          <w:tcPr>
            <w:tcW w:w="1559" w:type="pct"/>
          </w:tcPr>
          <w:p w14:paraId="7C3314FC" w14:textId="77777777" w:rsidR="004B6851" w:rsidRPr="003E2A8A" w:rsidRDefault="00016F29" w:rsidP="00E06A78">
            <w:pPr>
              <w:keepNext/>
              <w:keepLines/>
              <w:widowControl w:val="0"/>
              <w:rPr>
                <w:sz w:val="18"/>
                <w:szCs w:val="18"/>
                <w:lang w:val="en-GB"/>
              </w:rPr>
            </w:pPr>
            <w:r w:rsidRPr="003E2A8A">
              <w:rPr>
                <w:sz w:val="18"/>
                <w:szCs w:val="18"/>
                <w:lang w:val="en-GB"/>
              </w:rPr>
              <w:t>Major depression</w:t>
            </w:r>
          </w:p>
          <w:p w14:paraId="7C3314FD" w14:textId="77777777" w:rsidR="004B6851" w:rsidRPr="001F368C" w:rsidRDefault="00016F29" w:rsidP="00E06A78">
            <w:pPr>
              <w:keepNext/>
              <w:keepLines/>
              <w:widowControl w:val="0"/>
              <w:rPr>
                <w:sz w:val="18"/>
                <w:szCs w:val="18"/>
                <w:lang w:val="en-GB"/>
              </w:rPr>
            </w:pPr>
            <w:r w:rsidRPr="003E2A8A">
              <w:rPr>
                <w:sz w:val="18"/>
                <w:szCs w:val="18"/>
                <w:lang w:val="en-GB"/>
              </w:rPr>
              <w:t>Irritability</w:t>
            </w:r>
          </w:p>
        </w:tc>
      </w:tr>
      <w:tr w:rsidR="003A788B" w14:paraId="7C331503" w14:textId="77777777" w:rsidTr="00E06A78">
        <w:trPr>
          <w:cantSplit/>
          <w:trHeight w:val="496"/>
        </w:trPr>
        <w:tc>
          <w:tcPr>
            <w:tcW w:w="1943" w:type="pct"/>
          </w:tcPr>
          <w:p w14:paraId="7C3314FF" w14:textId="77777777" w:rsidR="004B6851" w:rsidRPr="001F368C" w:rsidRDefault="00016F29" w:rsidP="00E06A78">
            <w:pPr>
              <w:pStyle w:val="TextTi10"/>
              <w:keepNext/>
              <w:keepLines/>
              <w:widowControl w:val="0"/>
              <w:rPr>
                <w:b/>
                <w:sz w:val="18"/>
                <w:szCs w:val="18"/>
                <w:lang w:val="en-GB"/>
              </w:rPr>
            </w:pPr>
            <w:r w:rsidRPr="001F368C">
              <w:rPr>
                <w:b/>
                <w:sz w:val="18"/>
                <w:szCs w:val="18"/>
                <w:lang w:val="en-GB"/>
              </w:rPr>
              <w:t>Nervous system disorders</w:t>
            </w:r>
          </w:p>
        </w:tc>
        <w:tc>
          <w:tcPr>
            <w:tcW w:w="1498" w:type="pct"/>
          </w:tcPr>
          <w:p w14:paraId="7C331500" w14:textId="77777777" w:rsidR="004B6851" w:rsidRPr="00D84619" w:rsidRDefault="00016F29" w:rsidP="00E06A78">
            <w:pPr>
              <w:keepNext/>
              <w:keepLines/>
              <w:widowControl w:val="0"/>
              <w:rPr>
                <w:sz w:val="18"/>
                <w:szCs w:val="18"/>
                <w:lang w:val="en-GB"/>
              </w:rPr>
            </w:pPr>
            <w:r w:rsidRPr="00D84619">
              <w:rPr>
                <w:sz w:val="18"/>
                <w:szCs w:val="18"/>
                <w:lang w:val="en-GB"/>
              </w:rPr>
              <w:t>Headache</w:t>
            </w:r>
          </w:p>
          <w:p w14:paraId="7C331501" w14:textId="77777777" w:rsidR="004B6851" w:rsidRPr="001F368C" w:rsidRDefault="004B6851" w:rsidP="00E06A78">
            <w:pPr>
              <w:keepNext/>
              <w:keepLines/>
              <w:widowControl w:val="0"/>
              <w:rPr>
                <w:sz w:val="18"/>
                <w:szCs w:val="18"/>
                <w:lang w:val="en-GB"/>
              </w:rPr>
            </w:pPr>
          </w:p>
        </w:tc>
        <w:tc>
          <w:tcPr>
            <w:tcW w:w="1559" w:type="pct"/>
          </w:tcPr>
          <w:p w14:paraId="7C331502" w14:textId="77777777" w:rsidR="004B6851" w:rsidRPr="001F368C" w:rsidRDefault="00016F29" w:rsidP="00E06A78">
            <w:pPr>
              <w:keepNext/>
              <w:keepLines/>
              <w:widowControl w:val="0"/>
              <w:rPr>
                <w:sz w:val="18"/>
                <w:szCs w:val="18"/>
                <w:lang w:val="en-GB"/>
              </w:rPr>
            </w:pPr>
            <w:r w:rsidRPr="00D84619">
              <w:rPr>
                <w:sz w:val="18"/>
                <w:szCs w:val="18"/>
                <w:lang w:val="en-GB"/>
              </w:rPr>
              <w:t>Dizziness</w:t>
            </w:r>
          </w:p>
        </w:tc>
      </w:tr>
      <w:tr w:rsidR="003A788B" w14:paraId="7C331507" w14:textId="77777777" w:rsidTr="00E06A78">
        <w:trPr>
          <w:cantSplit/>
          <w:trHeight w:val="248"/>
        </w:trPr>
        <w:tc>
          <w:tcPr>
            <w:tcW w:w="1943" w:type="pct"/>
          </w:tcPr>
          <w:p w14:paraId="7C331504" w14:textId="77777777" w:rsidR="004B6851" w:rsidRPr="001F368C" w:rsidRDefault="00016F29" w:rsidP="00E06A78">
            <w:pPr>
              <w:keepNext/>
              <w:keepLines/>
              <w:widowControl w:val="0"/>
              <w:rPr>
                <w:b/>
                <w:sz w:val="18"/>
                <w:szCs w:val="18"/>
                <w:lang w:val="en-GB"/>
              </w:rPr>
            </w:pPr>
            <w:r w:rsidRPr="001F368C">
              <w:rPr>
                <w:b/>
                <w:sz w:val="18"/>
                <w:szCs w:val="18"/>
                <w:lang w:val="en-GB"/>
              </w:rPr>
              <w:t>Cardiac disorders</w:t>
            </w:r>
          </w:p>
        </w:tc>
        <w:tc>
          <w:tcPr>
            <w:tcW w:w="1498" w:type="pct"/>
          </w:tcPr>
          <w:p w14:paraId="7C331505" w14:textId="77777777" w:rsidR="004B6851" w:rsidRPr="001F368C" w:rsidRDefault="004B6851" w:rsidP="00E06A78">
            <w:pPr>
              <w:keepNext/>
              <w:keepLines/>
              <w:widowControl w:val="0"/>
              <w:rPr>
                <w:sz w:val="18"/>
                <w:szCs w:val="18"/>
                <w:lang w:val="en-GB"/>
              </w:rPr>
            </w:pPr>
          </w:p>
        </w:tc>
        <w:tc>
          <w:tcPr>
            <w:tcW w:w="1559" w:type="pct"/>
          </w:tcPr>
          <w:p w14:paraId="7C331506" w14:textId="77777777" w:rsidR="004B6851" w:rsidRPr="001F368C" w:rsidRDefault="00016F29" w:rsidP="00E06A78">
            <w:pPr>
              <w:keepNext/>
              <w:keepLines/>
              <w:widowControl w:val="0"/>
              <w:rPr>
                <w:sz w:val="18"/>
                <w:szCs w:val="18"/>
                <w:lang w:val="en-GB"/>
              </w:rPr>
            </w:pPr>
            <w:r w:rsidRPr="003E2A8A">
              <w:rPr>
                <w:sz w:val="18"/>
                <w:szCs w:val="18"/>
                <w:lang w:val="en-GB"/>
              </w:rPr>
              <w:t>Tachycardia</w:t>
            </w:r>
          </w:p>
        </w:tc>
      </w:tr>
      <w:tr w:rsidR="003A788B" w14:paraId="7C33150B" w14:textId="77777777" w:rsidTr="00E06A78">
        <w:trPr>
          <w:cantSplit/>
          <w:trHeight w:val="248"/>
        </w:trPr>
        <w:tc>
          <w:tcPr>
            <w:tcW w:w="1943" w:type="pct"/>
          </w:tcPr>
          <w:p w14:paraId="7C331508" w14:textId="77777777" w:rsidR="004B6851" w:rsidRPr="001F368C" w:rsidRDefault="00016F29" w:rsidP="00E06A78">
            <w:pPr>
              <w:keepNext/>
              <w:keepLines/>
              <w:widowControl w:val="0"/>
              <w:rPr>
                <w:b/>
                <w:sz w:val="18"/>
                <w:szCs w:val="18"/>
                <w:lang w:val="en-GB"/>
              </w:rPr>
            </w:pPr>
            <w:r w:rsidRPr="001F368C">
              <w:rPr>
                <w:b/>
                <w:sz w:val="18"/>
                <w:szCs w:val="18"/>
                <w:lang w:val="en-GB"/>
              </w:rPr>
              <w:t>Gastrointestinal disorders</w:t>
            </w:r>
          </w:p>
        </w:tc>
        <w:tc>
          <w:tcPr>
            <w:tcW w:w="1498" w:type="pct"/>
          </w:tcPr>
          <w:p w14:paraId="7C331509" w14:textId="77777777" w:rsidR="004B6851" w:rsidRPr="001F368C" w:rsidRDefault="004B6851" w:rsidP="00E06A78">
            <w:pPr>
              <w:pStyle w:val="TextTi10"/>
              <w:keepNext/>
              <w:keepLines/>
              <w:widowControl w:val="0"/>
              <w:rPr>
                <w:sz w:val="18"/>
                <w:szCs w:val="18"/>
                <w:lang w:val="en-GB"/>
              </w:rPr>
            </w:pPr>
          </w:p>
        </w:tc>
        <w:tc>
          <w:tcPr>
            <w:tcW w:w="1559" w:type="pct"/>
          </w:tcPr>
          <w:p w14:paraId="7C33150A" w14:textId="77777777" w:rsidR="004B6851" w:rsidRPr="001F368C" w:rsidRDefault="00016F29" w:rsidP="00E06A78">
            <w:pPr>
              <w:pStyle w:val="TextTi10"/>
              <w:keepNext/>
              <w:keepLines/>
              <w:widowControl w:val="0"/>
              <w:rPr>
                <w:sz w:val="18"/>
                <w:szCs w:val="18"/>
                <w:lang w:val="en-GB"/>
              </w:rPr>
            </w:pPr>
            <w:r w:rsidRPr="003E2A8A">
              <w:rPr>
                <w:sz w:val="18"/>
                <w:szCs w:val="18"/>
                <w:lang w:val="en-GB"/>
              </w:rPr>
              <w:t>Abdominal pain upper</w:t>
            </w:r>
          </w:p>
        </w:tc>
      </w:tr>
      <w:tr w:rsidR="003A788B" w14:paraId="7C331511" w14:textId="77777777" w:rsidTr="00E06A78">
        <w:trPr>
          <w:cantSplit/>
          <w:trHeight w:val="745"/>
        </w:trPr>
        <w:tc>
          <w:tcPr>
            <w:tcW w:w="1943" w:type="pct"/>
          </w:tcPr>
          <w:p w14:paraId="7C33150C" w14:textId="77777777" w:rsidR="004B6851" w:rsidRPr="001F368C" w:rsidRDefault="00016F29" w:rsidP="00E06A78">
            <w:pPr>
              <w:pStyle w:val="TextTi10"/>
              <w:keepNext/>
              <w:keepLines/>
              <w:widowControl w:val="0"/>
              <w:rPr>
                <w:b/>
                <w:sz w:val="18"/>
                <w:szCs w:val="18"/>
                <w:lang w:val="en-GB"/>
              </w:rPr>
            </w:pPr>
            <w:r w:rsidRPr="001F368C">
              <w:rPr>
                <w:b/>
                <w:sz w:val="18"/>
                <w:szCs w:val="18"/>
                <w:lang w:val="en-GB"/>
              </w:rPr>
              <w:t>Skin and subcutaneous tissue disorders</w:t>
            </w:r>
          </w:p>
        </w:tc>
        <w:tc>
          <w:tcPr>
            <w:tcW w:w="1498" w:type="pct"/>
          </w:tcPr>
          <w:p w14:paraId="7C33150D" w14:textId="77777777" w:rsidR="004B6851" w:rsidRPr="001F368C" w:rsidRDefault="00016F29" w:rsidP="00E06A78">
            <w:pPr>
              <w:pStyle w:val="TextTi10"/>
              <w:keepNext/>
              <w:keepLines/>
              <w:widowControl w:val="0"/>
              <w:rPr>
                <w:sz w:val="18"/>
                <w:szCs w:val="18"/>
                <w:lang w:val="en-GB"/>
              </w:rPr>
            </w:pPr>
            <w:r w:rsidRPr="004E5100">
              <w:rPr>
                <w:sz w:val="18"/>
                <w:szCs w:val="18"/>
                <w:lang w:val="en-GB"/>
              </w:rPr>
              <w:t>Alopecia</w:t>
            </w:r>
          </w:p>
        </w:tc>
        <w:tc>
          <w:tcPr>
            <w:tcW w:w="1559" w:type="pct"/>
          </w:tcPr>
          <w:p w14:paraId="7C33150E" w14:textId="77777777" w:rsidR="004B6851" w:rsidRPr="003E2A8A" w:rsidRDefault="00016F29" w:rsidP="00E06A78">
            <w:pPr>
              <w:pStyle w:val="TextTi10"/>
              <w:keepNext/>
              <w:keepLines/>
              <w:widowControl w:val="0"/>
              <w:rPr>
                <w:sz w:val="18"/>
                <w:szCs w:val="18"/>
                <w:lang w:val="en-GB"/>
              </w:rPr>
            </w:pPr>
            <w:r w:rsidRPr="003E2A8A">
              <w:rPr>
                <w:sz w:val="18"/>
                <w:szCs w:val="18"/>
                <w:lang w:val="en-GB"/>
              </w:rPr>
              <w:t>Pruritus</w:t>
            </w:r>
          </w:p>
          <w:p w14:paraId="7C33150F" w14:textId="77777777" w:rsidR="004B6851" w:rsidRPr="003E2A8A" w:rsidRDefault="00016F29" w:rsidP="00E06A78">
            <w:pPr>
              <w:pStyle w:val="TextTi10"/>
              <w:keepNext/>
              <w:keepLines/>
              <w:widowControl w:val="0"/>
              <w:rPr>
                <w:sz w:val="18"/>
                <w:szCs w:val="18"/>
                <w:lang w:val="en-GB"/>
              </w:rPr>
            </w:pPr>
            <w:r w:rsidRPr="003E2A8A">
              <w:rPr>
                <w:sz w:val="18"/>
                <w:szCs w:val="18"/>
                <w:lang w:val="en-GB"/>
              </w:rPr>
              <w:t>Urticaria</w:t>
            </w:r>
          </w:p>
          <w:p w14:paraId="7C331510" w14:textId="77777777" w:rsidR="004B6851" w:rsidRPr="001F368C" w:rsidRDefault="00016F29" w:rsidP="00E06A78">
            <w:pPr>
              <w:pStyle w:val="TextTi10"/>
              <w:keepNext/>
              <w:keepLines/>
              <w:widowControl w:val="0"/>
              <w:rPr>
                <w:sz w:val="18"/>
                <w:szCs w:val="18"/>
                <w:lang w:val="en-GB"/>
              </w:rPr>
            </w:pPr>
            <w:r w:rsidRPr="003E2A8A">
              <w:rPr>
                <w:sz w:val="18"/>
                <w:szCs w:val="18"/>
                <w:lang w:val="en-GB"/>
              </w:rPr>
              <w:t>Skin disorder</w:t>
            </w:r>
          </w:p>
        </w:tc>
      </w:tr>
      <w:tr w:rsidR="003A788B" w14:paraId="7C331517" w14:textId="77777777" w:rsidTr="00E06A78">
        <w:trPr>
          <w:cantSplit/>
          <w:trHeight w:val="745"/>
        </w:trPr>
        <w:tc>
          <w:tcPr>
            <w:tcW w:w="1943" w:type="pct"/>
          </w:tcPr>
          <w:p w14:paraId="7C331512" w14:textId="77777777" w:rsidR="004B6851" w:rsidRPr="001F368C" w:rsidRDefault="00016F29" w:rsidP="00E06A78">
            <w:pPr>
              <w:keepNext/>
              <w:keepLines/>
              <w:widowControl w:val="0"/>
              <w:rPr>
                <w:sz w:val="18"/>
                <w:szCs w:val="18"/>
                <w:lang w:val="en-GB"/>
              </w:rPr>
            </w:pPr>
            <w:r w:rsidRPr="001F368C">
              <w:rPr>
                <w:b/>
                <w:sz w:val="18"/>
                <w:szCs w:val="18"/>
                <w:lang w:val="en-GB"/>
              </w:rPr>
              <w:t>Musculoskeletal, connective tissue and bone disorders</w:t>
            </w:r>
          </w:p>
        </w:tc>
        <w:tc>
          <w:tcPr>
            <w:tcW w:w="1498" w:type="pct"/>
          </w:tcPr>
          <w:p w14:paraId="7C331513" w14:textId="77777777" w:rsidR="004B6851" w:rsidRPr="001F368C" w:rsidRDefault="004B6851" w:rsidP="00E06A78">
            <w:pPr>
              <w:keepNext/>
              <w:keepLines/>
              <w:widowControl w:val="0"/>
              <w:rPr>
                <w:sz w:val="18"/>
                <w:szCs w:val="18"/>
                <w:lang w:val="en-GB"/>
              </w:rPr>
            </w:pPr>
          </w:p>
        </w:tc>
        <w:tc>
          <w:tcPr>
            <w:tcW w:w="1559" w:type="pct"/>
          </w:tcPr>
          <w:p w14:paraId="7C331514" w14:textId="77777777" w:rsidR="004B6851" w:rsidRPr="00AA0E83" w:rsidRDefault="00016F29" w:rsidP="00E06A78">
            <w:pPr>
              <w:keepNext/>
              <w:keepLines/>
              <w:widowControl w:val="0"/>
              <w:rPr>
                <w:sz w:val="18"/>
                <w:szCs w:val="18"/>
                <w:lang w:val="en-GB"/>
              </w:rPr>
            </w:pPr>
            <w:r w:rsidRPr="00AA0E83">
              <w:rPr>
                <w:sz w:val="18"/>
                <w:szCs w:val="18"/>
                <w:lang w:val="en-GB"/>
              </w:rPr>
              <w:t>Musculoskeletal pain</w:t>
            </w:r>
          </w:p>
          <w:p w14:paraId="7C331515" w14:textId="77777777" w:rsidR="004B6851" w:rsidRPr="00AA0E83" w:rsidRDefault="00016F29" w:rsidP="00E06A78">
            <w:pPr>
              <w:keepNext/>
              <w:keepLines/>
              <w:widowControl w:val="0"/>
              <w:rPr>
                <w:sz w:val="18"/>
                <w:szCs w:val="18"/>
                <w:lang w:val="en-GB"/>
              </w:rPr>
            </w:pPr>
            <w:r w:rsidRPr="00AA0E83">
              <w:rPr>
                <w:sz w:val="18"/>
                <w:szCs w:val="18"/>
                <w:lang w:val="en-GB"/>
              </w:rPr>
              <w:t>Arthralgia</w:t>
            </w:r>
          </w:p>
          <w:p w14:paraId="7C331516" w14:textId="77777777" w:rsidR="004B6851" w:rsidRPr="001F368C" w:rsidRDefault="00016F29" w:rsidP="00E06A78">
            <w:pPr>
              <w:pStyle w:val="TextTi10"/>
              <w:keepNext/>
              <w:keepLines/>
              <w:widowControl w:val="0"/>
              <w:rPr>
                <w:sz w:val="18"/>
                <w:szCs w:val="18"/>
                <w:lang w:val="en-GB"/>
              </w:rPr>
            </w:pPr>
            <w:r w:rsidRPr="00AA0E83">
              <w:rPr>
                <w:sz w:val="18"/>
                <w:szCs w:val="18"/>
                <w:lang w:val="en-GB"/>
              </w:rPr>
              <w:t>Back pain</w:t>
            </w:r>
          </w:p>
        </w:tc>
      </w:tr>
      <w:tr w:rsidR="003A788B" w14:paraId="7C33151D" w14:textId="77777777" w:rsidTr="00E06A78">
        <w:trPr>
          <w:cantSplit/>
          <w:trHeight w:val="732"/>
        </w:trPr>
        <w:tc>
          <w:tcPr>
            <w:tcW w:w="1943" w:type="pct"/>
          </w:tcPr>
          <w:p w14:paraId="7C331518" w14:textId="77777777" w:rsidR="004B6851" w:rsidRPr="001F368C" w:rsidRDefault="00016F29" w:rsidP="00E06A78">
            <w:pPr>
              <w:keepNext/>
              <w:keepLines/>
              <w:widowControl w:val="0"/>
              <w:rPr>
                <w:sz w:val="18"/>
                <w:szCs w:val="18"/>
                <w:lang w:val="en-GB"/>
              </w:rPr>
            </w:pPr>
            <w:r w:rsidRPr="001F368C">
              <w:rPr>
                <w:b/>
                <w:sz w:val="18"/>
                <w:szCs w:val="18"/>
                <w:lang w:val="en-GB"/>
              </w:rPr>
              <w:t>General disorders and administration site conditions</w:t>
            </w:r>
          </w:p>
        </w:tc>
        <w:tc>
          <w:tcPr>
            <w:tcW w:w="1498" w:type="pct"/>
          </w:tcPr>
          <w:p w14:paraId="7C331519" w14:textId="77777777" w:rsidR="004B6851" w:rsidRPr="001F368C" w:rsidRDefault="004B6851" w:rsidP="00E06A78">
            <w:pPr>
              <w:keepNext/>
              <w:keepLines/>
              <w:widowControl w:val="0"/>
              <w:rPr>
                <w:sz w:val="18"/>
                <w:szCs w:val="18"/>
                <w:lang w:val="en-GB"/>
              </w:rPr>
            </w:pPr>
          </w:p>
        </w:tc>
        <w:tc>
          <w:tcPr>
            <w:tcW w:w="1559" w:type="pct"/>
          </w:tcPr>
          <w:p w14:paraId="7C33151A" w14:textId="77777777" w:rsidR="004B6851" w:rsidRDefault="00016F29" w:rsidP="00E06A78">
            <w:pPr>
              <w:keepNext/>
              <w:keepLines/>
              <w:widowControl w:val="0"/>
              <w:rPr>
                <w:sz w:val="18"/>
                <w:szCs w:val="18"/>
                <w:lang w:val="en-GB"/>
              </w:rPr>
            </w:pPr>
            <w:r w:rsidRPr="003E2A8A">
              <w:rPr>
                <w:sz w:val="18"/>
                <w:szCs w:val="18"/>
                <w:lang w:val="en-GB"/>
              </w:rPr>
              <w:t>Fatigue</w:t>
            </w:r>
          </w:p>
          <w:p w14:paraId="7C33151B" w14:textId="77777777" w:rsidR="004B6851" w:rsidRPr="003E2A8A" w:rsidRDefault="00016F29" w:rsidP="00E06A78">
            <w:pPr>
              <w:keepNext/>
              <w:keepLines/>
              <w:widowControl w:val="0"/>
              <w:rPr>
                <w:sz w:val="18"/>
                <w:szCs w:val="18"/>
                <w:lang w:val="en-GB"/>
              </w:rPr>
            </w:pPr>
            <w:r w:rsidRPr="002B7713">
              <w:rPr>
                <w:sz w:val="18"/>
                <w:szCs w:val="18"/>
                <w:lang w:val="en-GB"/>
              </w:rPr>
              <w:t>Asthenia</w:t>
            </w:r>
          </w:p>
          <w:p w14:paraId="7C33151C" w14:textId="77777777" w:rsidR="004B6851" w:rsidRPr="001F368C" w:rsidRDefault="00016F29" w:rsidP="00E06A78">
            <w:pPr>
              <w:pStyle w:val="TextTi10"/>
              <w:keepNext/>
              <w:keepLines/>
              <w:widowControl w:val="0"/>
              <w:rPr>
                <w:sz w:val="18"/>
                <w:szCs w:val="18"/>
                <w:lang w:val="en-GB"/>
              </w:rPr>
            </w:pPr>
            <w:r w:rsidRPr="003E2A8A">
              <w:rPr>
                <w:sz w:val="18"/>
                <w:szCs w:val="18"/>
                <w:lang w:val="en-GB"/>
              </w:rPr>
              <w:t>Pyrexia</w:t>
            </w:r>
          </w:p>
        </w:tc>
      </w:tr>
      <w:tr w:rsidR="003A788B" w14:paraId="7C331521" w14:textId="77777777" w:rsidTr="00E06A78">
        <w:trPr>
          <w:cantSplit/>
          <w:trHeight w:val="496"/>
        </w:trPr>
        <w:tc>
          <w:tcPr>
            <w:tcW w:w="1943" w:type="pct"/>
          </w:tcPr>
          <w:p w14:paraId="7C33151E" w14:textId="77777777" w:rsidR="004B6851" w:rsidRPr="001F368C" w:rsidRDefault="00016F29" w:rsidP="00E06A78">
            <w:pPr>
              <w:keepNext/>
              <w:keepLines/>
              <w:widowControl w:val="0"/>
              <w:rPr>
                <w:b/>
                <w:sz w:val="18"/>
                <w:szCs w:val="18"/>
                <w:lang w:val="en-GB"/>
              </w:rPr>
            </w:pPr>
            <w:r w:rsidRPr="003E2A8A">
              <w:rPr>
                <w:b/>
                <w:sz w:val="18"/>
                <w:szCs w:val="18"/>
                <w:lang w:val="en-GB"/>
              </w:rPr>
              <w:t>Injury, Poisoning and Procedural Complications</w:t>
            </w:r>
          </w:p>
        </w:tc>
        <w:tc>
          <w:tcPr>
            <w:tcW w:w="1498" w:type="pct"/>
          </w:tcPr>
          <w:p w14:paraId="7C33151F" w14:textId="77777777" w:rsidR="004B6851" w:rsidRPr="001F368C" w:rsidRDefault="00016F29" w:rsidP="00E06A78">
            <w:pPr>
              <w:keepNext/>
              <w:keepLines/>
              <w:widowControl w:val="0"/>
              <w:rPr>
                <w:sz w:val="18"/>
                <w:szCs w:val="18"/>
                <w:lang w:val="en-GB"/>
              </w:rPr>
            </w:pPr>
            <w:r w:rsidRPr="003E2A8A">
              <w:rPr>
                <w:sz w:val="18"/>
                <w:szCs w:val="18"/>
                <w:lang w:val="en-GB"/>
              </w:rPr>
              <w:t>Infusion-related reactions</w:t>
            </w:r>
            <w:r>
              <w:rPr>
                <w:sz w:val="18"/>
                <w:szCs w:val="18"/>
                <w:lang w:val="en-GB"/>
              </w:rPr>
              <w:t>*</w:t>
            </w:r>
          </w:p>
        </w:tc>
        <w:tc>
          <w:tcPr>
            <w:tcW w:w="1559" w:type="pct"/>
          </w:tcPr>
          <w:p w14:paraId="7C331520" w14:textId="77777777" w:rsidR="004B6851" w:rsidRPr="001F368C" w:rsidRDefault="004B6851" w:rsidP="00E06A78">
            <w:pPr>
              <w:pStyle w:val="TextTi10"/>
              <w:keepNext/>
              <w:keepLines/>
              <w:widowControl w:val="0"/>
              <w:rPr>
                <w:sz w:val="18"/>
                <w:szCs w:val="18"/>
                <w:lang w:val="en-GB"/>
              </w:rPr>
            </w:pPr>
          </w:p>
        </w:tc>
      </w:tr>
      <w:tr w:rsidR="003A788B" w14:paraId="7C331525" w14:textId="77777777" w:rsidTr="00E06A78">
        <w:trPr>
          <w:cantSplit/>
          <w:trHeight w:val="1275"/>
        </w:trPr>
        <w:tc>
          <w:tcPr>
            <w:tcW w:w="5000" w:type="pct"/>
            <w:gridSpan w:val="3"/>
          </w:tcPr>
          <w:p w14:paraId="7C331522" w14:textId="77777777" w:rsidR="004B6851" w:rsidRPr="000E01C7" w:rsidRDefault="00016F29" w:rsidP="00E06A78">
            <w:pPr>
              <w:keepNext/>
              <w:keepLines/>
              <w:widowControl w:val="0"/>
              <w:rPr>
                <w:rFonts w:eastAsia="SimSun"/>
                <w:sz w:val="18"/>
                <w:szCs w:val="18"/>
                <w:lang w:eastAsia="zh-CN"/>
              </w:rPr>
            </w:pPr>
            <w:r w:rsidRPr="000E01C7">
              <w:rPr>
                <w:rFonts w:eastAsia="SimSun"/>
                <w:sz w:val="18"/>
                <w:szCs w:val="18"/>
                <w:lang w:eastAsia="zh-CN"/>
              </w:rPr>
              <w:t>*Infusion-related reactions for PV Study 1 included symptoms collected on the next scheduled visit after each infusion, and adverse events occurring on the day of or one day after the infusion.  The most common infusion-related reaction symptoms/Preferred Terms for PV Study 1 included headaches, chills, high blood pressure, nausea, asthenia and pain.</w:t>
            </w:r>
          </w:p>
          <w:p w14:paraId="7C331523" w14:textId="77777777" w:rsidR="004B6851" w:rsidRPr="000E01C7" w:rsidRDefault="004B6851" w:rsidP="00E06A78">
            <w:pPr>
              <w:keepNext/>
              <w:keepLines/>
              <w:widowControl w:val="0"/>
              <w:rPr>
                <w:rFonts w:eastAsia="Calibri"/>
                <w:b/>
                <w:sz w:val="18"/>
                <w:szCs w:val="18"/>
                <w:lang w:val="en-GB" w:eastAsia="en-US"/>
              </w:rPr>
            </w:pPr>
          </w:p>
          <w:p w14:paraId="7C331524" w14:textId="77777777" w:rsidR="004B6851" w:rsidRPr="001F368C" w:rsidRDefault="00016F29" w:rsidP="00E06A78">
            <w:pPr>
              <w:pStyle w:val="TextTi10"/>
              <w:keepNext/>
              <w:keepLines/>
              <w:widowControl w:val="0"/>
              <w:rPr>
                <w:sz w:val="18"/>
                <w:szCs w:val="18"/>
                <w:lang w:val="en-GB"/>
              </w:rPr>
            </w:pPr>
            <w:r w:rsidRPr="000E01C7">
              <w:rPr>
                <w:rFonts w:eastAsia="SimSun"/>
                <w:sz w:val="18"/>
                <w:szCs w:val="18"/>
                <w:lang w:eastAsia="zh-CN"/>
              </w:rPr>
              <w:t>The most common infusion-related reaction symptoms/Preferred Terms for PV Study 2 were dyspnoea, erythema, hyperhidrosis, flushing/hot flush, hypotension/low blood pressure and rash/rash pruritic</w:t>
            </w:r>
            <w:r w:rsidRPr="000E01C7">
              <w:rPr>
                <w:sz w:val="18"/>
                <w:szCs w:val="18"/>
              </w:rPr>
              <w:t>.</w:t>
            </w:r>
          </w:p>
        </w:tc>
      </w:tr>
    </w:tbl>
    <w:p w14:paraId="7C331526" w14:textId="77777777" w:rsidR="004816A9" w:rsidRDefault="004816A9" w:rsidP="00E06A78">
      <w:pPr>
        <w:keepNext/>
        <w:keepLines/>
        <w:widowControl w:val="0"/>
        <w:ind w:left="1077" w:hanging="1077"/>
        <w:rPr>
          <w:rFonts w:eastAsia="Calibri"/>
          <w:b/>
          <w:bCs/>
          <w:szCs w:val="22"/>
          <w:lang w:val="en-GB" w:eastAsia="en-US"/>
        </w:rPr>
      </w:pPr>
    </w:p>
    <w:p w14:paraId="7C331527" w14:textId="77777777" w:rsidR="00C01433" w:rsidRPr="00C01433" w:rsidRDefault="00016F29" w:rsidP="00E06A78">
      <w:pPr>
        <w:widowControl w:val="0"/>
        <w:contextualSpacing/>
        <w:rPr>
          <w:rFonts w:ascii="Times" w:hAnsi="Times"/>
          <w:i/>
          <w:color w:val="000000"/>
          <w:szCs w:val="22"/>
          <w:u w:val="single"/>
          <w:lang w:val="en-GB"/>
        </w:rPr>
      </w:pPr>
      <w:r w:rsidRPr="00C01433">
        <w:rPr>
          <w:rFonts w:ascii="Times" w:hAnsi="Times" w:cs="TimesNewRomanPSMT"/>
          <w:i/>
          <w:color w:val="000000"/>
          <w:szCs w:val="22"/>
          <w:u w:val="single"/>
          <w:lang w:eastAsia="en-US"/>
        </w:rPr>
        <w:t>Description of selected adverse reactions</w:t>
      </w:r>
    </w:p>
    <w:p w14:paraId="7C331528" w14:textId="77777777" w:rsidR="00C01433" w:rsidRDefault="00C01433" w:rsidP="00C01433">
      <w:pPr>
        <w:spacing w:line="240" w:lineRule="atLeast"/>
        <w:ind w:right="-449"/>
        <w:contextualSpacing/>
        <w:rPr>
          <w:rFonts w:cs="Arial"/>
          <w:i/>
          <w:szCs w:val="22"/>
        </w:rPr>
      </w:pPr>
    </w:p>
    <w:p w14:paraId="7C331529" w14:textId="77777777" w:rsidR="00C01433" w:rsidRPr="00B61456" w:rsidRDefault="00016F29" w:rsidP="00C01433">
      <w:pPr>
        <w:spacing w:line="240" w:lineRule="atLeast"/>
        <w:ind w:right="-449"/>
        <w:contextualSpacing/>
        <w:rPr>
          <w:rFonts w:cs="Arial"/>
          <w:i/>
          <w:szCs w:val="22"/>
        </w:rPr>
      </w:pPr>
      <w:r w:rsidRPr="001705F6">
        <w:rPr>
          <w:rFonts w:cs="Arial"/>
          <w:i/>
          <w:szCs w:val="22"/>
        </w:rPr>
        <w:t>Infusion-related reactions</w:t>
      </w:r>
    </w:p>
    <w:p w14:paraId="7C33152A" w14:textId="77777777" w:rsidR="00C01433" w:rsidRDefault="00016F29" w:rsidP="00C01433">
      <w:pPr>
        <w:spacing w:line="240" w:lineRule="atLeast"/>
        <w:ind w:right="1"/>
        <w:contextualSpacing/>
        <w:rPr>
          <w:szCs w:val="22"/>
        </w:rPr>
      </w:pPr>
      <w:r>
        <w:rPr>
          <w:szCs w:val="22"/>
        </w:rPr>
        <w:t>In PV Study 1, i</w:t>
      </w:r>
      <w:r w:rsidR="0053310F">
        <w:rPr>
          <w:szCs w:val="22"/>
        </w:rPr>
        <w:t>nfusion</w:t>
      </w:r>
      <w:r>
        <w:rPr>
          <w:szCs w:val="22"/>
        </w:rPr>
        <w:t xml:space="preserve">-related reactions were common </w:t>
      </w:r>
      <w:r w:rsidRPr="00B00B0F">
        <w:rPr>
          <w:rFonts w:cs="Arial"/>
          <w:szCs w:val="22"/>
        </w:rPr>
        <w:t>(</w:t>
      </w:r>
      <w:r w:rsidRPr="001705F6">
        <w:rPr>
          <w:rFonts w:cs="Arial"/>
          <w:szCs w:val="22"/>
        </w:rPr>
        <w:t>5</w:t>
      </w:r>
      <w:r>
        <w:rPr>
          <w:rFonts w:cs="Arial"/>
          <w:szCs w:val="22"/>
        </w:rPr>
        <w:t>8</w:t>
      </w:r>
      <w:r w:rsidRPr="001705F6">
        <w:rPr>
          <w:rFonts w:cs="Arial"/>
          <w:szCs w:val="22"/>
        </w:rPr>
        <w:t>%)</w:t>
      </w:r>
      <w:r>
        <w:rPr>
          <w:rFonts w:cs="Arial"/>
          <w:szCs w:val="22"/>
        </w:rPr>
        <w:t xml:space="preserve">. Nearly </w:t>
      </w:r>
      <w:r>
        <w:rPr>
          <w:szCs w:val="22"/>
        </w:rPr>
        <w:t xml:space="preserve">all infusion-related reactions were </w:t>
      </w:r>
      <w:r w:rsidRPr="001705F6">
        <w:rPr>
          <w:szCs w:val="22"/>
        </w:rPr>
        <w:t xml:space="preserve">mild to moderate. </w:t>
      </w:r>
      <w:r w:rsidRPr="0064077A">
        <w:rPr>
          <w:szCs w:val="22"/>
        </w:rPr>
        <w:t>The proportion of patients experiencing an infusion- related reaction was 29% (11 patients), 40% (15 patients), 13% (5 patients), and 10% (4</w:t>
      </w:r>
      <w:r>
        <w:rPr>
          <w:szCs w:val="22"/>
        </w:rPr>
        <w:t> </w:t>
      </w:r>
      <w:r w:rsidRPr="0064077A">
        <w:rPr>
          <w:szCs w:val="22"/>
        </w:rPr>
        <w:t>patients) following the first, second, third, and fourth infusions, respectively</w:t>
      </w:r>
      <w:r w:rsidRPr="009D6208">
        <w:rPr>
          <w:szCs w:val="22"/>
        </w:rPr>
        <w:t xml:space="preserve">. </w:t>
      </w:r>
      <w:r>
        <w:rPr>
          <w:szCs w:val="22"/>
        </w:rPr>
        <w:t xml:space="preserve">No </w:t>
      </w:r>
      <w:r w:rsidRPr="001705F6">
        <w:rPr>
          <w:szCs w:val="22"/>
        </w:rPr>
        <w:t xml:space="preserve">patients </w:t>
      </w:r>
      <w:r>
        <w:rPr>
          <w:szCs w:val="22"/>
        </w:rPr>
        <w:t xml:space="preserve">were </w:t>
      </w:r>
      <w:r w:rsidRPr="001705F6">
        <w:rPr>
          <w:szCs w:val="22"/>
        </w:rPr>
        <w:t xml:space="preserve">withdrawn from treatment due to infusion-related reactions. </w:t>
      </w:r>
      <w:r>
        <w:rPr>
          <w:szCs w:val="22"/>
        </w:rPr>
        <w:t xml:space="preserve"> S</w:t>
      </w:r>
      <w:r w:rsidRPr="001705F6">
        <w:rPr>
          <w:szCs w:val="22"/>
        </w:rPr>
        <w:t xml:space="preserve">ymptoms of </w:t>
      </w:r>
      <w:r>
        <w:rPr>
          <w:szCs w:val="22"/>
        </w:rPr>
        <w:t>i</w:t>
      </w:r>
      <w:r w:rsidRPr="001705F6">
        <w:rPr>
          <w:szCs w:val="22"/>
        </w:rPr>
        <w:t xml:space="preserve">nfusion-related reactions were similar in type </w:t>
      </w:r>
      <w:r>
        <w:rPr>
          <w:szCs w:val="22"/>
        </w:rPr>
        <w:t xml:space="preserve">and severity </w:t>
      </w:r>
      <w:r w:rsidRPr="001705F6">
        <w:rPr>
          <w:szCs w:val="22"/>
        </w:rPr>
        <w:t>to those seen in RA and GPA</w:t>
      </w:r>
      <w:r>
        <w:rPr>
          <w:szCs w:val="22"/>
        </w:rPr>
        <w:t>/</w:t>
      </w:r>
      <w:r w:rsidRPr="001705F6">
        <w:rPr>
          <w:szCs w:val="22"/>
        </w:rPr>
        <w:t>MPA patients.</w:t>
      </w:r>
    </w:p>
    <w:p w14:paraId="7C33152B" w14:textId="77777777" w:rsidR="00C01433" w:rsidRPr="00E06A78" w:rsidRDefault="00C01433" w:rsidP="00E06A78">
      <w:pPr>
        <w:contextualSpacing/>
      </w:pPr>
    </w:p>
    <w:p w14:paraId="7C33152C" w14:textId="77777777" w:rsidR="00B64CFF" w:rsidRDefault="00016F29" w:rsidP="00C01433">
      <w:pPr>
        <w:spacing w:line="240" w:lineRule="atLeast"/>
        <w:ind w:right="1"/>
        <w:contextualSpacing/>
        <w:rPr>
          <w:szCs w:val="22"/>
        </w:rPr>
      </w:pPr>
      <w:r w:rsidRPr="00F947F8">
        <w:rPr>
          <w:szCs w:val="22"/>
        </w:rPr>
        <w:t xml:space="preserve">In PV Study 2, IRRs occurred primarily at the first infusion and the frequency of IRRs decreased with subsequent infusions: 17.9%, 4.5%, 3% and 3% of patients experienced IRRs at the first, second, third, and fourth infusions, respectively.  In 11/15 patients who experienced at least one IRR, the IRRs were Grade 1 or 2.  In 4/15 patients, Grade ≥3 IRRs were reported and led to discontinuation of MabThera treatment; three of the four patients experienced serious </w:t>
      </w:r>
      <w:r w:rsidR="00A236C5">
        <w:rPr>
          <w:szCs w:val="22"/>
        </w:rPr>
        <w:t>(life-threatening)</w:t>
      </w:r>
      <w:r w:rsidRPr="00F947F8">
        <w:rPr>
          <w:szCs w:val="22"/>
        </w:rPr>
        <w:t xml:space="preserve"> IRRs.  Serious IRRs occurred at the first (2 patients) or second (1 patient) infusion and resolved with symptomatic treatment.  </w:t>
      </w:r>
    </w:p>
    <w:p w14:paraId="7C33152D" w14:textId="77777777" w:rsidR="00C01433" w:rsidRDefault="00C01433" w:rsidP="00C01433">
      <w:pPr>
        <w:contextualSpacing/>
        <w:rPr>
          <w:rFonts w:cs="Arial"/>
          <w:i/>
          <w:szCs w:val="22"/>
        </w:rPr>
      </w:pPr>
    </w:p>
    <w:p w14:paraId="7C33152E" w14:textId="77777777" w:rsidR="00C01433" w:rsidRPr="00B61456" w:rsidRDefault="00016F29" w:rsidP="00E06A78">
      <w:pPr>
        <w:keepNext/>
        <w:keepLines/>
        <w:contextualSpacing/>
        <w:rPr>
          <w:szCs w:val="22"/>
        </w:rPr>
      </w:pPr>
      <w:r w:rsidRPr="001705F6">
        <w:rPr>
          <w:rFonts w:cs="Arial"/>
          <w:i/>
          <w:szCs w:val="22"/>
        </w:rPr>
        <w:t>Infections</w:t>
      </w:r>
    </w:p>
    <w:p w14:paraId="7C33152F" w14:textId="77777777" w:rsidR="00C01433" w:rsidRPr="001705F6" w:rsidRDefault="00016F29" w:rsidP="00E06A78">
      <w:pPr>
        <w:keepNext/>
        <w:keepLines/>
        <w:spacing w:line="240" w:lineRule="atLeast"/>
        <w:ind w:right="1"/>
        <w:contextualSpacing/>
        <w:rPr>
          <w:szCs w:val="22"/>
        </w:rPr>
      </w:pPr>
      <w:r>
        <w:rPr>
          <w:szCs w:val="22"/>
        </w:rPr>
        <w:t>In PV Study 1, 14</w:t>
      </w:r>
      <w:r w:rsidRPr="001705F6">
        <w:rPr>
          <w:szCs w:val="22"/>
        </w:rPr>
        <w:t xml:space="preserve"> patients (3</w:t>
      </w:r>
      <w:r>
        <w:rPr>
          <w:szCs w:val="22"/>
        </w:rPr>
        <w:t>7</w:t>
      </w:r>
      <w:r w:rsidRPr="001705F6">
        <w:rPr>
          <w:szCs w:val="22"/>
        </w:rPr>
        <w:t>%) in the MabThera group experienced treatment-related infections compared to 15 patients (4</w:t>
      </w:r>
      <w:r>
        <w:rPr>
          <w:szCs w:val="22"/>
        </w:rPr>
        <w:t>2</w:t>
      </w:r>
      <w:r w:rsidRPr="001705F6">
        <w:rPr>
          <w:szCs w:val="22"/>
        </w:rPr>
        <w:t xml:space="preserve">%) in the </w:t>
      </w:r>
      <w:r>
        <w:rPr>
          <w:szCs w:val="22"/>
        </w:rPr>
        <w:t xml:space="preserve">standard-dose </w:t>
      </w:r>
      <w:r w:rsidRPr="001705F6">
        <w:rPr>
          <w:szCs w:val="22"/>
        </w:rPr>
        <w:t xml:space="preserve">prednisone group. The most common infections in the </w:t>
      </w:r>
      <w:r w:rsidRPr="008C78AA">
        <w:rPr>
          <w:szCs w:val="22"/>
        </w:rPr>
        <w:t>MabThera group were herpes simplex and zoster infections, bronchitis, urinary tract infection, fungal</w:t>
      </w:r>
      <w:r w:rsidRPr="001705F6">
        <w:rPr>
          <w:szCs w:val="22"/>
        </w:rPr>
        <w:t xml:space="preserve"> infection and conjunctivitis. </w:t>
      </w:r>
      <w:r>
        <w:rPr>
          <w:szCs w:val="22"/>
        </w:rPr>
        <w:t>Three</w:t>
      </w:r>
      <w:r w:rsidRPr="001705F6">
        <w:rPr>
          <w:szCs w:val="22"/>
        </w:rPr>
        <w:t xml:space="preserve"> patients (</w:t>
      </w:r>
      <w:r>
        <w:rPr>
          <w:szCs w:val="22"/>
        </w:rPr>
        <w:t>8</w:t>
      </w:r>
      <w:r w:rsidRPr="001705F6">
        <w:rPr>
          <w:szCs w:val="22"/>
        </w:rPr>
        <w:t>%) in the MabThera group experienced a total of 5 serious infections (</w:t>
      </w:r>
      <w:r w:rsidRPr="001705F6">
        <w:rPr>
          <w:i/>
          <w:szCs w:val="22"/>
        </w:rPr>
        <w:t>Pneumocystis jirovecii</w:t>
      </w:r>
      <w:r w:rsidRPr="001705F6">
        <w:rPr>
          <w:szCs w:val="22"/>
        </w:rPr>
        <w:t xml:space="preserve"> pneumonia, infective thrombosis, intervertebral discitis, lung infection, </w:t>
      </w:r>
      <w:r w:rsidRPr="001705F6">
        <w:rPr>
          <w:i/>
          <w:szCs w:val="22"/>
        </w:rPr>
        <w:t>Staphylococcal</w:t>
      </w:r>
      <w:r w:rsidRPr="001705F6">
        <w:rPr>
          <w:szCs w:val="22"/>
        </w:rPr>
        <w:t xml:space="preserve"> sepsis) and </w:t>
      </w:r>
      <w:r>
        <w:rPr>
          <w:szCs w:val="22"/>
        </w:rPr>
        <w:t>one</w:t>
      </w:r>
      <w:r w:rsidRPr="001705F6">
        <w:rPr>
          <w:szCs w:val="22"/>
        </w:rPr>
        <w:t xml:space="preserve"> patient (</w:t>
      </w:r>
      <w:r>
        <w:rPr>
          <w:szCs w:val="22"/>
        </w:rPr>
        <w:t>3</w:t>
      </w:r>
      <w:r w:rsidRPr="001705F6">
        <w:rPr>
          <w:szCs w:val="22"/>
        </w:rPr>
        <w:t xml:space="preserve">%) in the </w:t>
      </w:r>
      <w:r>
        <w:rPr>
          <w:szCs w:val="22"/>
        </w:rPr>
        <w:t xml:space="preserve">standard-dose </w:t>
      </w:r>
      <w:r w:rsidRPr="001705F6">
        <w:rPr>
          <w:szCs w:val="22"/>
        </w:rPr>
        <w:t>prednisone group experienced a serious infection</w:t>
      </w:r>
      <w:r>
        <w:rPr>
          <w:szCs w:val="22"/>
        </w:rPr>
        <w:t xml:space="preserve"> (</w:t>
      </w:r>
      <w:r w:rsidRPr="001705F6">
        <w:rPr>
          <w:i/>
          <w:szCs w:val="22"/>
        </w:rPr>
        <w:t>Pneumocystis jirovecii</w:t>
      </w:r>
      <w:r w:rsidRPr="001705F6">
        <w:rPr>
          <w:szCs w:val="22"/>
        </w:rPr>
        <w:t xml:space="preserve"> pneumonia</w:t>
      </w:r>
      <w:r>
        <w:rPr>
          <w:szCs w:val="22"/>
        </w:rPr>
        <w:t>)</w:t>
      </w:r>
      <w:r w:rsidRPr="001705F6">
        <w:rPr>
          <w:szCs w:val="22"/>
        </w:rPr>
        <w:t xml:space="preserve">. </w:t>
      </w:r>
    </w:p>
    <w:p w14:paraId="7C331530" w14:textId="77777777" w:rsidR="00C01433" w:rsidRPr="006809B9" w:rsidRDefault="00C01433" w:rsidP="00E06A78">
      <w:pPr>
        <w:rPr>
          <w:szCs w:val="22"/>
        </w:rPr>
      </w:pPr>
    </w:p>
    <w:p w14:paraId="7C331531" w14:textId="77777777" w:rsidR="00B64CFF" w:rsidRDefault="00016F29" w:rsidP="00F947F8">
      <w:pPr>
        <w:spacing w:line="240" w:lineRule="atLeast"/>
        <w:ind w:right="1"/>
        <w:contextualSpacing/>
        <w:rPr>
          <w:szCs w:val="22"/>
        </w:rPr>
      </w:pPr>
      <w:r w:rsidRPr="00F947F8">
        <w:rPr>
          <w:szCs w:val="22"/>
        </w:rPr>
        <w:t xml:space="preserve">In PV Study 2, 42 patients (62.7%) in the MabThera arm experienced infections.  The most common infections in the </w:t>
      </w:r>
      <w:r w:rsidR="00A236C5">
        <w:rPr>
          <w:szCs w:val="22"/>
        </w:rPr>
        <w:t>MabThera</w:t>
      </w:r>
      <w:r w:rsidRPr="00F947F8">
        <w:rPr>
          <w:szCs w:val="22"/>
        </w:rPr>
        <w:t xml:space="preserve"> group were upper respiratory tract infection, nasopharyngitis, oral candidiasis and urinary tract infection.  Six patients (9%) in the MabThera arm experienced serious infections.</w:t>
      </w:r>
    </w:p>
    <w:p w14:paraId="7C331532" w14:textId="77777777" w:rsidR="00236A35" w:rsidRDefault="00236A35" w:rsidP="00F947F8">
      <w:pPr>
        <w:spacing w:line="240" w:lineRule="atLeast"/>
        <w:ind w:right="1"/>
        <w:contextualSpacing/>
        <w:rPr>
          <w:szCs w:val="22"/>
        </w:rPr>
      </w:pPr>
    </w:p>
    <w:p w14:paraId="7C331533" w14:textId="77777777" w:rsidR="00A000BB" w:rsidRDefault="00016F29" w:rsidP="00F947F8">
      <w:pPr>
        <w:spacing w:line="240" w:lineRule="atLeast"/>
        <w:ind w:right="1"/>
        <w:contextualSpacing/>
        <w:rPr>
          <w:rFonts w:cs="Arial"/>
          <w:i/>
          <w:szCs w:val="22"/>
        </w:rPr>
      </w:pPr>
      <w:r w:rsidRPr="00B33A76">
        <w:rPr>
          <w:rFonts w:cs="Arial"/>
          <w:i/>
          <w:szCs w:val="22"/>
        </w:rPr>
        <w:t>Laboratory abnormalities</w:t>
      </w:r>
    </w:p>
    <w:p w14:paraId="7C331534" w14:textId="77777777" w:rsidR="00C01433" w:rsidRDefault="00016F29" w:rsidP="00F947F8">
      <w:pPr>
        <w:spacing w:line="240" w:lineRule="atLeast"/>
        <w:ind w:right="1"/>
        <w:contextualSpacing/>
        <w:rPr>
          <w:szCs w:val="22"/>
        </w:rPr>
      </w:pPr>
      <w:r w:rsidRPr="00F947F8">
        <w:rPr>
          <w:szCs w:val="22"/>
        </w:rPr>
        <w:t>PV Study 2, in the MabThera</w:t>
      </w:r>
      <w:r w:rsidRPr="004D118C">
        <w:rPr>
          <w:szCs w:val="22"/>
        </w:rPr>
        <w:t xml:space="preserve"> arm, transient decreases in lymphocyte count, driven by decreases in the peripheral T-cell populations, as well as a transient decrease in phosphorus level were very commonly observed post-infusion</w:t>
      </w:r>
      <w:r w:rsidR="00AD589B">
        <w:rPr>
          <w:szCs w:val="22"/>
        </w:rPr>
        <w:t>. These</w:t>
      </w:r>
      <w:r w:rsidRPr="004D118C">
        <w:rPr>
          <w:szCs w:val="22"/>
        </w:rPr>
        <w:t xml:space="preserve"> were</w:t>
      </w:r>
      <w:r w:rsidR="00DA0FC6">
        <w:rPr>
          <w:szCs w:val="22"/>
        </w:rPr>
        <w:t xml:space="preserve"> considered to be</w:t>
      </w:r>
      <w:r w:rsidRPr="004D118C">
        <w:rPr>
          <w:szCs w:val="22"/>
        </w:rPr>
        <w:t xml:space="preserve"> induced by IV methylprednisolone premedication infusion</w:t>
      </w:r>
      <w:r w:rsidR="004D118C" w:rsidRPr="004D118C">
        <w:rPr>
          <w:szCs w:val="22"/>
        </w:rPr>
        <w:t>.</w:t>
      </w:r>
    </w:p>
    <w:p w14:paraId="7C331535" w14:textId="77777777" w:rsidR="00D47EAB" w:rsidRPr="004D118C" w:rsidRDefault="00D47EAB" w:rsidP="00F947F8">
      <w:pPr>
        <w:spacing w:line="240" w:lineRule="atLeast"/>
        <w:ind w:right="1"/>
        <w:contextualSpacing/>
        <w:rPr>
          <w:szCs w:val="22"/>
        </w:rPr>
      </w:pPr>
    </w:p>
    <w:p w14:paraId="7C331536" w14:textId="77777777" w:rsidR="00147733" w:rsidRDefault="00016F29" w:rsidP="00147733">
      <w:pPr>
        <w:spacing w:line="240" w:lineRule="atLeast"/>
        <w:ind w:right="1"/>
        <w:contextualSpacing/>
        <w:rPr>
          <w:szCs w:val="22"/>
        </w:rPr>
      </w:pPr>
      <w:r w:rsidRPr="00F947F8">
        <w:rPr>
          <w:szCs w:val="22"/>
        </w:rPr>
        <w:t>In PV Study 2, low IgG levels were commonly observed and low IgM levels were very commonly observed</w:t>
      </w:r>
      <w:r>
        <w:rPr>
          <w:szCs w:val="22"/>
        </w:rPr>
        <w:t>;</w:t>
      </w:r>
      <w:r w:rsidRPr="00F947F8">
        <w:rPr>
          <w:szCs w:val="22"/>
        </w:rPr>
        <w:t xml:space="preserve"> however, there was no evidence of an increased risk of serious infections after the development of low IgG or IgM</w:t>
      </w:r>
      <w:r>
        <w:rPr>
          <w:szCs w:val="22"/>
        </w:rPr>
        <w:t>.</w:t>
      </w:r>
    </w:p>
    <w:p w14:paraId="7C331537" w14:textId="77777777" w:rsidR="004D118C" w:rsidRPr="006809B9" w:rsidRDefault="004D118C" w:rsidP="00B64CFF">
      <w:pPr>
        <w:rPr>
          <w:szCs w:val="22"/>
        </w:rPr>
      </w:pPr>
    </w:p>
    <w:p w14:paraId="7C331538" w14:textId="77777777" w:rsidR="008F369D" w:rsidRPr="00707538" w:rsidRDefault="00016F29" w:rsidP="008F369D">
      <w:pPr>
        <w:keepNext/>
        <w:keepLines/>
        <w:rPr>
          <w:szCs w:val="22"/>
          <w:u w:val="single"/>
          <w:lang w:val="en-GB"/>
        </w:rPr>
      </w:pPr>
      <w:r w:rsidRPr="00707538">
        <w:rPr>
          <w:szCs w:val="22"/>
          <w:u w:val="single"/>
          <w:lang w:val="en-GB"/>
        </w:rPr>
        <w:t>Reporting of suspected adverse reactions</w:t>
      </w:r>
    </w:p>
    <w:p w14:paraId="7C331539" w14:textId="77777777" w:rsidR="008F369D" w:rsidRPr="006E2A17" w:rsidRDefault="00016F29" w:rsidP="008F369D">
      <w:pPr>
        <w:keepNext/>
        <w:keepLines/>
        <w:rPr>
          <w:szCs w:val="22"/>
          <w:lang w:val="en-GB"/>
        </w:rPr>
      </w:pPr>
      <w:r w:rsidRPr="006E2A17">
        <w:rPr>
          <w:szCs w:val="22"/>
          <w:lang w:val="en-GB"/>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8919D7">
        <w:rPr>
          <w:rFonts w:cs="Calibri"/>
          <w:shd w:val="clear" w:color="auto" w:fill="BFBFBF"/>
          <w:lang w:val="en-GB"/>
        </w:rPr>
        <w:t xml:space="preserve">the national </w:t>
      </w:r>
      <w:r w:rsidRPr="005B6EE0">
        <w:rPr>
          <w:rFonts w:cs="Calibri"/>
          <w:shd w:val="clear" w:color="auto" w:fill="BFBFBF"/>
          <w:lang w:val="en-GB"/>
        </w:rPr>
        <w:t>reporting</w:t>
      </w:r>
      <w:r w:rsidRPr="008919D7">
        <w:rPr>
          <w:rFonts w:cs="Calibri"/>
          <w:shd w:val="clear" w:color="auto" w:fill="BFBFBF"/>
          <w:lang w:val="en-GB"/>
        </w:rPr>
        <w:t xml:space="preserve"> system listed in </w:t>
      </w:r>
      <w:hyperlink r:id="rId13" w:history="1">
        <w:r w:rsidRPr="008919D7">
          <w:rPr>
            <w:color w:val="0000FF"/>
            <w:u w:val="single"/>
            <w:shd w:val="clear" w:color="auto" w:fill="BFBFBF"/>
            <w:lang w:val="en-GB"/>
          </w:rPr>
          <w:t>Appendix V</w:t>
        </w:r>
      </w:hyperlink>
      <w:r w:rsidRPr="006E2A17">
        <w:rPr>
          <w:lang w:val="en-GB"/>
        </w:rPr>
        <w:t>.</w:t>
      </w:r>
    </w:p>
    <w:p w14:paraId="7C33153A" w14:textId="77777777" w:rsidR="008F369D" w:rsidRPr="006E2A17" w:rsidRDefault="008F369D" w:rsidP="008F369D">
      <w:pPr>
        <w:rPr>
          <w:szCs w:val="22"/>
          <w:lang w:val="en-GB"/>
        </w:rPr>
      </w:pPr>
    </w:p>
    <w:p w14:paraId="7C33153B" w14:textId="77777777" w:rsidR="008F369D" w:rsidRPr="006E2A17" w:rsidRDefault="00016F29" w:rsidP="008F369D">
      <w:pPr>
        <w:keepNext/>
        <w:keepLines/>
        <w:ind w:left="567" w:hanging="567"/>
        <w:outlineLvl w:val="0"/>
        <w:rPr>
          <w:szCs w:val="22"/>
          <w:lang w:val="en-GB"/>
        </w:rPr>
      </w:pPr>
      <w:r w:rsidRPr="006E2A17">
        <w:rPr>
          <w:b/>
          <w:szCs w:val="22"/>
          <w:lang w:val="en-GB"/>
        </w:rPr>
        <w:t>4.9</w:t>
      </w:r>
      <w:r w:rsidRPr="006E2A17">
        <w:rPr>
          <w:b/>
          <w:szCs w:val="22"/>
          <w:lang w:val="en-GB"/>
        </w:rPr>
        <w:tab/>
        <w:t>Overdose</w:t>
      </w:r>
    </w:p>
    <w:p w14:paraId="7C33153C" w14:textId="77777777" w:rsidR="008F369D" w:rsidRPr="006E2A17" w:rsidRDefault="008F369D" w:rsidP="008F369D">
      <w:pPr>
        <w:keepNext/>
        <w:keepLines/>
        <w:rPr>
          <w:szCs w:val="22"/>
          <w:lang w:val="en-GB"/>
        </w:rPr>
      </w:pPr>
    </w:p>
    <w:p w14:paraId="7C33153D" w14:textId="77777777" w:rsidR="008F369D" w:rsidRDefault="00016F29" w:rsidP="008F369D">
      <w:pPr>
        <w:rPr>
          <w:rFonts w:cs="Arial"/>
          <w:lang w:val="en-GB"/>
        </w:rPr>
      </w:pPr>
      <w:r w:rsidRPr="00C501E3">
        <w:rPr>
          <w:rFonts w:cs="Arial"/>
          <w:lang w:val="en-GB"/>
        </w:rPr>
        <w:t>Limited experience with doses higher than the approved dose of intravenous MabThera formulation is available from clinical trials in humans. The highest intravenous dose of MabThera tested in humans to date is 5000 mg (2250 mg/m</w:t>
      </w:r>
      <w:r w:rsidRPr="00C501E3">
        <w:rPr>
          <w:rFonts w:cs="Arial"/>
          <w:vertAlign w:val="superscript"/>
          <w:lang w:val="en-GB"/>
        </w:rPr>
        <w:t>2</w:t>
      </w:r>
      <w:r w:rsidRPr="00C501E3">
        <w:rPr>
          <w:rFonts w:cs="Arial"/>
          <w:lang w:val="en-GB"/>
        </w:rPr>
        <w:t xml:space="preserve">), tested in a dose escalation study in patients with </w:t>
      </w:r>
      <w:r w:rsidR="007D4E4A">
        <w:rPr>
          <w:rFonts w:cs="Arial"/>
          <w:lang w:val="en-GB"/>
        </w:rPr>
        <w:t>CLL</w:t>
      </w:r>
      <w:r w:rsidRPr="00C501E3">
        <w:rPr>
          <w:rFonts w:cs="Arial"/>
          <w:lang w:val="en-GB"/>
        </w:rPr>
        <w:t>. No additional safety signals were identified.</w:t>
      </w:r>
    </w:p>
    <w:p w14:paraId="7C33153E" w14:textId="77777777" w:rsidR="008F369D" w:rsidRPr="00C501E3" w:rsidRDefault="008F369D" w:rsidP="008F369D">
      <w:pPr>
        <w:rPr>
          <w:rFonts w:cs="Arial"/>
          <w:lang w:val="en-GB"/>
        </w:rPr>
      </w:pPr>
    </w:p>
    <w:p w14:paraId="7C33153F" w14:textId="77777777" w:rsidR="008F369D" w:rsidRPr="005B5A38" w:rsidRDefault="00016F29" w:rsidP="008F369D">
      <w:pPr>
        <w:rPr>
          <w:lang w:val="en-GB"/>
        </w:rPr>
      </w:pPr>
      <w:r w:rsidRPr="005B5A38">
        <w:rPr>
          <w:lang w:val="en-GB"/>
        </w:rPr>
        <w:t>Patients who experience overdose should have immediate interruption of their infusion and be closely monitored.</w:t>
      </w:r>
    </w:p>
    <w:p w14:paraId="7C331540" w14:textId="77777777" w:rsidR="008F369D" w:rsidRPr="005B5A38" w:rsidRDefault="008F369D" w:rsidP="008F369D">
      <w:pPr>
        <w:rPr>
          <w:szCs w:val="22"/>
          <w:lang w:val="en-GB"/>
        </w:rPr>
      </w:pPr>
    </w:p>
    <w:p w14:paraId="7C331541" w14:textId="77777777" w:rsidR="008F369D" w:rsidRPr="005B5A38" w:rsidRDefault="00016F29" w:rsidP="008F369D">
      <w:pPr>
        <w:rPr>
          <w:szCs w:val="22"/>
          <w:lang w:val="en-GB"/>
        </w:rPr>
      </w:pPr>
      <w:r w:rsidRPr="005B5A38">
        <w:rPr>
          <w:szCs w:val="22"/>
          <w:lang w:val="en-GB"/>
        </w:rPr>
        <w:t>In the postmarketing setting five cases of MabThera overdose have been reported. Three cases had no reported adverse event. The two adverse events that were reported were flu</w:t>
      </w:r>
      <w:r w:rsidR="000A6DDA" w:rsidRPr="005B5A38">
        <w:rPr>
          <w:szCs w:val="22"/>
          <w:lang w:val="en-GB"/>
        </w:rPr>
        <w:noBreakHyphen/>
      </w:r>
      <w:r w:rsidRPr="005B5A38">
        <w:rPr>
          <w:szCs w:val="22"/>
          <w:lang w:val="en-GB"/>
        </w:rPr>
        <w:t xml:space="preserve">like symptoms, with a dose of 1.8 g of rituximab and fatal respiratory failure, with a dose of 2 g of rituximab. </w:t>
      </w:r>
    </w:p>
    <w:p w14:paraId="7C331542" w14:textId="77777777" w:rsidR="008F369D" w:rsidRPr="00CD24D7" w:rsidRDefault="008F369D" w:rsidP="008F369D">
      <w:pPr>
        <w:rPr>
          <w:szCs w:val="22"/>
          <w:lang w:val="en-GB"/>
        </w:rPr>
      </w:pPr>
    </w:p>
    <w:p w14:paraId="7C331543" w14:textId="77777777" w:rsidR="008F369D" w:rsidRPr="00CD24D7" w:rsidRDefault="008F369D" w:rsidP="008F369D">
      <w:pPr>
        <w:rPr>
          <w:szCs w:val="22"/>
          <w:lang w:val="en-GB"/>
        </w:rPr>
      </w:pPr>
    </w:p>
    <w:p w14:paraId="7C331544" w14:textId="77777777" w:rsidR="008F369D" w:rsidRPr="00CD24D7" w:rsidRDefault="00016F29" w:rsidP="008F369D">
      <w:pPr>
        <w:keepNext/>
        <w:keepLines/>
        <w:ind w:left="567" w:hanging="567"/>
        <w:outlineLvl w:val="0"/>
        <w:rPr>
          <w:szCs w:val="22"/>
          <w:lang w:val="en-GB"/>
        </w:rPr>
      </w:pPr>
      <w:r w:rsidRPr="00CD24D7">
        <w:rPr>
          <w:b/>
          <w:szCs w:val="22"/>
          <w:lang w:val="en-GB"/>
        </w:rPr>
        <w:t>5.</w:t>
      </w:r>
      <w:r w:rsidRPr="00CD24D7">
        <w:rPr>
          <w:b/>
          <w:szCs w:val="22"/>
          <w:lang w:val="en-GB"/>
        </w:rPr>
        <w:tab/>
        <w:t>PHARMACOLOGICAL PROPERTIES</w:t>
      </w:r>
    </w:p>
    <w:p w14:paraId="7C331545" w14:textId="77777777" w:rsidR="008F369D" w:rsidRPr="00CD24D7" w:rsidRDefault="008F369D" w:rsidP="008F369D">
      <w:pPr>
        <w:keepNext/>
        <w:keepLines/>
        <w:rPr>
          <w:szCs w:val="22"/>
          <w:lang w:val="en-GB"/>
        </w:rPr>
      </w:pPr>
    </w:p>
    <w:p w14:paraId="7C331546" w14:textId="77777777" w:rsidR="008F369D" w:rsidRPr="00CD24D7" w:rsidRDefault="00016F29" w:rsidP="008F369D">
      <w:pPr>
        <w:keepNext/>
        <w:keepLines/>
        <w:ind w:left="567" w:hanging="567"/>
        <w:outlineLvl w:val="0"/>
        <w:rPr>
          <w:szCs w:val="22"/>
          <w:lang w:val="en-GB"/>
        </w:rPr>
      </w:pPr>
      <w:r w:rsidRPr="00CD24D7">
        <w:rPr>
          <w:b/>
          <w:szCs w:val="22"/>
          <w:lang w:val="en-GB"/>
        </w:rPr>
        <w:t>5.1</w:t>
      </w:r>
      <w:r w:rsidRPr="00CD24D7">
        <w:rPr>
          <w:b/>
          <w:szCs w:val="22"/>
          <w:lang w:val="en-GB"/>
        </w:rPr>
        <w:tab/>
        <w:t>Pharmacodynamic properties</w:t>
      </w:r>
    </w:p>
    <w:p w14:paraId="7C331547" w14:textId="77777777" w:rsidR="008F369D" w:rsidRPr="00CD24D7" w:rsidRDefault="008F369D" w:rsidP="008F369D">
      <w:pPr>
        <w:keepNext/>
        <w:keepLines/>
        <w:rPr>
          <w:szCs w:val="22"/>
          <w:lang w:val="en-GB"/>
        </w:rPr>
      </w:pPr>
    </w:p>
    <w:p w14:paraId="7C331548" w14:textId="77777777" w:rsidR="008F369D" w:rsidRPr="00CD24D7" w:rsidRDefault="00016F29" w:rsidP="008F369D">
      <w:pPr>
        <w:keepNext/>
        <w:keepLines/>
        <w:outlineLvl w:val="0"/>
        <w:rPr>
          <w:i/>
          <w:szCs w:val="22"/>
          <w:lang w:val="en-GB"/>
        </w:rPr>
      </w:pPr>
      <w:r w:rsidRPr="00CD24D7">
        <w:rPr>
          <w:szCs w:val="22"/>
          <w:lang w:val="en-GB"/>
        </w:rPr>
        <w:t xml:space="preserve">Pharmacotherapeutic group: </w:t>
      </w:r>
      <w:r>
        <w:rPr>
          <w:szCs w:val="22"/>
          <w:lang w:val="en-GB"/>
        </w:rPr>
        <w:t xml:space="preserve">antineoplastic agents, </w:t>
      </w:r>
      <w:r w:rsidRPr="00CD24D7">
        <w:rPr>
          <w:szCs w:val="22"/>
          <w:lang w:val="en-GB"/>
        </w:rPr>
        <w:t>monoclonal antibodies</w:t>
      </w:r>
      <w:r w:rsidRPr="00CD24D7">
        <w:rPr>
          <w:i/>
          <w:szCs w:val="22"/>
          <w:lang w:val="en-GB"/>
        </w:rPr>
        <w:t>,</w:t>
      </w:r>
      <w:r w:rsidRPr="00CD24D7">
        <w:rPr>
          <w:szCs w:val="22"/>
          <w:lang w:val="en-GB"/>
        </w:rPr>
        <w:t xml:space="preserve"> ATC code: L01X C02</w:t>
      </w:r>
    </w:p>
    <w:p w14:paraId="7C331549" w14:textId="77777777" w:rsidR="008F369D" w:rsidRPr="00CD24D7" w:rsidRDefault="008F369D" w:rsidP="008F369D">
      <w:pPr>
        <w:rPr>
          <w:szCs w:val="22"/>
          <w:lang w:val="en-GB"/>
        </w:rPr>
      </w:pPr>
    </w:p>
    <w:p w14:paraId="7C33154A" w14:textId="77777777" w:rsidR="008F369D" w:rsidRPr="005B5A38" w:rsidRDefault="00016F29" w:rsidP="008F369D">
      <w:pPr>
        <w:rPr>
          <w:szCs w:val="22"/>
          <w:lang w:val="en-GB"/>
        </w:rPr>
      </w:pPr>
      <w:r w:rsidRPr="005B5A38">
        <w:rPr>
          <w:szCs w:val="22"/>
          <w:lang w:val="en-GB"/>
        </w:rPr>
        <w:t>Rituximab binds specifically to the transmembrane antigen, CD20, a non</w:t>
      </w:r>
      <w:r w:rsidR="000A6DDA" w:rsidRPr="005B5A38">
        <w:rPr>
          <w:szCs w:val="22"/>
          <w:lang w:val="en-GB"/>
        </w:rPr>
        <w:noBreakHyphen/>
      </w:r>
      <w:r w:rsidRPr="005B5A38">
        <w:rPr>
          <w:szCs w:val="22"/>
          <w:lang w:val="en-GB"/>
        </w:rPr>
        <w:t>glycosylated phosphoprotein, located on pre</w:t>
      </w:r>
      <w:r w:rsidR="000A6DDA" w:rsidRPr="005B5A38">
        <w:rPr>
          <w:szCs w:val="22"/>
          <w:lang w:val="en-GB"/>
        </w:rPr>
        <w:noBreakHyphen/>
      </w:r>
      <w:r w:rsidRPr="005B5A38">
        <w:rPr>
          <w:szCs w:val="22"/>
          <w:lang w:val="en-GB"/>
        </w:rPr>
        <w:t xml:space="preserve">B and mature B lymphocytes. The antigen is expressed on </w:t>
      </w:r>
      <w:r w:rsidRPr="00804F32">
        <w:rPr>
          <w:rFonts w:ascii="Symbol" w:hAnsi="Symbol"/>
          <w:lang w:val="en-GB"/>
        </w:rPr>
        <w:sym w:font="Symbol" w:char="F03E"/>
      </w:r>
      <w:r w:rsidRPr="005B5A38">
        <w:rPr>
          <w:szCs w:val="22"/>
          <w:lang w:val="en-GB"/>
        </w:rPr>
        <w:t>95 % of all B cell non</w:t>
      </w:r>
      <w:r w:rsidR="000A6DDA" w:rsidRPr="005B5A38">
        <w:rPr>
          <w:szCs w:val="22"/>
          <w:lang w:val="en-GB"/>
        </w:rPr>
        <w:noBreakHyphen/>
      </w:r>
      <w:r w:rsidRPr="005B5A38">
        <w:rPr>
          <w:szCs w:val="22"/>
          <w:lang w:val="en-GB"/>
        </w:rPr>
        <w:t xml:space="preserve">Hodgkin’s lymphomas. </w:t>
      </w:r>
    </w:p>
    <w:p w14:paraId="7C33154B" w14:textId="77777777" w:rsidR="008F369D" w:rsidRPr="00CD24D7" w:rsidRDefault="008F369D" w:rsidP="008F369D">
      <w:pPr>
        <w:rPr>
          <w:szCs w:val="22"/>
          <w:lang w:val="en-GB"/>
        </w:rPr>
      </w:pPr>
    </w:p>
    <w:p w14:paraId="7C33154C" w14:textId="77777777" w:rsidR="008F369D" w:rsidRPr="005B5A38" w:rsidRDefault="00016F29" w:rsidP="00E06A78">
      <w:pPr>
        <w:keepNext/>
        <w:keepLines/>
        <w:rPr>
          <w:szCs w:val="22"/>
          <w:lang w:val="en-GB"/>
        </w:rPr>
      </w:pPr>
      <w:r w:rsidRPr="005B5A38">
        <w:rPr>
          <w:szCs w:val="22"/>
          <w:lang w:val="en-GB"/>
        </w:rPr>
        <w:t>CD20 is found on both normal and malignant B cells, but not on haematopoietic stem cells, pro</w:t>
      </w:r>
      <w:r w:rsidR="000A6DDA" w:rsidRPr="005B5A38">
        <w:rPr>
          <w:szCs w:val="22"/>
          <w:lang w:val="en-GB"/>
        </w:rPr>
        <w:noBreakHyphen/>
      </w:r>
      <w:r w:rsidRPr="005B5A38">
        <w:rPr>
          <w:szCs w:val="22"/>
          <w:lang w:val="en-GB"/>
        </w:rPr>
        <w:t>B cells, normal plasma cells or other normal tissue. This antigen does not internalise upon antibody binding and is not shed from the cell surface. CD20 does not circulate in the plasma as a free antigen and, thus, does not compete for antibody binding.</w:t>
      </w:r>
    </w:p>
    <w:p w14:paraId="7C33154D" w14:textId="77777777" w:rsidR="008F369D" w:rsidRPr="005B5A38" w:rsidRDefault="008F369D" w:rsidP="008F369D">
      <w:pPr>
        <w:rPr>
          <w:szCs w:val="22"/>
          <w:lang w:val="en-GB"/>
        </w:rPr>
      </w:pPr>
    </w:p>
    <w:p w14:paraId="7C33154E" w14:textId="77777777" w:rsidR="008F369D" w:rsidRPr="005B5A38" w:rsidRDefault="00016F29" w:rsidP="008F369D">
      <w:pPr>
        <w:rPr>
          <w:strike/>
          <w:szCs w:val="22"/>
          <w:lang w:val="en-GB"/>
        </w:rPr>
      </w:pPr>
      <w:r w:rsidRPr="005B5A38">
        <w:rPr>
          <w:szCs w:val="22"/>
          <w:lang w:val="en-GB"/>
        </w:rPr>
        <w:t>The Fab domain of rituximab binds to the CD20 antigen on B lymphocytes and the Fc domain can recruit immune effector functions to mediate B cell lysis. Possible mechanisms of effector</w:t>
      </w:r>
      <w:r w:rsidR="000A6DDA" w:rsidRPr="005B5A38">
        <w:rPr>
          <w:szCs w:val="22"/>
          <w:lang w:val="en-GB"/>
        </w:rPr>
        <w:noBreakHyphen/>
      </w:r>
      <w:r w:rsidRPr="005B5A38">
        <w:rPr>
          <w:szCs w:val="22"/>
          <w:lang w:val="en-GB"/>
        </w:rPr>
        <w:t>mediated cell lysis include complement</w:t>
      </w:r>
      <w:r w:rsidR="000A6DDA" w:rsidRPr="005B5A38">
        <w:rPr>
          <w:szCs w:val="22"/>
          <w:lang w:val="en-GB"/>
        </w:rPr>
        <w:noBreakHyphen/>
      </w:r>
      <w:r w:rsidRPr="005B5A38">
        <w:rPr>
          <w:szCs w:val="22"/>
          <w:lang w:val="en-GB"/>
        </w:rPr>
        <w:t>dependent cytotoxicity (CDC) resulting from C1q binding, and antibody</w:t>
      </w:r>
      <w:r w:rsidR="000A6DDA" w:rsidRPr="005B5A38">
        <w:rPr>
          <w:szCs w:val="22"/>
          <w:lang w:val="en-GB"/>
        </w:rPr>
        <w:noBreakHyphen/>
      </w:r>
      <w:r w:rsidRPr="005B5A38">
        <w:rPr>
          <w:szCs w:val="22"/>
          <w:lang w:val="en-GB"/>
        </w:rPr>
        <w:t>dependent cellular cytotoxicity (ADCC) mediated by one or more of the Fc</w:t>
      </w:r>
      <w:r w:rsidRPr="00804F32">
        <w:rPr>
          <w:rFonts w:ascii="Symbol" w:hAnsi="Symbol"/>
          <w:lang w:val="en-GB"/>
        </w:rPr>
        <w:sym w:font="Symbol" w:char="F067"/>
      </w:r>
      <w:r w:rsidRPr="005B5A38">
        <w:rPr>
          <w:szCs w:val="22"/>
          <w:lang w:val="en-GB"/>
        </w:rPr>
        <w:t xml:space="preserve"> receptors on the surface of granulocytes, macrophages and NK cells. Rituximab binding to CD 20 antigen on B lymphocytes has also been demonstrated to induce cell death via apoptosis.</w:t>
      </w:r>
    </w:p>
    <w:p w14:paraId="7C33154F" w14:textId="77777777" w:rsidR="008F369D" w:rsidRPr="00CD24D7" w:rsidRDefault="008F369D" w:rsidP="008F369D">
      <w:pPr>
        <w:rPr>
          <w:szCs w:val="22"/>
          <w:lang w:val="en-GB"/>
        </w:rPr>
      </w:pPr>
    </w:p>
    <w:p w14:paraId="7C331550" w14:textId="77777777" w:rsidR="008F369D" w:rsidRPr="00CD24D7" w:rsidRDefault="00016F29" w:rsidP="00E454FF">
      <w:pPr>
        <w:rPr>
          <w:szCs w:val="22"/>
          <w:lang w:val="en-GB"/>
        </w:rPr>
      </w:pPr>
      <w:r w:rsidRPr="00CD24D7">
        <w:rPr>
          <w:szCs w:val="22"/>
          <w:lang w:val="en-GB"/>
        </w:rPr>
        <w:t>Peripheral B cell counts declined below normal following completion of the first dose of MabThera. In patients treated for h</w:t>
      </w:r>
      <w:r w:rsidRPr="00811BCC">
        <w:rPr>
          <w:szCs w:val="22"/>
          <w:lang w:val="en-GB"/>
        </w:rPr>
        <w:t>a</w:t>
      </w:r>
      <w:r w:rsidRPr="00CD24D7">
        <w:rPr>
          <w:szCs w:val="22"/>
          <w:lang w:val="en-GB"/>
        </w:rPr>
        <w:t xml:space="preserve">ematological malignancies, B cell recovery began within 6 months of treatment and generally returned to normal levels within 12 months after completion of therapy, although in </w:t>
      </w:r>
      <w:r w:rsidRPr="005B5A38">
        <w:rPr>
          <w:szCs w:val="22"/>
          <w:lang w:val="en-GB"/>
        </w:rPr>
        <w:t xml:space="preserve">some patients this may take longer </w:t>
      </w:r>
      <w:r w:rsidRPr="005B5A38">
        <w:rPr>
          <w:lang w:val="en-GB"/>
        </w:rPr>
        <w:t>(up to a median recovery time of 23 months post</w:t>
      </w:r>
      <w:r w:rsidR="000A6DDA" w:rsidRPr="005B5A38">
        <w:rPr>
          <w:lang w:val="en-GB"/>
        </w:rPr>
        <w:noBreakHyphen/>
      </w:r>
      <w:r w:rsidRPr="005B5A38">
        <w:rPr>
          <w:lang w:val="en-GB"/>
        </w:rPr>
        <w:t>induction</w:t>
      </w:r>
      <w:r w:rsidRPr="00CD24D7">
        <w:rPr>
          <w:lang w:val="en-GB"/>
        </w:rPr>
        <w:t xml:space="preserve"> therapy)</w:t>
      </w:r>
      <w:r w:rsidRPr="00CD24D7">
        <w:rPr>
          <w:szCs w:val="22"/>
          <w:lang w:val="en-GB"/>
        </w:rPr>
        <w:t>. In rheumatoid arthritis patients, immediate depletion of B cells in the peripheral blood was observed following two infusions of 1000 mg MabThera separated by a 14</w:t>
      </w:r>
      <w:r w:rsidR="008A334D">
        <w:rPr>
          <w:szCs w:val="22"/>
          <w:lang w:val="en-GB"/>
        </w:rPr>
        <w:t>-</w:t>
      </w:r>
      <w:r w:rsidRPr="00CD24D7">
        <w:rPr>
          <w:szCs w:val="22"/>
          <w:lang w:val="en-GB"/>
        </w:rPr>
        <w:t>day interval. Peripheral blood B cell counts begin to increase from week 24 and evidence for repopulation is observed in the majority of patients by week 40, whether MabThera was administered as monotherapy or in combination with methotrexate.</w:t>
      </w:r>
      <w:r w:rsidRPr="00CD24D7">
        <w:rPr>
          <w:rFonts w:cs="Arial"/>
          <w:lang w:val="en-GB"/>
        </w:rPr>
        <w:t xml:space="preserve"> A small proportion of patients had prolonged peripheral B cell depletion lasting 2 years or more after their last dose of MabThera. </w:t>
      </w:r>
      <w:r w:rsidRPr="00CD24D7">
        <w:rPr>
          <w:szCs w:val="22"/>
          <w:lang w:val="en-GB"/>
        </w:rPr>
        <w:t xml:space="preserve">In patients with </w:t>
      </w:r>
      <w:r w:rsidR="00B27003">
        <w:rPr>
          <w:szCs w:val="22"/>
          <w:lang w:val="en-GB"/>
        </w:rPr>
        <w:t>GPA</w:t>
      </w:r>
      <w:r w:rsidRPr="00CD24D7">
        <w:rPr>
          <w:szCs w:val="22"/>
          <w:lang w:val="en-GB"/>
        </w:rPr>
        <w:t xml:space="preserve"> or </w:t>
      </w:r>
      <w:r w:rsidR="00B27003">
        <w:rPr>
          <w:szCs w:val="22"/>
          <w:lang w:val="en-GB"/>
        </w:rPr>
        <w:t>MPA</w:t>
      </w:r>
      <w:r w:rsidRPr="00CD24D7">
        <w:rPr>
          <w:szCs w:val="22"/>
          <w:lang w:val="en-GB"/>
        </w:rPr>
        <w:t>, the number of peripheral blood B cells decreased to &lt;10 cells/μL after two weekly infusions of rituximab 375 mg/m</w:t>
      </w:r>
      <w:r w:rsidRPr="00CD24D7">
        <w:rPr>
          <w:szCs w:val="22"/>
          <w:vertAlign w:val="superscript"/>
          <w:lang w:val="en-GB"/>
        </w:rPr>
        <w:t>2</w:t>
      </w:r>
      <w:r w:rsidRPr="00CD24D7">
        <w:rPr>
          <w:szCs w:val="22"/>
          <w:lang w:val="en-GB"/>
        </w:rPr>
        <w:t>, and remained at that level in most patients up to the 6 month timepoint. The majority of patients (81%) showed signs of B cell return, with counts &gt;10 cells/μL by month 12, increasing to 87% of patients by month 18.</w:t>
      </w:r>
    </w:p>
    <w:p w14:paraId="7C331551" w14:textId="77777777" w:rsidR="008F369D" w:rsidRPr="00CD24D7" w:rsidRDefault="008F369D" w:rsidP="008F369D">
      <w:pPr>
        <w:rPr>
          <w:szCs w:val="22"/>
          <w:lang w:val="en-GB"/>
        </w:rPr>
      </w:pPr>
    </w:p>
    <w:p w14:paraId="7C331552" w14:textId="77777777" w:rsidR="008F369D" w:rsidRPr="005B5A38" w:rsidRDefault="00016F29" w:rsidP="008F369D">
      <w:pPr>
        <w:keepNext/>
        <w:keepLines/>
        <w:ind w:left="567" w:hanging="567"/>
        <w:outlineLvl w:val="0"/>
        <w:rPr>
          <w:szCs w:val="22"/>
          <w:u w:val="single"/>
          <w:lang w:val="en-GB"/>
        </w:rPr>
      </w:pPr>
      <w:r w:rsidRPr="005B5A38">
        <w:rPr>
          <w:szCs w:val="22"/>
          <w:u w:val="single"/>
          <w:lang w:val="en-GB"/>
        </w:rPr>
        <w:t>Clinical experience in Non</w:t>
      </w:r>
      <w:r w:rsidR="000A6DDA" w:rsidRPr="005B5A38">
        <w:rPr>
          <w:szCs w:val="22"/>
          <w:u w:val="single"/>
          <w:lang w:val="en-GB"/>
        </w:rPr>
        <w:noBreakHyphen/>
      </w:r>
      <w:r w:rsidRPr="005B5A38">
        <w:rPr>
          <w:szCs w:val="22"/>
          <w:u w:val="single"/>
          <w:lang w:val="en-GB"/>
        </w:rPr>
        <w:t>Hodgkin’s lymphoma and in chronic lymphocytic leukaemia</w:t>
      </w:r>
    </w:p>
    <w:p w14:paraId="7C331553" w14:textId="77777777" w:rsidR="008F369D" w:rsidRPr="00CD24D7" w:rsidRDefault="008F369D" w:rsidP="008F369D">
      <w:pPr>
        <w:keepNext/>
        <w:keepLines/>
        <w:rPr>
          <w:b/>
          <w:szCs w:val="22"/>
          <w:lang w:val="en-GB"/>
        </w:rPr>
      </w:pPr>
    </w:p>
    <w:p w14:paraId="7C331554" w14:textId="77777777" w:rsidR="008F369D" w:rsidRPr="00CD24D7" w:rsidRDefault="00016F29" w:rsidP="008F369D">
      <w:pPr>
        <w:keepNext/>
        <w:keepLines/>
        <w:outlineLvl w:val="0"/>
        <w:rPr>
          <w:i/>
          <w:szCs w:val="22"/>
          <w:u w:val="single"/>
          <w:lang w:val="en-GB"/>
        </w:rPr>
      </w:pPr>
      <w:r w:rsidRPr="00CD24D7">
        <w:rPr>
          <w:i/>
          <w:szCs w:val="22"/>
          <w:u w:val="single"/>
          <w:lang w:val="en-GB"/>
        </w:rPr>
        <w:t>Follicular lymphoma</w:t>
      </w:r>
    </w:p>
    <w:p w14:paraId="7C331555" w14:textId="77777777" w:rsidR="008F369D" w:rsidRPr="00CD24D7" w:rsidRDefault="008F369D" w:rsidP="008F369D">
      <w:pPr>
        <w:keepNext/>
        <w:keepLines/>
        <w:rPr>
          <w:i/>
          <w:szCs w:val="22"/>
          <w:lang w:val="en-GB"/>
        </w:rPr>
      </w:pPr>
    </w:p>
    <w:p w14:paraId="7C331556" w14:textId="77777777" w:rsidR="008F369D" w:rsidRDefault="00016F29" w:rsidP="008F369D">
      <w:pPr>
        <w:keepNext/>
        <w:keepLines/>
        <w:outlineLvl w:val="0"/>
        <w:rPr>
          <w:szCs w:val="22"/>
          <w:lang w:val="en-GB"/>
        </w:rPr>
      </w:pPr>
      <w:r w:rsidRPr="00CD24D7">
        <w:rPr>
          <w:i/>
          <w:szCs w:val="22"/>
          <w:lang w:val="en-GB"/>
        </w:rPr>
        <w:t>Monotherapy</w:t>
      </w:r>
    </w:p>
    <w:p w14:paraId="7C331557" w14:textId="77777777" w:rsidR="008F369D" w:rsidRPr="00CD24D7" w:rsidRDefault="008F369D" w:rsidP="006522A3">
      <w:pPr>
        <w:rPr>
          <w:lang w:val="en-GB"/>
        </w:rPr>
      </w:pPr>
    </w:p>
    <w:p w14:paraId="7C331558" w14:textId="77777777" w:rsidR="008F369D" w:rsidRPr="005B5A38" w:rsidRDefault="00016F29" w:rsidP="00804F32">
      <w:pPr>
        <w:keepNext/>
        <w:keepLines/>
        <w:outlineLvl w:val="0"/>
        <w:rPr>
          <w:szCs w:val="22"/>
          <w:lang w:val="en-GB"/>
        </w:rPr>
      </w:pPr>
      <w:r w:rsidRPr="005B5A38">
        <w:rPr>
          <w:szCs w:val="22"/>
          <w:lang w:val="en-GB"/>
        </w:rPr>
        <w:t xml:space="preserve">Initial treatment, weekly for 4 doses </w:t>
      </w:r>
    </w:p>
    <w:p w14:paraId="7C331559" w14:textId="77777777" w:rsidR="008F369D" w:rsidRPr="005B5A38" w:rsidRDefault="00016F29" w:rsidP="00804F32">
      <w:pPr>
        <w:keepNext/>
        <w:keepLines/>
        <w:rPr>
          <w:szCs w:val="22"/>
          <w:lang w:val="en-GB"/>
        </w:rPr>
      </w:pPr>
      <w:r w:rsidRPr="005B5A38">
        <w:rPr>
          <w:szCs w:val="22"/>
          <w:lang w:val="en-GB"/>
        </w:rPr>
        <w:t>In the pivotal trial, 166 patients with relapsed or chemoresistant low</w:t>
      </w:r>
      <w:r w:rsidR="000A6DDA" w:rsidRPr="005B5A38">
        <w:rPr>
          <w:szCs w:val="22"/>
          <w:lang w:val="en-GB"/>
        </w:rPr>
        <w:noBreakHyphen/>
      </w:r>
      <w:r w:rsidRPr="005B5A38">
        <w:rPr>
          <w:szCs w:val="22"/>
          <w:lang w:val="en-GB"/>
        </w:rPr>
        <w:t>grade or follicular B cell NHL received 375 mg/m</w:t>
      </w:r>
      <w:r w:rsidRPr="005B5A38">
        <w:rPr>
          <w:szCs w:val="22"/>
          <w:vertAlign w:val="superscript"/>
          <w:lang w:val="en-GB"/>
        </w:rPr>
        <w:t>2</w:t>
      </w:r>
      <w:r w:rsidRPr="005B5A38">
        <w:rPr>
          <w:szCs w:val="22"/>
          <w:lang w:val="en-GB"/>
        </w:rPr>
        <w:t xml:space="preserve"> of MabThera as an intravenous infusion once weekly for four weeks. The overall response rate (ORR) in the intent</w:t>
      </w:r>
      <w:r w:rsidR="000A6DDA" w:rsidRPr="005B5A38">
        <w:rPr>
          <w:szCs w:val="22"/>
          <w:lang w:val="en-GB"/>
        </w:rPr>
        <w:noBreakHyphen/>
      </w:r>
      <w:r w:rsidRPr="005B5A38">
        <w:rPr>
          <w:szCs w:val="22"/>
          <w:lang w:val="en-GB"/>
        </w:rPr>
        <w:t>to</w:t>
      </w:r>
      <w:r w:rsidR="000A6DDA" w:rsidRPr="005B5A38">
        <w:rPr>
          <w:szCs w:val="22"/>
          <w:lang w:val="en-GB"/>
        </w:rPr>
        <w:noBreakHyphen/>
      </w:r>
      <w:r w:rsidRPr="005B5A38">
        <w:rPr>
          <w:szCs w:val="22"/>
          <w:lang w:val="en-GB"/>
        </w:rPr>
        <w:t>treat (ITT) population was 48 % (CI</w:t>
      </w:r>
      <w:r w:rsidRPr="005B5A38">
        <w:rPr>
          <w:szCs w:val="22"/>
          <w:vertAlign w:val="subscript"/>
          <w:lang w:val="en-GB"/>
        </w:rPr>
        <w:t>95</w:t>
      </w:r>
      <w:r w:rsidRPr="005B5A38">
        <w:rPr>
          <w:szCs w:val="22"/>
          <w:lang w:val="en-GB"/>
        </w:rPr>
        <w:t xml:space="preserve">% 41% </w:t>
      </w:r>
      <w:r w:rsidR="000A6DDA" w:rsidRPr="005B5A38">
        <w:rPr>
          <w:szCs w:val="22"/>
          <w:lang w:val="en-GB"/>
        </w:rPr>
        <w:noBreakHyphen/>
      </w:r>
      <w:r w:rsidRPr="005B5A38">
        <w:rPr>
          <w:szCs w:val="22"/>
          <w:lang w:val="en-GB"/>
        </w:rPr>
        <w:t xml:space="preserve"> 56%) with a</w:t>
      </w:r>
      <w:r w:rsidRPr="00CD24D7">
        <w:rPr>
          <w:szCs w:val="22"/>
          <w:lang w:val="en-GB"/>
        </w:rPr>
        <w:t xml:space="preserve"> 6% complete response (CR) and a 42 % partial response (PR) rate. The projected median time to progression (TTP) for responding patients was 13.0 months. In a subgroup analysis, the ORR was higher in patients with IWF B, C, and D histological subtypes as compared to IWF A subtype (58 % vs. 12%), higher in patients whose largest lesion was &lt; 5 cm vs. &gt; 7 cm in greatest diameter (53% vs. 38%), and higher in patients with chemosensitive relapse as compared to chemoresistant (defined as duration of response &lt; 3 months) relapse (50% vs. 22%). ORR in patients previously treated with autologous bone marrow transplant (ABMT) was 78% versus 43% in patients with no ABMT. Neither age, sex, lymphoma grade, initial diagnosis, presence or absence of bulky disease, normal or high LDH nor presence of extranodal disease had a statistically significant effect (Fisher’s exact test) on response to MabThera. A statistically significant correlation was noted between response rates and bone marrow involvement. 40% of patients with bone marrow involvement responded compared to 59% of patients with no bone marrow involvement (p=0.0186). This finding was not supported by a stepwise logistic regression analysis in which the following factors were identified as prognostic </w:t>
      </w:r>
      <w:r w:rsidRPr="005B5A38">
        <w:rPr>
          <w:szCs w:val="22"/>
          <w:lang w:val="en-GB"/>
        </w:rPr>
        <w:t>factors: histological type, bcl</w:t>
      </w:r>
      <w:r w:rsidR="000A6DDA" w:rsidRPr="005B5A38">
        <w:rPr>
          <w:szCs w:val="22"/>
          <w:lang w:val="en-GB"/>
        </w:rPr>
        <w:noBreakHyphen/>
      </w:r>
      <w:r w:rsidRPr="005B5A38">
        <w:rPr>
          <w:szCs w:val="22"/>
          <w:lang w:val="en-GB"/>
        </w:rPr>
        <w:t>2 positivity at baseline, resistance to last chemotherapy and bulky disease.</w:t>
      </w:r>
    </w:p>
    <w:p w14:paraId="7C33155A" w14:textId="77777777" w:rsidR="008F369D" w:rsidRPr="00CD24D7" w:rsidRDefault="008F369D" w:rsidP="008F369D">
      <w:pPr>
        <w:rPr>
          <w:szCs w:val="22"/>
          <w:lang w:val="en-GB"/>
        </w:rPr>
      </w:pPr>
    </w:p>
    <w:p w14:paraId="7C33155B" w14:textId="77777777" w:rsidR="008F369D" w:rsidRPr="00CD24D7" w:rsidRDefault="00016F29" w:rsidP="008F369D">
      <w:pPr>
        <w:keepNext/>
        <w:keepLines/>
        <w:outlineLvl w:val="0"/>
        <w:rPr>
          <w:szCs w:val="22"/>
          <w:lang w:val="en-GB"/>
        </w:rPr>
      </w:pPr>
      <w:r w:rsidRPr="00CD24D7">
        <w:rPr>
          <w:szCs w:val="22"/>
          <w:lang w:val="en-GB"/>
        </w:rPr>
        <w:t xml:space="preserve">Initial treatment, weekly for 8 doses </w:t>
      </w:r>
    </w:p>
    <w:p w14:paraId="7C33155C" w14:textId="77777777" w:rsidR="008F369D" w:rsidRPr="005B5A38" w:rsidRDefault="00016F29" w:rsidP="008F369D">
      <w:pPr>
        <w:keepNext/>
        <w:keepLines/>
        <w:rPr>
          <w:szCs w:val="22"/>
          <w:lang w:val="en-GB"/>
        </w:rPr>
      </w:pPr>
      <w:r w:rsidRPr="005B5A38">
        <w:rPr>
          <w:szCs w:val="22"/>
          <w:lang w:val="en-GB"/>
        </w:rPr>
        <w:t>In a multi</w:t>
      </w:r>
      <w:r w:rsidR="000A6DDA" w:rsidRPr="005B5A38">
        <w:rPr>
          <w:szCs w:val="22"/>
          <w:lang w:val="en-GB"/>
        </w:rPr>
        <w:noBreakHyphen/>
      </w:r>
      <w:r w:rsidRPr="005B5A38">
        <w:rPr>
          <w:szCs w:val="22"/>
          <w:lang w:val="en-GB"/>
        </w:rPr>
        <w:t>centre, single</w:t>
      </w:r>
      <w:r w:rsidR="000A6DDA" w:rsidRPr="005B5A38">
        <w:rPr>
          <w:szCs w:val="22"/>
          <w:lang w:val="en-GB"/>
        </w:rPr>
        <w:noBreakHyphen/>
      </w:r>
      <w:r w:rsidRPr="005B5A38">
        <w:rPr>
          <w:szCs w:val="22"/>
          <w:lang w:val="en-GB"/>
        </w:rPr>
        <w:t>arm trial, 37 patients with relapsed or chemoresistant, low grade or follicular B cell NHL received 375 mg/m</w:t>
      </w:r>
      <w:r w:rsidRPr="005B5A38">
        <w:rPr>
          <w:szCs w:val="22"/>
          <w:vertAlign w:val="superscript"/>
          <w:lang w:val="en-GB"/>
        </w:rPr>
        <w:t>2</w:t>
      </w:r>
      <w:r w:rsidRPr="005B5A38">
        <w:rPr>
          <w:szCs w:val="22"/>
          <w:lang w:val="en-GB"/>
        </w:rPr>
        <w:t xml:space="preserve"> of MabThera as intravenous infusion weekly for eight doses. The ORR was 57% (95% Confidence interval (CI); 41% – 73%; CR 14%, PR 43%) with a projected median TTP for responding patients of 19.4 months (range 5.3 to 38.9 months).</w:t>
      </w:r>
    </w:p>
    <w:p w14:paraId="7C33155D" w14:textId="77777777" w:rsidR="008F369D" w:rsidRPr="005B5A38" w:rsidRDefault="008F369D" w:rsidP="008F369D">
      <w:pPr>
        <w:rPr>
          <w:szCs w:val="22"/>
          <w:lang w:val="en-GB"/>
        </w:rPr>
      </w:pPr>
    </w:p>
    <w:p w14:paraId="7C33155E" w14:textId="77777777" w:rsidR="008F369D" w:rsidRPr="005B5A38" w:rsidRDefault="00016F29" w:rsidP="008F369D">
      <w:pPr>
        <w:outlineLvl w:val="0"/>
        <w:rPr>
          <w:szCs w:val="22"/>
          <w:lang w:val="en-GB"/>
        </w:rPr>
      </w:pPr>
      <w:r w:rsidRPr="005B5A38">
        <w:rPr>
          <w:szCs w:val="22"/>
          <w:lang w:val="en-GB"/>
        </w:rPr>
        <w:t xml:space="preserve">Initial treatment, bulky disease, weekly for 4 doses </w:t>
      </w:r>
    </w:p>
    <w:p w14:paraId="7C33155F" w14:textId="77777777" w:rsidR="008F369D" w:rsidRPr="00CD24D7" w:rsidRDefault="00016F29" w:rsidP="008F369D">
      <w:pPr>
        <w:rPr>
          <w:iCs/>
          <w:szCs w:val="22"/>
          <w:lang w:val="en-GB"/>
        </w:rPr>
      </w:pPr>
      <w:r w:rsidRPr="00CD24D7">
        <w:rPr>
          <w:iCs/>
          <w:szCs w:val="22"/>
          <w:lang w:val="en-GB"/>
        </w:rPr>
        <w:t xml:space="preserve">In pooled data from three </w:t>
      </w:r>
      <w:r>
        <w:rPr>
          <w:iCs/>
          <w:szCs w:val="22"/>
          <w:lang w:val="en-GB"/>
        </w:rPr>
        <w:t>trial</w:t>
      </w:r>
      <w:r w:rsidRPr="00CD24D7">
        <w:rPr>
          <w:iCs/>
          <w:szCs w:val="22"/>
          <w:lang w:val="en-GB"/>
        </w:rPr>
        <w:t>s, 39 patients with relapsed or chemoresistant, bulky disease (single lesion </w:t>
      </w:r>
      <w:r w:rsidRPr="00804F32">
        <w:rPr>
          <w:rFonts w:ascii="Symbol" w:hAnsi="Symbol"/>
          <w:lang w:val="en-GB"/>
        </w:rPr>
        <w:sym w:font="Symbol" w:char="F0B3"/>
      </w:r>
      <w:r w:rsidRPr="00CD24D7">
        <w:rPr>
          <w:iCs/>
          <w:szCs w:val="22"/>
          <w:lang w:val="en-GB"/>
        </w:rPr>
        <w:t> 10 cm in diameter), low grade or follicular B cell NHL received 375 mg/m2 of MabThera as intravenous infusion weekly for four doses. The ORR was 36 % (CI</w:t>
      </w:r>
      <w:r w:rsidRPr="00CD24D7">
        <w:rPr>
          <w:szCs w:val="22"/>
          <w:vertAlign w:val="subscript"/>
          <w:lang w:val="en-GB"/>
        </w:rPr>
        <w:t>95</w:t>
      </w:r>
      <w:r w:rsidRPr="00CD24D7">
        <w:rPr>
          <w:iCs/>
          <w:szCs w:val="22"/>
          <w:lang w:val="en-GB"/>
        </w:rPr>
        <w:t>% 21% – 51%; CR 3%, PR 33%) with a median TTP for responding patients of 9.6 months (range 4.5 to 26.8 months).</w:t>
      </w:r>
    </w:p>
    <w:p w14:paraId="7C331560" w14:textId="77777777" w:rsidR="008F369D" w:rsidRPr="00CD24D7" w:rsidRDefault="008F369D" w:rsidP="008F369D">
      <w:pPr>
        <w:rPr>
          <w:szCs w:val="22"/>
          <w:lang w:val="en-GB"/>
        </w:rPr>
      </w:pPr>
    </w:p>
    <w:p w14:paraId="7C331561" w14:textId="77777777" w:rsidR="008F369D" w:rsidRPr="005B5A38" w:rsidRDefault="00016F29" w:rsidP="008F369D">
      <w:pPr>
        <w:rPr>
          <w:b/>
          <w:szCs w:val="22"/>
          <w:lang w:val="en-GB"/>
        </w:rPr>
      </w:pPr>
      <w:r w:rsidRPr="005B5A38">
        <w:rPr>
          <w:szCs w:val="22"/>
          <w:lang w:val="en-GB"/>
        </w:rPr>
        <w:t>Re</w:t>
      </w:r>
      <w:r w:rsidR="000A6DDA" w:rsidRPr="005B5A38">
        <w:rPr>
          <w:szCs w:val="22"/>
          <w:lang w:val="en-GB"/>
        </w:rPr>
        <w:noBreakHyphen/>
      </w:r>
      <w:r w:rsidRPr="005B5A38">
        <w:rPr>
          <w:szCs w:val="22"/>
          <w:lang w:val="en-GB"/>
        </w:rPr>
        <w:t>treatment, weekly for 4 doses</w:t>
      </w:r>
      <w:r w:rsidRPr="005B5A38">
        <w:rPr>
          <w:b/>
          <w:szCs w:val="22"/>
          <w:lang w:val="en-GB"/>
        </w:rPr>
        <w:t xml:space="preserve"> </w:t>
      </w:r>
    </w:p>
    <w:p w14:paraId="7C331562" w14:textId="77777777" w:rsidR="008F369D" w:rsidRPr="00CD24D7" w:rsidRDefault="00016F29" w:rsidP="008F369D">
      <w:pPr>
        <w:rPr>
          <w:szCs w:val="22"/>
          <w:lang w:val="en-GB"/>
        </w:rPr>
      </w:pPr>
      <w:r w:rsidRPr="005B5A38">
        <w:rPr>
          <w:szCs w:val="22"/>
          <w:lang w:val="en-GB"/>
        </w:rPr>
        <w:t>In a multi</w:t>
      </w:r>
      <w:r w:rsidR="000A6DDA" w:rsidRPr="005B5A38">
        <w:rPr>
          <w:szCs w:val="22"/>
          <w:lang w:val="en-GB"/>
        </w:rPr>
        <w:noBreakHyphen/>
      </w:r>
      <w:r w:rsidRPr="005B5A38">
        <w:rPr>
          <w:szCs w:val="22"/>
          <w:lang w:val="en-GB"/>
        </w:rPr>
        <w:t>centre, single</w:t>
      </w:r>
      <w:r w:rsidR="000A6DDA" w:rsidRPr="005B5A38">
        <w:rPr>
          <w:szCs w:val="22"/>
          <w:lang w:val="en-GB"/>
        </w:rPr>
        <w:noBreakHyphen/>
      </w:r>
      <w:r w:rsidRPr="005B5A38">
        <w:rPr>
          <w:szCs w:val="22"/>
          <w:lang w:val="en-GB"/>
        </w:rPr>
        <w:t>arm trial, 58 patients with relapsed or chemoresistant low grade or follicular B cell NHL, who had achieved an objective clinical response to a prior course of MabThera, were re</w:t>
      </w:r>
      <w:r w:rsidR="000A6DDA" w:rsidRPr="005B5A38">
        <w:rPr>
          <w:szCs w:val="22"/>
          <w:lang w:val="en-GB"/>
        </w:rPr>
        <w:noBreakHyphen/>
      </w:r>
      <w:r w:rsidRPr="005B5A38">
        <w:rPr>
          <w:szCs w:val="22"/>
          <w:lang w:val="en-GB"/>
        </w:rPr>
        <w:t>treated with 375 mg/m</w:t>
      </w:r>
      <w:r w:rsidRPr="005B5A38">
        <w:rPr>
          <w:szCs w:val="22"/>
          <w:vertAlign w:val="superscript"/>
          <w:lang w:val="en-GB"/>
        </w:rPr>
        <w:t>2</w:t>
      </w:r>
      <w:r w:rsidRPr="005B5A38">
        <w:rPr>
          <w:szCs w:val="22"/>
          <w:lang w:val="en-GB"/>
        </w:rPr>
        <w:t xml:space="preserve"> of MabThera as intravenous infusion weekly for four doses. Three of the patients had received two courses of MabThera before enrolment and thus were given a third course in the study. Two patients were re</w:t>
      </w:r>
      <w:r w:rsidR="000A6DDA" w:rsidRPr="005B5A38">
        <w:rPr>
          <w:szCs w:val="22"/>
          <w:lang w:val="en-GB"/>
        </w:rPr>
        <w:noBreakHyphen/>
      </w:r>
      <w:r w:rsidRPr="005B5A38">
        <w:rPr>
          <w:szCs w:val="22"/>
          <w:lang w:val="en-GB"/>
        </w:rPr>
        <w:t>treated twice in the study. For the 60 re</w:t>
      </w:r>
      <w:r w:rsidR="000A6DDA" w:rsidRPr="005B5A38">
        <w:rPr>
          <w:szCs w:val="22"/>
          <w:lang w:val="en-GB"/>
        </w:rPr>
        <w:noBreakHyphen/>
      </w:r>
      <w:r w:rsidRPr="005B5A38">
        <w:rPr>
          <w:szCs w:val="22"/>
          <w:lang w:val="en-GB"/>
        </w:rPr>
        <w:t>treatments on study, the</w:t>
      </w:r>
      <w:r w:rsidRPr="00CD24D7">
        <w:rPr>
          <w:szCs w:val="22"/>
          <w:lang w:val="en-GB"/>
        </w:rPr>
        <w:t xml:space="preserve"> ORR was 38% (CI</w:t>
      </w:r>
      <w:r w:rsidRPr="00CD24D7">
        <w:rPr>
          <w:szCs w:val="22"/>
          <w:vertAlign w:val="subscript"/>
          <w:lang w:val="en-GB"/>
        </w:rPr>
        <w:t>95</w:t>
      </w:r>
      <w:r w:rsidRPr="00CD24D7">
        <w:rPr>
          <w:iCs/>
          <w:szCs w:val="22"/>
          <w:lang w:val="en-GB"/>
        </w:rPr>
        <w:t>%</w:t>
      </w:r>
      <w:r w:rsidRPr="00CD24D7">
        <w:rPr>
          <w:szCs w:val="22"/>
          <w:lang w:val="en-GB"/>
        </w:rPr>
        <w:t xml:space="preserve"> 26% – 51%; 10% CR, 28% PR) with a projected median TTP for responding patients of 17.8 months (range 5.4 – 26.6). This compares favourably with the TTP achieved after the prior course of MabThera (12.4 months).</w:t>
      </w:r>
    </w:p>
    <w:p w14:paraId="7C331563" w14:textId="77777777" w:rsidR="008F369D" w:rsidRPr="00CD24D7" w:rsidRDefault="008F369D" w:rsidP="008F369D">
      <w:pPr>
        <w:rPr>
          <w:szCs w:val="22"/>
          <w:lang w:val="en-GB"/>
        </w:rPr>
      </w:pPr>
    </w:p>
    <w:p w14:paraId="7C331564" w14:textId="77777777" w:rsidR="008F369D" w:rsidRDefault="00016F29" w:rsidP="008F369D">
      <w:pPr>
        <w:outlineLvl w:val="0"/>
        <w:rPr>
          <w:i/>
          <w:szCs w:val="22"/>
          <w:lang w:val="en-GB"/>
        </w:rPr>
      </w:pPr>
      <w:r w:rsidRPr="00CD24D7">
        <w:rPr>
          <w:i/>
          <w:szCs w:val="22"/>
          <w:lang w:val="en-GB"/>
        </w:rPr>
        <w:t>Initial treatment, in combination with chemotherapy</w:t>
      </w:r>
    </w:p>
    <w:p w14:paraId="7C331565" w14:textId="77777777" w:rsidR="008F369D" w:rsidRPr="00CD24D7" w:rsidRDefault="008F369D" w:rsidP="008F369D">
      <w:pPr>
        <w:outlineLvl w:val="0"/>
        <w:rPr>
          <w:i/>
          <w:szCs w:val="22"/>
          <w:lang w:val="en-GB"/>
        </w:rPr>
      </w:pPr>
    </w:p>
    <w:p w14:paraId="7C331566" w14:textId="77777777" w:rsidR="008F369D" w:rsidRPr="005B5A38" w:rsidRDefault="00016F29" w:rsidP="008F369D">
      <w:pPr>
        <w:rPr>
          <w:szCs w:val="22"/>
          <w:lang w:val="en-GB"/>
        </w:rPr>
      </w:pPr>
      <w:r w:rsidRPr="005B5A38">
        <w:rPr>
          <w:szCs w:val="22"/>
          <w:lang w:val="en-GB"/>
        </w:rPr>
        <w:t>In an open</w:t>
      </w:r>
      <w:r w:rsidR="000A6DDA" w:rsidRPr="005B5A38">
        <w:rPr>
          <w:szCs w:val="22"/>
          <w:lang w:val="en-GB"/>
        </w:rPr>
        <w:noBreakHyphen/>
      </w:r>
      <w:r w:rsidRPr="005B5A38">
        <w:rPr>
          <w:szCs w:val="22"/>
          <w:lang w:val="en-GB"/>
        </w:rPr>
        <w:t>label randomised trial, a total of 322 previously untreated patients with follicular</w:t>
      </w:r>
      <w:r w:rsidRPr="00CD24D7">
        <w:rPr>
          <w:szCs w:val="22"/>
          <w:lang w:val="en-GB"/>
        </w:rPr>
        <w:t xml:space="preserve"> lymphoma were randomised to receive either CVP chemotherapy (cyclophosphamide 750 mg/m</w:t>
      </w:r>
      <w:r w:rsidRPr="00CD24D7">
        <w:rPr>
          <w:szCs w:val="22"/>
          <w:vertAlign w:val="superscript"/>
          <w:lang w:val="en-GB"/>
        </w:rPr>
        <w:t>2</w:t>
      </w:r>
      <w:r w:rsidRPr="00CD24D7">
        <w:rPr>
          <w:szCs w:val="22"/>
          <w:lang w:val="en-GB"/>
        </w:rPr>
        <w:t xml:space="preserve">, </w:t>
      </w:r>
      <w:r w:rsidRPr="005B5A38">
        <w:rPr>
          <w:szCs w:val="22"/>
          <w:lang w:val="en-GB"/>
        </w:rPr>
        <w:t>vincristine 1.4 mg/m</w:t>
      </w:r>
      <w:r w:rsidRPr="005B5A38">
        <w:rPr>
          <w:szCs w:val="22"/>
          <w:vertAlign w:val="superscript"/>
          <w:lang w:val="en-GB"/>
        </w:rPr>
        <w:t>2</w:t>
      </w:r>
      <w:r w:rsidRPr="005B5A38">
        <w:rPr>
          <w:szCs w:val="22"/>
          <w:lang w:val="en-GB"/>
        </w:rPr>
        <w:t xml:space="preserve"> up to a maximum of 2 mg on day 1, and prednisolone 40 mg/m</w:t>
      </w:r>
      <w:r w:rsidRPr="005B5A38">
        <w:rPr>
          <w:szCs w:val="22"/>
          <w:vertAlign w:val="superscript"/>
          <w:lang w:val="en-GB"/>
        </w:rPr>
        <w:t>2</w:t>
      </w:r>
      <w:r w:rsidRPr="005B5A38">
        <w:rPr>
          <w:szCs w:val="22"/>
          <w:lang w:val="en-GB"/>
        </w:rPr>
        <w:t>/day on days 1 </w:t>
      </w:r>
      <w:r w:rsidR="000A6DDA" w:rsidRPr="005B5A38">
        <w:rPr>
          <w:szCs w:val="22"/>
          <w:lang w:val="en-GB"/>
        </w:rPr>
        <w:noBreakHyphen/>
      </w:r>
      <w:r w:rsidRPr="005B5A38">
        <w:rPr>
          <w:szCs w:val="22"/>
          <w:lang w:val="en-GB"/>
        </w:rPr>
        <w:t>5) every 3 weeks for 8 cycles or MabThera 375 mg/m</w:t>
      </w:r>
      <w:r w:rsidRPr="005B5A38">
        <w:rPr>
          <w:szCs w:val="22"/>
          <w:vertAlign w:val="superscript"/>
          <w:lang w:val="en-GB"/>
        </w:rPr>
        <w:t>2</w:t>
      </w:r>
      <w:r w:rsidRPr="005B5A38">
        <w:rPr>
          <w:szCs w:val="22"/>
          <w:lang w:val="en-GB"/>
        </w:rPr>
        <w:t xml:space="preserve"> in combination with CVP (R</w:t>
      </w:r>
      <w:r w:rsidR="000A6DDA" w:rsidRPr="005B5A38">
        <w:rPr>
          <w:szCs w:val="22"/>
          <w:lang w:val="en-GB"/>
        </w:rPr>
        <w:noBreakHyphen/>
      </w:r>
      <w:r w:rsidRPr="005B5A38">
        <w:rPr>
          <w:szCs w:val="22"/>
          <w:lang w:val="en-GB"/>
        </w:rPr>
        <w:t>CVP). MabThera was administered on the first day of each treatment cycle. A total of 321 patients (162 R</w:t>
      </w:r>
      <w:r w:rsidR="000A6DDA" w:rsidRPr="005B5A38">
        <w:rPr>
          <w:szCs w:val="22"/>
          <w:lang w:val="en-GB"/>
        </w:rPr>
        <w:noBreakHyphen/>
      </w:r>
      <w:r w:rsidRPr="005B5A38">
        <w:rPr>
          <w:szCs w:val="22"/>
          <w:lang w:val="en-GB"/>
        </w:rPr>
        <w:t>CVP, 159 CVP) received therapy and were analysed for efficacy. The median follow</w:t>
      </w:r>
      <w:r w:rsidR="003E00A9">
        <w:rPr>
          <w:szCs w:val="22"/>
          <w:lang w:val="en-GB"/>
        </w:rPr>
        <w:t>-</w:t>
      </w:r>
      <w:r w:rsidRPr="005B5A38">
        <w:rPr>
          <w:szCs w:val="22"/>
          <w:lang w:val="en-GB"/>
        </w:rPr>
        <w:t>up of patients was 53 months. R</w:t>
      </w:r>
      <w:r w:rsidR="000A6DDA" w:rsidRPr="005B5A38">
        <w:rPr>
          <w:szCs w:val="22"/>
          <w:lang w:val="en-GB"/>
        </w:rPr>
        <w:noBreakHyphen/>
      </w:r>
      <w:r w:rsidRPr="005B5A38">
        <w:rPr>
          <w:szCs w:val="22"/>
          <w:lang w:val="en-GB"/>
        </w:rPr>
        <w:t>CVP led to a significant benefit over CVP for the primary endpoint, time to treatment failure (27 months vs. 6.6 months, p &lt; 0.0001, log</w:t>
      </w:r>
      <w:r w:rsidR="000A6DDA" w:rsidRPr="005B5A38">
        <w:rPr>
          <w:szCs w:val="22"/>
          <w:lang w:val="en-GB"/>
        </w:rPr>
        <w:noBreakHyphen/>
      </w:r>
      <w:r w:rsidRPr="005B5A38">
        <w:rPr>
          <w:szCs w:val="22"/>
          <w:lang w:val="en-GB"/>
        </w:rPr>
        <w:t>rank test). The proportion of patients with a tumour response (CR, CRu, PR) was significantly higher (p&lt; 0.0001 Chi</w:t>
      </w:r>
      <w:r w:rsidR="000A6DDA" w:rsidRPr="005B5A38">
        <w:rPr>
          <w:szCs w:val="22"/>
          <w:lang w:val="en-GB"/>
        </w:rPr>
        <w:noBreakHyphen/>
      </w:r>
      <w:r w:rsidRPr="005B5A38">
        <w:rPr>
          <w:szCs w:val="22"/>
          <w:lang w:val="en-GB"/>
        </w:rPr>
        <w:t>Square test) in the R</w:t>
      </w:r>
      <w:r w:rsidR="000A6DDA" w:rsidRPr="005B5A38">
        <w:rPr>
          <w:szCs w:val="22"/>
          <w:lang w:val="en-GB"/>
        </w:rPr>
        <w:noBreakHyphen/>
      </w:r>
      <w:r w:rsidRPr="005B5A38">
        <w:rPr>
          <w:szCs w:val="22"/>
          <w:lang w:val="en-GB"/>
        </w:rPr>
        <w:t>CVP group (80.9%) than the CVP group (57.2%). Treatment with R</w:t>
      </w:r>
      <w:r w:rsidR="000A6DDA" w:rsidRPr="005B5A38">
        <w:rPr>
          <w:szCs w:val="22"/>
          <w:lang w:val="en-GB"/>
        </w:rPr>
        <w:noBreakHyphen/>
      </w:r>
      <w:r w:rsidRPr="005B5A38">
        <w:rPr>
          <w:szCs w:val="22"/>
          <w:lang w:val="en-GB"/>
        </w:rPr>
        <w:t>CVP significantly prolonged the time to disease progression or death compared to CVP, 33.6 months and 14.7 months, respectively (p &lt; 0.0001, log</w:t>
      </w:r>
      <w:r w:rsidR="000A6DDA" w:rsidRPr="005B5A38">
        <w:rPr>
          <w:szCs w:val="22"/>
          <w:lang w:val="en-GB"/>
        </w:rPr>
        <w:noBreakHyphen/>
      </w:r>
      <w:r w:rsidRPr="005B5A38">
        <w:rPr>
          <w:szCs w:val="22"/>
          <w:lang w:val="en-GB"/>
        </w:rPr>
        <w:t>rank test). The median duration of response was 37.7 months in the R</w:t>
      </w:r>
      <w:r w:rsidR="000A6DDA" w:rsidRPr="005B5A38">
        <w:rPr>
          <w:szCs w:val="22"/>
          <w:lang w:val="en-GB"/>
        </w:rPr>
        <w:noBreakHyphen/>
      </w:r>
      <w:r w:rsidRPr="005B5A38">
        <w:rPr>
          <w:szCs w:val="22"/>
          <w:lang w:val="en-GB"/>
        </w:rPr>
        <w:t>CVP group and was 13.5 months in the CVP group (p &lt; 0.0001, log</w:t>
      </w:r>
      <w:r w:rsidR="000A6DDA" w:rsidRPr="005B5A38">
        <w:rPr>
          <w:szCs w:val="22"/>
          <w:lang w:val="en-GB"/>
        </w:rPr>
        <w:noBreakHyphen/>
      </w:r>
      <w:r w:rsidRPr="005B5A38">
        <w:rPr>
          <w:szCs w:val="22"/>
          <w:lang w:val="en-GB"/>
        </w:rPr>
        <w:t xml:space="preserve">rank test). </w:t>
      </w:r>
    </w:p>
    <w:p w14:paraId="7C331567" w14:textId="77777777" w:rsidR="008F369D" w:rsidRPr="00CD24D7" w:rsidRDefault="008F369D" w:rsidP="008F369D">
      <w:pPr>
        <w:rPr>
          <w:szCs w:val="22"/>
          <w:lang w:val="en-GB"/>
        </w:rPr>
      </w:pPr>
    </w:p>
    <w:p w14:paraId="7C331568" w14:textId="77777777" w:rsidR="008F369D" w:rsidRPr="005B5A38" w:rsidRDefault="00016F29" w:rsidP="008F369D">
      <w:pPr>
        <w:rPr>
          <w:szCs w:val="22"/>
          <w:lang w:val="en-GB"/>
        </w:rPr>
      </w:pPr>
      <w:r w:rsidRPr="005B5A38">
        <w:rPr>
          <w:szCs w:val="22"/>
          <w:lang w:val="en-GB"/>
        </w:rPr>
        <w:t>The difference between the treatment groups with respect to overall survival showed a significant clinical difference (p=0.029, log</w:t>
      </w:r>
      <w:r w:rsidR="000A6DDA" w:rsidRPr="005B5A38">
        <w:rPr>
          <w:szCs w:val="22"/>
          <w:lang w:val="en-GB"/>
        </w:rPr>
        <w:noBreakHyphen/>
      </w:r>
      <w:r w:rsidRPr="005B5A38">
        <w:rPr>
          <w:szCs w:val="22"/>
          <w:lang w:val="en-GB"/>
        </w:rPr>
        <w:t>rank test stratified by centre): survival rates at 53 months were 80.9% for patients in the R</w:t>
      </w:r>
      <w:r w:rsidR="000A6DDA" w:rsidRPr="005B5A38">
        <w:rPr>
          <w:szCs w:val="22"/>
          <w:lang w:val="en-GB"/>
        </w:rPr>
        <w:noBreakHyphen/>
      </w:r>
      <w:r w:rsidRPr="005B5A38">
        <w:rPr>
          <w:szCs w:val="22"/>
          <w:lang w:val="en-GB"/>
        </w:rPr>
        <w:t>CVP group compared to 71.1% for patient</w:t>
      </w:r>
      <w:r w:rsidRPr="005B5A38">
        <w:rPr>
          <w:lang w:val="en-GB"/>
        </w:rPr>
        <w:t>s in the CVP group.</w:t>
      </w:r>
    </w:p>
    <w:p w14:paraId="7C331569" w14:textId="77777777" w:rsidR="008F369D" w:rsidRPr="005B5A38" w:rsidRDefault="008F369D" w:rsidP="008F369D">
      <w:pPr>
        <w:rPr>
          <w:szCs w:val="22"/>
          <w:lang w:val="en-GB"/>
        </w:rPr>
      </w:pPr>
    </w:p>
    <w:p w14:paraId="7C33156A" w14:textId="77777777" w:rsidR="008F369D" w:rsidRPr="00F638AF" w:rsidRDefault="00016F29" w:rsidP="008F369D">
      <w:pPr>
        <w:rPr>
          <w:lang w:val="en-GB"/>
        </w:rPr>
      </w:pPr>
      <w:r w:rsidRPr="005B5A38">
        <w:rPr>
          <w:lang w:val="en-GB"/>
        </w:rPr>
        <w:t>Results from three other randomised trials using MabThera in combination with chemotherapy regimen other than CVP (CHOP</w:t>
      </w:r>
      <w:r w:rsidRPr="00F638AF">
        <w:rPr>
          <w:lang w:val="en-GB"/>
        </w:rPr>
        <w:t>, MCP, CHVP/Interferon</w:t>
      </w:r>
      <w:r w:rsidR="000A6DDA" w:rsidRPr="00F638AF">
        <w:rPr>
          <w:lang w:val="en-GB"/>
        </w:rPr>
        <w:noBreakHyphen/>
      </w:r>
      <w:r w:rsidRPr="00F638AF">
        <w:rPr>
          <w:lang w:val="en-GB"/>
        </w:rPr>
        <w:t>α) have also demonstrated significant improvements in response rates, time</w:t>
      </w:r>
      <w:r w:rsidR="000A6DDA" w:rsidRPr="00F638AF">
        <w:rPr>
          <w:lang w:val="en-GB"/>
        </w:rPr>
        <w:noBreakHyphen/>
      </w:r>
      <w:r w:rsidRPr="00F638AF">
        <w:rPr>
          <w:lang w:val="en-GB"/>
        </w:rPr>
        <w:t>dependent parameters as well as in overall survival. Key results from all four studies are summari</w:t>
      </w:r>
      <w:r w:rsidR="00C01433" w:rsidRPr="00F638AF">
        <w:rPr>
          <w:lang w:val="en-GB"/>
        </w:rPr>
        <w:t>s</w:t>
      </w:r>
      <w:r w:rsidRPr="00F638AF">
        <w:rPr>
          <w:lang w:val="en-GB"/>
        </w:rPr>
        <w:t xml:space="preserve">ed in </w:t>
      </w:r>
      <w:r w:rsidR="00C01433" w:rsidRPr="00F638AF">
        <w:rPr>
          <w:lang w:val="en-GB"/>
        </w:rPr>
        <w:t>T</w:t>
      </w:r>
      <w:r w:rsidRPr="00F638AF">
        <w:rPr>
          <w:lang w:val="en-GB"/>
        </w:rPr>
        <w:t>able </w:t>
      </w:r>
      <w:r w:rsidR="00E26FC8" w:rsidRPr="00F638AF">
        <w:rPr>
          <w:lang w:val="en-GB"/>
        </w:rPr>
        <w:t>8</w:t>
      </w:r>
      <w:r w:rsidRPr="00F638AF">
        <w:rPr>
          <w:lang w:val="en-GB"/>
        </w:rPr>
        <w:t xml:space="preserve">. </w:t>
      </w:r>
    </w:p>
    <w:p w14:paraId="7C33156B" w14:textId="77777777" w:rsidR="008F369D" w:rsidRPr="00F638AF" w:rsidRDefault="008F369D" w:rsidP="008F369D">
      <w:pPr>
        <w:rPr>
          <w:szCs w:val="22"/>
          <w:lang w:val="en-GB"/>
        </w:rPr>
      </w:pPr>
    </w:p>
    <w:p w14:paraId="7C33156C" w14:textId="77777777" w:rsidR="008F369D" w:rsidRPr="00F638AF" w:rsidRDefault="00016F29" w:rsidP="008F369D">
      <w:pPr>
        <w:keepNext/>
        <w:keepLines/>
        <w:ind w:left="1134" w:hanging="1134"/>
        <w:rPr>
          <w:b/>
          <w:lang w:val="en-GB"/>
        </w:rPr>
      </w:pPr>
      <w:r w:rsidRPr="00F638AF">
        <w:rPr>
          <w:b/>
          <w:lang w:val="en-GB"/>
        </w:rPr>
        <w:t>Table </w:t>
      </w:r>
      <w:r w:rsidR="00E26FC8" w:rsidRPr="00F638AF">
        <w:rPr>
          <w:b/>
          <w:lang w:val="en-GB"/>
        </w:rPr>
        <w:t>8</w:t>
      </w:r>
      <w:r w:rsidRPr="00F638AF">
        <w:rPr>
          <w:b/>
          <w:lang w:val="en-GB"/>
        </w:rPr>
        <w:tab/>
        <w:t>Summary of key results from four phase III randomised studies evaluating the benefit of MabThera with different chemotherapy regimens in follicular lymphoma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1389"/>
        <w:gridCol w:w="999"/>
        <w:gridCol w:w="1132"/>
        <w:gridCol w:w="1261"/>
        <w:gridCol w:w="1882"/>
        <w:gridCol w:w="1079"/>
      </w:tblGrid>
      <w:tr w:rsidR="003A788B" w14:paraId="7C331576" w14:textId="77777777" w:rsidTr="008919D7">
        <w:trPr>
          <w:tblHeader/>
        </w:trPr>
        <w:tc>
          <w:tcPr>
            <w:tcW w:w="1326" w:type="dxa"/>
            <w:vAlign w:val="center"/>
          </w:tcPr>
          <w:p w14:paraId="7C33156D" w14:textId="77777777" w:rsidR="008F369D" w:rsidRPr="00F638AF" w:rsidRDefault="00016F29" w:rsidP="008919D7">
            <w:pPr>
              <w:pStyle w:val="TextTi12"/>
              <w:keepNext/>
              <w:keepLines/>
              <w:jc w:val="left"/>
              <w:rPr>
                <w:b/>
                <w:sz w:val="22"/>
                <w:szCs w:val="22"/>
                <w:lang w:val="en-GB"/>
              </w:rPr>
            </w:pPr>
            <w:r w:rsidRPr="00F638AF">
              <w:rPr>
                <w:b/>
                <w:sz w:val="22"/>
                <w:szCs w:val="22"/>
                <w:lang w:val="en-GB"/>
              </w:rPr>
              <w:t>Study</w:t>
            </w:r>
          </w:p>
        </w:tc>
        <w:tc>
          <w:tcPr>
            <w:tcW w:w="1326" w:type="dxa"/>
            <w:vAlign w:val="center"/>
          </w:tcPr>
          <w:p w14:paraId="7C33156E" w14:textId="77777777" w:rsidR="008F369D" w:rsidRPr="00F638AF" w:rsidRDefault="00016F29" w:rsidP="008919D7">
            <w:pPr>
              <w:keepNext/>
              <w:keepLines/>
              <w:jc w:val="center"/>
              <w:rPr>
                <w:b/>
                <w:szCs w:val="22"/>
                <w:lang w:val="en-GB"/>
              </w:rPr>
            </w:pPr>
            <w:r w:rsidRPr="00F638AF">
              <w:rPr>
                <w:b/>
                <w:szCs w:val="22"/>
                <w:lang w:val="en-GB"/>
              </w:rPr>
              <w:t>Treatment,</w:t>
            </w:r>
          </w:p>
          <w:p w14:paraId="7C33156F" w14:textId="77777777" w:rsidR="008F369D" w:rsidRPr="00F638AF" w:rsidRDefault="00016F29" w:rsidP="008919D7">
            <w:pPr>
              <w:pStyle w:val="TextTi12"/>
              <w:keepNext/>
              <w:keepLines/>
              <w:jc w:val="left"/>
              <w:rPr>
                <w:b/>
                <w:sz w:val="22"/>
                <w:szCs w:val="22"/>
                <w:lang w:val="en-GB"/>
              </w:rPr>
            </w:pPr>
            <w:r w:rsidRPr="00F638AF">
              <w:rPr>
                <w:b/>
                <w:sz w:val="22"/>
                <w:szCs w:val="22"/>
                <w:lang w:val="en-GB"/>
              </w:rPr>
              <w:t>N</w:t>
            </w:r>
          </w:p>
        </w:tc>
        <w:tc>
          <w:tcPr>
            <w:tcW w:w="1000" w:type="dxa"/>
            <w:vAlign w:val="center"/>
          </w:tcPr>
          <w:p w14:paraId="7C331570" w14:textId="77777777" w:rsidR="008F369D" w:rsidRPr="00F638AF" w:rsidRDefault="00016F29" w:rsidP="008919D7">
            <w:pPr>
              <w:keepNext/>
              <w:keepLines/>
              <w:rPr>
                <w:b/>
                <w:szCs w:val="22"/>
                <w:lang w:val="en-GB"/>
              </w:rPr>
            </w:pPr>
            <w:r w:rsidRPr="00F638AF">
              <w:rPr>
                <w:b/>
                <w:szCs w:val="22"/>
                <w:lang w:val="en-GB"/>
              </w:rPr>
              <w:t xml:space="preserve">Median FU, </w:t>
            </w:r>
          </w:p>
          <w:p w14:paraId="7C331571" w14:textId="77777777" w:rsidR="008F369D" w:rsidRPr="00F638AF" w:rsidRDefault="00016F29" w:rsidP="008919D7">
            <w:pPr>
              <w:pStyle w:val="TextTi12"/>
              <w:keepNext/>
              <w:keepLines/>
              <w:jc w:val="left"/>
              <w:rPr>
                <w:b/>
                <w:sz w:val="22"/>
                <w:szCs w:val="22"/>
                <w:lang w:val="en-GB"/>
              </w:rPr>
            </w:pPr>
            <w:r w:rsidRPr="00F638AF">
              <w:rPr>
                <w:b/>
                <w:sz w:val="22"/>
                <w:szCs w:val="22"/>
                <w:lang w:val="en-GB"/>
              </w:rPr>
              <w:t>months</w:t>
            </w:r>
          </w:p>
        </w:tc>
        <w:tc>
          <w:tcPr>
            <w:tcW w:w="1134" w:type="dxa"/>
            <w:vAlign w:val="center"/>
          </w:tcPr>
          <w:p w14:paraId="7C331572" w14:textId="77777777" w:rsidR="008F369D" w:rsidRPr="00F638AF" w:rsidRDefault="00016F29" w:rsidP="008919D7">
            <w:pPr>
              <w:pStyle w:val="TextTi12"/>
              <w:keepNext/>
              <w:keepLines/>
              <w:jc w:val="left"/>
              <w:rPr>
                <w:b/>
                <w:sz w:val="22"/>
                <w:szCs w:val="22"/>
                <w:lang w:val="en-GB"/>
              </w:rPr>
            </w:pPr>
            <w:r w:rsidRPr="00F638AF">
              <w:rPr>
                <w:b/>
                <w:sz w:val="22"/>
                <w:szCs w:val="22"/>
                <w:lang w:val="en-GB"/>
              </w:rPr>
              <w:t>ORR, %</w:t>
            </w:r>
          </w:p>
        </w:tc>
        <w:tc>
          <w:tcPr>
            <w:tcW w:w="1276" w:type="dxa"/>
            <w:vAlign w:val="center"/>
          </w:tcPr>
          <w:p w14:paraId="7C331573" w14:textId="77777777" w:rsidR="008F369D" w:rsidRPr="00F638AF" w:rsidRDefault="00016F29" w:rsidP="008919D7">
            <w:pPr>
              <w:pStyle w:val="TextTi12"/>
              <w:keepNext/>
              <w:keepLines/>
              <w:jc w:val="left"/>
              <w:rPr>
                <w:b/>
                <w:sz w:val="22"/>
                <w:szCs w:val="22"/>
                <w:lang w:val="en-GB"/>
              </w:rPr>
            </w:pPr>
            <w:r w:rsidRPr="00F638AF">
              <w:rPr>
                <w:b/>
                <w:sz w:val="22"/>
                <w:szCs w:val="22"/>
                <w:lang w:val="en-GB"/>
              </w:rPr>
              <w:t>CR,</w:t>
            </w:r>
            <w:r w:rsidRPr="00F638AF">
              <w:rPr>
                <w:b/>
                <w:sz w:val="22"/>
                <w:szCs w:val="22"/>
                <w:lang w:val="en-GB"/>
              </w:rPr>
              <w:br/>
              <w:t>%</w:t>
            </w:r>
          </w:p>
        </w:tc>
        <w:tc>
          <w:tcPr>
            <w:tcW w:w="1898" w:type="dxa"/>
            <w:vAlign w:val="center"/>
          </w:tcPr>
          <w:p w14:paraId="7C331574" w14:textId="77777777" w:rsidR="008F369D" w:rsidRPr="00F638AF" w:rsidRDefault="00016F29" w:rsidP="008919D7">
            <w:pPr>
              <w:pStyle w:val="TextTi12"/>
              <w:keepNext/>
              <w:keepLines/>
              <w:jc w:val="left"/>
              <w:rPr>
                <w:b/>
                <w:sz w:val="22"/>
                <w:szCs w:val="22"/>
                <w:lang w:val="en-GB"/>
              </w:rPr>
            </w:pPr>
            <w:r w:rsidRPr="00F638AF">
              <w:rPr>
                <w:b/>
                <w:sz w:val="22"/>
                <w:szCs w:val="22"/>
                <w:lang w:val="en-GB"/>
              </w:rPr>
              <w:t>Median TTF/PFS/ EFS</w:t>
            </w:r>
            <w:r w:rsidR="00147733">
              <w:rPr>
                <w:b/>
                <w:sz w:val="22"/>
                <w:szCs w:val="22"/>
                <w:lang w:val="en-GB"/>
              </w:rPr>
              <w:t xml:space="preserve">, </w:t>
            </w:r>
            <w:r w:rsidR="007830E0" w:rsidRPr="00964018">
              <w:rPr>
                <w:b/>
                <w:sz w:val="22"/>
                <w:szCs w:val="22"/>
                <w:lang w:val="en-GB"/>
              </w:rPr>
              <w:t xml:space="preserve"> mo</w:t>
            </w:r>
            <w:r w:rsidR="00147733">
              <w:rPr>
                <w:b/>
                <w:sz w:val="22"/>
                <w:szCs w:val="22"/>
                <w:lang w:val="en-GB"/>
              </w:rPr>
              <w:t>nths</w:t>
            </w:r>
          </w:p>
        </w:tc>
        <w:tc>
          <w:tcPr>
            <w:tcW w:w="1079" w:type="dxa"/>
            <w:vAlign w:val="center"/>
          </w:tcPr>
          <w:p w14:paraId="7C331575" w14:textId="77777777" w:rsidR="008F369D" w:rsidRPr="00F638AF" w:rsidRDefault="00016F29" w:rsidP="008919D7">
            <w:pPr>
              <w:pStyle w:val="TextTi12"/>
              <w:keepNext/>
              <w:keepLines/>
              <w:jc w:val="left"/>
              <w:rPr>
                <w:b/>
                <w:sz w:val="22"/>
                <w:szCs w:val="22"/>
                <w:lang w:val="en-GB"/>
              </w:rPr>
            </w:pPr>
            <w:r w:rsidRPr="00F638AF">
              <w:rPr>
                <w:b/>
                <w:sz w:val="22"/>
                <w:szCs w:val="22"/>
                <w:lang w:val="en-GB"/>
              </w:rPr>
              <w:t>OS rates,</w:t>
            </w:r>
            <w:r w:rsidRPr="00F638AF">
              <w:rPr>
                <w:b/>
                <w:sz w:val="22"/>
                <w:szCs w:val="22"/>
                <w:lang w:val="en-GB"/>
              </w:rPr>
              <w:br/>
              <w:t>%</w:t>
            </w:r>
          </w:p>
        </w:tc>
      </w:tr>
      <w:tr w:rsidR="003A788B" w14:paraId="7C331587" w14:textId="77777777" w:rsidTr="008919D7">
        <w:tc>
          <w:tcPr>
            <w:tcW w:w="1326" w:type="dxa"/>
            <w:vAlign w:val="center"/>
          </w:tcPr>
          <w:p w14:paraId="7C331577" w14:textId="77777777" w:rsidR="008F369D" w:rsidRPr="00F638AF" w:rsidRDefault="00016F29" w:rsidP="008919D7">
            <w:pPr>
              <w:pStyle w:val="TextTi12"/>
              <w:keepNext/>
              <w:keepLines/>
              <w:jc w:val="left"/>
              <w:rPr>
                <w:sz w:val="20"/>
                <w:lang w:val="en-GB"/>
              </w:rPr>
            </w:pPr>
            <w:r w:rsidRPr="00F638AF">
              <w:rPr>
                <w:b/>
                <w:bCs/>
                <w:sz w:val="20"/>
                <w:lang w:val="en-GB"/>
              </w:rPr>
              <w:t>M39021</w:t>
            </w:r>
          </w:p>
        </w:tc>
        <w:tc>
          <w:tcPr>
            <w:tcW w:w="1326" w:type="dxa"/>
            <w:vAlign w:val="center"/>
          </w:tcPr>
          <w:p w14:paraId="7C331578" w14:textId="77777777" w:rsidR="008F369D" w:rsidRPr="00F638AF" w:rsidRDefault="00016F29" w:rsidP="008919D7">
            <w:pPr>
              <w:keepNext/>
              <w:keepLines/>
              <w:rPr>
                <w:sz w:val="20"/>
                <w:lang w:val="en-GB"/>
              </w:rPr>
            </w:pPr>
            <w:r w:rsidRPr="00F638AF">
              <w:rPr>
                <w:sz w:val="20"/>
                <w:lang w:val="en-GB"/>
              </w:rPr>
              <w:t>CVP, 159</w:t>
            </w:r>
          </w:p>
          <w:p w14:paraId="7C331579" w14:textId="77777777" w:rsidR="008F369D" w:rsidRPr="00F638AF" w:rsidRDefault="00016F29" w:rsidP="008919D7">
            <w:pPr>
              <w:pStyle w:val="TextTi12"/>
              <w:keepNext/>
              <w:keepLines/>
              <w:jc w:val="left"/>
              <w:rPr>
                <w:sz w:val="20"/>
                <w:lang w:val="en-GB"/>
              </w:rPr>
            </w:pPr>
            <w:r w:rsidRPr="00F638AF">
              <w:rPr>
                <w:sz w:val="20"/>
                <w:lang w:val="en-GB"/>
              </w:rPr>
              <w:t>R</w:t>
            </w:r>
            <w:r w:rsidR="000A6DDA" w:rsidRPr="00F638AF">
              <w:rPr>
                <w:sz w:val="20"/>
                <w:lang w:val="en-GB"/>
              </w:rPr>
              <w:noBreakHyphen/>
            </w:r>
            <w:r w:rsidRPr="00F638AF">
              <w:rPr>
                <w:sz w:val="20"/>
                <w:lang w:val="en-GB"/>
              </w:rPr>
              <w:t>CVP, 162</w:t>
            </w:r>
          </w:p>
        </w:tc>
        <w:tc>
          <w:tcPr>
            <w:tcW w:w="1000" w:type="dxa"/>
            <w:vAlign w:val="center"/>
          </w:tcPr>
          <w:p w14:paraId="7C33157A" w14:textId="77777777" w:rsidR="008F369D" w:rsidRPr="00F638AF" w:rsidRDefault="00016F29" w:rsidP="008919D7">
            <w:pPr>
              <w:pStyle w:val="TextTi12"/>
              <w:keepNext/>
              <w:keepLines/>
              <w:jc w:val="center"/>
              <w:rPr>
                <w:sz w:val="20"/>
                <w:lang w:val="en-GB"/>
              </w:rPr>
            </w:pPr>
            <w:r w:rsidRPr="00F638AF">
              <w:rPr>
                <w:sz w:val="20"/>
                <w:lang w:val="en-GB"/>
              </w:rPr>
              <w:t>53</w:t>
            </w:r>
          </w:p>
        </w:tc>
        <w:tc>
          <w:tcPr>
            <w:tcW w:w="1134" w:type="dxa"/>
            <w:vAlign w:val="center"/>
          </w:tcPr>
          <w:p w14:paraId="7C33157B" w14:textId="77777777" w:rsidR="008F369D" w:rsidRPr="00F638AF" w:rsidRDefault="00016F29" w:rsidP="008919D7">
            <w:pPr>
              <w:keepNext/>
              <w:keepLines/>
              <w:jc w:val="center"/>
              <w:rPr>
                <w:sz w:val="20"/>
                <w:lang w:val="en-GB"/>
              </w:rPr>
            </w:pPr>
            <w:r w:rsidRPr="00F638AF">
              <w:rPr>
                <w:sz w:val="20"/>
                <w:lang w:val="en-GB"/>
              </w:rPr>
              <w:t>57</w:t>
            </w:r>
          </w:p>
          <w:p w14:paraId="7C33157C" w14:textId="77777777" w:rsidR="008F369D" w:rsidRPr="00F638AF" w:rsidRDefault="00016F29" w:rsidP="008919D7">
            <w:pPr>
              <w:pStyle w:val="TextTi12"/>
              <w:keepNext/>
              <w:keepLines/>
              <w:jc w:val="center"/>
              <w:rPr>
                <w:sz w:val="20"/>
                <w:lang w:val="en-GB"/>
              </w:rPr>
            </w:pPr>
            <w:r w:rsidRPr="00F638AF">
              <w:rPr>
                <w:sz w:val="20"/>
                <w:lang w:val="en-GB"/>
              </w:rPr>
              <w:t>81</w:t>
            </w:r>
          </w:p>
        </w:tc>
        <w:tc>
          <w:tcPr>
            <w:tcW w:w="1276" w:type="dxa"/>
            <w:vAlign w:val="center"/>
          </w:tcPr>
          <w:p w14:paraId="7C33157D" w14:textId="77777777" w:rsidR="008F369D" w:rsidRPr="00F638AF" w:rsidRDefault="00016F29" w:rsidP="008919D7">
            <w:pPr>
              <w:keepNext/>
              <w:keepLines/>
              <w:jc w:val="center"/>
              <w:rPr>
                <w:sz w:val="20"/>
                <w:lang w:val="en-GB"/>
              </w:rPr>
            </w:pPr>
            <w:r w:rsidRPr="00F638AF">
              <w:rPr>
                <w:sz w:val="20"/>
                <w:lang w:val="en-GB"/>
              </w:rPr>
              <w:t>10</w:t>
            </w:r>
          </w:p>
          <w:p w14:paraId="7C33157E" w14:textId="77777777" w:rsidR="008F369D" w:rsidRPr="00F638AF" w:rsidRDefault="00016F29" w:rsidP="008919D7">
            <w:pPr>
              <w:pStyle w:val="TextTi12"/>
              <w:keepNext/>
              <w:keepLines/>
              <w:jc w:val="center"/>
              <w:rPr>
                <w:sz w:val="20"/>
                <w:lang w:val="en-GB"/>
              </w:rPr>
            </w:pPr>
            <w:r w:rsidRPr="00F638AF">
              <w:rPr>
                <w:sz w:val="20"/>
                <w:lang w:val="en-GB"/>
              </w:rPr>
              <w:t>41</w:t>
            </w:r>
          </w:p>
        </w:tc>
        <w:tc>
          <w:tcPr>
            <w:tcW w:w="1898" w:type="dxa"/>
            <w:vAlign w:val="center"/>
          </w:tcPr>
          <w:p w14:paraId="7C33157F" w14:textId="77777777" w:rsidR="008F369D" w:rsidRPr="00F638AF" w:rsidRDefault="00016F29" w:rsidP="008919D7">
            <w:pPr>
              <w:keepNext/>
              <w:keepLines/>
              <w:jc w:val="center"/>
              <w:rPr>
                <w:sz w:val="20"/>
                <w:lang w:val="en-GB"/>
              </w:rPr>
            </w:pPr>
            <w:r w:rsidRPr="00F638AF">
              <w:rPr>
                <w:sz w:val="20"/>
                <w:lang w:val="en-GB"/>
              </w:rPr>
              <w:t>Median TTP:</w:t>
            </w:r>
          </w:p>
          <w:p w14:paraId="7C331580" w14:textId="77777777" w:rsidR="008F369D" w:rsidRPr="00F638AF" w:rsidRDefault="00016F29" w:rsidP="008919D7">
            <w:pPr>
              <w:keepNext/>
              <w:keepLines/>
              <w:jc w:val="center"/>
              <w:rPr>
                <w:sz w:val="20"/>
                <w:lang w:val="en-GB"/>
              </w:rPr>
            </w:pPr>
            <w:r w:rsidRPr="00F638AF">
              <w:rPr>
                <w:sz w:val="20"/>
                <w:lang w:val="en-GB"/>
              </w:rPr>
              <w:t>14.7</w:t>
            </w:r>
          </w:p>
          <w:p w14:paraId="7C331581" w14:textId="77777777" w:rsidR="008F369D" w:rsidRPr="00F638AF" w:rsidRDefault="00016F29" w:rsidP="008919D7">
            <w:pPr>
              <w:keepNext/>
              <w:keepLines/>
              <w:jc w:val="center"/>
              <w:rPr>
                <w:sz w:val="20"/>
                <w:lang w:val="en-GB"/>
              </w:rPr>
            </w:pPr>
            <w:r w:rsidRPr="00F638AF">
              <w:rPr>
                <w:sz w:val="20"/>
                <w:lang w:val="en-GB"/>
              </w:rPr>
              <w:t>33.6</w:t>
            </w:r>
          </w:p>
          <w:p w14:paraId="7C331582" w14:textId="77777777" w:rsidR="008F369D" w:rsidRPr="00F638AF" w:rsidRDefault="00016F29" w:rsidP="008919D7">
            <w:pPr>
              <w:pStyle w:val="TextTi12"/>
              <w:keepNext/>
              <w:keepLines/>
              <w:jc w:val="center"/>
              <w:rPr>
                <w:sz w:val="20"/>
                <w:lang w:val="en-GB"/>
              </w:rPr>
            </w:pPr>
            <w:r w:rsidRPr="00F638AF">
              <w:rPr>
                <w:sz w:val="20"/>
                <w:lang w:val="en-GB"/>
              </w:rPr>
              <w:t>P&lt;0.0001</w:t>
            </w:r>
          </w:p>
        </w:tc>
        <w:tc>
          <w:tcPr>
            <w:tcW w:w="1079" w:type="dxa"/>
            <w:vAlign w:val="center"/>
          </w:tcPr>
          <w:p w14:paraId="7C331583" w14:textId="77777777" w:rsidR="008F369D" w:rsidRPr="00F638AF" w:rsidRDefault="00016F29" w:rsidP="008919D7">
            <w:pPr>
              <w:keepNext/>
              <w:keepLines/>
              <w:jc w:val="center"/>
              <w:rPr>
                <w:sz w:val="20"/>
                <w:lang w:val="en-GB"/>
              </w:rPr>
            </w:pPr>
            <w:r w:rsidRPr="00F638AF">
              <w:rPr>
                <w:sz w:val="20"/>
                <w:lang w:val="en-GB"/>
              </w:rPr>
              <w:t>53</w:t>
            </w:r>
            <w:r w:rsidR="000A6DDA" w:rsidRPr="00F638AF">
              <w:rPr>
                <w:sz w:val="20"/>
                <w:lang w:val="en-GB"/>
              </w:rPr>
              <w:noBreakHyphen/>
            </w:r>
            <w:r w:rsidRPr="00F638AF">
              <w:rPr>
                <w:sz w:val="20"/>
                <w:lang w:val="en-GB"/>
              </w:rPr>
              <w:t xml:space="preserve">months </w:t>
            </w:r>
          </w:p>
          <w:p w14:paraId="7C331584" w14:textId="77777777" w:rsidR="008F369D" w:rsidRPr="00F638AF" w:rsidRDefault="00016F29" w:rsidP="008919D7">
            <w:pPr>
              <w:keepNext/>
              <w:keepLines/>
              <w:jc w:val="center"/>
              <w:rPr>
                <w:sz w:val="20"/>
                <w:lang w:val="en-GB"/>
              </w:rPr>
            </w:pPr>
            <w:r w:rsidRPr="00F638AF">
              <w:rPr>
                <w:sz w:val="20"/>
                <w:lang w:val="en-GB"/>
              </w:rPr>
              <w:t>71.1</w:t>
            </w:r>
          </w:p>
          <w:p w14:paraId="7C331585" w14:textId="77777777" w:rsidR="008F369D" w:rsidRPr="00F638AF" w:rsidRDefault="00016F29" w:rsidP="008919D7">
            <w:pPr>
              <w:keepNext/>
              <w:keepLines/>
              <w:jc w:val="center"/>
              <w:rPr>
                <w:sz w:val="20"/>
                <w:lang w:val="en-GB"/>
              </w:rPr>
            </w:pPr>
            <w:r w:rsidRPr="00F638AF">
              <w:rPr>
                <w:sz w:val="20"/>
                <w:lang w:val="en-GB"/>
              </w:rPr>
              <w:t>80.9</w:t>
            </w:r>
          </w:p>
          <w:p w14:paraId="7C331586" w14:textId="77777777" w:rsidR="008F369D" w:rsidRPr="00F638AF" w:rsidRDefault="00016F29" w:rsidP="008919D7">
            <w:pPr>
              <w:pStyle w:val="TextTi12"/>
              <w:keepNext/>
              <w:keepLines/>
              <w:jc w:val="left"/>
              <w:rPr>
                <w:sz w:val="20"/>
                <w:lang w:val="en-GB"/>
              </w:rPr>
            </w:pPr>
            <w:r w:rsidRPr="00F638AF">
              <w:rPr>
                <w:sz w:val="20"/>
                <w:lang w:val="en-GB"/>
              </w:rPr>
              <w:t>p=0.029</w:t>
            </w:r>
          </w:p>
        </w:tc>
      </w:tr>
      <w:tr w:rsidR="003A788B" w14:paraId="7C331591" w14:textId="77777777" w:rsidTr="008919D7">
        <w:tc>
          <w:tcPr>
            <w:tcW w:w="1326" w:type="dxa"/>
            <w:vAlign w:val="center"/>
          </w:tcPr>
          <w:p w14:paraId="7C331588" w14:textId="77777777" w:rsidR="008F369D" w:rsidRPr="00F638AF" w:rsidRDefault="00016F29" w:rsidP="008919D7">
            <w:pPr>
              <w:pStyle w:val="TextTi12"/>
              <w:keepNext/>
              <w:keepLines/>
              <w:jc w:val="left"/>
              <w:rPr>
                <w:sz w:val="20"/>
                <w:lang w:val="en-GB"/>
              </w:rPr>
            </w:pPr>
            <w:r w:rsidRPr="00F638AF">
              <w:rPr>
                <w:b/>
                <w:bCs/>
                <w:sz w:val="20"/>
                <w:lang w:val="en-GB"/>
              </w:rPr>
              <w:t>GLSG’00</w:t>
            </w:r>
          </w:p>
        </w:tc>
        <w:tc>
          <w:tcPr>
            <w:tcW w:w="1326" w:type="dxa"/>
            <w:vAlign w:val="center"/>
          </w:tcPr>
          <w:p w14:paraId="7C331589" w14:textId="77777777" w:rsidR="008F369D" w:rsidRPr="00F638AF" w:rsidRDefault="00016F29" w:rsidP="008919D7">
            <w:pPr>
              <w:pStyle w:val="TextTi12"/>
              <w:keepNext/>
              <w:keepLines/>
              <w:jc w:val="left"/>
              <w:rPr>
                <w:sz w:val="20"/>
                <w:lang w:val="en-GB"/>
              </w:rPr>
            </w:pPr>
            <w:r w:rsidRPr="00F638AF">
              <w:rPr>
                <w:sz w:val="20"/>
                <w:lang w:val="en-GB"/>
              </w:rPr>
              <w:t>CHOP, 205</w:t>
            </w:r>
            <w:r w:rsidRPr="00F638AF">
              <w:rPr>
                <w:sz w:val="20"/>
                <w:lang w:val="en-GB"/>
              </w:rPr>
              <w:br/>
              <w:t>R</w:t>
            </w:r>
            <w:r w:rsidR="000A6DDA" w:rsidRPr="00F638AF">
              <w:rPr>
                <w:sz w:val="20"/>
                <w:lang w:val="en-GB"/>
              </w:rPr>
              <w:noBreakHyphen/>
            </w:r>
            <w:r w:rsidRPr="00F638AF">
              <w:rPr>
                <w:sz w:val="20"/>
                <w:lang w:val="en-GB"/>
              </w:rPr>
              <w:t>CHOP, 223</w:t>
            </w:r>
          </w:p>
        </w:tc>
        <w:tc>
          <w:tcPr>
            <w:tcW w:w="1000" w:type="dxa"/>
            <w:vAlign w:val="center"/>
          </w:tcPr>
          <w:p w14:paraId="7C33158A" w14:textId="77777777" w:rsidR="008F369D" w:rsidRPr="00F638AF" w:rsidRDefault="00016F29" w:rsidP="008919D7">
            <w:pPr>
              <w:pStyle w:val="TextTi12"/>
              <w:keepNext/>
              <w:keepLines/>
              <w:jc w:val="center"/>
              <w:rPr>
                <w:sz w:val="20"/>
                <w:lang w:val="en-GB"/>
              </w:rPr>
            </w:pPr>
            <w:r w:rsidRPr="00F638AF">
              <w:rPr>
                <w:sz w:val="20"/>
                <w:lang w:val="en-GB"/>
              </w:rPr>
              <w:t>18</w:t>
            </w:r>
          </w:p>
        </w:tc>
        <w:tc>
          <w:tcPr>
            <w:tcW w:w="1134" w:type="dxa"/>
            <w:vAlign w:val="center"/>
          </w:tcPr>
          <w:p w14:paraId="7C33158B" w14:textId="77777777" w:rsidR="008F369D" w:rsidRPr="00F638AF" w:rsidRDefault="00016F29" w:rsidP="008919D7">
            <w:pPr>
              <w:pStyle w:val="TextTi12"/>
              <w:keepNext/>
              <w:keepLines/>
              <w:jc w:val="center"/>
              <w:rPr>
                <w:sz w:val="20"/>
                <w:lang w:val="en-GB"/>
              </w:rPr>
            </w:pPr>
            <w:r w:rsidRPr="00F638AF">
              <w:rPr>
                <w:sz w:val="20"/>
                <w:lang w:val="en-GB"/>
              </w:rPr>
              <w:t>90</w:t>
            </w:r>
            <w:r w:rsidRPr="00F638AF">
              <w:rPr>
                <w:sz w:val="20"/>
                <w:lang w:val="en-GB"/>
              </w:rPr>
              <w:br/>
              <w:t>96</w:t>
            </w:r>
          </w:p>
        </w:tc>
        <w:tc>
          <w:tcPr>
            <w:tcW w:w="1276" w:type="dxa"/>
            <w:vAlign w:val="center"/>
          </w:tcPr>
          <w:p w14:paraId="7C33158C" w14:textId="77777777" w:rsidR="008F369D" w:rsidRPr="00F638AF" w:rsidRDefault="00016F29" w:rsidP="008919D7">
            <w:pPr>
              <w:pStyle w:val="TextTi12"/>
              <w:keepNext/>
              <w:keepLines/>
              <w:jc w:val="center"/>
              <w:rPr>
                <w:sz w:val="20"/>
                <w:lang w:val="en-GB"/>
              </w:rPr>
            </w:pPr>
            <w:r w:rsidRPr="00F638AF">
              <w:rPr>
                <w:sz w:val="20"/>
                <w:lang w:val="en-GB"/>
              </w:rPr>
              <w:t>17</w:t>
            </w:r>
            <w:r w:rsidRPr="00F638AF">
              <w:rPr>
                <w:sz w:val="20"/>
                <w:lang w:val="en-GB"/>
              </w:rPr>
              <w:br/>
              <w:t>20</w:t>
            </w:r>
          </w:p>
        </w:tc>
        <w:tc>
          <w:tcPr>
            <w:tcW w:w="1898" w:type="dxa"/>
            <w:vAlign w:val="center"/>
          </w:tcPr>
          <w:p w14:paraId="7C33158D" w14:textId="77777777" w:rsidR="008F369D" w:rsidRPr="00F638AF" w:rsidRDefault="00016F29" w:rsidP="008919D7">
            <w:pPr>
              <w:keepNext/>
              <w:keepLines/>
              <w:jc w:val="center"/>
              <w:rPr>
                <w:sz w:val="20"/>
                <w:lang w:val="en-GB"/>
              </w:rPr>
            </w:pPr>
            <w:r w:rsidRPr="00F638AF">
              <w:rPr>
                <w:sz w:val="20"/>
                <w:lang w:val="en-GB"/>
              </w:rPr>
              <w:t>Median TTF: 2.6 years</w:t>
            </w:r>
          </w:p>
          <w:p w14:paraId="7C33158E" w14:textId="77777777" w:rsidR="008F369D" w:rsidRPr="00F638AF" w:rsidRDefault="00016F29" w:rsidP="008919D7">
            <w:pPr>
              <w:pStyle w:val="TextTi12"/>
              <w:keepNext/>
              <w:keepLines/>
              <w:jc w:val="center"/>
              <w:rPr>
                <w:sz w:val="20"/>
                <w:lang w:val="en-GB"/>
              </w:rPr>
            </w:pPr>
            <w:r w:rsidRPr="00F638AF">
              <w:rPr>
                <w:sz w:val="20"/>
                <w:lang w:val="en-GB"/>
              </w:rPr>
              <w:t>Not reached</w:t>
            </w:r>
            <w:r w:rsidRPr="00F638AF">
              <w:rPr>
                <w:sz w:val="20"/>
                <w:lang w:val="en-GB"/>
              </w:rPr>
              <w:br/>
              <w:t>p &lt; 0.001</w:t>
            </w:r>
          </w:p>
        </w:tc>
        <w:tc>
          <w:tcPr>
            <w:tcW w:w="1079" w:type="dxa"/>
            <w:vAlign w:val="center"/>
          </w:tcPr>
          <w:p w14:paraId="7C33158F" w14:textId="77777777" w:rsidR="008F369D" w:rsidRPr="00F638AF" w:rsidRDefault="00016F29" w:rsidP="008919D7">
            <w:pPr>
              <w:keepNext/>
              <w:keepLines/>
              <w:jc w:val="center"/>
              <w:rPr>
                <w:sz w:val="20"/>
                <w:lang w:val="en-GB"/>
              </w:rPr>
            </w:pPr>
            <w:r w:rsidRPr="00F638AF">
              <w:rPr>
                <w:sz w:val="20"/>
                <w:lang w:val="en-GB"/>
              </w:rPr>
              <w:t>18</w:t>
            </w:r>
            <w:r w:rsidR="000A6DDA" w:rsidRPr="00F638AF">
              <w:rPr>
                <w:sz w:val="20"/>
                <w:lang w:val="en-GB"/>
              </w:rPr>
              <w:noBreakHyphen/>
            </w:r>
            <w:r w:rsidRPr="00F638AF">
              <w:rPr>
                <w:sz w:val="20"/>
                <w:lang w:val="en-GB"/>
              </w:rPr>
              <w:t>months</w:t>
            </w:r>
          </w:p>
          <w:p w14:paraId="7C331590" w14:textId="77777777" w:rsidR="008F369D" w:rsidRPr="00F638AF" w:rsidRDefault="00016F29" w:rsidP="008919D7">
            <w:pPr>
              <w:pStyle w:val="TextTi12"/>
              <w:keepNext/>
              <w:keepLines/>
              <w:jc w:val="center"/>
              <w:rPr>
                <w:sz w:val="20"/>
                <w:lang w:val="en-GB"/>
              </w:rPr>
            </w:pPr>
            <w:r w:rsidRPr="00F638AF">
              <w:rPr>
                <w:sz w:val="20"/>
                <w:lang w:val="en-GB"/>
              </w:rPr>
              <w:t>90</w:t>
            </w:r>
            <w:r w:rsidRPr="00F638AF">
              <w:rPr>
                <w:sz w:val="20"/>
                <w:lang w:val="en-GB"/>
              </w:rPr>
              <w:br/>
              <w:t>95</w:t>
            </w:r>
            <w:r w:rsidRPr="00F638AF">
              <w:rPr>
                <w:sz w:val="20"/>
                <w:lang w:val="en-GB"/>
              </w:rPr>
              <w:br/>
              <w:t>p = 0.016</w:t>
            </w:r>
          </w:p>
        </w:tc>
      </w:tr>
      <w:tr w:rsidR="003A788B" w14:paraId="7C33159B" w14:textId="77777777" w:rsidTr="008919D7">
        <w:tc>
          <w:tcPr>
            <w:tcW w:w="1326" w:type="dxa"/>
            <w:vAlign w:val="center"/>
          </w:tcPr>
          <w:p w14:paraId="7C331592" w14:textId="77777777" w:rsidR="008F369D" w:rsidRPr="00F638AF" w:rsidRDefault="00016F29" w:rsidP="008919D7">
            <w:pPr>
              <w:pStyle w:val="TextTi12"/>
              <w:keepNext/>
              <w:keepLines/>
              <w:jc w:val="left"/>
              <w:rPr>
                <w:sz w:val="20"/>
                <w:lang w:val="en-GB"/>
              </w:rPr>
            </w:pPr>
            <w:r w:rsidRPr="00F638AF">
              <w:rPr>
                <w:b/>
                <w:bCs/>
                <w:sz w:val="20"/>
                <w:lang w:val="en-GB"/>
              </w:rPr>
              <w:t>OSHO</w:t>
            </w:r>
            <w:r w:rsidR="000A6DDA" w:rsidRPr="00F638AF">
              <w:rPr>
                <w:rFonts w:ascii="Cambria Math" w:hAnsi="Cambria Math" w:cs="Cambria Math"/>
                <w:b/>
                <w:bCs/>
                <w:sz w:val="20"/>
                <w:lang w:val="en-GB"/>
              </w:rPr>
              <w:noBreakHyphen/>
            </w:r>
            <w:r w:rsidRPr="00F638AF">
              <w:rPr>
                <w:b/>
                <w:bCs/>
                <w:sz w:val="20"/>
                <w:lang w:val="en-GB"/>
              </w:rPr>
              <w:t>39</w:t>
            </w:r>
          </w:p>
        </w:tc>
        <w:tc>
          <w:tcPr>
            <w:tcW w:w="1326" w:type="dxa"/>
            <w:vAlign w:val="center"/>
          </w:tcPr>
          <w:p w14:paraId="7C331593" w14:textId="77777777" w:rsidR="008F369D" w:rsidRPr="00F638AF" w:rsidRDefault="00016F29" w:rsidP="008919D7">
            <w:pPr>
              <w:pStyle w:val="TextTi12"/>
              <w:keepNext/>
              <w:keepLines/>
              <w:jc w:val="left"/>
              <w:rPr>
                <w:sz w:val="20"/>
                <w:lang w:val="en-GB"/>
              </w:rPr>
            </w:pPr>
            <w:r w:rsidRPr="00F638AF">
              <w:rPr>
                <w:sz w:val="20"/>
                <w:lang w:val="en-GB"/>
              </w:rPr>
              <w:t>MCP, 96</w:t>
            </w:r>
            <w:r w:rsidRPr="00F638AF">
              <w:rPr>
                <w:sz w:val="20"/>
                <w:lang w:val="en-GB"/>
              </w:rPr>
              <w:br/>
              <w:t>R</w:t>
            </w:r>
            <w:r w:rsidR="000A6DDA" w:rsidRPr="00F638AF">
              <w:rPr>
                <w:sz w:val="20"/>
                <w:lang w:val="en-GB"/>
              </w:rPr>
              <w:noBreakHyphen/>
            </w:r>
            <w:r w:rsidRPr="00F638AF">
              <w:rPr>
                <w:sz w:val="20"/>
                <w:lang w:val="en-GB"/>
              </w:rPr>
              <w:t>MCP, 105</w:t>
            </w:r>
          </w:p>
        </w:tc>
        <w:tc>
          <w:tcPr>
            <w:tcW w:w="1000" w:type="dxa"/>
            <w:vAlign w:val="center"/>
          </w:tcPr>
          <w:p w14:paraId="7C331594" w14:textId="77777777" w:rsidR="008F369D" w:rsidRPr="00F638AF" w:rsidRDefault="00016F29" w:rsidP="008919D7">
            <w:pPr>
              <w:pStyle w:val="TextTi12"/>
              <w:keepNext/>
              <w:keepLines/>
              <w:jc w:val="center"/>
              <w:rPr>
                <w:sz w:val="20"/>
                <w:lang w:val="en-GB"/>
              </w:rPr>
            </w:pPr>
            <w:r w:rsidRPr="00F638AF">
              <w:rPr>
                <w:sz w:val="20"/>
                <w:lang w:val="en-GB"/>
              </w:rPr>
              <w:t>47</w:t>
            </w:r>
          </w:p>
        </w:tc>
        <w:tc>
          <w:tcPr>
            <w:tcW w:w="1134" w:type="dxa"/>
            <w:vAlign w:val="center"/>
          </w:tcPr>
          <w:p w14:paraId="7C331595" w14:textId="77777777" w:rsidR="008F369D" w:rsidRPr="00F638AF" w:rsidRDefault="00016F29" w:rsidP="008919D7">
            <w:pPr>
              <w:pStyle w:val="TextTi12"/>
              <w:keepNext/>
              <w:keepLines/>
              <w:jc w:val="center"/>
              <w:rPr>
                <w:sz w:val="20"/>
                <w:lang w:val="en-GB"/>
              </w:rPr>
            </w:pPr>
            <w:r w:rsidRPr="00F638AF">
              <w:rPr>
                <w:sz w:val="20"/>
                <w:lang w:val="en-GB"/>
              </w:rPr>
              <w:t>75</w:t>
            </w:r>
            <w:r w:rsidRPr="00F638AF">
              <w:rPr>
                <w:sz w:val="20"/>
                <w:lang w:val="en-GB"/>
              </w:rPr>
              <w:br/>
              <w:t>92</w:t>
            </w:r>
          </w:p>
        </w:tc>
        <w:tc>
          <w:tcPr>
            <w:tcW w:w="1276" w:type="dxa"/>
            <w:vAlign w:val="center"/>
          </w:tcPr>
          <w:p w14:paraId="7C331596" w14:textId="77777777" w:rsidR="008F369D" w:rsidRPr="00F638AF" w:rsidRDefault="00016F29" w:rsidP="008919D7">
            <w:pPr>
              <w:pStyle w:val="TextTi12"/>
              <w:keepNext/>
              <w:keepLines/>
              <w:jc w:val="center"/>
              <w:rPr>
                <w:sz w:val="20"/>
                <w:lang w:val="en-GB"/>
              </w:rPr>
            </w:pPr>
            <w:r w:rsidRPr="00F638AF">
              <w:rPr>
                <w:sz w:val="20"/>
                <w:lang w:val="en-GB"/>
              </w:rPr>
              <w:t xml:space="preserve">25 </w:t>
            </w:r>
            <w:r w:rsidRPr="00F638AF">
              <w:rPr>
                <w:sz w:val="20"/>
                <w:lang w:val="en-GB"/>
              </w:rPr>
              <w:br/>
              <w:t>50</w:t>
            </w:r>
          </w:p>
        </w:tc>
        <w:tc>
          <w:tcPr>
            <w:tcW w:w="1898" w:type="dxa"/>
            <w:vAlign w:val="center"/>
          </w:tcPr>
          <w:p w14:paraId="7C331597" w14:textId="77777777" w:rsidR="008F369D" w:rsidRPr="00F638AF" w:rsidRDefault="00016F29" w:rsidP="008919D7">
            <w:pPr>
              <w:keepNext/>
              <w:keepLines/>
              <w:jc w:val="center"/>
              <w:rPr>
                <w:sz w:val="20"/>
                <w:lang w:val="en-GB"/>
              </w:rPr>
            </w:pPr>
            <w:r w:rsidRPr="00F638AF">
              <w:rPr>
                <w:sz w:val="20"/>
                <w:lang w:val="en-GB"/>
              </w:rPr>
              <w:t>Median PFS: 28.8</w:t>
            </w:r>
          </w:p>
          <w:p w14:paraId="7C331598" w14:textId="77777777" w:rsidR="008F369D" w:rsidRPr="00F638AF" w:rsidRDefault="00016F29" w:rsidP="008919D7">
            <w:pPr>
              <w:pStyle w:val="TextTi12"/>
              <w:keepNext/>
              <w:keepLines/>
              <w:jc w:val="center"/>
              <w:rPr>
                <w:sz w:val="20"/>
                <w:lang w:val="en-GB"/>
              </w:rPr>
            </w:pPr>
            <w:r w:rsidRPr="00F638AF">
              <w:rPr>
                <w:sz w:val="20"/>
                <w:lang w:val="en-GB"/>
              </w:rPr>
              <w:t>Not reached</w:t>
            </w:r>
            <w:r w:rsidRPr="00F638AF">
              <w:rPr>
                <w:sz w:val="20"/>
                <w:lang w:val="en-GB"/>
              </w:rPr>
              <w:br/>
              <w:t>p &lt; 0.0001</w:t>
            </w:r>
          </w:p>
        </w:tc>
        <w:tc>
          <w:tcPr>
            <w:tcW w:w="1079" w:type="dxa"/>
            <w:vAlign w:val="center"/>
          </w:tcPr>
          <w:p w14:paraId="7C331599" w14:textId="77777777" w:rsidR="008F369D" w:rsidRPr="00F638AF" w:rsidRDefault="00016F29" w:rsidP="008919D7">
            <w:pPr>
              <w:keepNext/>
              <w:keepLines/>
              <w:jc w:val="center"/>
              <w:rPr>
                <w:sz w:val="20"/>
                <w:lang w:val="en-GB"/>
              </w:rPr>
            </w:pPr>
            <w:r w:rsidRPr="00F638AF">
              <w:rPr>
                <w:sz w:val="20"/>
                <w:lang w:val="en-GB"/>
              </w:rPr>
              <w:t>48</w:t>
            </w:r>
            <w:r w:rsidR="000A6DDA" w:rsidRPr="00F638AF">
              <w:rPr>
                <w:sz w:val="20"/>
                <w:lang w:val="en-GB"/>
              </w:rPr>
              <w:noBreakHyphen/>
            </w:r>
            <w:r w:rsidRPr="00F638AF">
              <w:rPr>
                <w:sz w:val="20"/>
                <w:lang w:val="en-GB"/>
              </w:rPr>
              <w:t>months</w:t>
            </w:r>
          </w:p>
          <w:p w14:paraId="7C33159A" w14:textId="77777777" w:rsidR="008F369D" w:rsidRPr="00F638AF" w:rsidRDefault="00016F29" w:rsidP="008919D7">
            <w:pPr>
              <w:pStyle w:val="TextTi12"/>
              <w:keepNext/>
              <w:keepLines/>
              <w:jc w:val="center"/>
              <w:rPr>
                <w:sz w:val="20"/>
                <w:lang w:val="en-GB"/>
              </w:rPr>
            </w:pPr>
            <w:r w:rsidRPr="00F638AF">
              <w:rPr>
                <w:sz w:val="20"/>
                <w:lang w:val="en-GB"/>
              </w:rPr>
              <w:t xml:space="preserve">74 </w:t>
            </w:r>
            <w:r w:rsidRPr="00F638AF">
              <w:rPr>
                <w:sz w:val="20"/>
                <w:lang w:val="en-GB"/>
              </w:rPr>
              <w:br/>
              <w:t xml:space="preserve">87 </w:t>
            </w:r>
            <w:r w:rsidRPr="00F638AF">
              <w:rPr>
                <w:sz w:val="20"/>
                <w:lang w:val="en-GB"/>
              </w:rPr>
              <w:br/>
              <w:t>p = 0.0096</w:t>
            </w:r>
          </w:p>
        </w:tc>
      </w:tr>
      <w:tr w:rsidR="003A788B" w14:paraId="7C3315A5" w14:textId="77777777" w:rsidTr="008919D7">
        <w:tc>
          <w:tcPr>
            <w:tcW w:w="1326" w:type="dxa"/>
            <w:vAlign w:val="center"/>
          </w:tcPr>
          <w:p w14:paraId="7C33159C" w14:textId="77777777" w:rsidR="008F369D" w:rsidRPr="00F638AF" w:rsidRDefault="00016F29" w:rsidP="008919D7">
            <w:pPr>
              <w:pStyle w:val="TextTi12"/>
              <w:keepNext/>
              <w:keepLines/>
              <w:jc w:val="left"/>
              <w:rPr>
                <w:sz w:val="20"/>
                <w:lang w:val="en-GB"/>
              </w:rPr>
            </w:pPr>
            <w:r w:rsidRPr="00F638AF">
              <w:rPr>
                <w:b/>
                <w:bCs/>
                <w:sz w:val="20"/>
                <w:lang w:val="en-GB"/>
              </w:rPr>
              <w:t>FL2000</w:t>
            </w:r>
          </w:p>
        </w:tc>
        <w:tc>
          <w:tcPr>
            <w:tcW w:w="1326" w:type="dxa"/>
            <w:vAlign w:val="center"/>
          </w:tcPr>
          <w:p w14:paraId="7C33159D" w14:textId="77777777" w:rsidR="008F369D" w:rsidRPr="00F638AF" w:rsidRDefault="00016F29" w:rsidP="008919D7">
            <w:pPr>
              <w:pStyle w:val="TextTi12"/>
              <w:keepNext/>
              <w:keepLines/>
              <w:jc w:val="left"/>
              <w:rPr>
                <w:sz w:val="20"/>
                <w:lang w:val="en-GB"/>
              </w:rPr>
            </w:pPr>
            <w:r w:rsidRPr="00F638AF">
              <w:rPr>
                <w:sz w:val="20"/>
                <w:lang w:val="en-GB"/>
              </w:rPr>
              <w:t>CHVP</w:t>
            </w:r>
            <w:r w:rsidR="000A6DDA" w:rsidRPr="00F638AF">
              <w:rPr>
                <w:sz w:val="20"/>
                <w:lang w:val="en-GB"/>
              </w:rPr>
              <w:noBreakHyphen/>
            </w:r>
            <w:r w:rsidRPr="00F638AF">
              <w:rPr>
                <w:sz w:val="20"/>
                <w:lang w:val="en-GB"/>
              </w:rPr>
              <w:t>IFN, 183</w:t>
            </w:r>
            <w:r w:rsidRPr="00F638AF">
              <w:rPr>
                <w:sz w:val="20"/>
                <w:lang w:val="en-GB"/>
              </w:rPr>
              <w:br/>
              <w:t>R</w:t>
            </w:r>
            <w:r w:rsidR="000A6DDA" w:rsidRPr="00F638AF">
              <w:rPr>
                <w:sz w:val="20"/>
                <w:lang w:val="en-GB"/>
              </w:rPr>
              <w:noBreakHyphen/>
            </w:r>
            <w:r w:rsidRPr="00F638AF">
              <w:rPr>
                <w:sz w:val="20"/>
                <w:lang w:val="en-GB"/>
              </w:rPr>
              <w:t>CHVP</w:t>
            </w:r>
            <w:r w:rsidR="000A6DDA" w:rsidRPr="00F638AF">
              <w:rPr>
                <w:sz w:val="20"/>
                <w:lang w:val="en-GB"/>
              </w:rPr>
              <w:noBreakHyphen/>
            </w:r>
            <w:r w:rsidRPr="00F638AF">
              <w:rPr>
                <w:sz w:val="20"/>
                <w:lang w:val="en-GB"/>
              </w:rPr>
              <w:t>IFN, 175</w:t>
            </w:r>
          </w:p>
        </w:tc>
        <w:tc>
          <w:tcPr>
            <w:tcW w:w="1000" w:type="dxa"/>
            <w:vAlign w:val="center"/>
          </w:tcPr>
          <w:p w14:paraId="7C33159E" w14:textId="77777777" w:rsidR="008F369D" w:rsidRPr="00F638AF" w:rsidRDefault="00016F29" w:rsidP="008919D7">
            <w:pPr>
              <w:pStyle w:val="TextTi12"/>
              <w:keepNext/>
              <w:keepLines/>
              <w:jc w:val="center"/>
              <w:rPr>
                <w:sz w:val="20"/>
                <w:lang w:val="en-GB"/>
              </w:rPr>
            </w:pPr>
            <w:r w:rsidRPr="00F638AF">
              <w:rPr>
                <w:sz w:val="20"/>
                <w:lang w:val="en-GB"/>
              </w:rPr>
              <w:t>42</w:t>
            </w:r>
          </w:p>
        </w:tc>
        <w:tc>
          <w:tcPr>
            <w:tcW w:w="1134" w:type="dxa"/>
            <w:vAlign w:val="center"/>
          </w:tcPr>
          <w:p w14:paraId="7C33159F" w14:textId="77777777" w:rsidR="008F369D" w:rsidRPr="00F638AF" w:rsidRDefault="00016F29" w:rsidP="008919D7">
            <w:pPr>
              <w:pStyle w:val="TextTi12"/>
              <w:keepNext/>
              <w:keepLines/>
              <w:jc w:val="center"/>
              <w:rPr>
                <w:sz w:val="20"/>
                <w:lang w:val="en-GB"/>
              </w:rPr>
            </w:pPr>
            <w:r w:rsidRPr="00F638AF">
              <w:rPr>
                <w:sz w:val="20"/>
                <w:lang w:val="en-GB"/>
              </w:rPr>
              <w:t xml:space="preserve">85 </w:t>
            </w:r>
            <w:r w:rsidRPr="00F638AF">
              <w:rPr>
                <w:sz w:val="20"/>
                <w:lang w:val="en-GB"/>
              </w:rPr>
              <w:br/>
              <w:t>94</w:t>
            </w:r>
          </w:p>
        </w:tc>
        <w:tc>
          <w:tcPr>
            <w:tcW w:w="1276" w:type="dxa"/>
            <w:vAlign w:val="center"/>
          </w:tcPr>
          <w:p w14:paraId="7C3315A0" w14:textId="77777777" w:rsidR="008F369D" w:rsidRPr="00F638AF" w:rsidRDefault="00016F29" w:rsidP="008919D7">
            <w:pPr>
              <w:pStyle w:val="TextTi12"/>
              <w:keepNext/>
              <w:keepLines/>
              <w:jc w:val="center"/>
              <w:rPr>
                <w:sz w:val="20"/>
                <w:lang w:val="en-GB"/>
              </w:rPr>
            </w:pPr>
            <w:r w:rsidRPr="00F638AF">
              <w:rPr>
                <w:sz w:val="20"/>
                <w:lang w:val="en-GB"/>
              </w:rPr>
              <w:t>49</w:t>
            </w:r>
            <w:r w:rsidRPr="00F638AF">
              <w:rPr>
                <w:sz w:val="20"/>
                <w:lang w:val="en-GB"/>
              </w:rPr>
              <w:br/>
              <w:t>76</w:t>
            </w:r>
          </w:p>
        </w:tc>
        <w:tc>
          <w:tcPr>
            <w:tcW w:w="1898" w:type="dxa"/>
            <w:vAlign w:val="center"/>
          </w:tcPr>
          <w:p w14:paraId="7C3315A1" w14:textId="77777777" w:rsidR="008F369D" w:rsidRPr="00F638AF" w:rsidRDefault="00016F29" w:rsidP="008919D7">
            <w:pPr>
              <w:keepNext/>
              <w:keepLines/>
              <w:jc w:val="center"/>
              <w:rPr>
                <w:sz w:val="20"/>
                <w:lang w:val="en-GB"/>
              </w:rPr>
            </w:pPr>
            <w:r w:rsidRPr="00F638AF">
              <w:rPr>
                <w:sz w:val="20"/>
                <w:lang w:val="en-GB"/>
              </w:rPr>
              <w:t xml:space="preserve">Median EFS: 36 </w:t>
            </w:r>
            <w:r w:rsidRPr="00F638AF">
              <w:rPr>
                <w:sz w:val="20"/>
                <w:lang w:val="en-GB"/>
              </w:rPr>
              <w:br/>
              <w:t>Not reached</w:t>
            </w:r>
          </w:p>
          <w:p w14:paraId="7C3315A2" w14:textId="77777777" w:rsidR="008F369D" w:rsidRPr="00F638AF" w:rsidRDefault="00016F29" w:rsidP="008919D7">
            <w:pPr>
              <w:pStyle w:val="TextTi12"/>
              <w:keepNext/>
              <w:keepLines/>
              <w:jc w:val="center"/>
              <w:rPr>
                <w:sz w:val="20"/>
                <w:lang w:val="en-GB"/>
              </w:rPr>
            </w:pPr>
            <w:r w:rsidRPr="00F638AF">
              <w:rPr>
                <w:sz w:val="20"/>
                <w:lang w:val="en-GB"/>
              </w:rPr>
              <w:t>p &lt; 0.0001</w:t>
            </w:r>
          </w:p>
        </w:tc>
        <w:tc>
          <w:tcPr>
            <w:tcW w:w="1079" w:type="dxa"/>
            <w:vAlign w:val="center"/>
          </w:tcPr>
          <w:p w14:paraId="7C3315A3" w14:textId="77777777" w:rsidR="008F369D" w:rsidRPr="00F638AF" w:rsidRDefault="00016F29" w:rsidP="008919D7">
            <w:pPr>
              <w:keepNext/>
              <w:keepLines/>
              <w:jc w:val="center"/>
              <w:rPr>
                <w:sz w:val="20"/>
                <w:lang w:val="en-GB"/>
              </w:rPr>
            </w:pPr>
            <w:r w:rsidRPr="00F638AF">
              <w:rPr>
                <w:sz w:val="20"/>
                <w:lang w:val="en-GB"/>
              </w:rPr>
              <w:t>42</w:t>
            </w:r>
            <w:r w:rsidR="000A6DDA" w:rsidRPr="00F638AF">
              <w:rPr>
                <w:sz w:val="20"/>
                <w:lang w:val="en-GB"/>
              </w:rPr>
              <w:noBreakHyphen/>
            </w:r>
            <w:r w:rsidRPr="00F638AF">
              <w:rPr>
                <w:sz w:val="20"/>
                <w:lang w:val="en-GB"/>
              </w:rPr>
              <w:t>months</w:t>
            </w:r>
          </w:p>
          <w:p w14:paraId="7C3315A4" w14:textId="77777777" w:rsidR="008F369D" w:rsidRPr="00F638AF" w:rsidRDefault="00016F29" w:rsidP="008919D7">
            <w:pPr>
              <w:pStyle w:val="TextTi12"/>
              <w:keepNext/>
              <w:keepLines/>
              <w:jc w:val="center"/>
              <w:rPr>
                <w:sz w:val="20"/>
                <w:lang w:val="en-GB"/>
              </w:rPr>
            </w:pPr>
            <w:r w:rsidRPr="00F638AF">
              <w:rPr>
                <w:sz w:val="20"/>
                <w:lang w:val="en-GB"/>
              </w:rPr>
              <w:t xml:space="preserve">84 </w:t>
            </w:r>
            <w:r w:rsidRPr="00F638AF">
              <w:rPr>
                <w:sz w:val="20"/>
                <w:lang w:val="en-GB"/>
              </w:rPr>
              <w:br/>
              <w:t>91</w:t>
            </w:r>
            <w:r w:rsidRPr="00F638AF">
              <w:rPr>
                <w:sz w:val="20"/>
                <w:lang w:val="en-GB"/>
              </w:rPr>
              <w:br/>
              <w:t>p = 0.029</w:t>
            </w:r>
          </w:p>
        </w:tc>
      </w:tr>
    </w:tbl>
    <w:p w14:paraId="7C3315A6" w14:textId="77777777" w:rsidR="008F369D" w:rsidRPr="00F638AF" w:rsidRDefault="00016F29" w:rsidP="008F369D">
      <w:pPr>
        <w:keepNext/>
        <w:keepLines/>
        <w:outlineLvl w:val="0"/>
        <w:rPr>
          <w:sz w:val="18"/>
          <w:szCs w:val="18"/>
          <w:lang w:val="en-GB"/>
        </w:rPr>
      </w:pPr>
      <w:r w:rsidRPr="00F638AF">
        <w:rPr>
          <w:sz w:val="18"/>
          <w:szCs w:val="18"/>
          <w:lang w:val="en-GB"/>
        </w:rPr>
        <w:t>EFS – Event Free Survival</w:t>
      </w:r>
    </w:p>
    <w:p w14:paraId="7C3315A7" w14:textId="77777777" w:rsidR="008F369D" w:rsidRPr="00F638AF" w:rsidRDefault="00016F29" w:rsidP="008F369D">
      <w:pPr>
        <w:keepLines/>
        <w:rPr>
          <w:sz w:val="18"/>
          <w:szCs w:val="18"/>
          <w:lang w:val="en-GB"/>
        </w:rPr>
      </w:pPr>
      <w:r w:rsidRPr="00F638AF">
        <w:rPr>
          <w:sz w:val="18"/>
          <w:szCs w:val="18"/>
          <w:lang w:val="en-GB"/>
        </w:rPr>
        <w:t>TTP – Time to progression or death</w:t>
      </w:r>
      <w:r w:rsidRPr="00F638AF">
        <w:rPr>
          <w:sz w:val="18"/>
          <w:szCs w:val="18"/>
          <w:lang w:val="en-GB"/>
        </w:rPr>
        <w:br/>
        <w:t>PFS – Progression</w:t>
      </w:r>
      <w:r w:rsidR="000A6DDA" w:rsidRPr="00F638AF">
        <w:rPr>
          <w:sz w:val="18"/>
          <w:szCs w:val="18"/>
          <w:lang w:val="en-GB"/>
        </w:rPr>
        <w:noBreakHyphen/>
      </w:r>
      <w:r w:rsidRPr="00F638AF">
        <w:rPr>
          <w:sz w:val="18"/>
          <w:szCs w:val="18"/>
          <w:lang w:val="en-GB"/>
        </w:rPr>
        <w:t>Free Survival</w:t>
      </w:r>
      <w:r w:rsidRPr="00F638AF">
        <w:rPr>
          <w:sz w:val="18"/>
          <w:szCs w:val="18"/>
          <w:lang w:val="en-GB"/>
        </w:rPr>
        <w:br/>
        <w:t>TTF – Time to Treatment Failure</w:t>
      </w:r>
      <w:r w:rsidRPr="00F638AF">
        <w:rPr>
          <w:sz w:val="18"/>
          <w:szCs w:val="18"/>
          <w:lang w:val="en-GB"/>
        </w:rPr>
        <w:br/>
        <w:t>OS rates – survival rates at the time of the analyses</w:t>
      </w:r>
    </w:p>
    <w:p w14:paraId="7C3315A8" w14:textId="77777777" w:rsidR="008F369D" w:rsidRPr="00F638AF" w:rsidRDefault="008F369D" w:rsidP="008F369D">
      <w:pPr>
        <w:rPr>
          <w:szCs w:val="22"/>
          <w:lang w:val="en-GB"/>
        </w:rPr>
      </w:pPr>
    </w:p>
    <w:p w14:paraId="7C3315A9" w14:textId="77777777" w:rsidR="008F369D" w:rsidRPr="00F638AF" w:rsidRDefault="00016F29" w:rsidP="008F369D">
      <w:pPr>
        <w:keepNext/>
        <w:keepLines/>
        <w:outlineLvl w:val="0"/>
        <w:rPr>
          <w:i/>
          <w:lang w:val="en-GB"/>
        </w:rPr>
      </w:pPr>
      <w:r w:rsidRPr="00F638AF">
        <w:rPr>
          <w:i/>
          <w:lang w:val="en-GB"/>
        </w:rPr>
        <w:t>Maintenance therapy</w:t>
      </w:r>
    </w:p>
    <w:p w14:paraId="7C3315AA" w14:textId="77777777" w:rsidR="008F369D" w:rsidRPr="00F638AF" w:rsidRDefault="008F369D" w:rsidP="008F369D">
      <w:pPr>
        <w:keepNext/>
        <w:keepLines/>
        <w:outlineLvl w:val="0"/>
        <w:rPr>
          <w:i/>
          <w:lang w:val="en-GB"/>
        </w:rPr>
      </w:pPr>
    </w:p>
    <w:p w14:paraId="7C3315AB" w14:textId="77777777" w:rsidR="008F369D" w:rsidRPr="00F638AF" w:rsidRDefault="00016F29" w:rsidP="008F369D">
      <w:pPr>
        <w:keepNext/>
        <w:keepLines/>
        <w:outlineLvl w:val="0"/>
        <w:rPr>
          <w:b/>
          <w:lang w:val="en-GB"/>
        </w:rPr>
      </w:pPr>
      <w:r w:rsidRPr="00F638AF">
        <w:rPr>
          <w:lang w:val="en-GB"/>
        </w:rPr>
        <w:t xml:space="preserve">Previously untreated follicular lymphoma </w:t>
      </w:r>
    </w:p>
    <w:p w14:paraId="7C3315AC" w14:textId="77777777" w:rsidR="008F369D" w:rsidRPr="00F638AF" w:rsidRDefault="00016F29" w:rsidP="008F369D">
      <w:pPr>
        <w:rPr>
          <w:lang w:val="en-GB"/>
        </w:rPr>
      </w:pPr>
      <w:r w:rsidRPr="00F638AF">
        <w:rPr>
          <w:lang w:val="en-GB"/>
        </w:rPr>
        <w:t>In a prospective, open label, international, multi</w:t>
      </w:r>
      <w:r w:rsidR="000A6DDA" w:rsidRPr="00F638AF">
        <w:rPr>
          <w:lang w:val="en-GB"/>
        </w:rPr>
        <w:noBreakHyphen/>
      </w:r>
      <w:r w:rsidRPr="00F638AF">
        <w:rPr>
          <w:lang w:val="en-GB"/>
        </w:rPr>
        <w:t>centre, phase III trial 1193 patients with previously untreated advanced follicular lymphoma received induction therapy with R</w:t>
      </w:r>
      <w:r w:rsidR="000A6DDA" w:rsidRPr="00F638AF">
        <w:rPr>
          <w:lang w:val="en-GB"/>
        </w:rPr>
        <w:noBreakHyphen/>
      </w:r>
      <w:r w:rsidRPr="00F638AF">
        <w:rPr>
          <w:lang w:val="en-GB"/>
        </w:rPr>
        <w:t>CHOP (n=881), R</w:t>
      </w:r>
      <w:r w:rsidR="000A6DDA" w:rsidRPr="00F638AF">
        <w:rPr>
          <w:lang w:val="en-GB"/>
        </w:rPr>
        <w:noBreakHyphen/>
      </w:r>
      <w:r w:rsidRPr="00F638AF">
        <w:rPr>
          <w:lang w:val="en-GB"/>
        </w:rPr>
        <w:t>CVP (n=268) or R</w:t>
      </w:r>
      <w:r w:rsidR="000A6DDA" w:rsidRPr="00F638AF">
        <w:rPr>
          <w:lang w:val="en-GB"/>
        </w:rPr>
        <w:noBreakHyphen/>
      </w:r>
      <w:r w:rsidRPr="00F638AF">
        <w:rPr>
          <w:lang w:val="en-GB"/>
        </w:rPr>
        <w:t>FCM (n=44), according to the investigators’ choice. A total of 1078 patients responded to induction therapy, of which 1018 were randomised to MabThera maintenance therapy (n=505) or observation (n=513). The two treatment groups were well balanced with regards to baseline characteristics and disease status. MabThera maintenance treatment consisted of a single infusion of MabThera at 375 mg/m</w:t>
      </w:r>
      <w:r w:rsidRPr="00F638AF">
        <w:rPr>
          <w:vertAlign w:val="superscript"/>
          <w:lang w:val="en-GB"/>
        </w:rPr>
        <w:t>2</w:t>
      </w:r>
      <w:r w:rsidRPr="00F638AF">
        <w:rPr>
          <w:lang w:val="en-GB"/>
        </w:rPr>
        <w:t xml:space="preserve"> body surface area given every 2 months until disease progression or for a maximum period of two years. </w:t>
      </w:r>
    </w:p>
    <w:p w14:paraId="7C3315AD" w14:textId="77777777" w:rsidR="008F369D" w:rsidRPr="00F638AF" w:rsidRDefault="008F369D" w:rsidP="008F369D">
      <w:pPr>
        <w:rPr>
          <w:lang w:val="en-GB"/>
        </w:rPr>
      </w:pPr>
    </w:p>
    <w:p w14:paraId="7C3315AE" w14:textId="77777777" w:rsidR="00B0361F" w:rsidRPr="00F638AF" w:rsidRDefault="00016F29" w:rsidP="00B0361F">
      <w:pPr>
        <w:keepNext/>
        <w:keepLines/>
        <w:rPr>
          <w:lang w:val="en-GB"/>
        </w:rPr>
      </w:pPr>
      <w:r w:rsidRPr="00F638AF">
        <w:rPr>
          <w:lang w:val="en-GB"/>
        </w:rPr>
        <w:t>The pre-specified primary analysis was conducted at a median observation time of 25 months from randomization, maintenance therapy with MabThera resulted in a clinically relevant and statistically significant improvement in the primary endpoint of investigator assessed progression</w:t>
      </w:r>
      <w:r w:rsidRPr="00F638AF">
        <w:rPr>
          <w:lang w:val="en-GB"/>
        </w:rPr>
        <w:noBreakHyphen/>
        <w:t xml:space="preserve">free survival (PFS) as compared to observation in patients with previously untreated follicular lymphoma (Table </w:t>
      </w:r>
      <w:r w:rsidR="00E26FC8" w:rsidRPr="00F638AF">
        <w:rPr>
          <w:lang w:val="en-GB"/>
        </w:rPr>
        <w:t>9</w:t>
      </w:r>
      <w:r w:rsidRPr="00F638AF">
        <w:rPr>
          <w:lang w:val="en-GB"/>
        </w:rPr>
        <w:t xml:space="preserve">). </w:t>
      </w:r>
    </w:p>
    <w:p w14:paraId="7C3315AF" w14:textId="77777777" w:rsidR="00B0361F" w:rsidRPr="00F638AF" w:rsidRDefault="00B0361F" w:rsidP="00B0361F">
      <w:pPr>
        <w:rPr>
          <w:lang w:val="en-GB"/>
        </w:rPr>
      </w:pPr>
    </w:p>
    <w:p w14:paraId="7C3315B0" w14:textId="77777777" w:rsidR="00B0361F" w:rsidRPr="00F638AF" w:rsidRDefault="00016F29" w:rsidP="00B0361F">
      <w:pPr>
        <w:rPr>
          <w:lang w:val="en-GB"/>
        </w:rPr>
      </w:pPr>
      <w:r w:rsidRPr="00F638AF">
        <w:rPr>
          <w:lang w:val="en-GB"/>
        </w:rPr>
        <w:t>Significant benefit from maintenance treatment with MabThera was also seen for the secondary endpoints event</w:t>
      </w:r>
      <w:r w:rsidRPr="00F638AF">
        <w:rPr>
          <w:lang w:val="en-GB"/>
        </w:rPr>
        <w:noBreakHyphen/>
        <w:t>free survival (EFS), time to next anti</w:t>
      </w:r>
      <w:r w:rsidRPr="00F638AF">
        <w:rPr>
          <w:lang w:val="en-GB"/>
        </w:rPr>
        <w:noBreakHyphen/>
        <w:t xml:space="preserve">lymphoma treatment (TNLT) time to next chemotherapy (TNCT) and overall response rate (ORR) in the primary analysis (Table </w:t>
      </w:r>
      <w:r w:rsidR="00E26FC8" w:rsidRPr="00F638AF">
        <w:rPr>
          <w:lang w:val="en-GB"/>
        </w:rPr>
        <w:t>9</w:t>
      </w:r>
      <w:r w:rsidRPr="00F638AF">
        <w:rPr>
          <w:lang w:val="en-GB"/>
        </w:rPr>
        <w:t xml:space="preserve">). </w:t>
      </w:r>
    </w:p>
    <w:p w14:paraId="7C3315B1" w14:textId="77777777" w:rsidR="00B0361F" w:rsidRPr="00F638AF" w:rsidRDefault="00B0361F" w:rsidP="00B0361F"/>
    <w:p w14:paraId="7C3315B2" w14:textId="77777777" w:rsidR="00B0361F" w:rsidRPr="00F638AF" w:rsidRDefault="00016F29" w:rsidP="00B0361F">
      <w:r w:rsidRPr="00F638AF">
        <w:t xml:space="preserve">Data from extended follow-up of patients in the study (median follow-up 9 years) confirmed the long-term benefit of MabThera maintenance therapy in terms of PFS, EFS, TNLT and TNCT (Table </w:t>
      </w:r>
      <w:r w:rsidR="00E26FC8" w:rsidRPr="00F638AF">
        <w:t>9</w:t>
      </w:r>
      <w:r w:rsidRPr="00F638AF">
        <w:t>).</w:t>
      </w:r>
    </w:p>
    <w:p w14:paraId="7C3315B3" w14:textId="77777777" w:rsidR="00B0361F" w:rsidRPr="00F638AF" w:rsidRDefault="00B0361F" w:rsidP="00B0361F"/>
    <w:p w14:paraId="7C3315B4" w14:textId="77777777" w:rsidR="00B0361F" w:rsidRPr="00F638AF" w:rsidRDefault="00016F29" w:rsidP="00B0361F">
      <w:pPr>
        <w:keepNext/>
        <w:keepLines/>
        <w:ind w:left="1134" w:hanging="1134"/>
        <w:rPr>
          <w:b/>
          <w:lang w:val="en-GB"/>
        </w:rPr>
      </w:pPr>
      <w:r w:rsidRPr="00F638AF">
        <w:rPr>
          <w:b/>
        </w:rPr>
        <w:t>Table </w:t>
      </w:r>
      <w:r w:rsidR="00E04B0E" w:rsidRPr="00F638AF">
        <w:rPr>
          <w:b/>
        </w:rPr>
        <w:t>9</w:t>
      </w:r>
      <w:r w:rsidRPr="00F638AF">
        <w:rPr>
          <w:b/>
        </w:rPr>
        <w:tab/>
      </w:r>
      <w:r w:rsidRPr="00F638AF">
        <w:rPr>
          <w:b/>
          <w:lang w:val="en-GB"/>
        </w:rPr>
        <w:t>Overview of efficacy results for MabThera maintenance vs. observation at the protocol-defined primary analysis and after 9 years median follow-up (final analysis)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12"/>
        <w:gridCol w:w="1470"/>
        <w:gridCol w:w="1469"/>
        <w:gridCol w:w="1470"/>
        <w:gridCol w:w="1466"/>
      </w:tblGrid>
      <w:tr w:rsidR="003A788B" w14:paraId="7C3315B8" w14:textId="77777777" w:rsidTr="00342FAF">
        <w:tc>
          <w:tcPr>
            <w:tcW w:w="3412" w:type="dxa"/>
            <w:vMerge w:val="restart"/>
            <w:tcBorders>
              <w:top w:val="single" w:sz="4" w:space="0" w:color="auto"/>
              <w:left w:val="single" w:sz="4" w:space="0" w:color="auto"/>
              <w:bottom w:val="single" w:sz="4" w:space="0" w:color="auto"/>
              <w:right w:val="single" w:sz="4" w:space="0" w:color="auto"/>
            </w:tcBorders>
          </w:tcPr>
          <w:p w14:paraId="7C3315B5" w14:textId="77777777" w:rsidR="00B0361F" w:rsidRPr="00F638AF" w:rsidRDefault="00B0361F" w:rsidP="00342FAF">
            <w:pPr>
              <w:rPr>
                <w:b/>
                <w:szCs w:val="22"/>
                <w:lang w:val="en-GB"/>
              </w:rPr>
            </w:pPr>
          </w:p>
        </w:tc>
        <w:tc>
          <w:tcPr>
            <w:tcW w:w="2939" w:type="dxa"/>
            <w:gridSpan w:val="2"/>
            <w:tcBorders>
              <w:top w:val="single" w:sz="4" w:space="0" w:color="auto"/>
              <w:left w:val="single" w:sz="4" w:space="0" w:color="auto"/>
              <w:bottom w:val="single" w:sz="4" w:space="0" w:color="auto"/>
              <w:right w:val="single" w:sz="4" w:space="0" w:color="auto"/>
            </w:tcBorders>
            <w:hideMark/>
          </w:tcPr>
          <w:p w14:paraId="7C3315B6" w14:textId="77777777" w:rsidR="00B0361F" w:rsidRPr="00F638AF" w:rsidRDefault="00016F29" w:rsidP="00342FAF">
            <w:pPr>
              <w:jc w:val="center"/>
              <w:rPr>
                <w:b/>
                <w:szCs w:val="22"/>
                <w:lang w:val="en-GB"/>
              </w:rPr>
            </w:pPr>
            <w:r w:rsidRPr="00F638AF">
              <w:rPr>
                <w:b/>
                <w:szCs w:val="22"/>
                <w:lang w:val="en-GB"/>
              </w:rPr>
              <w:t>Primary analysis</w:t>
            </w:r>
            <w:r w:rsidRPr="00F638AF">
              <w:rPr>
                <w:b/>
                <w:szCs w:val="22"/>
                <w:lang w:val="en-GB"/>
              </w:rPr>
              <w:br/>
              <w:t>(median FU: 25 months)</w:t>
            </w:r>
          </w:p>
        </w:tc>
        <w:tc>
          <w:tcPr>
            <w:tcW w:w="2936" w:type="dxa"/>
            <w:gridSpan w:val="2"/>
            <w:tcBorders>
              <w:top w:val="single" w:sz="4" w:space="0" w:color="auto"/>
              <w:left w:val="single" w:sz="4" w:space="0" w:color="auto"/>
              <w:bottom w:val="single" w:sz="4" w:space="0" w:color="auto"/>
              <w:right w:val="single" w:sz="4" w:space="0" w:color="auto"/>
            </w:tcBorders>
            <w:hideMark/>
          </w:tcPr>
          <w:p w14:paraId="7C3315B7" w14:textId="77777777" w:rsidR="00B0361F" w:rsidRPr="00F638AF" w:rsidRDefault="00016F29" w:rsidP="00342FAF">
            <w:pPr>
              <w:jc w:val="center"/>
              <w:rPr>
                <w:b/>
                <w:szCs w:val="22"/>
                <w:lang w:val="en-GB"/>
              </w:rPr>
            </w:pPr>
            <w:r w:rsidRPr="00F638AF">
              <w:rPr>
                <w:b/>
                <w:szCs w:val="22"/>
                <w:lang w:val="en-GB"/>
              </w:rPr>
              <w:t>Final analysis</w:t>
            </w:r>
            <w:r w:rsidRPr="00F638AF">
              <w:rPr>
                <w:b/>
                <w:szCs w:val="22"/>
                <w:lang w:val="en-GB"/>
              </w:rPr>
              <w:br/>
              <w:t>(median FU: 9.0 years)</w:t>
            </w:r>
          </w:p>
        </w:tc>
      </w:tr>
      <w:tr w:rsidR="003A788B" w14:paraId="7C3315BE" w14:textId="77777777" w:rsidTr="00342FAF">
        <w:tc>
          <w:tcPr>
            <w:tcW w:w="3412" w:type="dxa"/>
            <w:vMerge/>
            <w:tcBorders>
              <w:top w:val="single" w:sz="4" w:space="0" w:color="auto"/>
              <w:left w:val="single" w:sz="4" w:space="0" w:color="auto"/>
              <w:bottom w:val="single" w:sz="4" w:space="0" w:color="auto"/>
              <w:right w:val="single" w:sz="4" w:space="0" w:color="auto"/>
            </w:tcBorders>
            <w:vAlign w:val="center"/>
            <w:hideMark/>
          </w:tcPr>
          <w:p w14:paraId="7C3315B9" w14:textId="77777777" w:rsidR="00B0361F" w:rsidRPr="00F638AF" w:rsidRDefault="00B0361F" w:rsidP="00342FAF">
            <w:pPr>
              <w:rPr>
                <w:b/>
                <w:szCs w:val="22"/>
                <w:lang w:val="en-GB"/>
              </w:rPr>
            </w:pPr>
          </w:p>
        </w:tc>
        <w:tc>
          <w:tcPr>
            <w:tcW w:w="1470" w:type="dxa"/>
            <w:tcBorders>
              <w:top w:val="single" w:sz="4" w:space="0" w:color="auto"/>
              <w:left w:val="single" w:sz="4" w:space="0" w:color="auto"/>
              <w:bottom w:val="single" w:sz="4" w:space="0" w:color="auto"/>
              <w:right w:val="nil"/>
            </w:tcBorders>
            <w:hideMark/>
          </w:tcPr>
          <w:p w14:paraId="7C3315BA" w14:textId="77777777" w:rsidR="00B0361F" w:rsidRPr="00F638AF" w:rsidRDefault="00016F29" w:rsidP="00342FAF">
            <w:pPr>
              <w:jc w:val="center"/>
              <w:rPr>
                <w:b/>
                <w:szCs w:val="22"/>
                <w:lang w:val="en-GB"/>
              </w:rPr>
            </w:pPr>
            <w:r w:rsidRPr="00F638AF">
              <w:rPr>
                <w:b/>
                <w:szCs w:val="22"/>
                <w:lang w:val="en-GB"/>
              </w:rPr>
              <w:t>Observation</w:t>
            </w:r>
            <w:r w:rsidRPr="00F638AF">
              <w:rPr>
                <w:b/>
                <w:szCs w:val="22"/>
                <w:lang w:val="en-GB"/>
              </w:rPr>
              <w:br/>
              <w:t>N=513</w:t>
            </w:r>
          </w:p>
        </w:tc>
        <w:tc>
          <w:tcPr>
            <w:tcW w:w="1469" w:type="dxa"/>
            <w:tcBorders>
              <w:top w:val="single" w:sz="4" w:space="0" w:color="auto"/>
              <w:left w:val="nil"/>
              <w:bottom w:val="single" w:sz="4" w:space="0" w:color="auto"/>
              <w:right w:val="single" w:sz="4" w:space="0" w:color="auto"/>
            </w:tcBorders>
            <w:hideMark/>
          </w:tcPr>
          <w:p w14:paraId="7C3315BB" w14:textId="77777777" w:rsidR="00B0361F" w:rsidRPr="00F638AF" w:rsidRDefault="00016F29" w:rsidP="00342FAF">
            <w:pPr>
              <w:jc w:val="center"/>
              <w:rPr>
                <w:b/>
                <w:szCs w:val="22"/>
                <w:lang w:val="en-GB"/>
              </w:rPr>
            </w:pPr>
            <w:r w:rsidRPr="00F638AF">
              <w:rPr>
                <w:b/>
                <w:szCs w:val="22"/>
                <w:lang w:val="en-GB"/>
              </w:rPr>
              <w:t>MabThera</w:t>
            </w:r>
            <w:r w:rsidRPr="00F638AF">
              <w:rPr>
                <w:b/>
                <w:szCs w:val="22"/>
                <w:lang w:val="en-GB"/>
              </w:rPr>
              <w:br/>
              <w:t>N=505</w:t>
            </w:r>
          </w:p>
        </w:tc>
        <w:tc>
          <w:tcPr>
            <w:tcW w:w="1470" w:type="dxa"/>
            <w:tcBorders>
              <w:top w:val="single" w:sz="4" w:space="0" w:color="auto"/>
              <w:left w:val="single" w:sz="4" w:space="0" w:color="auto"/>
              <w:bottom w:val="single" w:sz="4" w:space="0" w:color="auto"/>
              <w:right w:val="nil"/>
            </w:tcBorders>
            <w:hideMark/>
          </w:tcPr>
          <w:p w14:paraId="7C3315BC" w14:textId="77777777" w:rsidR="00B0361F" w:rsidRPr="00F638AF" w:rsidRDefault="00016F29" w:rsidP="00342FAF">
            <w:pPr>
              <w:jc w:val="center"/>
              <w:rPr>
                <w:b/>
                <w:szCs w:val="22"/>
                <w:lang w:val="en-GB"/>
              </w:rPr>
            </w:pPr>
            <w:r w:rsidRPr="00F638AF">
              <w:rPr>
                <w:b/>
                <w:szCs w:val="22"/>
                <w:lang w:val="en-GB"/>
              </w:rPr>
              <w:t>Observation</w:t>
            </w:r>
            <w:r w:rsidRPr="00F638AF">
              <w:rPr>
                <w:b/>
                <w:szCs w:val="22"/>
                <w:lang w:val="en-GB"/>
              </w:rPr>
              <w:br/>
              <w:t>N=513</w:t>
            </w:r>
          </w:p>
        </w:tc>
        <w:tc>
          <w:tcPr>
            <w:tcW w:w="1466" w:type="dxa"/>
            <w:tcBorders>
              <w:top w:val="single" w:sz="4" w:space="0" w:color="auto"/>
              <w:left w:val="nil"/>
              <w:bottom w:val="single" w:sz="4" w:space="0" w:color="auto"/>
              <w:right w:val="single" w:sz="4" w:space="0" w:color="auto"/>
            </w:tcBorders>
            <w:hideMark/>
          </w:tcPr>
          <w:p w14:paraId="7C3315BD" w14:textId="77777777" w:rsidR="00B0361F" w:rsidRPr="00F638AF" w:rsidRDefault="00016F29" w:rsidP="00342FAF">
            <w:pPr>
              <w:jc w:val="center"/>
              <w:rPr>
                <w:b/>
                <w:szCs w:val="22"/>
                <w:lang w:val="en-GB"/>
              </w:rPr>
            </w:pPr>
            <w:r w:rsidRPr="00F638AF">
              <w:rPr>
                <w:b/>
                <w:szCs w:val="22"/>
                <w:lang w:val="en-GB"/>
              </w:rPr>
              <w:t>MabThera</w:t>
            </w:r>
            <w:r w:rsidRPr="00F638AF">
              <w:rPr>
                <w:b/>
                <w:szCs w:val="22"/>
                <w:lang w:val="en-GB"/>
              </w:rPr>
              <w:br/>
              <w:t>N=505</w:t>
            </w:r>
          </w:p>
        </w:tc>
      </w:tr>
      <w:tr w:rsidR="003A788B" w14:paraId="7C3315C4" w14:textId="77777777" w:rsidTr="00342FAF">
        <w:tc>
          <w:tcPr>
            <w:tcW w:w="3412" w:type="dxa"/>
            <w:tcBorders>
              <w:top w:val="single" w:sz="4" w:space="0" w:color="auto"/>
              <w:left w:val="single" w:sz="4" w:space="0" w:color="auto"/>
              <w:bottom w:val="nil"/>
              <w:right w:val="single" w:sz="4" w:space="0" w:color="auto"/>
            </w:tcBorders>
            <w:hideMark/>
          </w:tcPr>
          <w:p w14:paraId="7C3315BF" w14:textId="77777777" w:rsidR="00B0361F" w:rsidRPr="00F638AF" w:rsidRDefault="00016F29" w:rsidP="00342FAF">
            <w:pPr>
              <w:rPr>
                <w:b/>
                <w:szCs w:val="22"/>
                <w:lang w:val="en-GB"/>
              </w:rPr>
            </w:pPr>
            <w:r w:rsidRPr="00F638AF">
              <w:rPr>
                <w:b/>
                <w:szCs w:val="22"/>
                <w:lang w:val="en-GB"/>
              </w:rPr>
              <w:t>Primary efficacy</w:t>
            </w:r>
          </w:p>
        </w:tc>
        <w:tc>
          <w:tcPr>
            <w:tcW w:w="1470" w:type="dxa"/>
            <w:tcBorders>
              <w:top w:val="single" w:sz="4" w:space="0" w:color="auto"/>
              <w:left w:val="single" w:sz="4" w:space="0" w:color="auto"/>
              <w:bottom w:val="nil"/>
              <w:right w:val="nil"/>
            </w:tcBorders>
          </w:tcPr>
          <w:p w14:paraId="7C3315C0" w14:textId="77777777" w:rsidR="00B0361F" w:rsidRPr="00F638AF" w:rsidRDefault="00B0361F" w:rsidP="00342FAF">
            <w:pPr>
              <w:jc w:val="center"/>
              <w:rPr>
                <w:szCs w:val="22"/>
                <w:lang w:val="en-GB"/>
              </w:rPr>
            </w:pPr>
          </w:p>
        </w:tc>
        <w:tc>
          <w:tcPr>
            <w:tcW w:w="1469" w:type="dxa"/>
            <w:tcBorders>
              <w:top w:val="single" w:sz="4" w:space="0" w:color="auto"/>
              <w:left w:val="nil"/>
              <w:bottom w:val="nil"/>
              <w:right w:val="single" w:sz="4" w:space="0" w:color="auto"/>
            </w:tcBorders>
          </w:tcPr>
          <w:p w14:paraId="7C3315C1" w14:textId="77777777" w:rsidR="00B0361F" w:rsidRPr="00F638AF" w:rsidRDefault="00B0361F" w:rsidP="00342FAF">
            <w:pPr>
              <w:jc w:val="center"/>
              <w:rPr>
                <w:szCs w:val="22"/>
                <w:lang w:val="en-GB"/>
              </w:rPr>
            </w:pPr>
          </w:p>
        </w:tc>
        <w:tc>
          <w:tcPr>
            <w:tcW w:w="1470" w:type="dxa"/>
            <w:tcBorders>
              <w:top w:val="single" w:sz="4" w:space="0" w:color="auto"/>
              <w:left w:val="single" w:sz="4" w:space="0" w:color="auto"/>
              <w:bottom w:val="nil"/>
              <w:right w:val="nil"/>
            </w:tcBorders>
          </w:tcPr>
          <w:p w14:paraId="7C3315C2" w14:textId="77777777" w:rsidR="00B0361F" w:rsidRPr="00F638AF" w:rsidRDefault="00B0361F" w:rsidP="00342FAF">
            <w:pPr>
              <w:jc w:val="center"/>
              <w:rPr>
                <w:szCs w:val="22"/>
                <w:lang w:val="en-GB"/>
              </w:rPr>
            </w:pPr>
          </w:p>
        </w:tc>
        <w:tc>
          <w:tcPr>
            <w:tcW w:w="1466" w:type="dxa"/>
            <w:tcBorders>
              <w:top w:val="single" w:sz="4" w:space="0" w:color="auto"/>
              <w:left w:val="nil"/>
              <w:bottom w:val="nil"/>
              <w:right w:val="single" w:sz="4" w:space="0" w:color="auto"/>
            </w:tcBorders>
          </w:tcPr>
          <w:p w14:paraId="7C3315C3" w14:textId="77777777" w:rsidR="00B0361F" w:rsidRPr="00F638AF" w:rsidRDefault="00B0361F" w:rsidP="00342FAF">
            <w:pPr>
              <w:jc w:val="center"/>
              <w:rPr>
                <w:szCs w:val="22"/>
                <w:lang w:val="en-GB"/>
              </w:rPr>
            </w:pPr>
          </w:p>
        </w:tc>
      </w:tr>
      <w:tr w:rsidR="003A788B" w14:paraId="7C3315CA" w14:textId="77777777" w:rsidTr="00342FAF">
        <w:tc>
          <w:tcPr>
            <w:tcW w:w="3412" w:type="dxa"/>
            <w:tcBorders>
              <w:top w:val="nil"/>
              <w:left w:val="single" w:sz="4" w:space="0" w:color="auto"/>
              <w:bottom w:val="nil"/>
              <w:right w:val="single" w:sz="4" w:space="0" w:color="auto"/>
            </w:tcBorders>
            <w:hideMark/>
          </w:tcPr>
          <w:p w14:paraId="7C3315C5" w14:textId="77777777" w:rsidR="00B0361F" w:rsidRPr="00F638AF" w:rsidRDefault="00016F29" w:rsidP="00342FAF">
            <w:pPr>
              <w:rPr>
                <w:szCs w:val="22"/>
                <w:lang w:val="en-GB"/>
              </w:rPr>
            </w:pPr>
            <w:r w:rsidRPr="00F638AF">
              <w:rPr>
                <w:szCs w:val="22"/>
                <w:lang w:val="en-GB"/>
              </w:rPr>
              <w:t>Progression-free survival (median)</w:t>
            </w:r>
          </w:p>
        </w:tc>
        <w:tc>
          <w:tcPr>
            <w:tcW w:w="1470" w:type="dxa"/>
            <w:tcBorders>
              <w:top w:val="nil"/>
              <w:left w:val="single" w:sz="4" w:space="0" w:color="auto"/>
              <w:bottom w:val="nil"/>
              <w:right w:val="nil"/>
            </w:tcBorders>
            <w:hideMark/>
          </w:tcPr>
          <w:p w14:paraId="7C3315C6" w14:textId="77777777" w:rsidR="00B0361F" w:rsidRPr="00F638AF" w:rsidRDefault="00016F29" w:rsidP="00342FAF">
            <w:pPr>
              <w:jc w:val="center"/>
              <w:rPr>
                <w:szCs w:val="22"/>
                <w:lang w:val="en-GB"/>
              </w:rPr>
            </w:pPr>
            <w:r w:rsidRPr="00F638AF">
              <w:rPr>
                <w:szCs w:val="22"/>
                <w:lang w:val="en-GB"/>
              </w:rPr>
              <w:t>NR</w:t>
            </w:r>
          </w:p>
        </w:tc>
        <w:tc>
          <w:tcPr>
            <w:tcW w:w="1469" w:type="dxa"/>
            <w:tcBorders>
              <w:top w:val="nil"/>
              <w:left w:val="nil"/>
              <w:bottom w:val="nil"/>
              <w:right w:val="single" w:sz="4" w:space="0" w:color="auto"/>
            </w:tcBorders>
            <w:hideMark/>
          </w:tcPr>
          <w:p w14:paraId="7C3315C7" w14:textId="77777777" w:rsidR="00B0361F" w:rsidRPr="00F638AF" w:rsidRDefault="00016F29" w:rsidP="00342FAF">
            <w:pPr>
              <w:jc w:val="center"/>
              <w:rPr>
                <w:szCs w:val="22"/>
                <w:lang w:val="en-GB"/>
              </w:rPr>
            </w:pPr>
            <w:r w:rsidRPr="00F638AF">
              <w:rPr>
                <w:szCs w:val="22"/>
                <w:lang w:val="en-GB"/>
              </w:rPr>
              <w:t>NR</w:t>
            </w:r>
          </w:p>
        </w:tc>
        <w:tc>
          <w:tcPr>
            <w:tcW w:w="1470" w:type="dxa"/>
            <w:tcBorders>
              <w:top w:val="nil"/>
              <w:left w:val="single" w:sz="4" w:space="0" w:color="auto"/>
              <w:bottom w:val="nil"/>
              <w:right w:val="nil"/>
            </w:tcBorders>
            <w:hideMark/>
          </w:tcPr>
          <w:p w14:paraId="7C3315C8" w14:textId="77777777" w:rsidR="00B0361F" w:rsidRPr="00F638AF" w:rsidRDefault="00016F29" w:rsidP="00342FAF">
            <w:pPr>
              <w:jc w:val="center"/>
              <w:rPr>
                <w:szCs w:val="22"/>
                <w:lang w:val="en-GB"/>
              </w:rPr>
            </w:pPr>
            <w:r w:rsidRPr="00F638AF">
              <w:rPr>
                <w:szCs w:val="22"/>
                <w:lang w:val="en-GB"/>
              </w:rPr>
              <w:t>4.06 years</w:t>
            </w:r>
          </w:p>
        </w:tc>
        <w:tc>
          <w:tcPr>
            <w:tcW w:w="1466" w:type="dxa"/>
            <w:tcBorders>
              <w:top w:val="nil"/>
              <w:left w:val="nil"/>
              <w:bottom w:val="nil"/>
              <w:right w:val="single" w:sz="4" w:space="0" w:color="auto"/>
            </w:tcBorders>
            <w:hideMark/>
          </w:tcPr>
          <w:p w14:paraId="7C3315C9" w14:textId="77777777" w:rsidR="00B0361F" w:rsidRPr="00F638AF" w:rsidRDefault="00016F29" w:rsidP="00342FAF">
            <w:pPr>
              <w:jc w:val="center"/>
              <w:rPr>
                <w:szCs w:val="22"/>
                <w:lang w:val="en-GB"/>
              </w:rPr>
            </w:pPr>
            <w:r w:rsidRPr="00F638AF">
              <w:rPr>
                <w:szCs w:val="22"/>
                <w:lang w:val="en-GB"/>
              </w:rPr>
              <w:t>10.49 years</w:t>
            </w:r>
          </w:p>
        </w:tc>
      </w:tr>
      <w:tr w:rsidR="003A788B" w14:paraId="7C3315CE" w14:textId="77777777" w:rsidTr="00342FAF">
        <w:tc>
          <w:tcPr>
            <w:tcW w:w="3412" w:type="dxa"/>
            <w:tcBorders>
              <w:top w:val="nil"/>
              <w:left w:val="single" w:sz="4" w:space="0" w:color="auto"/>
              <w:bottom w:val="nil"/>
              <w:right w:val="single" w:sz="4" w:space="0" w:color="auto"/>
            </w:tcBorders>
            <w:hideMark/>
          </w:tcPr>
          <w:p w14:paraId="7C3315CB" w14:textId="77777777" w:rsidR="00B0361F" w:rsidRPr="00F638AF" w:rsidRDefault="00016F29" w:rsidP="00342FAF">
            <w:pPr>
              <w:rPr>
                <w:szCs w:val="22"/>
                <w:lang w:val="en-GB"/>
              </w:rPr>
            </w:pPr>
            <w:r w:rsidRPr="00F638AF">
              <w:rPr>
                <w:szCs w:val="22"/>
                <w:lang w:val="en-GB"/>
              </w:rPr>
              <w:t>log-rank p value</w:t>
            </w:r>
          </w:p>
        </w:tc>
        <w:tc>
          <w:tcPr>
            <w:tcW w:w="2939" w:type="dxa"/>
            <w:gridSpan w:val="2"/>
            <w:tcBorders>
              <w:top w:val="nil"/>
              <w:left w:val="single" w:sz="4" w:space="0" w:color="auto"/>
              <w:bottom w:val="nil"/>
              <w:right w:val="single" w:sz="4" w:space="0" w:color="auto"/>
            </w:tcBorders>
            <w:hideMark/>
          </w:tcPr>
          <w:p w14:paraId="7C3315CC" w14:textId="77777777" w:rsidR="00B0361F" w:rsidRPr="00F638AF" w:rsidRDefault="00016F29" w:rsidP="00342FAF">
            <w:pPr>
              <w:jc w:val="center"/>
              <w:rPr>
                <w:szCs w:val="22"/>
                <w:lang w:val="en-GB"/>
              </w:rPr>
            </w:pPr>
            <w:r w:rsidRPr="00F638AF">
              <w:rPr>
                <w:szCs w:val="22"/>
                <w:lang w:val="en-GB"/>
              </w:rPr>
              <w:t>&lt;0.0001</w:t>
            </w:r>
          </w:p>
        </w:tc>
        <w:tc>
          <w:tcPr>
            <w:tcW w:w="2936" w:type="dxa"/>
            <w:gridSpan w:val="2"/>
            <w:tcBorders>
              <w:top w:val="nil"/>
              <w:left w:val="single" w:sz="4" w:space="0" w:color="auto"/>
              <w:bottom w:val="nil"/>
              <w:right w:val="single" w:sz="4" w:space="0" w:color="auto"/>
            </w:tcBorders>
            <w:hideMark/>
          </w:tcPr>
          <w:p w14:paraId="7C3315CD" w14:textId="77777777" w:rsidR="00B0361F" w:rsidRPr="00F638AF" w:rsidRDefault="00016F29" w:rsidP="00342FAF">
            <w:pPr>
              <w:jc w:val="center"/>
              <w:rPr>
                <w:szCs w:val="22"/>
                <w:lang w:val="en-GB"/>
              </w:rPr>
            </w:pPr>
            <w:r w:rsidRPr="00F638AF">
              <w:rPr>
                <w:szCs w:val="22"/>
                <w:lang w:val="en-GB"/>
              </w:rPr>
              <w:t>&lt;0.0001</w:t>
            </w:r>
          </w:p>
        </w:tc>
      </w:tr>
      <w:tr w:rsidR="003A788B" w14:paraId="7C3315D5" w14:textId="77777777" w:rsidTr="00342FAF">
        <w:tc>
          <w:tcPr>
            <w:tcW w:w="3412" w:type="dxa"/>
            <w:tcBorders>
              <w:top w:val="nil"/>
              <w:left w:val="single" w:sz="4" w:space="0" w:color="auto"/>
              <w:bottom w:val="single" w:sz="4" w:space="0" w:color="auto"/>
              <w:right w:val="single" w:sz="4" w:space="0" w:color="auto"/>
            </w:tcBorders>
            <w:hideMark/>
          </w:tcPr>
          <w:p w14:paraId="7C3315CF" w14:textId="77777777" w:rsidR="00B0361F" w:rsidRPr="00F638AF" w:rsidRDefault="00016F29" w:rsidP="00342FAF">
            <w:pPr>
              <w:rPr>
                <w:szCs w:val="22"/>
                <w:lang w:val="en-GB"/>
              </w:rPr>
            </w:pPr>
            <w:r w:rsidRPr="00F638AF">
              <w:rPr>
                <w:szCs w:val="22"/>
                <w:lang w:val="en-GB"/>
              </w:rPr>
              <w:t>hazard ratio (95% CI)</w:t>
            </w:r>
          </w:p>
          <w:p w14:paraId="7C3315D0" w14:textId="77777777" w:rsidR="00B0361F" w:rsidRPr="00F638AF" w:rsidRDefault="00016F29" w:rsidP="00342FAF">
            <w:pPr>
              <w:rPr>
                <w:szCs w:val="22"/>
                <w:lang w:val="en-GB"/>
              </w:rPr>
            </w:pPr>
            <w:r w:rsidRPr="00F638AF">
              <w:rPr>
                <w:szCs w:val="22"/>
                <w:lang w:val="en-GB"/>
              </w:rPr>
              <w:t>risk reduction</w:t>
            </w:r>
          </w:p>
        </w:tc>
        <w:tc>
          <w:tcPr>
            <w:tcW w:w="2939" w:type="dxa"/>
            <w:gridSpan w:val="2"/>
            <w:tcBorders>
              <w:top w:val="nil"/>
              <w:left w:val="single" w:sz="4" w:space="0" w:color="auto"/>
              <w:bottom w:val="single" w:sz="4" w:space="0" w:color="auto"/>
              <w:right w:val="single" w:sz="4" w:space="0" w:color="auto"/>
            </w:tcBorders>
            <w:hideMark/>
          </w:tcPr>
          <w:p w14:paraId="7C3315D1" w14:textId="77777777" w:rsidR="00B0361F" w:rsidRPr="00F638AF" w:rsidRDefault="00016F29" w:rsidP="00342FAF">
            <w:pPr>
              <w:jc w:val="center"/>
              <w:rPr>
                <w:szCs w:val="22"/>
                <w:lang w:val="en-GB"/>
              </w:rPr>
            </w:pPr>
            <w:r w:rsidRPr="00F638AF">
              <w:rPr>
                <w:szCs w:val="22"/>
                <w:lang w:val="en-GB"/>
              </w:rPr>
              <w:t>0.50 (0.39, 0.64)</w:t>
            </w:r>
          </w:p>
          <w:p w14:paraId="7C3315D2" w14:textId="77777777" w:rsidR="00B0361F" w:rsidRPr="00F638AF" w:rsidRDefault="00016F29" w:rsidP="00342FAF">
            <w:pPr>
              <w:jc w:val="center"/>
              <w:rPr>
                <w:szCs w:val="22"/>
                <w:lang w:val="en-GB"/>
              </w:rPr>
            </w:pPr>
            <w:r w:rsidRPr="00F638AF">
              <w:rPr>
                <w:szCs w:val="22"/>
                <w:lang w:val="en-GB"/>
              </w:rPr>
              <w:t>50%</w:t>
            </w:r>
          </w:p>
        </w:tc>
        <w:tc>
          <w:tcPr>
            <w:tcW w:w="2936" w:type="dxa"/>
            <w:gridSpan w:val="2"/>
            <w:tcBorders>
              <w:top w:val="nil"/>
              <w:left w:val="single" w:sz="4" w:space="0" w:color="auto"/>
              <w:bottom w:val="single" w:sz="4" w:space="0" w:color="auto"/>
              <w:right w:val="single" w:sz="4" w:space="0" w:color="auto"/>
            </w:tcBorders>
            <w:hideMark/>
          </w:tcPr>
          <w:p w14:paraId="7C3315D3" w14:textId="77777777" w:rsidR="00B0361F" w:rsidRPr="00F638AF" w:rsidRDefault="00016F29" w:rsidP="00342FAF">
            <w:pPr>
              <w:jc w:val="center"/>
              <w:rPr>
                <w:szCs w:val="22"/>
                <w:lang w:val="en-GB"/>
              </w:rPr>
            </w:pPr>
            <w:r w:rsidRPr="00F638AF">
              <w:rPr>
                <w:szCs w:val="22"/>
                <w:lang w:val="en-GB"/>
              </w:rPr>
              <w:t>0.61 (0.52, 0.73)</w:t>
            </w:r>
          </w:p>
          <w:p w14:paraId="7C3315D4" w14:textId="77777777" w:rsidR="00B0361F" w:rsidRPr="00F638AF" w:rsidRDefault="00016F29" w:rsidP="00342FAF">
            <w:pPr>
              <w:jc w:val="center"/>
              <w:rPr>
                <w:szCs w:val="22"/>
                <w:lang w:val="en-GB"/>
              </w:rPr>
            </w:pPr>
            <w:r w:rsidRPr="00F638AF">
              <w:rPr>
                <w:szCs w:val="22"/>
                <w:lang w:val="en-GB"/>
              </w:rPr>
              <w:t>39%</w:t>
            </w:r>
          </w:p>
        </w:tc>
      </w:tr>
      <w:tr w:rsidR="003A788B" w14:paraId="7C3315DB" w14:textId="77777777" w:rsidTr="00342FAF">
        <w:tc>
          <w:tcPr>
            <w:tcW w:w="3412" w:type="dxa"/>
            <w:tcBorders>
              <w:top w:val="single" w:sz="4" w:space="0" w:color="auto"/>
              <w:left w:val="single" w:sz="4" w:space="0" w:color="auto"/>
              <w:bottom w:val="nil"/>
              <w:right w:val="single" w:sz="4" w:space="0" w:color="auto"/>
            </w:tcBorders>
            <w:hideMark/>
          </w:tcPr>
          <w:p w14:paraId="7C3315D6" w14:textId="77777777" w:rsidR="00B0361F" w:rsidRPr="00F638AF" w:rsidRDefault="00016F29" w:rsidP="00342FAF">
            <w:pPr>
              <w:rPr>
                <w:b/>
                <w:szCs w:val="22"/>
                <w:lang w:val="en-GB"/>
              </w:rPr>
            </w:pPr>
            <w:r w:rsidRPr="00F638AF">
              <w:rPr>
                <w:b/>
                <w:szCs w:val="22"/>
                <w:lang w:val="en-GB"/>
              </w:rPr>
              <w:t>Secondary efficacy</w:t>
            </w:r>
          </w:p>
        </w:tc>
        <w:tc>
          <w:tcPr>
            <w:tcW w:w="1470" w:type="dxa"/>
            <w:tcBorders>
              <w:top w:val="single" w:sz="4" w:space="0" w:color="auto"/>
              <w:left w:val="single" w:sz="4" w:space="0" w:color="auto"/>
              <w:bottom w:val="nil"/>
              <w:right w:val="nil"/>
            </w:tcBorders>
          </w:tcPr>
          <w:p w14:paraId="7C3315D7" w14:textId="77777777" w:rsidR="00B0361F" w:rsidRPr="00F638AF" w:rsidRDefault="00B0361F" w:rsidP="00342FAF">
            <w:pPr>
              <w:jc w:val="center"/>
              <w:rPr>
                <w:szCs w:val="22"/>
                <w:lang w:val="en-GB"/>
              </w:rPr>
            </w:pPr>
          </w:p>
        </w:tc>
        <w:tc>
          <w:tcPr>
            <w:tcW w:w="1469" w:type="dxa"/>
            <w:tcBorders>
              <w:top w:val="single" w:sz="4" w:space="0" w:color="auto"/>
              <w:left w:val="nil"/>
              <w:bottom w:val="nil"/>
              <w:right w:val="single" w:sz="4" w:space="0" w:color="auto"/>
            </w:tcBorders>
          </w:tcPr>
          <w:p w14:paraId="7C3315D8" w14:textId="77777777" w:rsidR="00B0361F" w:rsidRPr="00F638AF" w:rsidRDefault="00B0361F" w:rsidP="00342FAF">
            <w:pPr>
              <w:jc w:val="center"/>
              <w:rPr>
                <w:szCs w:val="22"/>
                <w:lang w:val="en-GB"/>
              </w:rPr>
            </w:pPr>
          </w:p>
        </w:tc>
        <w:tc>
          <w:tcPr>
            <w:tcW w:w="1470" w:type="dxa"/>
            <w:tcBorders>
              <w:top w:val="single" w:sz="4" w:space="0" w:color="auto"/>
              <w:left w:val="single" w:sz="4" w:space="0" w:color="auto"/>
              <w:bottom w:val="nil"/>
              <w:right w:val="nil"/>
            </w:tcBorders>
          </w:tcPr>
          <w:p w14:paraId="7C3315D9" w14:textId="77777777" w:rsidR="00B0361F" w:rsidRPr="00F638AF" w:rsidRDefault="00B0361F" w:rsidP="00342FAF">
            <w:pPr>
              <w:jc w:val="center"/>
              <w:rPr>
                <w:szCs w:val="22"/>
                <w:lang w:val="en-GB"/>
              </w:rPr>
            </w:pPr>
          </w:p>
        </w:tc>
        <w:tc>
          <w:tcPr>
            <w:tcW w:w="1466" w:type="dxa"/>
            <w:tcBorders>
              <w:top w:val="single" w:sz="4" w:space="0" w:color="auto"/>
              <w:left w:val="nil"/>
              <w:bottom w:val="nil"/>
              <w:right w:val="single" w:sz="4" w:space="0" w:color="auto"/>
            </w:tcBorders>
          </w:tcPr>
          <w:p w14:paraId="7C3315DA" w14:textId="77777777" w:rsidR="00B0361F" w:rsidRPr="00F638AF" w:rsidRDefault="00B0361F" w:rsidP="00342FAF">
            <w:pPr>
              <w:jc w:val="center"/>
              <w:rPr>
                <w:szCs w:val="22"/>
                <w:lang w:val="en-GB"/>
              </w:rPr>
            </w:pPr>
          </w:p>
        </w:tc>
      </w:tr>
      <w:tr w:rsidR="003A788B" w14:paraId="7C3315E1" w14:textId="77777777" w:rsidTr="00342FAF">
        <w:tc>
          <w:tcPr>
            <w:tcW w:w="3412" w:type="dxa"/>
            <w:tcBorders>
              <w:top w:val="nil"/>
              <w:left w:val="single" w:sz="4" w:space="0" w:color="auto"/>
              <w:bottom w:val="nil"/>
              <w:right w:val="single" w:sz="4" w:space="0" w:color="auto"/>
            </w:tcBorders>
            <w:hideMark/>
          </w:tcPr>
          <w:p w14:paraId="7C3315DC" w14:textId="77777777" w:rsidR="00B0361F" w:rsidRPr="00F638AF" w:rsidRDefault="00016F29" w:rsidP="00342FAF">
            <w:pPr>
              <w:rPr>
                <w:szCs w:val="22"/>
                <w:lang w:val="en-GB"/>
              </w:rPr>
            </w:pPr>
            <w:r w:rsidRPr="00F638AF">
              <w:rPr>
                <w:szCs w:val="22"/>
                <w:lang w:val="en-GB"/>
              </w:rPr>
              <w:t>Overall survival (median)</w:t>
            </w:r>
          </w:p>
        </w:tc>
        <w:tc>
          <w:tcPr>
            <w:tcW w:w="1470" w:type="dxa"/>
            <w:tcBorders>
              <w:top w:val="nil"/>
              <w:left w:val="single" w:sz="4" w:space="0" w:color="auto"/>
              <w:bottom w:val="nil"/>
              <w:right w:val="nil"/>
            </w:tcBorders>
            <w:hideMark/>
          </w:tcPr>
          <w:p w14:paraId="7C3315DD" w14:textId="77777777" w:rsidR="00B0361F" w:rsidRPr="00F638AF" w:rsidRDefault="00016F29" w:rsidP="00342FAF">
            <w:pPr>
              <w:jc w:val="center"/>
              <w:rPr>
                <w:szCs w:val="22"/>
                <w:lang w:val="en-GB"/>
              </w:rPr>
            </w:pPr>
            <w:r w:rsidRPr="00F638AF">
              <w:rPr>
                <w:szCs w:val="22"/>
                <w:lang w:val="en-GB"/>
              </w:rPr>
              <w:t>NR</w:t>
            </w:r>
          </w:p>
        </w:tc>
        <w:tc>
          <w:tcPr>
            <w:tcW w:w="1469" w:type="dxa"/>
            <w:tcBorders>
              <w:top w:val="nil"/>
              <w:left w:val="nil"/>
              <w:bottom w:val="nil"/>
              <w:right w:val="single" w:sz="4" w:space="0" w:color="auto"/>
            </w:tcBorders>
            <w:hideMark/>
          </w:tcPr>
          <w:p w14:paraId="7C3315DE" w14:textId="77777777" w:rsidR="00B0361F" w:rsidRPr="00F638AF" w:rsidRDefault="00016F29" w:rsidP="00342FAF">
            <w:pPr>
              <w:jc w:val="center"/>
              <w:rPr>
                <w:szCs w:val="22"/>
                <w:lang w:val="en-GB"/>
              </w:rPr>
            </w:pPr>
            <w:r w:rsidRPr="00F638AF">
              <w:rPr>
                <w:szCs w:val="22"/>
                <w:lang w:val="en-GB"/>
              </w:rPr>
              <w:t>NR</w:t>
            </w:r>
          </w:p>
        </w:tc>
        <w:tc>
          <w:tcPr>
            <w:tcW w:w="1470" w:type="dxa"/>
            <w:tcBorders>
              <w:top w:val="nil"/>
              <w:left w:val="single" w:sz="4" w:space="0" w:color="auto"/>
              <w:bottom w:val="nil"/>
              <w:right w:val="nil"/>
            </w:tcBorders>
            <w:hideMark/>
          </w:tcPr>
          <w:p w14:paraId="7C3315DF" w14:textId="77777777" w:rsidR="00B0361F" w:rsidRPr="00F638AF" w:rsidRDefault="00016F29" w:rsidP="00342FAF">
            <w:pPr>
              <w:jc w:val="center"/>
              <w:rPr>
                <w:szCs w:val="22"/>
                <w:lang w:val="en-GB"/>
              </w:rPr>
            </w:pPr>
            <w:r w:rsidRPr="00F638AF">
              <w:rPr>
                <w:szCs w:val="22"/>
                <w:lang w:val="en-GB"/>
              </w:rPr>
              <w:t>NR</w:t>
            </w:r>
          </w:p>
        </w:tc>
        <w:tc>
          <w:tcPr>
            <w:tcW w:w="1466" w:type="dxa"/>
            <w:tcBorders>
              <w:top w:val="nil"/>
              <w:left w:val="nil"/>
              <w:bottom w:val="nil"/>
              <w:right w:val="single" w:sz="4" w:space="0" w:color="auto"/>
            </w:tcBorders>
            <w:hideMark/>
          </w:tcPr>
          <w:p w14:paraId="7C3315E0" w14:textId="77777777" w:rsidR="00B0361F" w:rsidRPr="00F638AF" w:rsidRDefault="00016F29" w:rsidP="00342FAF">
            <w:pPr>
              <w:jc w:val="center"/>
              <w:rPr>
                <w:szCs w:val="22"/>
                <w:lang w:val="en-GB"/>
              </w:rPr>
            </w:pPr>
            <w:r w:rsidRPr="00F638AF">
              <w:rPr>
                <w:szCs w:val="22"/>
                <w:lang w:val="en-GB"/>
              </w:rPr>
              <w:t>NR</w:t>
            </w:r>
          </w:p>
        </w:tc>
      </w:tr>
      <w:tr w:rsidR="003A788B" w14:paraId="7C3315E5" w14:textId="77777777" w:rsidTr="00342FAF">
        <w:tc>
          <w:tcPr>
            <w:tcW w:w="3412" w:type="dxa"/>
            <w:tcBorders>
              <w:top w:val="nil"/>
              <w:left w:val="single" w:sz="4" w:space="0" w:color="auto"/>
              <w:bottom w:val="nil"/>
              <w:right w:val="single" w:sz="4" w:space="0" w:color="auto"/>
            </w:tcBorders>
            <w:hideMark/>
          </w:tcPr>
          <w:p w14:paraId="7C3315E2" w14:textId="77777777" w:rsidR="00B0361F" w:rsidRPr="00F638AF" w:rsidRDefault="00016F29" w:rsidP="00342FAF">
            <w:pPr>
              <w:rPr>
                <w:szCs w:val="22"/>
                <w:lang w:val="en-GB"/>
              </w:rPr>
            </w:pPr>
            <w:r w:rsidRPr="00F638AF">
              <w:rPr>
                <w:szCs w:val="22"/>
                <w:lang w:val="en-GB"/>
              </w:rPr>
              <w:t>log-rank p value</w:t>
            </w:r>
          </w:p>
        </w:tc>
        <w:tc>
          <w:tcPr>
            <w:tcW w:w="2939" w:type="dxa"/>
            <w:gridSpan w:val="2"/>
            <w:tcBorders>
              <w:top w:val="nil"/>
              <w:left w:val="single" w:sz="4" w:space="0" w:color="auto"/>
              <w:bottom w:val="nil"/>
              <w:right w:val="single" w:sz="4" w:space="0" w:color="auto"/>
            </w:tcBorders>
            <w:hideMark/>
          </w:tcPr>
          <w:p w14:paraId="7C3315E3" w14:textId="77777777" w:rsidR="00B0361F" w:rsidRPr="00F638AF" w:rsidRDefault="00016F29" w:rsidP="00342FAF">
            <w:pPr>
              <w:jc w:val="center"/>
              <w:rPr>
                <w:szCs w:val="22"/>
                <w:lang w:val="en-GB"/>
              </w:rPr>
            </w:pPr>
            <w:r w:rsidRPr="00F638AF">
              <w:rPr>
                <w:szCs w:val="22"/>
                <w:lang w:val="en-GB"/>
              </w:rPr>
              <w:t>0.7246</w:t>
            </w:r>
          </w:p>
        </w:tc>
        <w:tc>
          <w:tcPr>
            <w:tcW w:w="2936" w:type="dxa"/>
            <w:gridSpan w:val="2"/>
            <w:tcBorders>
              <w:top w:val="nil"/>
              <w:left w:val="single" w:sz="4" w:space="0" w:color="auto"/>
              <w:bottom w:val="nil"/>
              <w:right w:val="single" w:sz="4" w:space="0" w:color="auto"/>
            </w:tcBorders>
            <w:hideMark/>
          </w:tcPr>
          <w:p w14:paraId="7C3315E4" w14:textId="77777777" w:rsidR="00B0361F" w:rsidRPr="00F638AF" w:rsidRDefault="00016F29" w:rsidP="00342FAF">
            <w:pPr>
              <w:jc w:val="center"/>
              <w:rPr>
                <w:szCs w:val="22"/>
                <w:lang w:val="en-GB"/>
              </w:rPr>
            </w:pPr>
            <w:r w:rsidRPr="00F638AF">
              <w:rPr>
                <w:szCs w:val="22"/>
                <w:lang w:val="en-GB"/>
              </w:rPr>
              <w:t>0.7948</w:t>
            </w:r>
          </w:p>
        </w:tc>
      </w:tr>
      <w:tr w:rsidR="003A788B" w14:paraId="7C3315EC" w14:textId="77777777" w:rsidTr="00342FAF">
        <w:tc>
          <w:tcPr>
            <w:tcW w:w="3412" w:type="dxa"/>
            <w:tcBorders>
              <w:top w:val="nil"/>
              <w:left w:val="single" w:sz="4" w:space="0" w:color="auto"/>
              <w:bottom w:val="single" w:sz="4" w:space="0" w:color="auto"/>
              <w:right w:val="single" w:sz="4" w:space="0" w:color="auto"/>
            </w:tcBorders>
            <w:hideMark/>
          </w:tcPr>
          <w:p w14:paraId="7C3315E6" w14:textId="77777777" w:rsidR="00B0361F" w:rsidRPr="00F638AF" w:rsidRDefault="00016F29" w:rsidP="00342FAF">
            <w:pPr>
              <w:rPr>
                <w:szCs w:val="22"/>
                <w:lang w:val="en-GB"/>
              </w:rPr>
            </w:pPr>
            <w:r w:rsidRPr="00F638AF">
              <w:rPr>
                <w:szCs w:val="22"/>
                <w:lang w:val="en-GB"/>
              </w:rPr>
              <w:t>hazard ratio (95% CI)</w:t>
            </w:r>
          </w:p>
          <w:p w14:paraId="7C3315E7" w14:textId="77777777" w:rsidR="00B0361F" w:rsidRPr="00F638AF" w:rsidRDefault="00016F29" w:rsidP="00342FAF">
            <w:pPr>
              <w:rPr>
                <w:szCs w:val="22"/>
                <w:lang w:val="en-GB"/>
              </w:rPr>
            </w:pPr>
            <w:r w:rsidRPr="00F638AF">
              <w:rPr>
                <w:szCs w:val="22"/>
                <w:lang w:val="en-GB"/>
              </w:rPr>
              <w:t>risk reduction</w:t>
            </w:r>
          </w:p>
        </w:tc>
        <w:tc>
          <w:tcPr>
            <w:tcW w:w="2939" w:type="dxa"/>
            <w:gridSpan w:val="2"/>
            <w:tcBorders>
              <w:top w:val="nil"/>
              <w:left w:val="single" w:sz="4" w:space="0" w:color="auto"/>
              <w:bottom w:val="single" w:sz="4" w:space="0" w:color="auto"/>
              <w:right w:val="single" w:sz="4" w:space="0" w:color="auto"/>
            </w:tcBorders>
            <w:hideMark/>
          </w:tcPr>
          <w:p w14:paraId="7C3315E8" w14:textId="77777777" w:rsidR="00B0361F" w:rsidRPr="00F638AF" w:rsidRDefault="00016F29" w:rsidP="00342FAF">
            <w:pPr>
              <w:jc w:val="center"/>
              <w:rPr>
                <w:szCs w:val="22"/>
                <w:lang w:val="en-GB"/>
              </w:rPr>
            </w:pPr>
            <w:r w:rsidRPr="00F638AF">
              <w:rPr>
                <w:szCs w:val="22"/>
                <w:lang w:val="en-GB"/>
              </w:rPr>
              <w:t>0.89 (0.45, 1.74)</w:t>
            </w:r>
          </w:p>
          <w:p w14:paraId="7C3315E9" w14:textId="77777777" w:rsidR="00B0361F" w:rsidRPr="00F638AF" w:rsidRDefault="00016F29" w:rsidP="00342FAF">
            <w:pPr>
              <w:jc w:val="center"/>
              <w:rPr>
                <w:szCs w:val="22"/>
                <w:lang w:val="en-GB"/>
              </w:rPr>
            </w:pPr>
            <w:r w:rsidRPr="00F638AF">
              <w:rPr>
                <w:szCs w:val="22"/>
                <w:lang w:val="en-GB"/>
              </w:rPr>
              <w:t>11%</w:t>
            </w:r>
          </w:p>
        </w:tc>
        <w:tc>
          <w:tcPr>
            <w:tcW w:w="2936" w:type="dxa"/>
            <w:gridSpan w:val="2"/>
            <w:tcBorders>
              <w:top w:val="nil"/>
              <w:left w:val="single" w:sz="4" w:space="0" w:color="auto"/>
              <w:bottom w:val="single" w:sz="4" w:space="0" w:color="auto"/>
              <w:right w:val="single" w:sz="4" w:space="0" w:color="auto"/>
            </w:tcBorders>
            <w:hideMark/>
          </w:tcPr>
          <w:p w14:paraId="7C3315EA" w14:textId="77777777" w:rsidR="00B0361F" w:rsidRPr="00F638AF" w:rsidRDefault="00016F29" w:rsidP="00342FAF">
            <w:pPr>
              <w:jc w:val="center"/>
              <w:rPr>
                <w:szCs w:val="22"/>
                <w:lang w:val="en-GB"/>
              </w:rPr>
            </w:pPr>
            <w:r w:rsidRPr="00F638AF">
              <w:rPr>
                <w:szCs w:val="22"/>
                <w:lang w:val="en-GB"/>
              </w:rPr>
              <w:t>1.04 (0.77, 1.40)</w:t>
            </w:r>
          </w:p>
          <w:p w14:paraId="7C3315EB" w14:textId="77777777" w:rsidR="00B0361F" w:rsidRPr="00F638AF" w:rsidRDefault="00016F29" w:rsidP="00342FAF">
            <w:pPr>
              <w:jc w:val="center"/>
              <w:rPr>
                <w:szCs w:val="22"/>
                <w:lang w:val="en-GB"/>
              </w:rPr>
            </w:pPr>
            <w:r w:rsidRPr="00F638AF">
              <w:rPr>
                <w:szCs w:val="22"/>
                <w:lang w:val="en-GB"/>
              </w:rPr>
              <w:t>-6%</w:t>
            </w:r>
          </w:p>
        </w:tc>
      </w:tr>
      <w:tr w:rsidR="003A788B" w14:paraId="7C3315F2" w14:textId="77777777" w:rsidTr="00342FAF">
        <w:tc>
          <w:tcPr>
            <w:tcW w:w="3412" w:type="dxa"/>
            <w:tcBorders>
              <w:top w:val="nil"/>
              <w:left w:val="single" w:sz="4" w:space="0" w:color="auto"/>
              <w:bottom w:val="nil"/>
              <w:right w:val="single" w:sz="4" w:space="0" w:color="auto"/>
            </w:tcBorders>
            <w:hideMark/>
          </w:tcPr>
          <w:p w14:paraId="7C3315ED" w14:textId="77777777" w:rsidR="00B0361F" w:rsidRPr="00F638AF" w:rsidRDefault="00016F29" w:rsidP="00342FAF">
            <w:pPr>
              <w:rPr>
                <w:szCs w:val="22"/>
                <w:lang w:val="en-GB"/>
              </w:rPr>
            </w:pPr>
            <w:r w:rsidRPr="00F638AF">
              <w:rPr>
                <w:szCs w:val="22"/>
                <w:lang w:val="en-GB"/>
              </w:rPr>
              <w:t>Event-free survival (median)</w:t>
            </w:r>
          </w:p>
        </w:tc>
        <w:tc>
          <w:tcPr>
            <w:tcW w:w="1470" w:type="dxa"/>
            <w:tcBorders>
              <w:top w:val="nil"/>
              <w:left w:val="single" w:sz="4" w:space="0" w:color="auto"/>
              <w:bottom w:val="nil"/>
              <w:right w:val="nil"/>
            </w:tcBorders>
            <w:hideMark/>
          </w:tcPr>
          <w:p w14:paraId="7C3315EE" w14:textId="77777777" w:rsidR="00B0361F" w:rsidRPr="00F638AF" w:rsidRDefault="00016F29" w:rsidP="00342FAF">
            <w:pPr>
              <w:jc w:val="center"/>
              <w:rPr>
                <w:szCs w:val="22"/>
                <w:lang w:val="en-GB"/>
              </w:rPr>
            </w:pPr>
            <w:r w:rsidRPr="00F638AF">
              <w:rPr>
                <w:szCs w:val="22"/>
                <w:lang w:val="en-GB"/>
              </w:rPr>
              <w:t>38 months</w:t>
            </w:r>
          </w:p>
        </w:tc>
        <w:tc>
          <w:tcPr>
            <w:tcW w:w="1469" w:type="dxa"/>
            <w:tcBorders>
              <w:top w:val="nil"/>
              <w:left w:val="nil"/>
              <w:bottom w:val="nil"/>
              <w:right w:val="single" w:sz="4" w:space="0" w:color="auto"/>
            </w:tcBorders>
            <w:hideMark/>
          </w:tcPr>
          <w:p w14:paraId="7C3315EF" w14:textId="77777777" w:rsidR="00B0361F" w:rsidRPr="00F638AF" w:rsidRDefault="00016F29" w:rsidP="00342FAF">
            <w:pPr>
              <w:jc w:val="center"/>
              <w:rPr>
                <w:szCs w:val="22"/>
                <w:lang w:val="en-GB"/>
              </w:rPr>
            </w:pPr>
            <w:r w:rsidRPr="00F638AF">
              <w:rPr>
                <w:szCs w:val="22"/>
                <w:lang w:val="en-GB"/>
              </w:rPr>
              <w:t>NR</w:t>
            </w:r>
          </w:p>
        </w:tc>
        <w:tc>
          <w:tcPr>
            <w:tcW w:w="1470" w:type="dxa"/>
            <w:tcBorders>
              <w:top w:val="nil"/>
              <w:left w:val="single" w:sz="4" w:space="0" w:color="auto"/>
              <w:bottom w:val="nil"/>
              <w:right w:val="nil"/>
            </w:tcBorders>
            <w:hideMark/>
          </w:tcPr>
          <w:p w14:paraId="7C3315F0" w14:textId="77777777" w:rsidR="00B0361F" w:rsidRPr="00F638AF" w:rsidRDefault="00016F29" w:rsidP="00342FAF">
            <w:pPr>
              <w:jc w:val="center"/>
              <w:rPr>
                <w:szCs w:val="22"/>
                <w:lang w:val="en-GB"/>
              </w:rPr>
            </w:pPr>
            <w:r w:rsidRPr="00F638AF">
              <w:rPr>
                <w:szCs w:val="22"/>
                <w:lang w:val="en-GB"/>
              </w:rPr>
              <w:t>4.04 years</w:t>
            </w:r>
          </w:p>
        </w:tc>
        <w:tc>
          <w:tcPr>
            <w:tcW w:w="1466" w:type="dxa"/>
            <w:tcBorders>
              <w:top w:val="nil"/>
              <w:left w:val="nil"/>
              <w:bottom w:val="nil"/>
              <w:right w:val="single" w:sz="4" w:space="0" w:color="auto"/>
            </w:tcBorders>
            <w:hideMark/>
          </w:tcPr>
          <w:p w14:paraId="7C3315F1" w14:textId="77777777" w:rsidR="00B0361F" w:rsidRPr="00F638AF" w:rsidRDefault="00016F29" w:rsidP="00342FAF">
            <w:pPr>
              <w:jc w:val="center"/>
              <w:rPr>
                <w:szCs w:val="22"/>
                <w:lang w:val="en-GB"/>
              </w:rPr>
            </w:pPr>
            <w:r w:rsidRPr="00F638AF">
              <w:rPr>
                <w:szCs w:val="22"/>
                <w:lang w:val="en-GB"/>
              </w:rPr>
              <w:t>9.25 years</w:t>
            </w:r>
          </w:p>
        </w:tc>
      </w:tr>
      <w:tr w:rsidR="003A788B" w14:paraId="7C3315F6" w14:textId="77777777" w:rsidTr="00342FAF">
        <w:tc>
          <w:tcPr>
            <w:tcW w:w="3412" w:type="dxa"/>
            <w:tcBorders>
              <w:top w:val="nil"/>
              <w:left w:val="single" w:sz="4" w:space="0" w:color="auto"/>
              <w:bottom w:val="nil"/>
              <w:right w:val="single" w:sz="4" w:space="0" w:color="auto"/>
            </w:tcBorders>
            <w:hideMark/>
          </w:tcPr>
          <w:p w14:paraId="7C3315F3" w14:textId="77777777" w:rsidR="00B0361F" w:rsidRPr="00F638AF" w:rsidRDefault="00016F29" w:rsidP="00342FAF">
            <w:pPr>
              <w:rPr>
                <w:szCs w:val="22"/>
                <w:lang w:val="en-GB"/>
              </w:rPr>
            </w:pPr>
            <w:r w:rsidRPr="00F638AF">
              <w:rPr>
                <w:szCs w:val="22"/>
                <w:lang w:val="en-GB"/>
              </w:rPr>
              <w:t>log-rank p value</w:t>
            </w:r>
          </w:p>
        </w:tc>
        <w:tc>
          <w:tcPr>
            <w:tcW w:w="2939" w:type="dxa"/>
            <w:gridSpan w:val="2"/>
            <w:tcBorders>
              <w:top w:val="nil"/>
              <w:left w:val="single" w:sz="4" w:space="0" w:color="auto"/>
              <w:bottom w:val="nil"/>
              <w:right w:val="single" w:sz="4" w:space="0" w:color="auto"/>
            </w:tcBorders>
            <w:hideMark/>
          </w:tcPr>
          <w:p w14:paraId="7C3315F4" w14:textId="77777777" w:rsidR="00B0361F" w:rsidRPr="00F638AF" w:rsidRDefault="00016F29" w:rsidP="00342FAF">
            <w:pPr>
              <w:jc w:val="center"/>
              <w:rPr>
                <w:szCs w:val="22"/>
                <w:lang w:val="en-GB"/>
              </w:rPr>
            </w:pPr>
            <w:r w:rsidRPr="00F638AF">
              <w:rPr>
                <w:szCs w:val="22"/>
                <w:lang w:val="en-GB"/>
              </w:rPr>
              <w:t>&lt;0.0001</w:t>
            </w:r>
          </w:p>
        </w:tc>
        <w:tc>
          <w:tcPr>
            <w:tcW w:w="2936" w:type="dxa"/>
            <w:gridSpan w:val="2"/>
            <w:tcBorders>
              <w:top w:val="nil"/>
              <w:left w:val="single" w:sz="4" w:space="0" w:color="auto"/>
              <w:bottom w:val="nil"/>
              <w:right w:val="single" w:sz="4" w:space="0" w:color="auto"/>
            </w:tcBorders>
            <w:hideMark/>
          </w:tcPr>
          <w:p w14:paraId="7C3315F5" w14:textId="77777777" w:rsidR="00B0361F" w:rsidRPr="00F638AF" w:rsidRDefault="00016F29" w:rsidP="00342FAF">
            <w:pPr>
              <w:jc w:val="center"/>
              <w:rPr>
                <w:szCs w:val="22"/>
                <w:lang w:val="en-GB"/>
              </w:rPr>
            </w:pPr>
            <w:r w:rsidRPr="00F638AF">
              <w:rPr>
                <w:szCs w:val="22"/>
                <w:lang w:val="en-GB"/>
              </w:rPr>
              <w:t>&lt;0.0001</w:t>
            </w:r>
          </w:p>
        </w:tc>
      </w:tr>
      <w:tr w:rsidR="003A788B" w14:paraId="7C3315FD" w14:textId="77777777" w:rsidTr="00342FAF">
        <w:tc>
          <w:tcPr>
            <w:tcW w:w="3412" w:type="dxa"/>
            <w:tcBorders>
              <w:top w:val="nil"/>
              <w:left w:val="single" w:sz="4" w:space="0" w:color="auto"/>
              <w:bottom w:val="single" w:sz="4" w:space="0" w:color="auto"/>
              <w:right w:val="single" w:sz="4" w:space="0" w:color="auto"/>
            </w:tcBorders>
            <w:hideMark/>
          </w:tcPr>
          <w:p w14:paraId="7C3315F7" w14:textId="77777777" w:rsidR="00B0361F" w:rsidRPr="00F638AF" w:rsidRDefault="00016F29" w:rsidP="00342FAF">
            <w:pPr>
              <w:rPr>
                <w:szCs w:val="22"/>
                <w:lang w:val="en-GB"/>
              </w:rPr>
            </w:pPr>
            <w:r w:rsidRPr="00F638AF">
              <w:rPr>
                <w:szCs w:val="22"/>
                <w:lang w:val="en-GB"/>
              </w:rPr>
              <w:t>hazard ratio (95% CI)</w:t>
            </w:r>
          </w:p>
          <w:p w14:paraId="7C3315F8" w14:textId="77777777" w:rsidR="00B0361F" w:rsidRPr="00F638AF" w:rsidRDefault="00016F29" w:rsidP="00342FAF">
            <w:pPr>
              <w:rPr>
                <w:szCs w:val="22"/>
                <w:lang w:val="en-GB"/>
              </w:rPr>
            </w:pPr>
            <w:r w:rsidRPr="00F638AF">
              <w:rPr>
                <w:szCs w:val="22"/>
                <w:lang w:val="en-GB"/>
              </w:rPr>
              <w:t xml:space="preserve">risk reduction </w:t>
            </w:r>
          </w:p>
        </w:tc>
        <w:tc>
          <w:tcPr>
            <w:tcW w:w="2939" w:type="dxa"/>
            <w:gridSpan w:val="2"/>
            <w:tcBorders>
              <w:top w:val="nil"/>
              <w:left w:val="single" w:sz="4" w:space="0" w:color="auto"/>
              <w:bottom w:val="single" w:sz="4" w:space="0" w:color="auto"/>
              <w:right w:val="single" w:sz="4" w:space="0" w:color="auto"/>
            </w:tcBorders>
            <w:hideMark/>
          </w:tcPr>
          <w:p w14:paraId="7C3315F9" w14:textId="77777777" w:rsidR="00B0361F" w:rsidRPr="00F638AF" w:rsidRDefault="00016F29" w:rsidP="00342FAF">
            <w:pPr>
              <w:jc w:val="center"/>
              <w:rPr>
                <w:szCs w:val="22"/>
                <w:lang w:val="en-GB"/>
              </w:rPr>
            </w:pPr>
            <w:r w:rsidRPr="00F638AF">
              <w:rPr>
                <w:szCs w:val="22"/>
                <w:lang w:val="en-GB"/>
              </w:rPr>
              <w:t>0.54 (0.43, 0.69)</w:t>
            </w:r>
          </w:p>
          <w:p w14:paraId="7C3315FA" w14:textId="77777777" w:rsidR="00B0361F" w:rsidRPr="00F638AF" w:rsidRDefault="00016F29" w:rsidP="00342FAF">
            <w:pPr>
              <w:jc w:val="center"/>
              <w:rPr>
                <w:szCs w:val="22"/>
                <w:lang w:val="en-GB"/>
              </w:rPr>
            </w:pPr>
            <w:r w:rsidRPr="00F638AF">
              <w:rPr>
                <w:szCs w:val="22"/>
                <w:lang w:val="en-GB"/>
              </w:rPr>
              <w:t>46%</w:t>
            </w:r>
          </w:p>
        </w:tc>
        <w:tc>
          <w:tcPr>
            <w:tcW w:w="2936" w:type="dxa"/>
            <w:gridSpan w:val="2"/>
            <w:tcBorders>
              <w:top w:val="nil"/>
              <w:left w:val="single" w:sz="4" w:space="0" w:color="auto"/>
              <w:bottom w:val="single" w:sz="4" w:space="0" w:color="auto"/>
              <w:right w:val="single" w:sz="4" w:space="0" w:color="auto"/>
            </w:tcBorders>
            <w:hideMark/>
          </w:tcPr>
          <w:p w14:paraId="7C3315FB" w14:textId="77777777" w:rsidR="00B0361F" w:rsidRPr="00F638AF" w:rsidRDefault="00016F29" w:rsidP="00342FAF">
            <w:pPr>
              <w:jc w:val="center"/>
              <w:rPr>
                <w:szCs w:val="22"/>
                <w:lang w:val="en-GB"/>
              </w:rPr>
            </w:pPr>
            <w:r w:rsidRPr="00F638AF">
              <w:rPr>
                <w:szCs w:val="22"/>
                <w:lang w:val="en-GB"/>
              </w:rPr>
              <w:t>0.64 (0.54, 0.76)</w:t>
            </w:r>
          </w:p>
          <w:p w14:paraId="7C3315FC" w14:textId="77777777" w:rsidR="00B0361F" w:rsidRPr="00F638AF" w:rsidRDefault="00016F29" w:rsidP="00342FAF">
            <w:pPr>
              <w:jc w:val="center"/>
              <w:rPr>
                <w:szCs w:val="22"/>
                <w:lang w:val="en-GB"/>
              </w:rPr>
            </w:pPr>
            <w:r w:rsidRPr="00F638AF">
              <w:rPr>
                <w:szCs w:val="22"/>
                <w:lang w:val="en-GB"/>
              </w:rPr>
              <w:t>36%</w:t>
            </w:r>
          </w:p>
        </w:tc>
      </w:tr>
      <w:tr w:rsidR="003A788B" w14:paraId="7C331603" w14:textId="77777777" w:rsidTr="00342FAF">
        <w:tc>
          <w:tcPr>
            <w:tcW w:w="3412" w:type="dxa"/>
            <w:tcBorders>
              <w:top w:val="nil"/>
              <w:left w:val="single" w:sz="4" w:space="0" w:color="auto"/>
              <w:bottom w:val="nil"/>
              <w:right w:val="single" w:sz="4" w:space="0" w:color="auto"/>
            </w:tcBorders>
            <w:hideMark/>
          </w:tcPr>
          <w:p w14:paraId="7C3315FE" w14:textId="77777777" w:rsidR="00B0361F" w:rsidRPr="00F638AF" w:rsidRDefault="00016F29" w:rsidP="00342FAF">
            <w:pPr>
              <w:rPr>
                <w:szCs w:val="22"/>
                <w:lang w:val="en-GB"/>
              </w:rPr>
            </w:pPr>
            <w:r w:rsidRPr="00F638AF">
              <w:rPr>
                <w:szCs w:val="22"/>
                <w:lang w:val="en-GB"/>
              </w:rPr>
              <w:t>TNLT (median)</w:t>
            </w:r>
          </w:p>
        </w:tc>
        <w:tc>
          <w:tcPr>
            <w:tcW w:w="1470" w:type="dxa"/>
            <w:tcBorders>
              <w:top w:val="nil"/>
              <w:left w:val="single" w:sz="4" w:space="0" w:color="auto"/>
              <w:bottom w:val="nil"/>
              <w:right w:val="nil"/>
            </w:tcBorders>
            <w:hideMark/>
          </w:tcPr>
          <w:p w14:paraId="7C3315FF" w14:textId="77777777" w:rsidR="00B0361F" w:rsidRPr="00F638AF" w:rsidRDefault="00016F29" w:rsidP="00342FAF">
            <w:pPr>
              <w:jc w:val="center"/>
              <w:rPr>
                <w:szCs w:val="22"/>
                <w:lang w:val="en-GB"/>
              </w:rPr>
            </w:pPr>
            <w:r w:rsidRPr="00F638AF">
              <w:rPr>
                <w:szCs w:val="22"/>
                <w:lang w:val="en-GB"/>
              </w:rPr>
              <w:t>NR</w:t>
            </w:r>
          </w:p>
        </w:tc>
        <w:tc>
          <w:tcPr>
            <w:tcW w:w="1469" w:type="dxa"/>
            <w:tcBorders>
              <w:top w:val="nil"/>
              <w:left w:val="nil"/>
              <w:bottom w:val="nil"/>
              <w:right w:val="single" w:sz="4" w:space="0" w:color="auto"/>
            </w:tcBorders>
            <w:hideMark/>
          </w:tcPr>
          <w:p w14:paraId="7C331600" w14:textId="77777777" w:rsidR="00B0361F" w:rsidRPr="00F638AF" w:rsidRDefault="00016F29" w:rsidP="00342FAF">
            <w:pPr>
              <w:jc w:val="center"/>
              <w:rPr>
                <w:szCs w:val="22"/>
                <w:lang w:val="en-GB"/>
              </w:rPr>
            </w:pPr>
            <w:r w:rsidRPr="00F638AF">
              <w:rPr>
                <w:szCs w:val="22"/>
                <w:lang w:val="en-GB"/>
              </w:rPr>
              <w:t>NR</w:t>
            </w:r>
          </w:p>
        </w:tc>
        <w:tc>
          <w:tcPr>
            <w:tcW w:w="1470" w:type="dxa"/>
            <w:tcBorders>
              <w:top w:val="nil"/>
              <w:left w:val="single" w:sz="4" w:space="0" w:color="auto"/>
              <w:bottom w:val="nil"/>
              <w:right w:val="nil"/>
            </w:tcBorders>
            <w:hideMark/>
          </w:tcPr>
          <w:p w14:paraId="7C331601" w14:textId="77777777" w:rsidR="00B0361F" w:rsidRPr="00F638AF" w:rsidRDefault="00016F29" w:rsidP="00342FAF">
            <w:pPr>
              <w:jc w:val="center"/>
              <w:rPr>
                <w:szCs w:val="22"/>
                <w:lang w:val="en-GB"/>
              </w:rPr>
            </w:pPr>
            <w:r w:rsidRPr="00F638AF">
              <w:rPr>
                <w:szCs w:val="22"/>
                <w:lang w:val="en-GB"/>
              </w:rPr>
              <w:t>6.11 years</w:t>
            </w:r>
          </w:p>
        </w:tc>
        <w:tc>
          <w:tcPr>
            <w:tcW w:w="1466" w:type="dxa"/>
            <w:tcBorders>
              <w:top w:val="nil"/>
              <w:left w:val="nil"/>
              <w:bottom w:val="nil"/>
              <w:right w:val="single" w:sz="4" w:space="0" w:color="auto"/>
            </w:tcBorders>
            <w:hideMark/>
          </w:tcPr>
          <w:p w14:paraId="7C331602" w14:textId="77777777" w:rsidR="00B0361F" w:rsidRPr="00F638AF" w:rsidRDefault="00016F29" w:rsidP="00342FAF">
            <w:pPr>
              <w:jc w:val="center"/>
              <w:rPr>
                <w:szCs w:val="22"/>
                <w:lang w:val="en-GB"/>
              </w:rPr>
            </w:pPr>
            <w:r w:rsidRPr="00F638AF">
              <w:rPr>
                <w:szCs w:val="22"/>
                <w:lang w:val="en-GB"/>
              </w:rPr>
              <w:t>NR</w:t>
            </w:r>
          </w:p>
        </w:tc>
      </w:tr>
      <w:tr w:rsidR="003A788B" w14:paraId="7C331607" w14:textId="77777777" w:rsidTr="00342FAF">
        <w:tc>
          <w:tcPr>
            <w:tcW w:w="3412" w:type="dxa"/>
            <w:tcBorders>
              <w:top w:val="nil"/>
              <w:left w:val="single" w:sz="4" w:space="0" w:color="auto"/>
              <w:bottom w:val="nil"/>
              <w:right w:val="single" w:sz="4" w:space="0" w:color="auto"/>
            </w:tcBorders>
            <w:hideMark/>
          </w:tcPr>
          <w:p w14:paraId="7C331604" w14:textId="77777777" w:rsidR="00B0361F" w:rsidRPr="00F638AF" w:rsidRDefault="00016F29" w:rsidP="00342FAF">
            <w:pPr>
              <w:rPr>
                <w:szCs w:val="22"/>
                <w:lang w:val="en-GB"/>
              </w:rPr>
            </w:pPr>
            <w:r w:rsidRPr="00F638AF">
              <w:rPr>
                <w:szCs w:val="22"/>
                <w:lang w:val="en-GB"/>
              </w:rPr>
              <w:t>log-rank p value</w:t>
            </w:r>
          </w:p>
        </w:tc>
        <w:tc>
          <w:tcPr>
            <w:tcW w:w="2939" w:type="dxa"/>
            <w:gridSpan w:val="2"/>
            <w:tcBorders>
              <w:top w:val="nil"/>
              <w:left w:val="single" w:sz="4" w:space="0" w:color="auto"/>
              <w:bottom w:val="nil"/>
              <w:right w:val="single" w:sz="4" w:space="0" w:color="auto"/>
            </w:tcBorders>
            <w:hideMark/>
          </w:tcPr>
          <w:p w14:paraId="7C331605" w14:textId="77777777" w:rsidR="00B0361F" w:rsidRPr="00F638AF" w:rsidRDefault="00016F29" w:rsidP="00342FAF">
            <w:pPr>
              <w:jc w:val="center"/>
              <w:rPr>
                <w:szCs w:val="22"/>
                <w:lang w:val="en-GB"/>
              </w:rPr>
            </w:pPr>
            <w:r w:rsidRPr="00F638AF">
              <w:rPr>
                <w:szCs w:val="22"/>
                <w:lang w:val="en-GB"/>
              </w:rPr>
              <w:t>0.0003</w:t>
            </w:r>
          </w:p>
        </w:tc>
        <w:tc>
          <w:tcPr>
            <w:tcW w:w="2936" w:type="dxa"/>
            <w:gridSpan w:val="2"/>
            <w:tcBorders>
              <w:top w:val="nil"/>
              <w:left w:val="single" w:sz="4" w:space="0" w:color="auto"/>
              <w:bottom w:val="nil"/>
              <w:right w:val="single" w:sz="4" w:space="0" w:color="auto"/>
            </w:tcBorders>
            <w:hideMark/>
          </w:tcPr>
          <w:p w14:paraId="7C331606" w14:textId="77777777" w:rsidR="00B0361F" w:rsidRPr="00F638AF" w:rsidRDefault="00016F29" w:rsidP="00342FAF">
            <w:pPr>
              <w:jc w:val="center"/>
              <w:rPr>
                <w:szCs w:val="22"/>
                <w:lang w:val="en-GB"/>
              </w:rPr>
            </w:pPr>
            <w:r w:rsidRPr="00F638AF">
              <w:rPr>
                <w:szCs w:val="22"/>
                <w:lang w:val="en-GB"/>
              </w:rPr>
              <w:t>&lt;0.0001</w:t>
            </w:r>
          </w:p>
        </w:tc>
      </w:tr>
      <w:tr w:rsidR="003A788B" w14:paraId="7C33160E" w14:textId="77777777" w:rsidTr="00342FAF">
        <w:tc>
          <w:tcPr>
            <w:tcW w:w="3412" w:type="dxa"/>
            <w:tcBorders>
              <w:top w:val="nil"/>
              <w:left w:val="single" w:sz="4" w:space="0" w:color="auto"/>
              <w:bottom w:val="single" w:sz="4" w:space="0" w:color="auto"/>
              <w:right w:val="single" w:sz="4" w:space="0" w:color="auto"/>
            </w:tcBorders>
            <w:hideMark/>
          </w:tcPr>
          <w:p w14:paraId="7C331608" w14:textId="77777777" w:rsidR="00B0361F" w:rsidRPr="00F638AF" w:rsidRDefault="00016F29" w:rsidP="00342FAF">
            <w:pPr>
              <w:rPr>
                <w:szCs w:val="22"/>
                <w:lang w:val="en-GB"/>
              </w:rPr>
            </w:pPr>
            <w:r w:rsidRPr="00F638AF">
              <w:rPr>
                <w:szCs w:val="22"/>
                <w:lang w:val="en-GB"/>
              </w:rPr>
              <w:t>hazard ratio (95% CI)</w:t>
            </w:r>
          </w:p>
          <w:p w14:paraId="7C331609" w14:textId="77777777" w:rsidR="00B0361F" w:rsidRPr="00F638AF" w:rsidRDefault="00016F29" w:rsidP="00342FAF">
            <w:pPr>
              <w:rPr>
                <w:szCs w:val="22"/>
                <w:lang w:val="en-GB"/>
              </w:rPr>
            </w:pPr>
            <w:r w:rsidRPr="00F638AF">
              <w:rPr>
                <w:szCs w:val="22"/>
                <w:lang w:val="en-GB"/>
              </w:rPr>
              <w:t xml:space="preserve">risk reduction </w:t>
            </w:r>
          </w:p>
        </w:tc>
        <w:tc>
          <w:tcPr>
            <w:tcW w:w="2939" w:type="dxa"/>
            <w:gridSpan w:val="2"/>
            <w:tcBorders>
              <w:top w:val="nil"/>
              <w:left w:val="single" w:sz="4" w:space="0" w:color="auto"/>
              <w:bottom w:val="single" w:sz="4" w:space="0" w:color="auto"/>
              <w:right w:val="single" w:sz="4" w:space="0" w:color="auto"/>
            </w:tcBorders>
            <w:hideMark/>
          </w:tcPr>
          <w:p w14:paraId="7C33160A" w14:textId="77777777" w:rsidR="00B0361F" w:rsidRPr="00F638AF" w:rsidRDefault="00016F29" w:rsidP="00342FAF">
            <w:pPr>
              <w:jc w:val="center"/>
              <w:rPr>
                <w:szCs w:val="22"/>
                <w:lang w:val="en-GB"/>
              </w:rPr>
            </w:pPr>
            <w:r w:rsidRPr="00F638AF">
              <w:rPr>
                <w:szCs w:val="22"/>
                <w:lang w:val="en-GB"/>
              </w:rPr>
              <w:t>0.61 (0.46, 0.80)</w:t>
            </w:r>
          </w:p>
          <w:p w14:paraId="7C33160B" w14:textId="77777777" w:rsidR="00B0361F" w:rsidRPr="00F638AF" w:rsidRDefault="00016F29" w:rsidP="00342FAF">
            <w:pPr>
              <w:jc w:val="center"/>
              <w:rPr>
                <w:szCs w:val="22"/>
                <w:lang w:val="en-GB"/>
              </w:rPr>
            </w:pPr>
            <w:r w:rsidRPr="00F638AF">
              <w:rPr>
                <w:szCs w:val="22"/>
                <w:lang w:val="en-GB"/>
              </w:rPr>
              <w:t>39%</w:t>
            </w:r>
          </w:p>
        </w:tc>
        <w:tc>
          <w:tcPr>
            <w:tcW w:w="2936" w:type="dxa"/>
            <w:gridSpan w:val="2"/>
            <w:tcBorders>
              <w:top w:val="nil"/>
              <w:left w:val="single" w:sz="4" w:space="0" w:color="auto"/>
              <w:bottom w:val="single" w:sz="4" w:space="0" w:color="auto"/>
              <w:right w:val="single" w:sz="4" w:space="0" w:color="auto"/>
            </w:tcBorders>
            <w:hideMark/>
          </w:tcPr>
          <w:p w14:paraId="7C33160C" w14:textId="77777777" w:rsidR="00B0361F" w:rsidRPr="00F638AF" w:rsidRDefault="00016F29" w:rsidP="00342FAF">
            <w:pPr>
              <w:jc w:val="center"/>
              <w:rPr>
                <w:szCs w:val="22"/>
                <w:lang w:val="en-GB"/>
              </w:rPr>
            </w:pPr>
            <w:r w:rsidRPr="00F638AF">
              <w:rPr>
                <w:szCs w:val="22"/>
                <w:lang w:val="en-GB"/>
              </w:rPr>
              <w:t>0.66 (0.55, 0.78)</w:t>
            </w:r>
          </w:p>
          <w:p w14:paraId="7C33160D" w14:textId="77777777" w:rsidR="00B0361F" w:rsidRPr="00F638AF" w:rsidRDefault="00016F29" w:rsidP="00342FAF">
            <w:pPr>
              <w:jc w:val="center"/>
              <w:rPr>
                <w:szCs w:val="22"/>
                <w:lang w:val="en-GB"/>
              </w:rPr>
            </w:pPr>
            <w:r w:rsidRPr="00F638AF">
              <w:rPr>
                <w:szCs w:val="22"/>
                <w:lang w:val="en-GB"/>
              </w:rPr>
              <w:t>34%</w:t>
            </w:r>
          </w:p>
        </w:tc>
      </w:tr>
      <w:tr w:rsidR="003A788B" w14:paraId="7C331614" w14:textId="77777777" w:rsidTr="00342FAF">
        <w:tc>
          <w:tcPr>
            <w:tcW w:w="3412" w:type="dxa"/>
            <w:tcBorders>
              <w:top w:val="nil"/>
              <w:left w:val="single" w:sz="4" w:space="0" w:color="auto"/>
              <w:bottom w:val="nil"/>
              <w:right w:val="single" w:sz="4" w:space="0" w:color="auto"/>
            </w:tcBorders>
            <w:hideMark/>
          </w:tcPr>
          <w:p w14:paraId="7C33160F" w14:textId="77777777" w:rsidR="00B0361F" w:rsidRPr="00F638AF" w:rsidRDefault="00016F29" w:rsidP="00342FAF">
            <w:pPr>
              <w:rPr>
                <w:szCs w:val="22"/>
                <w:lang w:val="en-GB"/>
              </w:rPr>
            </w:pPr>
            <w:r w:rsidRPr="00F638AF">
              <w:rPr>
                <w:szCs w:val="22"/>
                <w:lang w:val="en-GB"/>
              </w:rPr>
              <w:t>TNCT (median)</w:t>
            </w:r>
          </w:p>
        </w:tc>
        <w:tc>
          <w:tcPr>
            <w:tcW w:w="1470" w:type="dxa"/>
            <w:tcBorders>
              <w:top w:val="nil"/>
              <w:left w:val="single" w:sz="4" w:space="0" w:color="auto"/>
              <w:bottom w:val="nil"/>
              <w:right w:val="nil"/>
            </w:tcBorders>
            <w:hideMark/>
          </w:tcPr>
          <w:p w14:paraId="7C331610" w14:textId="77777777" w:rsidR="00B0361F" w:rsidRPr="00F638AF" w:rsidRDefault="00016F29" w:rsidP="00342FAF">
            <w:pPr>
              <w:jc w:val="center"/>
              <w:rPr>
                <w:szCs w:val="22"/>
                <w:lang w:val="en-GB"/>
              </w:rPr>
            </w:pPr>
            <w:r w:rsidRPr="00F638AF">
              <w:rPr>
                <w:szCs w:val="22"/>
                <w:lang w:val="en-GB"/>
              </w:rPr>
              <w:t>NR</w:t>
            </w:r>
          </w:p>
        </w:tc>
        <w:tc>
          <w:tcPr>
            <w:tcW w:w="1469" w:type="dxa"/>
            <w:tcBorders>
              <w:top w:val="nil"/>
              <w:left w:val="nil"/>
              <w:bottom w:val="nil"/>
              <w:right w:val="single" w:sz="4" w:space="0" w:color="auto"/>
            </w:tcBorders>
            <w:hideMark/>
          </w:tcPr>
          <w:p w14:paraId="7C331611" w14:textId="77777777" w:rsidR="00B0361F" w:rsidRPr="00F638AF" w:rsidRDefault="00016F29" w:rsidP="00342FAF">
            <w:pPr>
              <w:jc w:val="center"/>
              <w:rPr>
                <w:szCs w:val="22"/>
                <w:lang w:val="en-GB"/>
              </w:rPr>
            </w:pPr>
            <w:r w:rsidRPr="00F638AF">
              <w:rPr>
                <w:szCs w:val="22"/>
                <w:lang w:val="en-GB"/>
              </w:rPr>
              <w:t>NR</w:t>
            </w:r>
          </w:p>
        </w:tc>
        <w:tc>
          <w:tcPr>
            <w:tcW w:w="1470" w:type="dxa"/>
            <w:tcBorders>
              <w:top w:val="nil"/>
              <w:left w:val="single" w:sz="4" w:space="0" w:color="auto"/>
              <w:bottom w:val="nil"/>
              <w:right w:val="nil"/>
            </w:tcBorders>
            <w:hideMark/>
          </w:tcPr>
          <w:p w14:paraId="7C331612" w14:textId="77777777" w:rsidR="00B0361F" w:rsidRPr="00F638AF" w:rsidRDefault="00016F29" w:rsidP="00342FAF">
            <w:pPr>
              <w:jc w:val="center"/>
              <w:rPr>
                <w:szCs w:val="22"/>
                <w:lang w:val="en-GB"/>
              </w:rPr>
            </w:pPr>
            <w:r w:rsidRPr="00F638AF">
              <w:rPr>
                <w:szCs w:val="22"/>
                <w:lang w:val="en-GB"/>
              </w:rPr>
              <w:t>9.32 years</w:t>
            </w:r>
          </w:p>
        </w:tc>
        <w:tc>
          <w:tcPr>
            <w:tcW w:w="1466" w:type="dxa"/>
            <w:tcBorders>
              <w:top w:val="nil"/>
              <w:left w:val="nil"/>
              <w:bottom w:val="nil"/>
              <w:right w:val="single" w:sz="4" w:space="0" w:color="auto"/>
            </w:tcBorders>
            <w:hideMark/>
          </w:tcPr>
          <w:p w14:paraId="7C331613" w14:textId="77777777" w:rsidR="00B0361F" w:rsidRPr="00F638AF" w:rsidRDefault="00016F29" w:rsidP="00342FAF">
            <w:pPr>
              <w:jc w:val="center"/>
              <w:rPr>
                <w:szCs w:val="22"/>
                <w:lang w:val="en-GB"/>
              </w:rPr>
            </w:pPr>
            <w:r w:rsidRPr="00F638AF">
              <w:rPr>
                <w:szCs w:val="22"/>
                <w:lang w:val="en-GB"/>
              </w:rPr>
              <w:t>NR</w:t>
            </w:r>
          </w:p>
        </w:tc>
      </w:tr>
      <w:tr w:rsidR="003A788B" w14:paraId="7C331618" w14:textId="77777777" w:rsidTr="00342FAF">
        <w:tc>
          <w:tcPr>
            <w:tcW w:w="3412" w:type="dxa"/>
            <w:tcBorders>
              <w:top w:val="nil"/>
              <w:left w:val="single" w:sz="4" w:space="0" w:color="auto"/>
              <w:bottom w:val="nil"/>
              <w:right w:val="single" w:sz="4" w:space="0" w:color="auto"/>
            </w:tcBorders>
            <w:hideMark/>
          </w:tcPr>
          <w:p w14:paraId="7C331615" w14:textId="77777777" w:rsidR="00B0361F" w:rsidRPr="00F638AF" w:rsidRDefault="00016F29" w:rsidP="00342FAF">
            <w:pPr>
              <w:rPr>
                <w:szCs w:val="22"/>
                <w:lang w:val="en-GB"/>
              </w:rPr>
            </w:pPr>
            <w:r w:rsidRPr="00F638AF">
              <w:rPr>
                <w:szCs w:val="22"/>
                <w:lang w:val="en-GB"/>
              </w:rPr>
              <w:t>log-rank p value</w:t>
            </w:r>
          </w:p>
        </w:tc>
        <w:tc>
          <w:tcPr>
            <w:tcW w:w="2939" w:type="dxa"/>
            <w:gridSpan w:val="2"/>
            <w:tcBorders>
              <w:top w:val="nil"/>
              <w:left w:val="single" w:sz="4" w:space="0" w:color="auto"/>
              <w:bottom w:val="nil"/>
              <w:right w:val="single" w:sz="4" w:space="0" w:color="auto"/>
            </w:tcBorders>
            <w:hideMark/>
          </w:tcPr>
          <w:p w14:paraId="7C331616" w14:textId="77777777" w:rsidR="00B0361F" w:rsidRPr="00F638AF" w:rsidRDefault="00016F29" w:rsidP="00342FAF">
            <w:pPr>
              <w:jc w:val="center"/>
              <w:rPr>
                <w:szCs w:val="22"/>
                <w:lang w:val="en-GB"/>
              </w:rPr>
            </w:pPr>
            <w:r w:rsidRPr="00F638AF">
              <w:rPr>
                <w:szCs w:val="22"/>
                <w:lang w:val="en-GB"/>
              </w:rPr>
              <w:t>0.0011</w:t>
            </w:r>
          </w:p>
        </w:tc>
        <w:tc>
          <w:tcPr>
            <w:tcW w:w="2936" w:type="dxa"/>
            <w:gridSpan w:val="2"/>
            <w:tcBorders>
              <w:top w:val="nil"/>
              <w:left w:val="single" w:sz="4" w:space="0" w:color="auto"/>
              <w:bottom w:val="nil"/>
              <w:right w:val="single" w:sz="4" w:space="0" w:color="auto"/>
            </w:tcBorders>
            <w:hideMark/>
          </w:tcPr>
          <w:p w14:paraId="7C331617" w14:textId="77777777" w:rsidR="00B0361F" w:rsidRPr="00F638AF" w:rsidRDefault="00016F29" w:rsidP="00342FAF">
            <w:pPr>
              <w:jc w:val="center"/>
              <w:rPr>
                <w:szCs w:val="22"/>
                <w:lang w:val="en-GB"/>
              </w:rPr>
            </w:pPr>
            <w:r w:rsidRPr="00F638AF">
              <w:rPr>
                <w:szCs w:val="22"/>
                <w:lang w:val="en-GB"/>
              </w:rPr>
              <w:t>0.0004</w:t>
            </w:r>
          </w:p>
        </w:tc>
      </w:tr>
      <w:tr w:rsidR="003A788B" w14:paraId="7C33161F" w14:textId="77777777" w:rsidTr="00342FAF">
        <w:tc>
          <w:tcPr>
            <w:tcW w:w="3412" w:type="dxa"/>
            <w:tcBorders>
              <w:top w:val="nil"/>
              <w:left w:val="single" w:sz="4" w:space="0" w:color="auto"/>
              <w:bottom w:val="single" w:sz="4" w:space="0" w:color="auto"/>
              <w:right w:val="single" w:sz="4" w:space="0" w:color="auto"/>
            </w:tcBorders>
            <w:hideMark/>
          </w:tcPr>
          <w:p w14:paraId="7C331619" w14:textId="77777777" w:rsidR="00B0361F" w:rsidRPr="00F638AF" w:rsidRDefault="00016F29" w:rsidP="00342FAF">
            <w:pPr>
              <w:rPr>
                <w:szCs w:val="22"/>
                <w:lang w:val="en-GB"/>
              </w:rPr>
            </w:pPr>
            <w:r w:rsidRPr="00F638AF">
              <w:rPr>
                <w:szCs w:val="22"/>
                <w:lang w:val="en-GB"/>
              </w:rPr>
              <w:t>hazard ratio (95% CI)</w:t>
            </w:r>
          </w:p>
          <w:p w14:paraId="7C33161A" w14:textId="77777777" w:rsidR="00B0361F" w:rsidRPr="00F638AF" w:rsidRDefault="00016F29" w:rsidP="00342FAF">
            <w:pPr>
              <w:rPr>
                <w:szCs w:val="22"/>
                <w:lang w:val="en-GB"/>
              </w:rPr>
            </w:pPr>
            <w:r w:rsidRPr="00F638AF">
              <w:rPr>
                <w:szCs w:val="22"/>
                <w:lang w:val="en-GB"/>
              </w:rPr>
              <w:t xml:space="preserve">risk reduction </w:t>
            </w:r>
          </w:p>
        </w:tc>
        <w:tc>
          <w:tcPr>
            <w:tcW w:w="2939" w:type="dxa"/>
            <w:gridSpan w:val="2"/>
            <w:tcBorders>
              <w:top w:val="nil"/>
              <w:left w:val="single" w:sz="4" w:space="0" w:color="auto"/>
              <w:bottom w:val="single" w:sz="4" w:space="0" w:color="auto"/>
              <w:right w:val="single" w:sz="4" w:space="0" w:color="auto"/>
            </w:tcBorders>
            <w:hideMark/>
          </w:tcPr>
          <w:p w14:paraId="7C33161B" w14:textId="77777777" w:rsidR="00B0361F" w:rsidRPr="00F638AF" w:rsidRDefault="00016F29" w:rsidP="00342FAF">
            <w:pPr>
              <w:jc w:val="center"/>
              <w:rPr>
                <w:szCs w:val="22"/>
                <w:lang w:val="en-GB"/>
              </w:rPr>
            </w:pPr>
            <w:r w:rsidRPr="00F638AF">
              <w:rPr>
                <w:szCs w:val="22"/>
                <w:lang w:val="en-GB"/>
              </w:rPr>
              <w:t>0.60 (0.44, 0.82)</w:t>
            </w:r>
          </w:p>
          <w:p w14:paraId="7C33161C" w14:textId="77777777" w:rsidR="00B0361F" w:rsidRPr="00F638AF" w:rsidRDefault="00016F29" w:rsidP="00342FAF">
            <w:pPr>
              <w:jc w:val="center"/>
              <w:rPr>
                <w:szCs w:val="22"/>
                <w:lang w:val="en-GB"/>
              </w:rPr>
            </w:pPr>
            <w:r w:rsidRPr="00F638AF">
              <w:rPr>
                <w:szCs w:val="22"/>
                <w:lang w:val="en-GB"/>
              </w:rPr>
              <w:t>40%</w:t>
            </w:r>
          </w:p>
        </w:tc>
        <w:tc>
          <w:tcPr>
            <w:tcW w:w="2936" w:type="dxa"/>
            <w:gridSpan w:val="2"/>
            <w:tcBorders>
              <w:top w:val="nil"/>
              <w:left w:val="single" w:sz="4" w:space="0" w:color="auto"/>
              <w:bottom w:val="single" w:sz="4" w:space="0" w:color="auto"/>
              <w:right w:val="single" w:sz="4" w:space="0" w:color="auto"/>
            </w:tcBorders>
            <w:hideMark/>
          </w:tcPr>
          <w:p w14:paraId="7C33161D" w14:textId="77777777" w:rsidR="00B0361F" w:rsidRPr="00F638AF" w:rsidRDefault="00016F29" w:rsidP="00342FAF">
            <w:pPr>
              <w:jc w:val="center"/>
              <w:rPr>
                <w:szCs w:val="22"/>
                <w:lang w:val="en-GB"/>
              </w:rPr>
            </w:pPr>
            <w:r w:rsidRPr="00F638AF">
              <w:rPr>
                <w:szCs w:val="22"/>
                <w:lang w:val="en-GB"/>
              </w:rPr>
              <w:t>0.71 (0.59, 0.86)</w:t>
            </w:r>
          </w:p>
          <w:p w14:paraId="7C33161E" w14:textId="77777777" w:rsidR="00B0361F" w:rsidRPr="00F638AF" w:rsidRDefault="00016F29" w:rsidP="00342FAF">
            <w:pPr>
              <w:jc w:val="center"/>
              <w:rPr>
                <w:szCs w:val="22"/>
                <w:lang w:val="en-GB"/>
              </w:rPr>
            </w:pPr>
            <w:r w:rsidRPr="00F638AF">
              <w:rPr>
                <w:szCs w:val="22"/>
                <w:lang w:val="en-GB"/>
              </w:rPr>
              <w:t>39%</w:t>
            </w:r>
          </w:p>
        </w:tc>
      </w:tr>
      <w:tr w:rsidR="003A788B" w14:paraId="7C331625" w14:textId="77777777" w:rsidTr="00342FAF">
        <w:tc>
          <w:tcPr>
            <w:tcW w:w="3412" w:type="dxa"/>
            <w:tcBorders>
              <w:top w:val="nil"/>
              <w:left w:val="single" w:sz="4" w:space="0" w:color="auto"/>
              <w:bottom w:val="nil"/>
              <w:right w:val="single" w:sz="4" w:space="0" w:color="auto"/>
            </w:tcBorders>
            <w:hideMark/>
          </w:tcPr>
          <w:p w14:paraId="7C331620" w14:textId="77777777" w:rsidR="00B0361F" w:rsidRPr="00F638AF" w:rsidRDefault="00016F29" w:rsidP="00342FAF">
            <w:pPr>
              <w:rPr>
                <w:szCs w:val="22"/>
                <w:lang w:val="en-GB"/>
              </w:rPr>
            </w:pPr>
            <w:r w:rsidRPr="00F638AF">
              <w:rPr>
                <w:szCs w:val="22"/>
                <w:lang w:val="en-GB"/>
              </w:rPr>
              <w:t>Overall response rate*</w:t>
            </w:r>
          </w:p>
        </w:tc>
        <w:tc>
          <w:tcPr>
            <w:tcW w:w="1470" w:type="dxa"/>
            <w:tcBorders>
              <w:top w:val="nil"/>
              <w:left w:val="single" w:sz="4" w:space="0" w:color="auto"/>
              <w:bottom w:val="nil"/>
              <w:right w:val="nil"/>
            </w:tcBorders>
            <w:hideMark/>
          </w:tcPr>
          <w:p w14:paraId="7C331621" w14:textId="77777777" w:rsidR="00B0361F" w:rsidRPr="00F638AF" w:rsidRDefault="00016F29" w:rsidP="00342FAF">
            <w:pPr>
              <w:jc w:val="center"/>
              <w:rPr>
                <w:szCs w:val="22"/>
                <w:lang w:val="en-GB"/>
              </w:rPr>
            </w:pPr>
            <w:r w:rsidRPr="00F638AF">
              <w:rPr>
                <w:szCs w:val="22"/>
                <w:lang w:val="en-GB"/>
              </w:rPr>
              <w:t>55%</w:t>
            </w:r>
          </w:p>
        </w:tc>
        <w:tc>
          <w:tcPr>
            <w:tcW w:w="1469" w:type="dxa"/>
            <w:tcBorders>
              <w:top w:val="nil"/>
              <w:left w:val="nil"/>
              <w:bottom w:val="nil"/>
              <w:right w:val="single" w:sz="4" w:space="0" w:color="auto"/>
            </w:tcBorders>
            <w:hideMark/>
          </w:tcPr>
          <w:p w14:paraId="7C331622" w14:textId="77777777" w:rsidR="00B0361F" w:rsidRPr="00F638AF" w:rsidRDefault="00016F29" w:rsidP="00342FAF">
            <w:pPr>
              <w:jc w:val="center"/>
              <w:rPr>
                <w:szCs w:val="22"/>
                <w:lang w:val="en-GB"/>
              </w:rPr>
            </w:pPr>
            <w:r w:rsidRPr="00F638AF">
              <w:rPr>
                <w:szCs w:val="22"/>
                <w:lang w:val="en-GB"/>
              </w:rPr>
              <w:t>74%</w:t>
            </w:r>
          </w:p>
        </w:tc>
        <w:tc>
          <w:tcPr>
            <w:tcW w:w="1470" w:type="dxa"/>
            <w:tcBorders>
              <w:top w:val="nil"/>
              <w:left w:val="single" w:sz="4" w:space="0" w:color="auto"/>
              <w:bottom w:val="nil"/>
              <w:right w:val="nil"/>
            </w:tcBorders>
            <w:hideMark/>
          </w:tcPr>
          <w:p w14:paraId="7C331623" w14:textId="77777777" w:rsidR="00B0361F" w:rsidRPr="00F638AF" w:rsidRDefault="00016F29" w:rsidP="00342FAF">
            <w:pPr>
              <w:jc w:val="center"/>
              <w:rPr>
                <w:szCs w:val="22"/>
                <w:lang w:val="en-GB"/>
              </w:rPr>
            </w:pPr>
            <w:r w:rsidRPr="00F638AF">
              <w:rPr>
                <w:szCs w:val="22"/>
                <w:lang w:val="en-GB"/>
              </w:rPr>
              <w:t>61%</w:t>
            </w:r>
          </w:p>
        </w:tc>
        <w:tc>
          <w:tcPr>
            <w:tcW w:w="1466" w:type="dxa"/>
            <w:tcBorders>
              <w:top w:val="nil"/>
              <w:left w:val="nil"/>
              <w:bottom w:val="nil"/>
              <w:right w:val="single" w:sz="4" w:space="0" w:color="auto"/>
            </w:tcBorders>
            <w:hideMark/>
          </w:tcPr>
          <w:p w14:paraId="7C331624" w14:textId="77777777" w:rsidR="00B0361F" w:rsidRPr="00F638AF" w:rsidRDefault="00016F29" w:rsidP="00342FAF">
            <w:pPr>
              <w:jc w:val="center"/>
              <w:rPr>
                <w:szCs w:val="22"/>
                <w:lang w:val="en-GB"/>
              </w:rPr>
            </w:pPr>
            <w:r w:rsidRPr="00F638AF">
              <w:rPr>
                <w:szCs w:val="22"/>
                <w:lang w:val="en-GB"/>
              </w:rPr>
              <w:t>79%</w:t>
            </w:r>
          </w:p>
        </w:tc>
      </w:tr>
      <w:tr w:rsidR="003A788B" w14:paraId="7C331629" w14:textId="77777777" w:rsidTr="00342FAF">
        <w:tc>
          <w:tcPr>
            <w:tcW w:w="3412" w:type="dxa"/>
            <w:tcBorders>
              <w:top w:val="nil"/>
              <w:left w:val="single" w:sz="4" w:space="0" w:color="auto"/>
              <w:bottom w:val="nil"/>
              <w:right w:val="single" w:sz="4" w:space="0" w:color="auto"/>
            </w:tcBorders>
            <w:hideMark/>
          </w:tcPr>
          <w:p w14:paraId="7C331626" w14:textId="77777777" w:rsidR="00B0361F" w:rsidRPr="00F638AF" w:rsidRDefault="00016F29" w:rsidP="00342FAF">
            <w:pPr>
              <w:rPr>
                <w:szCs w:val="22"/>
                <w:lang w:val="en-GB"/>
              </w:rPr>
            </w:pPr>
            <w:r w:rsidRPr="00F638AF">
              <w:rPr>
                <w:szCs w:val="22"/>
                <w:lang w:val="en-GB"/>
              </w:rPr>
              <w:t>chi-squared test p value</w:t>
            </w:r>
          </w:p>
        </w:tc>
        <w:tc>
          <w:tcPr>
            <w:tcW w:w="2939" w:type="dxa"/>
            <w:gridSpan w:val="2"/>
            <w:tcBorders>
              <w:top w:val="nil"/>
              <w:left w:val="single" w:sz="4" w:space="0" w:color="auto"/>
              <w:bottom w:val="nil"/>
              <w:right w:val="single" w:sz="4" w:space="0" w:color="auto"/>
            </w:tcBorders>
            <w:hideMark/>
          </w:tcPr>
          <w:p w14:paraId="7C331627" w14:textId="77777777" w:rsidR="00B0361F" w:rsidRPr="00F638AF" w:rsidRDefault="00016F29" w:rsidP="00342FAF">
            <w:pPr>
              <w:jc w:val="center"/>
              <w:rPr>
                <w:szCs w:val="22"/>
                <w:lang w:val="en-GB"/>
              </w:rPr>
            </w:pPr>
            <w:r w:rsidRPr="00F638AF">
              <w:rPr>
                <w:szCs w:val="22"/>
                <w:lang w:val="en-GB"/>
              </w:rPr>
              <w:t>&lt;0.0001</w:t>
            </w:r>
          </w:p>
        </w:tc>
        <w:tc>
          <w:tcPr>
            <w:tcW w:w="2936" w:type="dxa"/>
            <w:gridSpan w:val="2"/>
            <w:tcBorders>
              <w:top w:val="nil"/>
              <w:left w:val="single" w:sz="4" w:space="0" w:color="auto"/>
              <w:bottom w:val="nil"/>
              <w:right w:val="single" w:sz="4" w:space="0" w:color="auto"/>
            </w:tcBorders>
            <w:hideMark/>
          </w:tcPr>
          <w:p w14:paraId="7C331628" w14:textId="77777777" w:rsidR="00B0361F" w:rsidRPr="00F638AF" w:rsidRDefault="00016F29" w:rsidP="00342FAF">
            <w:pPr>
              <w:jc w:val="center"/>
              <w:rPr>
                <w:szCs w:val="22"/>
                <w:lang w:val="en-GB"/>
              </w:rPr>
            </w:pPr>
            <w:r w:rsidRPr="00F638AF">
              <w:rPr>
                <w:szCs w:val="22"/>
                <w:lang w:val="en-GB"/>
              </w:rPr>
              <w:t>&lt;0.0001</w:t>
            </w:r>
          </w:p>
        </w:tc>
      </w:tr>
      <w:tr w:rsidR="003A788B" w14:paraId="7C33162D" w14:textId="77777777" w:rsidTr="00342FAF">
        <w:tc>
          <w:tcPr>
            <w:tcW w:w="3412" w:type="dxa"/>
            <w:tcBorders>
              <w:top w:val="nil"/>
              <w:left w:val="single" w:sz="4" w:space="0" w:color="auto"/>
              <w:bottom w:val="single" w:sz="4" w:space="0" w:color="auto"/>
              <w:right w:val="single" w:sz="4" w:space="0" w:color="auto"/>
            </w:tcBorders>
            <w:hideMark/>
          </w:tcPr>
          <w:p w14:paraId="7C33162A" w14:textId="77777777" w:rsidR="00B0361F" w:rsidRPr="00F638AF" w:rsidRDefault="00016F29" w:rsidP="00342FAF">
            <w:pPr>
              <w:rPr>
                <w:szCs w:val="22"/>
                <w:lang w:val="en-GB"/>
              </w:rPr>
            </w:pPr>
            <w:r w:rsidRPr="00F638AF">
              <w:rPr>
                <w:szCs w:val="22"/>
                <w:lang w:val="en-GB"/>
              </w:rPr>
              <w:t>odds ratio (95% CI)</w:t>
            </w:r>
          </w:p>
        </w:tc>
        <w:tc>
          <w:tcPr>
            <w:tcW w:w="2939" w:type="dxa"/>
            <w:gridSpan w:val="2"/>
            <w:tcBorders>
              <w:top w:val="nil"/>
              <w:left w:val="single" w:sz="4" w:space="0" w:color="auto"/>
              <w:bottom w:val="single" w:sz="4" w:space="0" w:color="auto"/>
              <w:right w:val="single" w:sz="4" w:space="0" w:color="auto"/>
            </w:tcBorders>
            <w:hideMark/>
          </w:tcPr>
          <w:p w14:paraId="7C33162B" w14:textId="77777777" w:rsidR="00B0361F" w:rsidRPr="00F638AF" w:rsidRDefault="00016F29" w:rsidP="00342FAF">
            <w:pPr>
              <w:jc w:val="center"/>
              <w:rPr>
                <w:szCs w:val="22"/>
                <w:lang w:val="en-GB"/>
              </w:rPr>
            </w:pPr>
            <w:r w:rsidRPr="00F638AF">
              <w:rPr>
                <w:szCs w:val="22"/>
                <w:lang w:val="en-GB"/>
              </w:rPr>
              <w:t>2.33 (1.73, 3.15)</w:t>
            </w:r>
          </w:p>
        </w:tc>
        <w:tc>
          <w:tcPr>
            <w:tcW w:w="2936" w:type="dxa"/>
            <w:gridSpan w:val="2"/>
            <w:tcBorders>
              <w:top w:val="nil"/>
              <w:left w:val="single" w:sz="4" w:space="0" w:color="auto"/>
              <w:bottom w:val="single" w:sz="4" w:space="0" w:color="auto"/>
              <w:right w:val="single" w:sz="4" w:space="0" w:color="auto"/>
            </w:tcBorders>
            <w:hideMark/>
          </w:tcPr>
          <w:p w14:paraId="7C33162C" w14:textId="77777777" w:rsidR="00B0361F" w:rsidRPr="00F638AF" w:rsidRDefault="00016F29" w:rsidP="00342FAF">
            <w:pPr>
              <w:jc w:val="center"/>
              <w:rPr>
                <w:szCs w:val="22"/>
                <w:lang w:val="en-GB"/>
              </w:rPr>
            </w:pPr>
            <w:r w:rsidRPr="00F638AF">
              <w:rPr>
                <w:szCs w:val="22"/>
                <w:lang w:val="en-GB"/>
              </w:rPr>
              <w:t>2.43 (1.84, 3.22)</w:t>
            </w:r>
          </w:p>
        </w:tc>
      </w:tr>
      <w:tr w:rsidR="003A788B" w14:paraId="7C331633" w14:textId="77777777" w:rsidTr="00342FAF">
        <w:tc>
          <w:tcPr>
            <w:tcW w:w="3412" w:type="dxa"/>
            <w:tcBorders>
              <w:top w:val="nil"/>
              <w:left w:val="single" w:sz="4" w:space="0" w:color="auto"/>
              <w:bottom w:val="nil"/>
              <w:right w:val="single" w:sz="4" w:space="0" w:color="auto"/>
            </w:tcBorders>
            <w:hideMark/>
          </w:tcPr>
          <w:p w14:paraId="7C33162E" w14:textId="77777777" w:rsidR="00B0361F" w:rsidRPr="00F638AF" w:rsidRDefault="00016F29" w:rsidP="00342FAF">
            <w:pPr>
              <w:rPr>
                <w:szCs w:val="22"/>
                <w:lang w:val="en-GB"/>
              </w:rPr>
            </w:pPr>
            <w:r w:rsidRPr="00F638AF">
              <w:rPr>
                <w:szCs w:val="22"/>
                <w:lang w:val="en-GB"/>
              </w:rPr>
              <w:t>Complete response (CR/CRu) rate*</w:t>
            </w:r>
          </w:p>
        </w:tc>
        <w:tc>
          <w:tcPr>
            <w:tcW w:w="1470" w:type="dxa"/>
            <w:tcBorders>
              <w:top w:val="nil"/>
              <w:left w:val="single" w:sz="4" w:space="0" w:color="auto"/>
              <w:bottom w:val="nil"/>
              <w:right w:val="nil"/>
            </w:tcBorders>
            <w:hideMark/>
          </w:tcPr>
          <w:p w14:paraId="7C33162F" w14:textId="77777777" w:rsidR="00B0361F" w:rsidRPr="00F638AF" w:rsidRDefault="00016F29" w:rsidP="00342FAF">
            <w:pPr>
              <w:jc w:val="center"/>
              <w:rPr>
                <w:szCs w:val="22"/>
                <w:lang w:val="en-GB"/>
              </w:rPr>
            </w:pPr>
            <w:r w:rsidRPr="00F638AF">
              <w:rPr>
                <w:szCs w:val="22"/>
                <w:lang w:val="en-GB"/>
              </w:rPr>
              <w:t>48%</w:t>
            </w:r>
          </w:p>
        </w:tc>
        <w:tc>
          <w:tcPr>
            <w:tcW w:w="1469" w:type="dxa"/>
            <w:tcBorders>
              <w:top w:val="nil"/>
              <w:left w:val="nil"/>
              <w:bottom w:val="nil"/>
              <w:right w:val="single" w:sz="4" w:space="0" w:color="auto"/>
            </w:tcBorders>
            <w:hideMark/>
          </w:tcPr>
          <w:p w14:paraId="7C331630" w14:textId="77777777" w:rsidR="00B0361F" w:rsidRPr="00F638AF" w:rsidRDefault="00016F29" w:rsidP="00342FAF">
            <w:pPr>
              <w:jc w:val="center"/>
              <w:rPr>
                <w:szCs w:val="22"/>
                <w:lang w:val="en-GB"/>
              </w:rPr>
            </w:pPr>
            <w:r w:rsidRPr="00F638AF">
              <w:rPr>
                <w:szCs w:val="22"/>
                <w:lang w:val="en-GB"/>
              </w:rPr>
              <w:t>67%</w:t>
            </w:r>
          </w:p>
        </w:tc>
        <w:tc>
          <w:tcPr>
            <w:tcW w:w="1470" w:type="dxa"/>
            <w:tcBorders>
              <w:top w:val="nil"/>
              <w:left w:val="single" w:sz="4" w:space="0" w:color="auto"/>
              <w:bottom w:val="nil"/>
              <w:right w:val="nil"/>
            </w:tcBorders>
            <w:hideMark/>
          </w:tcPr>
          <w:p w14:paraId="7C331631" w14:textId="77777777" w:rsidR="00B0361F" w:rsidRPr="00F638AF" w:rsidRDefault="00016F29" w:rsidP="00342FAF">
            <w:pPr>
              <w:jc w:val="center"/>
              <w:rPr>
                <w:szCs w:val="22"/>
                <w:lang w:val="en-GB"/>
              </w:rPr>
            </w:pPr>
            <w:r w:rsidRPr="00F638AF">
              <w:rPr>
                <w:szCs w:val="22"/>
                <w:lang w:val="en-GB"/>
              </w:rPr>
              <w:t>53%</w:t>
            </w:r>
          </w:p>
        </w:tc>
        <w:tc>
          <w:tcPr>
            <w:tcW w:w="1466" w:type="dxa"/>
            <w:tcBorders>
              <w:top w:val="nil"/>
              <w:left w:val="nil"/>
              <w:bottom w:val="nil"/>
              <w:right w:val="single" w:sz="4" w:space="0" w:color="auto"/>
            </w:tcBorders>
            <w:hideMark/>
          </w:tcPr>
          <w:p w14:paraId="7C331632" w14:textId="77777777" w:rsidR="00B0361F" w:rsidRPr="00F638AF" w:rsidRDefault="00016F29" w:rsidP="00342FAF">
            <w:pPr>
              <w:jc w:val="center"/>
              <w:rPr>
                <w:szCs w:val="22"/>
                <w:lang w:val="en-GB"/>
              </w:rPr>
            </w:pPr>
            <w:r w:rsidRPr="00F638AF">
              <w:rPr>
                <w:szCs w:val="22"/>
                <w:lang w:val="en-GB"/>
              </w:rPr>
              <w:t>67%</w:t>
            </w:r>
          </w:p>
        </w:tc>
      </w:tr>
      <w:tr w:rsidR="003A788B" w14:paraId="7C331637" w14:textId="77777777" w:rsidTr="00342FAF">
        <w:tc>
          <w:tcPr>
            <w:tcW w:w="3412" w:type="dxa"/>
            <w:tcBorders>
              <w:top w:val="nil"/>
              <w:left w:val="single" w:sz="4" w:space="0" w:color="auto"/>
              <w:bottom w:val="nil"/>
              <w:right w:val="single" w:sz="4" w:space="0" w:color="auto"/>
            </w:tcBorders>
            <w:hideMark/>
          </w:tcPr>
          <w:p w14:paraId="7C331634" w14:textId="77777777" w:rsidR="00B0361F" w:rsidRPr="00F638AF" w:rsidRDefault="00016F29" w:rsidP="00342FAF">
            <w:pPr>
              <w:rPr>
                <w:szCs w:val="22"/>
                <w:lang w:val="en-GB"/>
              </w:rPr>
            </w:pPr>
            <w:r w:rsidRPr="00F638AF">
              <w:rPr>
                <w:szCs w:val="22"/>
                <w:lang w:val="en-GB"/>
              </w:rPr>
              <w:t>chi-squared test p value</w:t>
            </w:r>
          </w:p>
        </w:tc>
        <w:tc>
          <w:tcPr>
            <w:tcW w:w="2939" w:type="dxa"/>
            <w:gridSpan w:val="2"/>
            <w:tcBorders>
              <w:top w:val="nil"/>
              <w:left w:val="single" w:sz="4" w:space="0" w:color="auto"/>
              <w:bottom w:val="nil"/>
              <w:right w:val="single" w:sz="4" w:space="0" w:color="auto"/>
            </w:tcBorders>
            <w:hideMark/>
          </w:tcPr>
          <w:p w14:paraId="7C331635" w14:textId="77777777" w:rsidR="00B0361F" w:rsidRPr="00F638AF" w:rsidRDefault="00016F29" w:rsidP="00342FAF">
            <w:pPr>
              <w:jc w:val="center"/>
              <w:rPr>
                <w:szCs w:val="22"/>
                <w:lang w:val="en-GB"/>
              </w:rPr>
            </w:pPr>
            <w:r w:rsidRPr="00F638AF">
              <w:rPr>
                <w:szCs w:val="22"/>
                <w:lang w:val="en-GB"/>
              </w:rPr>
              <w:t>&lt;0.0001</w:t>
            </w:r>
          </w:p>
        </w:tc>
        <w:tc>
          <w:tcPr>
            <w:tcW w:w="2936" w:type="dxa"/>
            <w:gridSpan w:val="2"/>
            <w:tcBorders>
              <w:top w:val="nil"/>
              <w:left w:val="single" w:sz="4" w:space="0" w:color="auto"/>
              <w:bottom w:val="nil"/>
              <w:right w:val="single" w:sz="4" w:space="0" w:color="auto"/>
            </w:tcBorders>
            <w:hideMark/>
          </w:tcPr>
          <w:p w14:paraId="7C331636" w14:textId="77777777" w:rsidR="00B0361F" w:rsidRPr="00F638AF" w:rsidRDefault="00016F29" w:rsidP="00342FAF">
            <w:pPr>
              <w:jc w:val="center"/>
              <w:rPr>
                <w:szCs w:val="22"/>
                <w:lang w:val="en-GB"/>
              </w:rPr>
            </w:pPr>
            <w:r w:rsidRPr="00F638AF">
              <w:rPr>
                <w:szCs w:val="22"/>
                <w:lang w:val="en-GB"/>
              </w:rPr>
              <w:t>&lt;0.0001</w:t>
            </w:r>
          </w:p>
        </w:tc>
      </w:tr>
      <w:tr w:rsidR="003A788B" w14:paraId="7C33163B" w14:textId="77777777" w:rsidTr="00342FAF">
        <w:tc>
          <w:tcPr>
            <w:tcW w:w="3412" w:type="dxa"/>
            <w:tcBorders>
              <w:top w:val="nil"/>
              <w:left w:val="single" w:sz="4" w:space="0" w:color="auto"/>
              <w:bottom w:val="single" w:sz="4" w:space="0" w:color="auto"/>
              <w:right w:val="single" w:sz="4" w:space="0" w:color="auto"/>
            </w:tcBorders>
            <w:hideMark/>
          </w:tcPr>
          <w:p w14:paraId="7C331638" w14:textId="77777777" w:rsidR="00B0361F" w:rsidRPr="00F638AF" w:rsidRDefault="00016F29" w:rsidP="00342FAF">
            <w:pPr>
              <w:rPr>
                <w:szCs w:val="22"/>
                <w:lang w:val="en-GB"/>
              </w:rPr>
            </w:pPr>
            <w:r w:rsidRPr="00F638AF">
              <w:rPr>
                <w:szCs w:val="22"/>
                <w:lang w:val="en-GB"/>
              </w:rPr>
              <w:t>odds ratio (95% CI)</w:t>
            </w:r>
          </w:p>
        </w:tc>
        <w:tc>
          <w:tcPr>
            <w:tcW w:w="2939" w:type="dxa"/>
            <w:gridSpan w:val="2"/>
            <w:tcBorders>
              <w:top w:val="nil"/>
              <w:left w:val="single" w:sz="4" w:space="0" w:color="auto"/>
              <w:bottom w:val="single" w:sz="4" w:space="0" w:color="auto"/>
              <w:right w:val="single" w:sz="4" w:space="0" w:color="auto"/>
            </w:tcBorders>
            <w:hideMark/>
          </w:tcPr>
          <w:p w14:paraId="7C331639" w14:textId="77777777" w:rsidR="00B0361F" w:rsidRPr="00F638AF" w:rsidRDefault="00016F29" w:rsidP="00342FAF">
            <w:pPr>
              <w:jc w:val="center"/>
              <w:rPr>
                <w:szCs w:val="22"/>
                <w:lang w:val="en-GB"/>
              </w:rPr>
            </w:pPr>
            <w:r w:rsidRPr="00F638AF">
              <w:rPr>
                <w:szCs w:val="22"/>
                <w:lang w:val="en-GB"/>
              </w:rPr>
              <w:t>2.21 (1.65, 2.94)</w:t>
            </w:r>
          </w:p>
        </w:tc>
        <w:tc>
          <w:tcPr>
            <w:tcW w:w="2936" w:type="dxa"/>
            <w:gridSpan w:val="2"/>
            <w:tcBorders>
              <w:top w:val="nil"/>
              <w:left w:val="single" w:sz="4" w:space="0" w:color="auto"/>
              <w:bottom w:val="single" w:sz="4" w:space="0" w:color="auto"/>
              <w:right w:val="single" w:sz="4" w:space="0" w:color="auto"/>
            </w:tcBorders>
            <w:hideMark/>
          </w:tcPr>
          <w:p w14:paraId="7C33163A" w14:textId="77777777" w:rsidR="00B0361F" w:rsidRPr="00F638AF" w:rsidRDefault="00016F29" w:rsidP="00342FAF">
            <w:pPr>
              <w:jc w:val="center"/>
              <w:rPr>
                <w:szCs w:val="22"/>
                <w:lang w:val="en-GB"/>
              </w:rPr>
            </w:pPr>
            <w:r w:rsidRPr="00F638AF">
              <w:rPr>
                <w:szCs w:val="22"/>
                <w:lang w:val="en-GB"/>
              </w:rPr>
              <w:t xml:space="preserve">2.34 (1.80, 3.03) </w:t>
            </w:r>
          </w:p>
        </w:tc>
      </w:tr>
    </w:tbl>
    <w:p w14:paraId="7C33163C" w14:textId="77777777" w:rsidR="00B0361F" w:rsidRPr="00F638AF" w:rsidRDefault="00016F29" w:rsidP="00B0361F">
      <w:pPr>
        <w:rPr>
          <w:sz w:val="18"/>
          <w:szCs w:val="22"/>
          <w:lang w:val="en-GB"/>
        </w:rPr>
      </w:pPr>
      <w:r w:rsidRPr="00F638AF">
        <w:rPr>
          <w:sz w:val="18"/>
          <w:szCs w:val="22"/>
          <w:lang w:val="en-GB"/>
        </w:rPr>
        <w:t xml:space="preserve">* at end of maintenance/observation; final analysis results based on median follow-up of 73 months. </w:t>
      </w:r>
    </w:p>
    <w:p w14:paraId="7C33163D" w14:textId="77777777" w:rsidR="00B0361F" w:rsidRPr="00F638AF" w:rsidRDefault="00016F29" w:rsidP="00B0361F">
      <w:pPr>
        <w:rPr>
          <w:sz w:val="18"/>
          <w:szCs w:val="22"/>
          <w:lang w:val="en-GB"/>
        </w:rPr>
      </w:pPr>
      <w:r w:rsidRPr="00F638AF">
        <w:rPr>
          <w:sz w:val="18"/>
          <w:szCs w:val="22"/>
          <w:lang w:val="en-GB"/>
        </w:rPr>
        <w:t>FU: follow-up; NR: not reached at time of clinical cut off, TNCT: time to next chemotherapy treatment; TNLT: time to next anti lymphoma treatment.</w:t>
      </w:r>
    </w:p>
    <w:p w14:paraId="7C33163E" w14:textId="77777777" w:rsidR="008F369D" w:rsidRPr="00F638AF" w:rsidRDefault="008F369D" w:rsidP="008F369D">
      <w:pPr>
        <w:rPr>
          <w:szCs w:val="22"/>
          <w:lang w:val="en-GB"/>
        </w:rPr>
      </w:pPr>
    </w:p>
    <w:p w14:paraId="7C33163F" w14:textId="77777777" w:rsidR="008F369D" w:rsidRPr="00F638AF" w:rsidRDefault="00016F29" w:rsidP="008F369D">
      <w:pPr>
        <w:rPr>
          <w:lang w:val="en-GB"/>
        </w:rPr>
      </w:pPr>
      <w:r w:rsidRPr="00F638AF">
        <w:rPr>
          <w:lang w:val="en-GB"/>
        </w:rPr>
        <w:t xml:space="preserve">MabThera maintenance treatment provided consistent benefit in all predefined subgroups tested: gender (male, female), age </w:t>
      </w:r>
      <w:r w:rsidR="007830E0" w:rsidRPr="00CD24D7">
        <w:rPr>
          <w:lang w:val="en-GB"/>
        </w:rPr>
        <w:t>(</w:t>
      </w:r>
      <w:r w:rsidR="007830E0" w:rsidRPr="00CD24D7">
        <w:rPr>
          <w:rFonts w:ascii="Symbol" w:hAnsi="Symbol"/>
          <w:lang w:val="en-GB"/>
        </w:rPr>
        <w:sym w:font="Symbol" w:char="F03C"/>
      </w:r>
      <w:r w:rsidR="008E2113">
        <w:rPr>
          <w:rFonts w:ascii="Symbol" w:hAnsi="Symbol"/>
          <w:lang w:val="en-GB"/>
        </w:rPr>
        <w:sym w:font="Symbol" w:char="F020"/>
      </w:r>
      <w:r w:rsidRPr="00F638AF">
        <w:rPr>
          <w:lang w:val="en-GB"/>
        </w:rPr>
        <w:t>60 years, &gt;= 60 years), FLIPI score (&lt;=1, 2 or &gt;= 3), induction therapy (R</w:t>
      </w:r>
      <w:r w:rsidR="000A6DDA" w:rsidRPr="00F638AF">
        <w:rPr>
          <w:lang w:val="en-GB"/>
        </w:rPr>
        <w:noBreakHyphen/>
      </w:r>
      <w:r w:rsidRPr="00F638AF">
        <w:rPr>
          <w:lang w:val="en-GB"/>
        </w:rPr>
        <w:t>CHOP, R</w:t>
      </w:r>
      <w:r w:rsidR="000A6DDA" w:rsidRPr="00F638AF">
        <w:rPr>
          <w:lang w:val="en-GB"/>
        </w:rPr>
        <w:noBreakHyphen/>
      </w:r>
      <w:r w:rsidRPr="00F638AF">
        <w:rPr>
          <w:lang w:val="en-GB"/>
        </w:rPr>
        <w:t>CVP or R</w:t>
      </w:r>
      <w:r w:rsidR="000A6DDA" w:rsidRPr="00F638AF">
        <w:rPr>
          <w:lang w:val="en-GB"/>
        </w:rPr>
        <w:noBreakHyphen/>
      </w:r>
      <w:r w:rsidRPr="00F638AF">
        <w:rPr>
          <w:lang w:val="en-GB"/>
        </w:rPr>
        <w:t>FCM) and regardless of the quality of response to induction treatment (CR,</w:t>
      </w:r>
      <w:r w:rsidR="00B36AC6">
        <w:rPr>
          <w:lang w:val="en-GB"/>
        </w:rPr>
        <w:t xml:space="preserve"> </w:t>
      </w:r>
      <w:r w:rsidRPr="00F638AF">
        <w:rPr>
          <w:lang w:val="en-GB"/>
        </w:rPr>
        <w:t>CRu or PR). Exploratory analyses of the benefit of maintenance treatment showed a less pronounced effect in elderly patients (&gt; 70 years of age), however sample sizes were small.</w:t>
      </w:r>
    </w:p>
    <w:p w14:paraId="7C331640" w14:textId="77777777" w:rsidR="008F369D" w:rsidRPr="00F638AF" w:rsidRDefault="008F369D" w:rsidP="008F369D">
      <w:pPr>
        <w:outlineLvl w:val="0"/>
        <w:rPr>
          <w:i/>
          <w:lang w:val="en-GB"/>
        </w:rPr>
      </w:pPr>
    </w:p>
    <w:p w14:paraId="7C331641" w14:textId="77777777" w:rsidR="008F369D" w:rsidRPr="00F638AF" w:rsidRDefault="00016F29" w:rsidP="008F369D">
      <w:pPr>
        <w:keepNext/>
        <w:keepLines/>
        <w:outlineLvl w:val="0"/>
        <w:rPr>
          <w:i/>
          <w:lang w:val="en-GB"/>
        </w:rPr>
      </w:pPr>
      <w:r w:rsidRPr="00F638AF">
        <w:rPr>
          <w:i/>
          <w:lang w:val="en-GB"/>
        </w:rPr>
        <w:t xml:space="preserve">Relapsed/Refractory follicular lymphoma </w:t>
      </w:r>
    </w:p>
    <w:p w14:paraId="7C331642" w14:textId="77777777" w:rsidR="008F369D" w:rsidRPr="00F638AF" w:rsidRDefault="008F369D" w:rsidP="008F369D">
      <w:pPr>
        <w:keepNext/>
        <w:keepLines/>
        <w:outlineLvl w:val="0"/>
        <w:rPr>
          <w:b/>
          <w:lang w:val="en-GB"/>
        </w:rPr>
      </w:pPr>
    </w:p>
    <w:p w14:paraId="7C331643" w14:textId="77777777" w:rsidR="008F369D" w:rsidRPr="00F638AF" w:rsidRDefault="00016F29" w:rsidP="008F369D">
      <w:pPr>
        <w:rPr>
          <w:lang w:val="en-GB"/>
        </w:rPr>
      </w:pPr>
      <w:r w:rsidRPr="00F638AF">
        <w:rPr>
          <w:lang w:val="en-GB"/>
        </w:rPr>
        <w:t>In a prospective, open label, international, multi</w:t>
      </w:r>
      <w:r w:rsidR="000A6DDA" w:rsidRPr="00F638AF">
        <w:rPr>
          <w:lang w:val="en-GB"/>
        </w:rPr>
        <w:noBreakHyphen/>
      </w:r>
      <w:r w:rsidRPr="00F638AF">
        <w:rPr>
          <w:lang w:val="en-GB"/>
        </w:rPr>
        <w:t>centre, phase III trial, 465 patients with relapsed/refractory follicular lymphoma were randomised in a first step to induction therapy with either CHOP (cyclophosphamide, doxorubicin, vincristine, prednisolone; n=231) or MabThera plus CHOP (R</w:t>
      </w:r>
      <w:r w:rsidR="000A6DDA" w:rsidRPr="00F638AF">
        <w:rPr>
          <w:lang w:val="en-GB"/>
        </w:rPr>
        <w:noBreakHyphen/>
      </w:r>
      <w:r w:rsidRPr="00F638AF">
        <w:rPr>
          <w:lang w:val="en-GB"/>
        </w:rPr>
        <w:t>CHOP, n=234). The two treatment groups were well balanced with regard to baseline characteristics and disease status. A total of 334 patients achieving a complete or partial remission following induction therapy were randomised in a second step to MabThera maintenance therapy (n=167) or observation (n=167). MabThera maintenance treatment consisted of a single infusion of MabThera at 375 mg/m</w:t>
      </w:r>
      <w:r w:rsidRPr="00F638AF">
        <w:rPr>
          <w:vertAlign w:val="superscript"/>
          <w:lang w:val="en-GB"/>
        </w:rPr>
        <w:t>2</w:t>
      </w:r>
      <w:r w:rsidRPr="00F638AF">
        <w:rPr>
          <w:lang w:val="en-GB"/>
        </w:rPr>
        <w:t xml:space="preserve"> body surface area given every 3 months until disease progression or for a maximum period of two years. </w:t>
      </w:r>
    </w:p>
    <w:p w14:paraId="7C331644" w14:textId="77777777" w:rsidR="008F369D" w:rsidRPr="00F638AF" w:rsidRDefault="008F369D" w:rsidP="008F369D">
      <w:pPr>
        <w:rPr>
          <w:lang w:val="en-GB"/>
        </w:rPr>
      </w:pPr>
    </w:p>
    <w:p w14:paraId="7C331645" w14:textId="77777777" w:rsidR="008F369D" w:rsidRPr="00F638AF" w:rsidRDefault="00016F29" w:rsidP="008F369D">
      <w:pPr>
        <w:rPr>
          <w:lang w:val="en-GB"/>
        </w:rPr>
      </w:pPr>
      <w:r w:rsidRPr="00F638AF">
        <w:rPr>
          <w:lang w:val="en-GB"/>
        </w:rPr>
        <w:t>The final efficacy analysis included all patients randomised to both parts of the study. After a median observation time of 31 months for patients randomised to the induction phase, R</w:t>
      </w:r>
      <w:r w:rsidR="000A6DDA" w:rsidRPr="00F638AF">
        <w:rPr>
          <w:lang w:val="en-GB"/>
        </w:rPr>
        <w:noBreakHyphen/>
      </w:r>
      <w:r w:rsidRPr="00F638AF">
        <w:rPr>
          <w:lang w:val="en-GB"/>
        </w:rPr>
        <w:t>CHOP significantly improved the outcome of patients with relapsed/refractory follicular lymphoma when compared to CHOP (see Table </w:t>
      </w:r>
      <w:r w:rsidR="00E04B0E" w:rsidRPr="00F638AF">
        <w:rPr>
          <w:lang w:val="en-GB"/>
        </w:rPr>
        <w:t>10</w:t>
      </w:r>
      <w:r w:rsidRPr="00F638AF">
        <w:rPr>
          <w:lang w:val="en-GB"/>
        </w:rPr>
        <w:t>).</w:t>
      </w:r>
    </w:p>
    <w:p w14:paraId="7C331646" w14:textId="77777777" w:rsidR="008F369D" w:rsidRPr="00F638AF" w:rsidRDefault="008F369D" w:rsidP="008F369D">
      <w:pPr>
        <w:rPr>
          <w:lang w:val="en-GB"/>
        </w:rPr>
      </w:pPr>
    </w:p>
    <w:p w14:paraId="7C331647" w14:textId="77777777" w:rsidR="008F369D" w:rsidRPr="00F638AF" w:rsidRDefault="00016F29" w:rsidP="008F369D">
      <w:pPr>
        <w:keepNext/>
        <w:keepLines/>
        <w:ind w:left="1134" w:hanging="1134"/>
        <w:rPr>
          <w:b/>
          <w:lang w:val="en-GB"/>
        </w:rPr>
      </w:pPr>
      <w:r w:rsidRPr="00F638AF">
        <w:rPr>
          <w:b/>
          <w:lang w:val="en-GB"/>
        </w:rPr>
        <w:t>Table </w:t>
      </w:r>
      <w:r w:rsidR="00E04B0E" w:rsidRPr="00F638AF">
        <w:rPr>
          <w:b/>
          <w:lang w:val="en-GB"/>
        </w:rPr>
        <w:t>10</w:t>
      </w:r>
      <w:r w:rsidRPr="00F638AF">
        <w:rPr>
          <w:b/>
          <w:lang w:val="en-GB"/>
        </w:rPr>
        <w:tab/>
        <w:t>Induction phase: overview of efficacy results for CHOP vs. R</w:t>
      </w:r>
      <w:r w:rsidR="000A6DDA" w:rsidRPr="00F638AF">
        <w:rPr>
          <w:b/>
          <w:lang w:val="en-GB"/>
        </w:rPr>
        <w:noBreakHyphen/>
      </w:r>
      <w:r w:rsidRPr="00F638AF">
        <w:rPr>
          <w:b/>
          <w:lang w:val="en-GB"/>
        </w:rPr>
        <w:t xml:space="preserve">CHOP (31 months median observation time) </w:t>
      </w:r>
    </w:p>
    <w:tbl>
      <w:tblPr>
        <w:tblW w:w="7750" w:type="dxa"/>
        <w:tblInd w:w="70" w:type="dxa"/>
        <w:tblBorders>
          <w:top w:val="single" w:sz="6" w:space="0" w:color="000000"/>
          <w:bottom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870"/>
        <w:gridCol w:w="1320"/>
        <w:gridCol w:w="1440"/>
        <w:gridCol w:w="1200"/>
        <w:gridCol w:w="1920"/>
      </w:tblGrid>
      <w:tr w:rsidR="003A788B" w14:paraId="7C33164D" w14:textId="77777777" w:rsidTr="008919D7">
        <w:trPr>
          <w:tblHeader/>
        </w:trPr>
        <w:tc>
          <w:tcPr>
            <w:tcW w:w="1870" w:type="dxa"/>
            <w:tcBorders>
              <w:top w:val="single" w:sz="6" w:space="0" w:color="000000"/>
              <w:bottom w:val="single" w:sz="6" w:space="0" w:color="000000"/>
            </w:tcBorders>
          </w:tcPr>
          <w:p w14:paraId="7C331648" w14:textId="77777777" w:rsidR="008F369D" w:rsidRPr="00F638AF" w:rsidRDefault="008F369D" w:rsidP="008919D7">
            <w:pPr>
              <w:pStyle w:val="TextTi10"/>
              <w:keepNext/>
              <w:keepLines/>
              <w:jc w:val="center"/>
              <w:rPr>
                <w:b/>
                <w:sz w:val="22"/>
                <w:szCs w:val="22"/>
                <w:lang w:val="en-GB"/>
              </w:rPr>
            </w:pPr>
          </w:p>
        </w:tc>
        <w:tc>
          <w:tcPr>
            <w:tcW w:w="1320" w:type="dxa"/>
            <w:tcBorders>
              <w:top w:val="single" w:sz="6" w:space="0" w:color="000000"/>
              <w:bottom w:val="single" w:sz="6" w:space="0" w:color="000000"/>
            </w:tcBorders>
          </w:tcPr>
          <w:p w14:paraId="7C331649" w14:textId="77777777" w:rsidR="008F369D" w:rsidRPr="00F638AF" w:rsidRDefault="00016F29" w:rsidP="008919D7">
            <w:pPr>
              <w:pStyle w:val="TextTi10"/>
              <w:keepNext/>
              <w:keepLines/>
              <w:jc w:val="center"/>
              <w:rPr>
                <w:b/>
                <w:sz w:val="22"/>
                <w:szCs w:val="22"/>
                <w:lang w:val="en-GB"/>
              </w:rPr>
            </w:pPr>
            <w:r w:rsidRPr="00F638AF">
              <w:rPr>
                <w:b/>
                <w:sz w:val="22"/>
                <w:szCs w:val="22"/>
                <w:lang w:val="en-GB"/>
              </w:rPr>
              <w:t>CHOP</w:t>
            </w:r>
          </w:p>
        </w:tc>
        <w:tc>
          <w:tcPr>
            <w:tcW w:w="1440" w:type="dxa"/>
            <w:tcBorders>
              <w:top w:val="single" w:sz="6" w:space="0" w:color="000000"/>
              <w:bottom w:val="single" w:sz="6" w:space="0" w:color="000000"/>
            </w:tcBorders>
          </w:tcPr>
          <w:p w14:paraId="7C33164A" w14:textId="77777777" w:rsidR="008F369D" w:rsidRPr="00F638AF" w:rsidRDefault="00016F29" w:rsidP="008919D7">
            <w:pPr>
              <w:pStyle w:val="TextTi10"/>
              <w:keepNext/>
              <w:keepLines/>
              <w:jc w:val="center"/>
              <w:rPr>
                <w:b/>
                <w:sz w:val="22"/>
                <w:szCs w:val="22"/>
                <w:lang w:val="en-GB"/>
              </w:rPr>
            </w:pPr>
            <w:r w:rsidRPr="00F638AF">
              <w:rPr>
                <w:b/>
                <w:sz w:val="22"/>
                <w:szCs w:val="22"/>
                <w:lang w:val="en-GB"/>
              </w:rPr>
              <w:t>R</w:t>
            </w:r>
            <w:r w:rsidR="000A6DDA" w:rsidRPr="00F638AF">
              <w:rPr>
                <w:rFonts w:ascii="Cambria Math" w:hAnsi="Cambria Math" w:cs="Cambria Math"/>
                <w:b/>
                <w:sz w:val="22"/>
                <w:szCs w:val="22"/>
                <w:lang w:val="en-GB"/>
              </w:rPr>
              <w:noBreakHyphen/>
            </w:r>
            <w:r w:rsidRPr="00F638AF">
              <w:rPr>
                <w:b/>
                <w:sz w:val="22"/>
                <w:szCs w:val="22"/>
                <w:lang w:val="en-GB"/>
              </w:rPr>
              <w:t>CHOP</w:t>
            </w:r>
          </w:p>
        </w:tc>
        <w:tc>
          <w:tcPr>
            <w:tcW w:w="1200" w:type="dxa"/>
            <w:tcBorders>
              <w:top w:val="single" w:sz="6" w:space="0" w:color="000000"/>
              <w:bottom w:val="single" w:sz="6" w:space="0" w:color="000000"/>
            </w:tcBorders>
          </w:tcPr>
          <w:p w14:paraId="7C33164B" w14:textId="77777777" w:rsidR="008F369D" w:rsidRPr="00F638AF" w:rsidRDefault="00016F29" w:rsidP="008919D7">
            <w:pPr>
              <w:pStyle w:val="TextTi10"/>
              <w:keepNext/>
              <w:keepLines/>
              <w:jc w:val="center"/>
              <w:rPr>
                <w:b/>
                <w:sz w:val="22"/>
                <w:szCs w:val="22"/>
                <w:lang w:val="en-GB"/>
              </w:rPr>
            </w:pPr>
            <w:r w:rsidRPr="00F638AF">
              <w:rPr>
                <w:b/>
                <w:sz w:val="22"/>
                <w:szCs w:val="22"/>
                <w:lang w:val="en-GB"/>
              </w:rPr>
              <w:t>p</w:t>
            </w:r>
            <w:r w:rsidR="000A6DDA" w:rsidRPr="00F638AF">
              <w:rPr>
                <w:rFonts w:ascii="Cambria Math" w:hAnsi="Cambria Math" w:cs="Cambria Math"/>
                <w:b/>
                <w:sz w:val="22"/>
                <w:szCs w:val="22"/>
                <w:lang w:val="en-GB"/>
              </w:rPr>
              <w:noBreakHyphen/>
            </w:r>
            <w:r w:rsidRPr="00F638AF">
              <w:rPr>
                <w:b/>
                <w:sz w:val="22"/>
                <w:szCs w:val="22"/>
                <w:lang w:val="en-GB"/>
              </w:rPr>
              <w:t>value</w:t>
            </w:r>
          </w:p>
        </w:tc>
        <w:tc>
          <w:tcPr>
            <w:tcW w:w="1920" w:type="dxa"/>
            <w:tcBorders>
              <w:top w:val="single" w:sz="6" w:space="0" w:color="000000"/>
              <w:bottom w:val="single" w:sz="6" w:space="0" w:color="000000"/>
            </w:tcBorders>
          </w:tcPr>
          <w:p w14:paraId="7C33164C" w14:textId="77777777" w:rsidR="008F369D" w:rsidRPr="00F638AF" w:rsidRDefault="00016F29" w:rsidP="008919D7">
            <w:pPr>
              <w:pStyle w:val="TextTi10"/>
              <w:keepNext/>
              <w:keepLines/>
              <w:jc w:val="center"/>
              <w:rPr>
                <w:b/>
                <w:sz w:val="22"/>
                <w:szCs w:val="22"/>
                <w:lang w:val="en-GB"/>
              </w:rPr>
            </w:pPr>
            <w:r w:rsidRPr="00F638AF">
              <w:rPr>
                <w:b/>
                <w:sz w:val="22"/>
                <w:szCs w:val="22"/>
                <w:lang w:val="en-GB"/>
              </w:rPr>
              <w:t>Risk Reduction</w:t>
            </w:r>
            <w:r w:rsidRPr="00F638AF">
              <w:rPr>
                <w:b/>
                <w:sz w:val="22"/>
                <w:szCs w:val="22"/>
                <w:vertAlign w:val="superscript"/>
                <w:lang w:val="en-GB"/>
              </w:rPr>
              <w:t>1)</w:t>
            </w:r>
          </w:p>
        </w:tc>
      </w:tr>
      <w:tr w:rsidR="003A788B" w14:paraId="7C331653" w14:textId="77777777" w:rsidTr="008919D7">
        <w:tc>
          <w:tcPr>
            <w:tcW w:w="1870" w:type="dxa"/>
            <w:tcBorders>
              <w:top w:val="single" w:sz="6" w:space="0" w:color="000000"/>
            </w:tcBorders>
          </w:tcPr>
          <w:p w14:paraId="7C33164E" w14:textId="77777777" w:rsidR="008F369D" w:rsidRPr="00F638AF" w:rsidRDefault="00016F29" w:rsidP="008919D7">
            <w:pPr>
              <w:pStyle w:val="TextTi10"/>
              <w:keepNext/>
              <w:keepLines/>
              <w:rPr>
                <w:b/>
                <w:sz w:val="22"/>
                <w:szCs w:val="22"/>
                <w:lang w:val="en-GB"/>
              </w:rPr>
            </w:pPr>
            <w:r w:rsidRPr="00F638AF">
              <w:rPr>
                <w:b/>
                <w:sz w:val="22"/>
                <w:szCs w:val="22"/>
                <w:lang w:val="en-GB"/>
              </w:rPr>
              <w:t xml:space="preserve">Primary efficacy </w:t>
            </w:r>
          </w:p>
        </w:tc>
        <w:tc>
          <w:tcPr>
            <w:tcW w:w="1320" w:type="dxa"/>
            <w:tcBorders>
              <w:top w:val="single" w:sz="6" w:space="0" w:color="000000"/>
            </w:tcBorders>
          </w:tcPr>
          <w:p w14:paraId="7C33164F" w14:textId="77777777" w:rsidR="008F369D" w:rsidRPr="00F638AF" w:rsidRDefault="008F369D" w:rsidP="008919D7">
            <w:pPr>
              <w:pStyle w:val="TextTi10"/>
              <w:keepNext/>
              <w:keepLines/>
              <w:jc w:val="center"/>
              <w:rPr>
                <w:sz w:val="22"/>
                <w:szCs w:val="22"/>
                <w:lang w:val="en-GB"/>
              </w:rPr>
            </w:pPr>
          </w:p>
        </w:tc>
        <w:tc>
          <w:tcPr>
            <w:tcW w:w="1440" w:type="dxa"/>
            <w:tcBorders>
              <w:top w:val="single" w:sz="6" w:space="0" w:color="000000"/>
            </w:tcBorders>
          </w:tcPr>
          <w:p w14:paraId="7C331650" w14:textId="77777777" w:rsidR="008F369D" w:rsidRPr="00F638AF" w:rsidRDefault="008F369D" w:rsidP="008919D7">
            <w:pPr>
              <w:pStyle w:val="TextTi10"/>
              <w:keepNext/>
              <w:keepLines/>
              <w:jc w:val="center"/>
              <w:rPr>
                <w:sz w:val="22"/>
                <w:szCs w:val="22"/>
                <w:lang w:val="en-GB"/>
              </w:rPr>
            </w:pPr>
          </w:p>
        </w:tc>
        <w:tc>
          <w:tcPr>
            <w:tcW w:w="1200" w:type="dxa"/>
            <w:tcBorders>
              <w:top w:val="single" w:sz="6" w:space="0" w:color="000000"/>
            </w:tcBorders>
          </w:tcPr>
          <w:p w14:paraId="7C331651" w14:textId="77777777" w:rsidR="008F369D" w:rsidRPr="00F638AF" w:rsidRDefault="008F369D" w:rsidP="008919D7">
            <w:pPr>
              <w:pStyle w:val="TextTi10"/>
              <w:keepNext/>
              <w:keepLines/>
              <w:jc w:val="center"/>
              <w:rPr>
                <w:sz w:val="22"/>
                <w:szCs w:val="22"/>
                <w:lang w:val="en-GB"/>
              </w:rPr>
            </w:pPr>
          </w:p>
        </w:tc>
        <w:tc>
          <w:tcPr>
            <w:tcW w:w="1920" w:type="dxa"/>
            <w:tcBorders>
              <w:top w:val="single" w:sz="6" w:space="0" w:color="000000"/>
            </w:tcBorders>
          </w:tcPr>
          <w:p w14:paraId="7C331652" w14:textId="77777777" w:rsidR="008F369D" w:rsidRPr="00F638AF" w:rsidRDefault="008F369D" w:rsidP="008919D7">
            <w:pPr>
              <w:pStyle w:val="TextTi10"/>
              <w:keepNext/>
              <w:keepLines/>
              <w:jc w:val="center"/>
              <w:rPr>
                <w:sz w:val="22"/>
                <w:szCs w:val="22"/>
                <w:lang w:val="en-GB"/>
              </w:rPr>
            </w:pPr>
          </w:p>
        </w:tc>
      </w:tr>
      <w:tr w:rsidR="003A788B" w14:paraId="7C331659" w14:textId="77777777" w:rsidTr="008919D7">
        <w:tc>
          <w:tcPr>
            <w:tcW w:w="1870" w:type="dxa"/>
          </w:tcPr>
          <w:p w14:paraId="7C331654" w14:textId="77777777" w:rsidR="008F369D" w:rsidRPr="00F638AF" w:rsidRDefault="00016F29" w:rsidP="008919D7">
            <w:pPr>
              <w:pStyle w:val="TextTi10"/>
              <w:keepNext/>
              <w:keepLines/>
              <w:jc w:val="right"/>
              <w:rPr>
                <w:sz w:val="22"/>
                <w:szCs w:val="22"/>
                <w:lang w:val="en-GB"/>
              </w:rPr>
            </w:pPr>
            <w:r w:rsidRPr="00F638AF">
              <w:rPr>
                <w:sz w:val="22"/>
                <w:szCs w:val="22"/>
                <w:lang w:val="en-GB"/>
              </w:rPr>
              <w:t>ORR</w:t>
            </w:r>
            <w:r w:rsidRPr="00F638AF">
              <w:rPr>
                <w:sz w:val="22"/>
                <w:szCs w:val="22"/>
                <w:vertAlign w:val="superscript"/>
                <w:lang w:val="en-GB"/>
              </w:rPr>
              <w:t>2)</w:t>
            </w:r>
          </w:p>
        </w:tc>
        <w:tc>
          <w:tcPr>
            <w:tcW w:w="1320" w:type="dxa"/>
          </w:tcPr>
          <w:p w14:paraId="7C331655" w14:textId="77777777" w:rsidR="008F369D" w:rsidRPr="00F638AF" w:rsidRDefault="00016F29" w:rsidP="008919D7">
            <w:pPr>
              <w:pStyle w:val="TextTi10"/>
              <w:keepNext/>
              <w:keepLines/>
              <w:jc w:val="center"/>
              <w:rPr>
                <w:sz w:val="22"/>
                <w:szCs w:val="22"/>
                <w:lang w:val="en-GB"/>
              </w:rPr>
            </w:pPr>
            <w:r w:rsidRPr="00F638AF">
              <w:rPr>
                <w:sz w:val="22"/>
                <w:szCs w:val="22"/>
                <w:lang w:val="en-GB"/>
              </w:rPr>
              <w:t>74 %</w:t>
            </w:r>
          </w:p>
        </w:tc>
        <w:tc>
          <w:tcPr>
            <w:tcW w:w="1440" w:type="dxa"/>
          </w:tcPr>
          <w:p w14:paraId="7C331656" w14:textId="77777777" w:rsidR="008F369D" w:rsidRPr="00F638AF" w:rsidRDefault="00016F29" w:rsidP="008919D7">
            <w:pPr>
              <w:pStyle w:val="TextTi10"/>
              <w:keepNext/>
              <w:keepLines/>
              <w:jc w:val="center"/>
              <w:rPr>
                <w:sz w:val="22"/>
                <w:szCs w:val="22"/>
                <w:lang w:val="en-GB"/>
              </w:rPr>
            </w:pPr>
            <w:r w:rsidRPr="00F638AF">
              <w:rPr>
                <w:sz w:val="22"/>
                <w:szCs w:val="22"/>
                <w:lang w:val="en-GB"/>
              </w:rPr>
              <w:t>87 %</w:t>
            </w:r>
          </w:p>
        </w:tc>
        <w:tc>
          <w:tcPr>
            <w:tcW w:w="1200" w:type="dxa"/>
          </w:tcPr>
          <w:p w14:paraId="7C331657" w14:textId="77777777" w:rsidR="008F369D" w:rsidRPr="00F638AF" w:rsidRDefault="00016F29" w:rsidP="008919D7">
            <w:pPr>
              <w:pStyle w:val="TextTi10"/>
              <w:keepNext/>
              <w:keepLines/>
              <w:jc w:val="center"/>
              <w:rPr>
                <w:sz w:val="22"/>
                <w:szCs w:val="22"/>
                <w:lang w:val="en-GB"/>
              </w:rPr>
            </w:pPr>
            <w:r w:rsidRPr="00F638AF">
              <w:rPr>
                <w:sz w:val="22"/>
                <w:szCs w:val="22"/>
                <w:lang w:val="en-GB"/>
              </w:rPr>
              <w:t>0.0003</w:t>
            </w:r>
          </w:p>
        </w:tc>
        <w:tc>
          <w:tcPr>
            <w:tcW w:w="1920" w:type="dxa"/>
          </w:tcPr>
          <w:p w14:paraId="7C331658" w14:textId="77777777" w:rsidR="008F369D" w:rsidRPr="00F638AF" w:rsidRDefault="00016F29" w:rsidP="008919D7">
            <w:pPr>
              <w:pStyle w:val="TextTi10"/>
              <w:keepNext/>
              <w:keepLines/>
              <w:jc w:val="center"/>
              <w:rPr>
                <w:sz w:val="22"/>
                <w:szCs w:val="22"/>
                <w:lang w:val="en-GB"/>
              </w:rPr>
            </w:pPr>
            <w:r w:rsidRPr="00F638AF">
              <w:rPr>
                <w:sz w:val="22"/>
                <w:szCs w:val="22"/>
                <w:lang w:val="en-GB"/>
              </w:rPr>
              <w:t>Na</w:t>
            </w:r>
          </w:p>
        </w:tc>
      </w:tr>
      <w:tr w:rsidR="003A788B" w14:paraId="7C33165F" w14:textId="77777777" w:rsidTr="008919D7">
        <w:tc>
          <w:tcPr>
            <w:tcW w:w="1870" w:type="dxa"/>
          </w:tcPr>
          <w:p w14:paraId="7C33165A" w14:textId="77777777" w:rsidR="008F369D" w:rsidRPr="00F638AF" w:rsidRDefault="00016F29" w:rsidP="008919D7">
            <w:pPr>
              <w:pStyle w:val="TextTi10"/>
              <w:keepNext/>
              <w:keepLines/>
              <w:jc w:val="right"/>
              <w:rPr>
                <w:sz w:val="22"/>
                <w:szCs w:val="22"/>
                <w:lang w:val="en-GB"/>
              </w:rPr>
            </w:pPr>
            <w:r w:rsidRPr="00F638AF">
              <w:rPr>
                <w:sz w:val="22"/>
                <w:szCs w:val="22"/>
                <w:lang w:val="en-GB"/>
              </w:rPr>
              <w:t>CR</w:t>
            </w:r>
            <w:r w:rsidRPr="00F638AF">
              <w:rPr>
                <w:sz w:val="22"/>
                <w:szCs w:val="22"/>
                <w:vertAlign w:val="superscript"/>
                <w:lang w:val="en-GB"/>
              </w:rPr>
              <w:t>2)</w:t>
            </w:r>
          </w:p>
        </w:tc>
        <w:tc>
          <w:tcPr>
            <w:tcW w:w="1320" w:type="dxa"/>
          </w:tcPr>
          <w:p w14:paraId="7C33165B" w14:textId="77777777" w:rsidR="008F369D" w:rsidRPr="00F638AF" w:rsidRDefault="00016F29" w:rsidP="008919D7">
            <w:pPr>
              <w:pStyle w:val="TextTi10"/>
              <w:keepNext/>
              <w:keepLines/>
              <w:jc w:val="center"/>
              <w:rPr>
                <w:sz w:val="22"/>
                <w:szCs w:val="22"/>
                <w:lang w:val="en-GB"/>
              </w:rPr>
            </w:pPr>
            <w:r w:rsidRPr="00F638AF">
              <w:rPr>
                <w:sz w:val="22"/>
                <w:szCs w:val="22"/>
                <w:lang w:val="en-GB"/>
              </w:rPr>
              <w:t>16 %</w:t>
            </w:r>
          </w:p>
        </w:tc>
        <w:tc>
          <w:tcPr>
            <w:tcW w:w="1440" w:type="dxa"/>
          </w:tcPr>
          <w:p w14:paraId="7C33165C" w14:textId="77777777" w:rsidR="008F369D" w:rsidRPr="00F638AF" w:rsidRDefault="00016F29" w:rsidP="008919D7">
            <w:pPr>
              <w:pStyle w:val="TextTi10"/>
              <w:keepNext/>
              <w:keepLines/>
              <w:jc w:val="center"/>
              <w:rPr>
                <w:sz w:val="22"/>
                <w:szCs w:val="22"/>
                <w:lang w:val="en-GB"/>
              </w:rPr>
            </w:pPr>
            <w:r w:rsidRPr="00F638AF">
              <w:rPr>
                <w:sz w:val="22"/>
                <w:szCs w:val="22"/>
                <w:lang w:val="en-GB"/>
              </w:rPr>
              <w:t>29 %</w:t>
            </w:r>
          </w:p>
        </w:tc>
        <w:tc>
          <w:tcPr>
            <w:tcW w:w="1200" w:type="dxa"/>
          </w:tcPr>
          <w:p w14:paraId="7C33165D" w14:textId="77777777" w:rsidR="008F369D" w:rsidRPr="00F638AF" w:rsidRDefault="00016F29" w:rsidP="008919D7">
            <w:pPr>
              <w:pStyle w:val="TextTi10"/>
              <w:keepNext/>
              <w:keepLines/>
              <w:jc w:val="center"/>
              <w:rPr>
                <w:sz w:val="22"/>
                <w:szCs w:val="22"/>
                <w:lang w:val="en-GB"/>
              </w:rPr>
            </w:pPr>
            <w:r w:rsidRPr="00F638AF">
              <w:rPr>
                <w:sz w:val="22"/>
                <w:szCs w:val="22"/>
                <w:lang w:val="en-GB"/>
              </w:rPr>
              <w:t>0.0005</w:t>
            </w:r>
          </w:p>
        </w:tc>
        <w:tc>
          <w:tcPr>
            <w:tcW w:w="1920" w:type="dxa"/>
          </w:tcPr>
          <w:p w14:paraId="7C33165E" w14:textId="77777777" w:rsidR="008F369D" w:rsidRPr="00F638AF" w:rsidRDefault="00016F29" w:rsidP="008919D7">
            <w:pPr>
              <w:pStyle w:val="TextTi10"/>
              <w:keepNext/>
              <w:keepLines/>
              <w:jc w:val="center"/>
              <w:rPr>
                <w:sz w:val="22"/>
                <w:szCs w:val="22"/>
                <w:lang w:val="en-GB"/>
              </w:rPr>
            </w:pPr>
            <w:r w:rsidRPr="00F638AF">
              <w:rPr>
                <w:sz w:val="22"/>
                <w:szCs w:val="22"/>
                <w:lang w:val="en-GB"/>
              </w:rPr>
              <w:t>Na</w:t>
            </w:r>
          </w:p>
        </w:tc>
      </w:tr>
      <w:tr w:rsidR="003A788B" w14:paraId="7C331665" w14:textId="77777777" w:rsidTr="008919D7">
        <w:tc>
          <w:tcPr>
            <w:tcW w:w="1870" w:type="dxa"/>
          </w:tcPr>
          <w:p w14:paraId="7C331660" w14:textId="77777777" w:rsidR="008F369D" w:rsidRPr="00F638AF" w:rsidRDefault="00016F29" w:rsidP="008919D7">
            <w:pPr>
              <w:pStyle w:val="TextTi10"/>
              <w:keepNext/>
              <w:keepLines/>
              <w:jc w:val="right"/>
              <w:rPr>
                <w:sz w:val="22"/>
                <w:szCs w:val="22"/>
                <w:lang w:val="en-GB"/>
              </w:rPr>
            </w:pPr>
            <w:r w:rsidRPr="00F638AF">
              <w:rPr>
                <w:sz w:val="22"/>
                <w:szCs w:val="22"/>
                <w:lang w:val="en-GB"/>
              </w:rPr>
              <w:t>PR</w:t>
            </w:r>
            <w:r w:rsidRPr="00F638AF">
              <w:rPr>
                <w:sz w:val="22"/>
                <w:szCs w:val="22"/>
                <w:vertAlign w:val="superscript"/>
                <w:lang w:val="en-GB"/>
              </w:rPr>
              <w:t>2)</w:t>
            </w:r>
          </w:p>
        </w:tc>
        <w:tc>
          <w:tcPr>
            <w:tcW w:w="1320" w:type="dxa"/>
          </w:tcPr>
          <w:p w14:paraId="7C331661" w14:textId="77777777" w:rsidR="008F369D" w:rsidRPr="00F638AF" w:rsidRDefault="00016F29" w:rsidP="008919D7">
            <w:pPr>
              <w:pStyle w:val="TextTi10"/>
              <w:keepNext/>
              <w:keepLines/>
              <w:jc w:val="center"/>
              <w:rPr>
                <w:sz w:val="22"/>
                <w:szCs w:val="22"/>
                <w:lang w:val="en-GB"/>
              </w:rPr>
            </w:pPr>
            <w:r w:rsidRPr="00F638AF">
              <w:rPr>
                <w:sz w:val="22"/>
                <w:szCs w:val="22"/>
                <w:lang w:val="en-GB"/>
              </w:rPr>
              <w:t>58 %</w:t>
            </w:r>
          </w:p>
        </w:tc>
        <w:tc>
          <w:tcPr>
            <w:tcW w:w="1440" w:type="dxa"/>
          </w:tcPr>
          <w:p w14:paraId="7C331662" w14:textId="77777777" w:rsidR="008F369D" w:rsidRPr="00F638AF" w:rsidRDefault="00016F29" w:rsidP="008919D7">
            <w:pPr>
              <w:pStyle w:val="TextTi10"/>
              <w:keepNext/>
              <w:keepLines/>
              <w:jc w:val="center"/>
              <w:rPr>
                <w:sz w:val="22"/>
                <w:szCs w:val="22"/>
                <w:lang w:val="en-GB"/>
              </w:rPr>
            </w:pPr>
            <w:r w:rsidRPr="00F638AF">
              <w:rPr>
                <w:sz w:val="22"/>
                <w:szCs w:val="22"/>
                <w:lang w:val="en-GB"/>
              </w:rPr>
              <w:t>58 %</w:t>
            </w:r>
          </w:p>
        </w:tc>
        <w:tc>
          <w:tcPr>
            <w:tcW w:w="1200" w:type="dxa"/>
          </w:tcPr>
          <w:p w14:paraId="7C331663" w14:textId="77777777" w:rsidR="008F369D" w:rsidRPr="00F638AF" w:rsidRDefault="00016F29" w:rsidP="008919D7">
            <w:pPr>
              <w:pStyle w:val="TextTi10"/>
              <w:keepNext/>
              <w:keepLines/>
              <w:jc w:val="center"/>
              <w:rPr>
                <w:sz w:val="22"/>
                <w:szCs w:val="22"/>
                <w:lang w:val="en-GB"/>
              </w:rPr>
            </w:pPr>
            <w:r w:rsidRPr="00F638AF">
              <w:rPr>
                <w:sz w:val="22"/>
                <w:szCs w:val="22"/>
                <w:lang w:val="en-GB"/>
              </w:rPr>
              <w:t>0.9449</w:t>
            </w:r>
          </w:p>
        </w:tc>
        <w:tc>
          <w:tcPr>
            <w:tcW w:w="1920" w:type="dxa"/>
          </w:tcPr>
          <w:p w14:paraId="7C331664" w14:textId="77777777" w:rsidR="008F369D" w:rsidRPr="00F638AF" w:rsidRDefault="00016F29" w:rsidP="008919D7">
            <w:pPr>
              <w:pStyle w:val="TextTi10"/>
              <w:keepNext/>
              <w:keepLines/>
              <w:jc w:val="center"/>
              <w:rPr>
                <w:sz w:val="22"/>
                <w:szCs w:val="22"/>
                <w:lang w:val="en-GB"/>
              </w:rPr>
            </w:pPr>
            <w:r w:rsidRPr="00F638AF">
              <w:rPr>
                <w:sz w:val="22"/>
                <w:szCs w:val="22"/>
                <w:lang w:val="en-GB"/>
              </w:rPr>
              <w:t>Na</w:t>
            </w:r>
          </w:p>
        </w:tc>
      </w:tr>
    </w:tbl>
    <w:p w14:paraId="7C331666" w14:textId="77777777" w:rsidR="008F369D" w:rsidRPr="00F638AF" w:rsidRDefault="00016F29" w:rsidP="008F369D">
      <w:pPr>
        <w:rPr>
          <w:sz w:val="18"/>
          <w:szCs w:val="18"/>
          <w:lang w:val="en-GB"/>
        </w:rPr>
      </w:pPr>
      <w:r w:rsidRPr="00F638AF">
        <w:rPr>
          <w:sz w:val="18"/>
          <w:szCs w:val="18"/>
          <w:vertAlign w:val="superscript"/>
          <w:lang w:val="en-GB"/>
        </w:rPr>
        <w:t>1)</w:t>
      </w:r>
      <w:r w:rsidRPr="00F638AF">
        <w:rPr>
          <w:sz w:val="18"/>
          <w:szCs w:val="18"/>
          <w:lang w:val="en-GB"/>
        </w:rPr>
        <w:t xml:space="preserve"> Estimates were calculated by hazard ratios</w:t>
      </w:r>
    </w:p>
    <w:p w14:paraId="7C331667" w14:textId="77777777" w:rsidR="008F369D" w:rsidRPr="00F638AF" w:rsidRDefault="00016F29" w:rsidP="008F369D">
      <w:pPr>
        <w:rPr>
          <w:sz w:val="18"/>
          <w:szCs w:val="18"/>
          <w:lang w:val="en-GB"/>
        </w:rPr>
      </w:pPr>
      <w:r w:rsidRPr="00F638AF">
        <w:rPr>
          <w:sz w:val="18"/>
          <w:szCs w:val="18"/>
          <w:vertAlign w:val="superscript"/>
          <w:lang w:val="en-GB"/>
        </w:rPr>
        <w:t>2)</w:t>
      </w:r>
      <w:r w:rsidRPr="00F638AF">
        <w:rPr>
          <w:sz w:val="18"/>
          <w:szCs w:val="18"/>
          <w:lang w:val="en-GB"/>
        </w:rPr>
        <w:t xml:space="preserve"> Last tumour response as assessed by the investigator. The “primary” statistical test for “response” was the trend test of CR versus PR versus non</w:t>
      </w:r>
      <w:r w:rsidR="000A6DDA" w:rsidRPr="00F638AF">
        <w:rPr>
          <w:sz w:val="18"/>
          <w:szCs w:val="18"/>
          <w:lang w:val="en-GB"/>
        </w:rPr>
        <w:noBreakHyphen/>
      </w:r>
      <w:r w:rsidRPr="00F638AF">
        <w:rPr>
          <w:sz w:val="18"/>
          <w:szCs w:val="18"/>
          <w:lang w:val="en-GB"/>
        </w:rPr>
        <w:t xml:space="preserve">response (p &lt; 0.0001) </w:t>
      </w:r>
    </w:p>
    <w:p w14:paraId="7C331668" w14:textId="77777777" w:rsidR="008F369D" w:rsidRPr="00F638AF" w:rsidRDefault="00016F29" w:rsidP="008F369D">
      <w:pPr>
        <w:rPr>
          <w:sz w:val="18"/>
          <w:szCs w:val="18"/>
          <w:lang w:val="en-GB"/>
        </w:rPr>
      </w:pPr>
      <w:r w:rsidRPr="00F638AF">
        <w:rPr>
          <w:sz w:val="18"/>
          <w:szCs w:val="18"/>
          <w:lang w:val="en-GB"/>
        </w:rPr>
        <w:t>Abbreviations: NA, not available; ORR: overall response rate; CR: complete response; PR: partial response</w:t>
      </w:r>
    </w:p>
    <w:p w14:paraId="7C331669" w14:textId="77777777" w:rsidR="008F369D" w:rsidRPr="00F638AF" w:rsidRDefault="008F369D" w:rsidP="008F369D">
      <w:pPr>
        <w:rPr>
          <w:lang w:val="en-GB"/>
        </w:rPr>
      </w:pPr>
    </w:p>
    <w:p w14:paraId="7C33166A" w14:textId="77777777" w:rsidR="008F369D" w:rsidRPr="00F638AF" w:rsidRDefault="00016F29" w:rsidP="008F369D">
      <w:pPr>
        <w:rPr>
          <w:szCs w:val="22"/>
          <w:lang w:val="en-GB"/>
        </w:rPr>
      </w:pPr>
      <w:r w:rsidRPr="00F638AF">
        <w:rPr>
          <w:szCs w:val="22"/>
          <w:lang w:val="en-GB"/>
        </w:rPr>
        <w:t>For patients randomised to the maintenance phase of the trial, the median observation time was 28 months from maintenance randomisation. Maintenance treatment with MabThera led to a clinically relevant and statistically significant improvement in the primary endpoint, PFS, (time from maintenance randomisation to relapse, disease progression or death) when compared to observation alone (p&lt; 0.0001 log</w:t>
      </w:r>
      <w:r w:rsidR="000A6DDA" w:rsidRPr="00F638AF">
        <w:rPr>
          <w:szCs w:val="22"/>
          <w:lang w:val="en-GB"/>
        </w:rPr>
        <w:noBreakHyphen/>
      </w:r>
      <w:r w:rsidRPr="00F638AF">
        <w:rPr>
          <w:szCs w:val="22"/>
          <w:lang w:val="en-GB"/>
        </w:rPr>
        <w:t>rank test).</w:t>
      </w:r>
      <w:r w:rsidR="003E00A9">
        <w:rPr>
          <w:szCs w:val="22"/>
          <w:lang w:val="en-GB"/>
        </w:rPr>
        <w:t xml:space="preserve"> </w:t>
      </w:r>
      <w:r w:rsidR="00551F21">
        <w:rPr>
          <w:szCs w:val="22"/>
          <w:lang w:val="en-GB"/>
        </w:rPr>
        <w:t xml:space="preserve"> </w:t>
      </w:r>
      <w:r w:rsidRPr="00F638AF">
        <w:rPr>
          <w:szCs w:val="22"/>
          <w:lang w:val="en-GB"/>
        </w:rPr>
        <w:t>The median PFS was 42.2 months in the MabThera maintenance arm compared to 14.3 months in the observation arm. Using a cox regression analysis, the risk of experiencing progressive disease or death was reduced by 61% with MabThera maintenance treatment when compared to observation (95% CI; 45%</w:t>
      </w:r>
      <w:r w:rsidR="000A6DDA" w:rsidRPr="00F638AF">
        <w:rPr>
          <w:szCs w:val="22"/>
          <w:lang w:val="en-GB"/>
        </w:rPr>
        <w:noBreakHyphen/>
      </w:r>
      <w:r w:rsidRPr="00F638AF">
        <w:rPr>
          <w:szCs w:val="22"/>
          <w:lang w:val="en-GB"/>
        </w:rPr>
        <w:t>72%). Kaplan</w:t>
      </w:r>
      <w:r w:rsidR="000A6DDA" w:rsidRPr="00F638AF">
        <w:rPr>
          <w:szCs w:val="22"/>
          <w:lang w:val="en-GB"/>
        </w:rPr>
        <w:noBreakHyphen/>
      </w:r>
      <w:r w:rsidRPr="00F638AF">
        <w:rPr>
          <w:szCs w:val="22"/>
          <w:lang w:val="en-GB"/>
        </w:rPr>
        <w:t>Meier estimated progression</w:t>
      </w:r>
      <w:r w:rsidR="000A6DDA" w:rsidRPr="00F638AF">
        <w:rPr>
          <w:szCs w:val="22"/>
          <w:lang w:val="en-GB"/>
        </w:rPr>
        <w:noBreakHyphen/>
      </w:r>
      <w:r w:rsidRPr="00F638AF">
        <w:rPr>
          <w:szCs w:val="22"/>
          <w:lang w:val="en-GB"/>
        </w:rPr>
        <w:t>free rates at 12 months were 78% in the MabThera maintenance group vs. 57 % in the observation group. An analysis of overall survival confirmed the significant benefit of MabThera maintenance over observation (p=0.0039 log</w:t>
      </w:r>
      <w:r w:rsidR="000A6DDA" w:rsidRPr="00F638AF">
        <w:rPr>
          <w:szCs w:val="22"/>
          <w:lang w:val="en-GB"/>
        </w:rPr>
        <w:noBreakHyphen/>
      </w:r>
      <w:r w:rsidRPr="00F638AF">
        <w:rPr>
          <w:szCs w:val="22"/>
          <w:lang w:val="en-GB"/>
        </w:rPr>
        <w:t>rank test). MabThera maintenance treatment reduced the risk of death by 56% (95% CI; 22%</w:t>
      </w:r>
      <w:r w:rsidR="000A6DDA" w:rsidRPr="00F638AF">
        <w:rPr>
          <w:szCs w:val="22"/>
          <w:lang w:val="en-GB"/>
        </w:rPr>
        <w:noBreakHyphen/>
      </w:r>
      <w:r w:rsidRPr="00F638AF">
        <w:rPr>
          <w:szCs w:val="22"/>
          <w:lang w:val="en-GB"/>
        </w:rPr>
        <w:t xml:space="preserve">75%). </w:t>
      </w:r>
    </w:p>
    <w:p w14:paraId="7C33166B" w14:textId="77777777" w:rsidR="008F369D" w:rsidRPr="00F638AF" w:rsidRDefault="008F369D" w:rsidP="008F369D">
      <w:pPr>
        <w:rPr>
          <w:szCs w:val="22"/>
          <w:lang w:val="en-GB"/>
        </w:rPr>
      </w:pPr>
    </w:p>
    <w:p w14:paraId="7C33166C" w14:textId="77777777" w:rsidR="008F369D" w:rsidRPr="00F638AF" w:rsidRDefault="00016F29" w:rsidP="008F369D">
      <w:pPr>
        <w:keepNext/>
        <w:keepLines/>
        <w:ind w:left="1134" w:hanging="1134"/>
        <w:rPr>
          <w:b/>
          <w:lang w:val="en-GB"/>
        </w:rPr>
      </w:pPr>
      <w:r w:rsidRPr="00F638AF">
        <w:rPr>
          <w:b/>
          <w:lang w:val="en-GB"/>
        </w:rPr>
        <w:t>Table </w:t>
      </w:r>
      <w:r w:rsidR="00654F47" w:rsidRPr="00F638AF">
        <w:rPr>
          <w:b/>
          <w:lang w:val="en-GB"/>
        </w:rPr>
        <w:t>11</w:t>
      </w:r>
      <w:r w:rsidRPr="00F638AF">
        <w:rPr>
          <w:b/>
          <w:lang w:val="en-GB"/>
        </w:rPr>
        <w:tab/>
        <w:t xml:space="preserve">Maintenance phase: overview of efficacy results MabThera vs. observation (28 months median observation time) </w:t>
      </w:r>
    </w:p>
    <w:tbl>
      <w:tblPr>
        <w:tblW w:w="8613" w:type="dxa"/>
        <w:tblInd w:w="108" w:type="dxa"/>
        <w:tblBorders>
          <w:top w:val="single" w:sz="6" w:space="0" w:color="000000"/>
          <w:bottom w:val="single" w:sz="6" w:space="0" w:color="000000"/>
          <w:insideV w:val="single" w:sz="6" w:space="0" w:color="000000"/>
        </w:tblBorders>
        <w:tblLayout w:type="fixed"/>
        <w:tblLook w:val="0000" w:firstRow="0" w:lastRow="0" w:firstColumn="0" w:lastColumn="0" w:noHBand="0" w:noVBand="0"/>
      </w:tblPr>
      <w:tblGrid>
        <w:gridCol w:w="3108"/>
        <w:gridCol w:w="1440"/>
        <w:gridCol w:w="1372"/>
        <w:gridCol w:w="1276"/>
        <w:gridCol w:w="1417"/>
      </w:tblGrid>
      <w:tr w:rsidR="003A788B" w14:paraId="7C331670" w14:textId="77777777" w:rsidTr="008919D7">
        <w:trPr>
          <w:cantSplit/>
          <w:tblHeader/>
        </w:trPr>
        <w:tc>
          <w:tcPr>
            <w:tcW w:w="3108" w:type="dxa"/>
            <w:vMerge w:val="restart"/>
            <w:tcBorders>
              <w:top w:val="single" w:sz="6" w:space="0" w:color="000000"/>
              <w:left w:val="single" w:sz="4" w:space="0" w:color="auto"/>
            </w:tcBorders>
          </w:tcPr>
          <w:p w14:paraId="7C33166D" w14:textId="77777777" w:rsidR="008F369D" w:rsidRPr="00F638AF" w:rsidRDefault="00016F29" w:rsidP="008919D7">
            <w:pPr>
              <w:pStyle w:val="TextTi10"/>
              <w:keepNext/>
              <w:keepLines/>
              <w:jc w:val="center"/>
              <w:rPr>
                <w:b/>
                <w:sz w:val="22"/>
                <w:szCs w:val="22"/>
                <w:lang w:val="en-GB"/>
              </w:rPr>
            </w:pPr>
            <w:r w:rsidRPr="00F638AF">
              <w:rPr>
                <w:b/>
                <w:sz w:val="22"/>
                <w:szCs w:val="22"/>
                <w:lang w:val="en-GB"/>
              </w:rPr>
              <w:t>Efficacy Parameter</w:t>
            </w:r>
          </w:p>
        </w:tc>
        <w:tc>
          <w:tcPr>
            <w:tcW w:w="4088" w:type="dxa"/>
            <w:gridSpan w:val="3"/>
            <w:tcBorders>
              <w:top w:val="single" w:sz="6" w:space="0" w:color="000000"/>
              <w:bottom w:val="single" w:sz="6" w:space="0" w:color="000000"/>
            </w:tcBorders>
          </w:tcPr>
          <w:p w14:paraId="7C33166E" w14:textId="77777777" w:rsidR="008F369D" w:rsidRPr="00F638AF" w:rsidRDefault="00016F29" w:rsidP="008919D7">
            <w:pPr>
              <w:pStyle w:val="TextTi10"/>
              <w:keepNext/>
              <w:keepLines/>
              <w:jc w:val="center"/>
              <w:rPr>
                <w:b/>
                <w:sz w:val="22"/>
                <w:szCs w:val="22"/>
                <w:lang w:val="en-GB"/>
              </w:rPr>
            </w:pPr>
            <w:r w:rsidRPr="00F638AF">
              <w:rPr>
                <w:b/>
                <w:sz w:val="22"/>
                <w:szCs w:val="22"/>
                <w:lang w:val="en-GB"/>
              </w:rPr>
              <w:t>Kaplan</w:t>
            </w:r>
            <w:r w:rsidR="000A6DDA" w:rsidRPr="00F638AF">
              <w:rPr>
                <w:rFonts w:ascii="Cambria Math" w:hAnsi="Cambria Math" w:cs="Cambria Math"/>
                <w:b/>
                <w:sz w:val="22"/>
                <w:szCs w:val="22"/>
                <w:lang w:val="en-GB"/>
              </w:rPr>
              <w:noBreakHyphen/>
            </w:r>
            <w:r w:rsidRPr="00F638AF">
              <w:rPr>
                <w:b/>
                <w:sz w:val="22"/>
                <w:szCs w:val="22"/>
                <w:lang w:val="en-GB"/>
              </w:rPr>
              <w:t xml:space="preserve">Meier Estimate of </w:t>
            </w:r>
            <w:r w:rsidRPr="00F638AF">
              <w:rPr>
                <w:b/>
                <w:sz w:val="22"/>
                <w:szCs w:val="22"/>
                <w:lang w:val="en-GB"/>
              </w:rPr>
              <w:br/>
              <w:t>Median Time to Event (Months)</w:t>
            </w:r>
          </w:p>
        </w:tc>
        <w:tc>
          <w:tcPr>
            <w:tcW w:w="1417" w:type="dxa"/>
            <w:vMerge w:val="restart"/>
            <w:tcBorders>
              <w:top w:val="single" w:sz="6" w:space="0" w:color="000000"/>
              <w:right w:val="single" w:sz="6" w:space="0" w:color="000000"/>
            </w:tcBorders>
          </w:tcPr>
          <w:p w14:paraId="7C33166F" w14:textId="77777777" w:rsidR="008F369D" w:rsidRPr="00F638AF" w:rsidRDefault="00016F29" w:rsidP="008919D7">
            <w:pPr>
              <w:pStyle w:val="TextTi10"/>
              <w:keepNext/>
              <w:keepLines/>
              <w:jc w:val="center"/>
              <w:rPr>
                <w:b/>
                <w:sz w:val="22"/>
                <w:szCs w:val="22"/>
                <w:vertAlign w:val="superscript"/>
                <w:lang w:val="en-GB"/>
              </w:rPr>
            </w:pPr>
            <w:r w:rsidRPr="00F638AF">
              <w:rPr>
                <w:b/>
                <w:sz w:val="22"/>
                <w:szCs w:val="22"/>
                <w:lang w:val="en-GB"/>
              </w:rPr>
              <w:t>Risk Reduction</w:t>
            </w:r>
          </w:p>
        </w:tc>
      </w:tr>
      <w:tr w:rsidR="003A788B" w14:paraId="7C331678" w14:textId="77777777" w:rsidTr="008919D7">
        <w:trPr>
          <w:cantSplit/>
          <w:tblHeader/>
        </w:trPr>
        <w:tc>
          <w:tcPr>
            <w:tcW w:w="3108" w:type="dxa"/>
            <w:vMerge/>
            <w:tcBorders>
              <w:left w:val="single" w:sz="4" w:space="0" w:color="auto"/>
              <w:bottom w:val="single" w:sz="6" w:space="0" w:color="000000"/>
            </w:tcBorders>
          </w:tcPr>
          <w:p w14:paraId="7C331671" w14:textId="77777777" w:rsidR="008F369D" w:rsidRPr="00F638AF" w:rsidRDefault="008F369D" w:rsidP="008919D7">
            <w:pPr>
              <w:pStyle w:val="TextTi10"/>
              <w:keepNext/>
              <w:keepLines/>
              <w:jc w:val="center"/>
              <w:rPr>
                <w:b/>
                <w:sz w:val="22"/>
                <w:szCs w:val="22"/>
                <w:lang w:val="en-GB"/>
              </w:rPr>
            </w:pPr>
          </w:p>
        </w:tc>
        <w:tc>
          <w:tcPr>
            <w:tcW w:w="1440" w:type="dxa"/>
            <w:tcBorders>
              <w:top w:val="single" w:sz="6" w:space="0" w:color="000000"/>
              <w:bottom w:val="single" w:sz="6" w:space="0" w:color="000000"/>
            </w:tcBorders>
          </w:tcPr>
          <w:p w14:paraId="7C331672" w14:textId="77777777" w:rsidR="008F369D" w:rsidRPr="00F638AF" w:rsidRDefault="00016F29" w:rsidP="008919D7">
            <w:pPr>
              <w:pStyle w:val="TextTi10"/>
              <w:keepNext/>
              <w:keepLines/>
              <w:jc w:val="center"/>
              <w:rPr>
                <w:b/>
                <w:sz w:val="22"/>
                <w:szCs w:val="22"/>
                <w:lang w:val="en-GB"/>
              </w:rPr>
            </w:pPr>
            <w:r w:rsidRPr="00F638AF">
              <w:rPr>
                <w:b/>
                <w:sz w:val="22"/>
                <w:szCs w:val="22"/>
                <w:lang w:val="en-GB"/>
              </w:rPr>
              <w:t>Observation</w:t>
            </w:r>
          </w:p>
          <w:p w14:paraId="7C331673" w14:textId="77777777" w:rsidR="008F369D" w:rsidRPr="00F638AF" w:rsidRDefault="00016F29" w:rsidP="008919D7">
            <w:pPr>
              <w:pStyle w:val="TextTi10"/>
              <w:keepNext/>
              <w:keepLines/>
              <w:jc w:val="center"/>
              <w:rPr>
                <w:b/>
                <w:sz w:val="22"/>
                <w:szCs w:val="22"/>
                <w:lang w:val="en-GB"/>
              </w:rPr>
            </w:pPr>
            <w:r w:rsidRPr="00F638AF">
              <w:rPr>
                <w:b/>
                <w:sz w:val="22"/>
                <w:szCs w:val="22"/>
                <w:lang w:val="en-GB"/>
              </w:rPr>
              <w:t>(N = 167)</w:t>
            </w:r>
          </w:p>
        </w:tc>
        <w:tc>
          <w:tcPr>
            <w:tcW w:w="1372" w:type="dxa"/>
            <w:tcBorders>
              <w:top w:val="single" w:sz="6" w:space="0" w:color="000000"/>
              <w:bottom w:val="single" w:sz="6" w:space="0" w:color="000000"/>
            </w:tcBorders>
          </w:tcPr>
          <w:p w14:paraId="7C331674" w14:textId="77777777" w:rsidR="008F369D" w:rsidRPr="00F638AF" w:rsidRDefault="00016F29" w:rsidP="008919D7">
            <w:pPr>
              <w:pStyle w:val="TextTi10"/>
              <w:keepNext/>
              <w:keepLines/>
              <w:jc w:val="center"/>
              <w:rPr>
                <w:b/>
                <w:sz w:val="22"/>
                <w:szCs w:val="22"/>
                <w:lang w:val="en-GB"/>
              </w:rPr>
            </w:pPr>
            <w:r w:rsidRPr="00F638AF">
              <w:rPr>
                <w:b/>
                <w:sz w:val="22"/>
                <w:szCs w:val="22"/>
                <w:lang w:val="en-GB"/>
              </w:rPr>
              <w:t>MabThera</w:t>
            </w:r>
          </w:p>
          <w:p w14:paraId="7C331675" w14:textId="77777777" w:rsidR="008F369D" w:rsidRPr="00F638AF" w:rsidRDefault="00016F29" w:rsidP="008919D7">
            <w:pPr>
              <w:pStyle w:val="TextTi10"/>
              <w:keepNext/>
              <w:keepLines/>
              <w:jc w:val="center"/>
              <w:rPr>
                <w:b/>
                <w:sz w:val="22"/>
                <w:szCs w:val="22"/>
                <w:lang w:val="en-GB"/>
              </w:rPr>
            </w:pPr>
            <w:r w:rsidRPr="00F638AF">
              <w:rPr>
                <w:b/>
                <w:sz w:val="22"/>
                <w:szCs w:val="22"/>
                <w:lang w:val="en-GB"/>
              </w:rPr>
              <w:t>(N=167)</w:t>
            </w:r>
          </w:p>
        </w:tc>
        <w:tc>
          <w:tcPr>
            <w:tcW w:w="1276" w:type="dxa"/>
            <w:tcBorders>
              <w:top w:val="single" w:sz="6" w:space="0" w:color="000000"/>
              <w:bottom w:val="single" w:sz="6" w:space="0" w:color="000000"/>
            </w:tcBorders>
          </w:tcPr>
          <w:p w14:paraId="7C331676" w14:textId="77777777" w:rsidR="008F369D" w:rsidRPr="00F638AF" w:rsidRDefault="00016F29" w:rsidP="008919D7">
            <w:pPr>
              <w:pStyle w:val="TextTi10"/>
              <w:keepNext/>
              <w:keepLines/>
              <w:jc w:val="center"/>
              <w:rPr>
                <w:b/>
                <w:sz w:val="22"/>
                <w:szCs w:val="22"/>
                <w:lang w:val="en-GB"/>
              </w:rPr>
            </w:pPr>
            <w:r w:rsidRPr="00F638AF">
              <w:rPr>
                <w:b/>
                <w:sz w:val="22"/>
                <w:szCs w:val="22"/>
                <w:lang w:val="en-GB"/>
              </w:rPr>
              <w:t>Log</w:t>
            </w:r>
            <w:r w:rsidR="000A6DDA" w:rsidRPr="00F638AF">
              <w:rPr>
                <w:b/>
                <w:sz w:val="22"/>
                <w:szCs w:val="22"/>
                <w:lang w:val="en-GB"/>
              </w:rPr>
              <w:noBreakHyphen/>
            </w:r>
            <w:r w:rsidRPr="00F638AF">
              <w:rPr>
                <w:b/>
                <w:sz w:val="22"/>
                <w:szCs w:val="22"/>
                <w:lang w:val="en-GB"/>
              </w:rPr>
              <w:t xml:space="preserve">Rank </w:t>
            </w:r>
            <w:r w:rsidRPr="00F638AF">
              <w:rPr>
                <w:b/>
                <w:sz w:val="22"/>
                <w:szCs w:val="22"/>
                <w:lang w:val="en-GB"/>
              </w:rPr>
              <w:br/>
              <w:t>p value</w:t>
            </w:r>
          </w:p>
        </w:tc>
        <w:tc>
          <w:tcPr>
            <w:tcW w:w="1417" w:type="dxa"/>
            <w:vMerge/>
            <w:tcBorders>
              <w:bottom w:val="single" w:sz="6" w:space="0" w:color="000000"/>
              <w:right w:val="single" w:sz="6" w:space="0" w:color="000000"/>
            </w:tcBorders>
          </w:tcPr>
          <w:p w14:paraId="7C331677" w14:textId="77777777" w:rsidR="008F369D" w:rsidRPr="00F638AF" w:rsidRDefault="008F369D" w:rsidP="008919D7">
            <w:pPr>
              <w:pStyle w:val="TextTi10"/>
              <w:keepNext/>
              <w:keepLines/>
              <w:jc w:val="center"/>
              <w:rPr>
                <w:b/>
                <w:sz w:val="22"/>
                <w:szCs w:val="22"/>
                <w:lang w:val="en-GB"/>
              </w:rPr>
            </w:pPr>
          </w:p>
        </w:tc>
      </w:tr>
      <w:tr w:rsidR="003A788B" w14:paraId="7C33167E" w14:textId="77777777" w:rsidTr="008919D7">
        <w:trPr>
          <w:trHeight w:val="397"/>
        </w:trPr>
        <w:tc>
          <w:tcPr>
            <w:tcW w:w="3108" w:type="dxa"/>
            <w:tcBorders>
              <w:top w:val="single" w:sz="6" w:space="0" w:color="000000"/>
              <w:left w:val="single" w:sz="4" w:space="0" w:color="auto"/>
              <w:bottom w:val="nil"/>
            </w:tcBorders>
          </w:tcPr>
          <w:p w14:paraId="7C331679" w14:textId="77777777" w:rsidR="008F369D" w:rsidRPr="00F638AF" w:rsidRDefault="00016F29" w:rsidP="008919D7">
            <w:pPr>
              <w:pStyle w:val="TextTi10"/>
              <w:keepNext/>
              <w:keepLines/>
              <w:rPr>
                <w:b/>
                <w:sz w:val="22"/>
                <w:szCs w:val="22"/>
                <w:lang w:val="en-GB"/>
              </w:rPr>
            </w:pPr>
            <w:r w:rsidRPr="00F638AF">
              <w:rPr>
                <w:sz w:val="22"/>
                <w:szCs w:val="22"/>
                <w:lang w:val="en-GB"/>
              </w:rPr>
              <w:t>Progression</w:t>
            </w:r>
            <w:r w:rsidR="000A6DDA" w:rsidRPr="00F638AF">
              <w:rPr>
                <w:rFonts w:ascii="Cambria Math" w:hAnsi="Cambria Math" w:cs="Cambria Math"/>
                <w:sz w:val="22"/>
                <w:szCs w:val="22"/>
                <w:lang w:val="en-GB"/>
              </w:rPr>
              <w:noBreakHyphen/>
            </w:r>
            <w:r w:rsidRPr="00F638AF">
              <w:rPr>
                <w:sz w:val="22"/>
                <w:szCs w:val="22"/>
                <w:lang w:val="en-GB"/>
              </w:rPr>
              <w:t>free survival (PFS)</w:t>
            </w:r>
          </w:p>
        </w:tc>
        <w:tc>
          <w:tcPr>
            <w:tcW w:w="1440" w:type="dxa"/>
            <w:tcBorders>
              <w:top w:val="single" w:sz="6" w:space="0" w:color="000000"/>
              <w:bottom w:val="nil"/>
            </w:tcBorders>
          </w:tcPr>
          <w:p w14:paraId="7C33167A" w14:textId="77777777" w:rsidR="008F369D" w:rsidRPr="00F638AF" w:rsidRDefault="00016F29" w:rsidP="008919D7">
            <w:pPr>
              <w:pStyle w:val="TextTi10"/>
              <w:keepNext/>
              <w:keepLines/>
              <w:jc w:val="center"/>
              <w:rPr>
                <w:sz w:val="22"/>
                <w:szCs w:val="22"/>
                <w:lang w:val="en-GB"/>
              </w:rPr>
            </w:pPr>
            <w:r w:rsidRPr="00F638AF">
              <w:rPr>
                <w:sz w:val="22"/>
                <w:szCs w:val="22"/>
                <w:lang w:val="en-GB"/>
              </w:rPr>
              <w:t>14.3</w:t>
            </w:r>
          </w:p>
        </w:tc>
        <w:tc>
          <w:tcPr>
            <w:tcW w:w="1372" w:type="dxa"/>
            <w:tcBorders>
              <w:top w:val="single" w:sz="6" w:space="0" w:color="000000"/>
              <w:bottom w:val="nil"/>
            </w:tcBorders>
          </w:tcPr>
          <w:p w14:paraId="7C33167B" w14:textId="77777777" w:rsidR="008F369D" w:rsidRPr="00F638AF" w:rsidRDefault="00016F29" w:rsidP="008919D7">
            <w:pPr>
              <w:pStyle w:val="TextTi10"/>
              <w:keepNext/>
              <w:keepLines/>
              <w:jc w:val="center"/>
              <w:rPr>
                <w:sz w:val="22"/>
                <w:szCs w:val="22"/>
                <w:lang w:val="en-GB"/>
              </w:rPr>
            </w:pPr>
            <w:r w:rsidRPr="00F638AF">
              <w:rPr>
                <w:sz w:val="22"/>
                <w:szCs w:val="22"/>
                <w:lang w:val="en-GB"/>
              </w:rPr>
              <w:t>42.2</w:t>
            </w:r>
          </w:p>
        </w:tc>
        <w:tc>
          <w:tcPr>
            <w:tcW w:w="1276" w:type="dxa"/>
            <w:tcBorders>
              <w:top w:val="single" w:sz="6" w:space="0" w:color="000000"/>
              <w:bottom w:val="nil"/>
            </w:tcBorders>
          </w:tcPr>
          <w:p w14:paraId="7C33167C" w14:textId="77777777" w:rsidR="008F369D" w:rsidRPr="00F638AF" w:rsidRDefault="00016F29" w:rsidP="008919D7">
            <w:pPr>
              <w:pStyle w:val="TextTi10"/>
              <w:keepNext/>
              <w:keepLines/>
              <w:jc w:val="center"/>
              <w:rPr>
                <w:sz w:val="22"/>
                <w:szCs w:val="22"/>
                <w:lang w:val="en-GB"/>
              </w:rPr>
            </w:pPr>
            <w:r w:rsidRPr="00F638AF">
              <w:rPr>
                <w:sz w:val="22"/>
                <w:szCs w:val="22"/>
                <w:lang w:val="en-GB"/>
              </w:rPr>
              <w:t>&lt; 0.0001</w:t>
            </w:r>
          </w:p>
        </w:tc>
        <w:tc>
          <w:tcPr>
            <w:tcW w:w="1417" w:type="dxa"/>
            <w:tcBorders>
              <w:top w:val="single" w:sz="6" w:space="0" w:color="000000"/>
              <w:bottom w:val="nil"/>
              <w:right w:val="single" w:sz="6" w:space="0" w:color="000000"/>
            </w:tcBorders>
          </w:tcPr>
          <w:p w14:paraId="7C33167D" w14:textId="77777777" w:rsidR="008F369D" w:rsidRPr="00F638AF" w:rsidRDefault="00016F29" w:rsidP="008919D7">
            <w:pPr>
              <w:pStyle w:val="TextTi10"/>
              <w:keepNext/>
              <w:keepLines/>
              <w:jc w:val="center"/>
              <w:rPr>
                <w:sz w:val="22"/>
                <w:szCs w:val="22"/>
                <w:lang w:val="en-GB"/>
              </w:rPr>
            </w:pPr>
            <w:r w:rsidRPr="00F638AF">
              <w:rPr>
                <w:sz w:val="22"/>
                <w:szCs w:val="22"/>
                <w:lang w:val="en-GB"/>
              </w:rPr>
              <w:t>61 %</w:t>
            </w:r>
          </w:p>
        </w:tc>
      </w:tr>
      <w:tr w:rsidR="003A788B" w14:paraId="7C331684" w14:textId="77777777" w:rsidTr="008919D7">
        <w:trPr>
          <w:trHeight w:val="397"/>
        </w:trPr>
        <w:tc>
          <w:tcPr>
            <w:tcW w:w="3108" w:type="dxa"/>
            <w:tcBorders>
              <w:top w:val="single" w:sz="4" w:space="0" w:color="auto"/>
              <w:left w:val="single" w:sz="4" w:space="0" w:color="auto"/>
              <w:bottom w:val="nil"/>
            </w:tcBorders>
          </w:tcPr>
          <w:p w14:paraId="7C33167F" w14:textId="77777777" w:rsidR="008F369D" w:rsidRPr="00F638AF" w:rsidRDefault="00016F29" w:rsidP="00FC6974">
            <w:pPr>
              <w:pStyle w:val="TextTi10"/>
              <w:keepNext/>
              <w:keepLines/>
              <w:rPr>
                <w:b/>
                <w:sz w:val="22"/>
                <w:szCs w:val="22"/>
                <w:lang w:val="en-GB"/>
              </w:rPr>
            </w:pPr>
            <w:r w:rsidRPr="00F638AF">
              <w:rPr>
                <w:sz w:val="22"/>
                <w:szCs w:val="22"/>
                <w:lang w:val="en-GB"/>
              </w:rPr>
              <w:t xml:space="preserve">Overall </w:t>
            </w:r>
            <w:r w:rsidR="00FC6974" w:rsidRPr="00F638AF">
              <w:rPr>
                <w:sz w:val="22"/>
                <w:szCs w:val="22"/>
                <w:lang w:val="en-GB"/>
              </w:rPr>
              <w:t>s</w:t>
            </w:r>
            <w:r w:rsidRPr="00F638AF">
              <w:rPr>
                <w:sz w:val="22"/>
                <w:szCs w:val="22"/>
                <w:lang w:val="en-GB"/>
              </w:rPr>
              <w:t xml:space="preserve">urvival </w:t>
            </w:r>
          </w:p>
        </w:tc>
        <w:tc>
          <w:tcPr>
            <w:tcW w:w="1440" w:type="dxa"/>
            <w:tcBorders>
              <w:top w:val="single" w:sz="4" w:space="0" w:color="auto"/>
              <w:bottom w:val="nil"/>
            </w:tcBorders>
          </w:tcPr>
          <w:p w14:paraId="7C331680" w14:textId="77777777" w:rsidR="008F369D" w:rsidRPr="00F638AF" w:rsidRDefault="00016F29" w:rsidP="008919D7">
            <w:pPr>
              <w:pStyle w:val="TextTi10"/>
              <w:keepNext/>
              <w:keepLines/>
              <w:jc w:val="center"/>
              <w:rPr>
                <w:sz w:val="22"/>
                <w:szCs w:val="22"/>
                <w:lang w:val="en-GB"/>
              </w:rPr>
            </w:pPr>
            <w:r w:rsidRPr="00F638AF">
              <w:rPr>
                <w:sz w:val="22"/>
                <w:szCs w:val="22"/>
                <w:lang w:val="en-GB"/>
              </w:rPr>
              <w:t>NR</w:t>
            </w:r>
          </w:p>
        </w:tc>
        <w:tc>
          <w:tcPr>
            <w:tcW w:w="1372" w:type="dxa"/>
            <w:tcBorders>
              <w:top w:val="single" w:sz="4" w:space="0" w:color="auto"/>
              <w:bottom w:val="nil"/>
            </w:tcBorders>
          </w:tcPr>
          <w:p w14:paraId="7C331681" w14:textId="77777777" w:rsidR="008F369D" w:rsidRPr="00F638AF" w:rsidRDefault="00016F29" w:rsidP="008919D7">
            <w:pPr>
              <w:pStyle w:val="TextTi10"/>
              <w:keepNext/>
              <w:keepLines/>
              <w:jc w:val="center"/>
              <w:rPr>
                <w:sz w:val="22"/>
                <w:szCs w:val="22"/>
                <w:lang w:val="en-GB"/>
              </w:rPr>
            </w:pPr>
            <w:r w:rsidRPr="00F638AF">
              <w:rPr>
                <w:sz w:val="22"/>
                <w:szCs w:val="22"/>
                <w:lang w:val="en-GB"/>
              </w:rPr>
              <w:t>NR</w:t>
            </w:r>
          </w:p>
        </w:tc>
        <w:tc>
          <w:tcPr>
            <w:tcW w:w="1276" w:type="dxa"/>
            <w:tcBorders>
              <w:top w:val="single" w:sz="4" w:space="0" w:color="auto"/>
              <w:bottom w:val="nil"/>
            </w:tcBorders>
          </w:tcPr>
          <w:p w14:paraId="7C331682" w14:textId="77777777" w:rsidR="008F369D" w:rsidRPr="00F638AF" w:rsidRDefault="00016F29" w:rsidP="008919D7">
            <w:pPr>
              <w:pStyle w:val="TextTi10"/>
              <w:keepNext/>
              <w:keepLines/>
              <w:jc w:val="center"/>
              <w:rPr>
                <w:sz w:val="22"/>
                <w:szCs w:val="22"/>
                <w:lang w:val="en-GB"/>
              </w:rPr>
            </w:pPr>
            <w:r w:rsidRPr="00F638AF">
              <w:rPr>
                <w:sz w:val="22"/>
                <w:szCs w:val="22"/>
                <w:lang w:val="en-GB"/>
              </w:rPr>
              <w:t>0.0039</w:t>
            </w:r>
          </w:p>
        </w:tc>
        <w:tc>
          <w:tcPr>
            <w:tcW w:w="1417" w:type="dxa"/>
            <w:tcBorders>
              <w:top w:val="single" w:sz="4" w:space="0" w:color="auto"/>
              <w:bottom w:val="nil"/>
              <w:right w:val="single" w:sz="6" w:space="0" w:color="000000"/>
            </w:tcBorders>
          </w:tcPr>
          <w:p w14:paraId="7C331683" w14:textId="77777777" w:rsidR="008F369D" w:rsidRPr="00F638AF" w:rsidRDefault="00016F29" w:rsidP="008919D7">
            <w:pPr>
              <w:pStyle w:val="TextTi10"/>
              <w:keepNext/>
              <w:keepLines/>
              <w:jc w:val="center"/>
              <w:rPr>
                <w:sz w:val="22"/>
                <w:szCs w:val="22"/>
                <w:lang w:val="en-GB"/>
              </w:rPr>
            </w:pPr>
            <w:r w:rsidRPr="00F638AF">
              <w:rPr>
                <w:sz w:val="22"/>
                <w:szCs w:val="22"/>
                <w:lang w:val="en-GB"/>
              </w:rPr>
              <w:t>56 %</w:t>
            </w:r>
          </w:p>
        </w:tc>
      </w:tr>
      <w:tr w:rsidR="003A788B" w14:paraId="7C33168A" w14:textId="77777777" w:rsidTr="008919D7">
        <w:tc>
          <w:tcPr>
            <w:tcW w:w="3108" w:type="dxa"/>
            <w:tcBorders>
              <w:top w:val="single" w:sz="4" w:space="0" w:color="auto"/>
              <w:left w:val="single" w:sz="4" w:space="0" w:color="auto"/>
              <w:bottom w:val="nil"/>
            </w:tcBorders>
          </w:tcPr>
          <w:p w14:paraId="7C331685" w14:textId="77777777" w:rsidR="008F369D" w:rsidRPr="00F638AF" w:rsidRDefault="00016F29" w:rsidP="008919D7">
            <w:pPr>
              <w:pStyle w:val="TextTi10"/>
              <w:keepNext/>
              <w:keepLines/>
              <w:rPr>
                <w:sz w:val="22"/>
                <w:szCs w:val="22"/>
                <w:lang w:val="en-GB"/>
              </w:rPr>
            </w:pPr>
            <w:r w:rsidRPr="00F638AF">
              <w:rPr>
                <w:sz w:val="22"/>
                <w:szCs w:val="22"/>
                <w:lang w:val="en-GB"/>
              </w:rPr>
              <w:t>Time to new lymphoma treatment</w:t>
            </w:r>
          </w:p>
        </w:tc>
        <w:tc>
          <w:tcPr>
            <w:tcW w:w="1440" w:type="dxa"/>
            <w:tcBorders>
              <w:top w:val="single" w:sz="4" w:space="0" w:color="auto"/>
              <w:bottom w:val="nil"/>
            </w:tcBorders>
          </w:tcPr>
          <w:p w14:paraId="7C331686" w14:textId="77777777" w:rsidR="008F369D" w:rsidRPr="00F638AF" w:rsidRDefault="00016F29" w:rsidP="008919D7">
            <w:pPr>
              <w:pStyle w:val="TextTi10"/>
              <w:keepNext/>
              <w:keepLines/>
              <w:jc w:val="center"/>
              <w:rPr>
                <w:sz w:val="22"/>
                <w:szCs w:val="22"/>
                <w:lang w:val="en-GB"/>
              </w:rPr>
            </w:pPr>
            <w:r w:rsidRPr="00F638AF">
              <w:rPr>
                <w:sz w:val="22"/>
                <w:szCs w:val="22"/>
                <w:lang w:val="en-GB"/>
              </w:rPr>
              <w:t>20.1</w:t>
            </w:r>
          </w:p>
        </w:tc>
        <w:tc>
          <w:tcPr>
            <w:tcW w:w="1372" w:type="dxa"/>
            <w:tcBorders>
              <w:top w:val="single" w:sz="4" w:space="0" w:color="auto"/>
              <w:bottom w:val="nil"/>
            </w:tcBorders>
          </w:tcPr>
          <w:p w14:paraId="7C331687" w14:textId="77777777" w:rsidR="008F369D" w:rsidRPr="00F638AF" w:rsidRDefault="00016F29" w:rsidP="008919D7">
            <w:pPr>
              <w:pStyle w:val="TextTi10"/>
              <w:keepNext/>
              <w:keepLines/>
              <w:jc w:val="center"/>
              <w:rPr>
                <w:sz w:val="22"/>
                <w:szCs w:val="22"/>
                <w:lang w:val="en-GB"/>
              </w:rPr>
            </w:pPr>
            <w:r w:rsidRPr="00F638AF">
              <w:rPr>
                <w:sz w:val="22"/>
                <w:szCs w:val="22"/>
                <w:lang w:val="en-GB"/>
              </w:rPr>
              <w:t>38.8</w:t>
            </w:r>
          </w:p>
        </w:tc>
        <w:tc>
          <w:tcPr>
            <w:tcW w:w="1276" w:type="dxa"/>
            <w:tcBorders>
              <w:top w:val="single" w:sz="4" w:space="0" w:color="auto"/>
              <w:bottom w:val="nil"/>
            </w:tcBorders>
          </w:tcPr>
          <w:p w14:paraId="7C331688" w14:textId="77777777" w:rsidR="008F369D" w:rsidRPr="00F638AF" w:rsidRDefault="00016F29" w:rsidP="008919D7">
            <w:pPr>
              <w:pStyle w:val="TextTi10"/>
              <w:keepNext/>
              <w:keepLines/>
              <w:jc w:val="center"/>
              <w:rPr>
                <w:sz w:val="22"/>
                <w:szCs w:val="22"/>
                <w:lang w:val="en-GB"/>
              </w:rPr>
            </w:pPr>
            <w:r w:rsidRPr="00F638AF">
              <w:rPr>
                <w:sz w:val="22"/>
                <w:szCs w:val="22"/>
                <w:lang w:val="en-GB"/>
              </w:rPr>
              <w:t>&lt; 0.0001</w:t>
            </w:r>
          </w:p>
        </w:tc>
        <w:tc>
          <w:tcPr>
            <w:tcW w:w="1417" w:type="dxa"/>
            <w:tcBorders>
              <w:top w:val="single" w:sz="4" w:space="0" w:color="auto"/>
              <w:bottom w:val="nil"/>
              <w:right w:val="single" w:sz="6" w:space="0" w:color="000000"/>
            </w:tcBorders>
          </w:tcPr>
          <w:p w14:paraId="7C331689" w14:textId="77777777" w:rsidR="008F369D" w:rsidRPr="00F638AF" w:rsidRDefault="00016F29" w:rsidP="008919D7">
            <w:pPr>
              <w:pStyle w:val="TextTi10"/>
              <w:keepNext/>
              <w:keepLines/>
              <w:jc w:val="center"/>
              <w:rPr>
                <w:sz w:val="22"/>
                <w:szCs w:val="22"/>
                <w:lang w:val="en-GB"/>
              </w:rPr>
            </w:pPr>
            <w:r w:rsidRPr="00F638AF">
              <w:rPr>
                <w:sz w:val="22"/>
                <w:szCs w:val="22"/>
                <w:lang w:val="en-GB"/>
              </w:rPr>
              <w:t>50 %</w:t>
            </w:r>
          </w:p>
        </w:tc>
      </w:tr>
      <w:tr w:rsidR="003A788B" w14:paraId="7C331690" w14:textId="77777777" w:rsidTr="008919D7">
        <w:tc>
          <w:tcPr>
            <w:tcW w:w="3108" w:type="dxa"/>
            <w:tcBorders>
              <w:top w:val="nil"/>
              <w:left w:val="single" w:sz="4" w:space="0" w:color="auto"/>
              <w:bottom w:val="single" w:sz="4" w:space="0" w:color="auto"/>
            </w:tcBorders>
          </w:tcPr>
          <w:p w14:paraId="7C33168B" w14:textId="77777777" w:rsidR="008F369D" w:rsidRPr="00F638AF" w:rsidRDefault="00016F29" w:rsidP="008919D7">
            <w:pPr>
              <w:pStyle w:val="TextTi10"/>
              <w:keepNext/>
              <w:keepLines/>
              <w:rPr>
                <w:sz w:val="22"/>
                <w:szCs w:val="22"/>
                <w:lang w:val="en-GB"/>
              </w:rPr>
            </w:pPr>
            <w:r w:rsidRPr="00F638AF">
              <w:rPr>
                <w:sz w:val="22"/>
                <w:szCs w:val="22"/>
                <w:lang w:val="en-GB"/>
              </w:rPr>
              <w:t>Disease</w:t>
            </w:r>
            <w:r w:rsidR="000A6DDA" w:rsidRPr="00F638AF">
              <w:rPr>
                <w:rFonts w:ascii="Cambria Math" w:hAnsi="Cambria Math" w:cs="Cambria Math"/>
                <w:sz w:val="22"/>
                <w:szCs w:val="22"/>
                <w:lang w:val="en-GB"/>
              </w:rPr>
              <w:noBreakHyphen/>
            </w:r>
            <w:r w:rsidRPr="00F638AF">
              <w:rPr>
                <w:sz w:val="22"/>
                <w:szCs w:val="22"/>
                <w:lang w:val="en-GB"/>
              </w:rPr>
              <w:t>free survival</w:t>
            </w:r>
            <w:r w:rsidRPr="00F638AF">
              <w:rPr>
                <w:sz w:val="22"/>
                <w:szCs w:val="22"/>
                <w:vertAlign w:val="superscript"/>
                <w:lang w:val="en-GB"/>
              </w:rPr>
              <w:t>a</w:t>
            </w:r>
          </w:p>
        </w:tc>
        <w:tc>
          <w:tcPr>
            <w:tcW w:w="1440" w:type="dxa"/>
            <w:tcBorders>
              <w:top w:val="nil"/>
              <w:bottom w:val="single" w:sz="4" w:space="0" w:color="auto"/>
            </w:tcBorders>
          </w:tcPr>
          <w:p w14:paraId="7C33168C" w14:textId="77777777" w:rsidR="008F369D" w:rsidRPr="00F638AF" w:rsidRDefault="00016F29" w:rsidP="008919D7">
            <w:pPr>
              <w:pStyle w:val="TextTi10"/>
              <w:keepNext/>
              <w:keepLines/>
              <w:jc w:val="center"/>
              <w:rPr>
                <w:sz w:val="22"/>
                <w:szCs w:val="22"/>
                <w:lang w:val="en-GB"/>
              </w:rPr>
            </w:pPr>
            <w:r w:rsidRPr="00F638AF">
              <w:rPr>
                <w:sz w:val="22"/>
                <w:szCs w:val="22"/>
                <w:lang w:val="en-GB"/>
              </w:rPr>
              <w:t>16.5</w:t>
            </w:r>
          </w:p>
        </w:tc>
        <w:tc>
          <w:tcPr>
            <w:tcW w:w="1372" w:type="dxa"/>
            <w:tcBorders>
              <w:top w:val="nil"/>
              <w:bottom w:val="single" w:sz="4" w:space="0" w:color="auto"/>
            </w:tcBorders>
          </w:tcPr>
          <w:p w14:paraId="7C33168D" w14:textId="77777777" w:rsidR="008F369D" w:rsidRPr="00F638AF" w:rsidRDefault="00016F29" w:rsidP="008919D7">
            <w:pPr>
              <w:pStyle w:val="TextTi10"/>
              <w:keepNext/>
              <w:keepLines/>
              <w:jc w:val="center"/>
              <w:rPr>
                <w:sz w:val="22"/>
                <w:szCs w:val="22"/>
                <w:lang w:val="en-GB"/>
              </w:rPr>
            </w:pPr>
            <w:r w:rsidRPr="00F638AF">
              <w:rPr>
                <w:sz w:val="22"/>
                <w:szCs w:val="22"/>
                <w:lang w:val="en-GB"/>
              </w:rPr>
              <w:t>53.7</w:t>
            </w:r>
          </w:p>
        </w:tc>
        <w:tc>
          <w:tcPr>
            <w:tcW w:w="1276" w:type="dxa"/>
            <w:tcBorders>
              <w:top w:val="nil"/>
              <w:bottom w:val="single" w:sz="4" w:space="0" w:color="auto"/>
            </w:tcBorders>
          </w:tcPr>
          <w:p w14:paraId="7C33168E" w14:textId="77777777" w:rsidR="008F369D" w:rsidRPr="00F638AF" w:rsidRDefault="00016F29" w:rsidP="008919D7">
            <w:pPr>
              <w:pStyle w:val="TextTi10"/>
              <w:keepNext/>
              <w:keepLines/>
              <w:jc w:val="center"/>
              <w:rPr>
                <w:sz w:val="22"/>
                <w:szCs w:val="22"/>
                <w:lang w:val="en-GB"/>
              </w:rPr>
            </w:pPr>
            <w:r w:rsidRPr="00F638AF">
              <w:rPr>
                <w:sz w:val="22"/>
                <w:szCs w:val="22"/>
                <w:lang w:val="en-GB"/>
              </w:rPr>
              <w:t>0.0003</w:t>
            </w:r>
          </w:p>
        </w:tc>
        <w:tc>
          <w:tcPr>
            <w:tcW w:w="1417" w:type="dxa"/>
            <w:tcBorders>
              <w:top w:val="nil"/>
              <w:bottom w:val="single" w:sz="4" w:space="0" w:color="auto"/>
              <w:right w:val="single" w:sz="6" w:space="0" w:color="000000"/>
            </w:tcBorders>
          </w:tcPr>
          <w:p w14:paraId="7C33168F" w14:textId="77777777" w:rsidR="008F369D" w:rsidRPr="00F638AF" w:rsidRDefault="00016F29" w:rsidP="008919D7">
            <w:pPr>
              <w:pStyle w:val="TextTi10"/>
              <w:keepNext/>
              <w:keepLines/>
              <w:jc w:val="center"/>
              <w:rPr>
                <w:sz w:val="22"/>
                <w:szCs w:val="22"/>
                <w:lang w:val="en-GB"/>
              </w:rPr>
            </w:pPr>
            <w:r w:rsidRPr="00F638AF">
              <w:rPr>
                <w:sz w:val="22"/>
                <w:szCs w:val="22"/>
                <w:lang w:val="en-GB"/>
              </w:rPr>
              <w:t>67 %</w:t>
            </w:r>
          </w:p>
        </w:tc>
      </w:tr>
      <w:tr w:rsidR="003A788B" w14:paraId="7C331696" w14:textId="77777777" w:rsidTr="008919D7">
        <w:tc>
          <w:tcPr>
            <w:tcW w:w="3108" w:type="dxa"/>
            <w:tcBorders>
              <w:top w:val="single" w:sz="4" w:space="0" w:color="auto"/>
              <w:left w:val="single" w:sz="4" w:space="0" w:color="auto"/>
              <w:bottom w:val="nil"/>
            </w:tcBorders>
          </w:tcPr>
          <w:p w14:paraId="7C331691" w14:textId="77777777" w:rsidR="008F369D" w:rsidRPr="00F638AF" w:rsidRDefault="00016F29" w:rsidP="008919D7">
            <w:pPr>
              <w:pStyle w:val="TextTi10"/>
              <w:keepNext/>
              <w:keepLines/>
              <w:rPr>
                <w:sz w:val="22"/>
                <w:szCs w:val="22"/>
                <w:lang w:val="en-GB"/>
              </w:rPr>
            </w:pPr>
            <w:r w:rsidRPr="00F638AF">
              <w:rPr>
                <w:sz w:val="22"/>
                <w:szCs w:val="22"/>
                <w:lang w:val="en-GB"/>
              </w:rPr>
              <w:t>Subgroup analysis</w:t>
            </w:r>
          </w:p>
        </w:tc>
        <w:tc>
          <w:tcPr>
            <w:tcW w:w="1440" w:type="dxa"/>
            <w:tcBorders>
              <w:top w:val="single" w:sz="4" w:space="0" w:color="auto"/>
              <w:bottom w:val="nil"/>
            </w:tcBorders>
          </w:tcPr>
          <w:p w14:paraId="7C331692" w14:textId="77777777" w:rsidR="008F369D" w:rsidRPr="00F638AF" w:rsidRDefault="008F369D" w:rsidP="008919D7">
            <w:pPr>
              <w:pStyle w:val="TextTi10"/>
              <w:keepNext/>
              <w:keepLines/>
              <w:jc w:val="center"/>
              <w:rPr>
                <w:sz w:val="22"/>
                <w:szCs w:val="22"/>
                <w:lang w:val="en-GB"/>
              </w:rPr>
            </w:pPr>
          </w:p>
        </w:tc>
        <w:tc>
          <w:tcPr>
            <w:tcW w:w="1372" w:type="dxa"/>
            <w:tcBorders>
              <w:top w:val="single" w:sz="4" w:space="0" w:color="auto"/>
              <w:bottom w:val="nil"/>
            </w:tcBorders>
          </w:tcPr>
          <w:p w14:paraId="7C331693" w14:textId="77777777" w:rsidR="008F369D" w:rsidRPr="00F638AF" w:rsidRDefault="008F369D" w:rsidP="008919D7">
            <w:pPr>
              <w:pStyle w:val="TextTi10"/>
              <w:keepNext/>
              <w:keepLines/>
              <w:jc w:val="center"/>
              <w:rPr>
                <w:sz w:val="22"/>
                <w:szCs w:val="22"/>
                <w:lang w:val="en-GB"/>
              </w:rPr>
            </w:pPr>
          </w:p>
        </w:tc>
        <w:tc>
          <w:tcPr>
            <w:tcW w:w="1276" w:type="dxa"/>
            <w:tcBorders>
              <w:top w:val="single" w:sz="4" w:space="0" w:color="auto"/>
              <w:bottom w:val="nil"/>
            </w:tcBorders>
          </w:tcPr>
          <w:p w14:paraId="7C331694" w14:textId="77777777" w:rsidR="008F369D" w:rsidRPr="00F638AF" w:rsidRDefault="008F369D" w:rsidP="008919D7">
            <w:pPr>
              <w:pStyle w:val="TextTi10"/>
              <w:keepNext/>
              <w:keepLines/>
              <w:jc w:val="center"/>
              <w:rPr>
                <w:sz w:val="22"/>
                <w:szCs w:val="22"/>
                <w:lang w:val="en-GB"/>
              </w:rPr>
            </w:pPr>
          </w:p>
        </w:tc>
        <w:tc>
          <w:tcPr>
            <w:tcW w:w="1417" w:type="dxa"/>
            <w:tcBorders>
              <w:top w:val="single" w:sz="4" w:space="0" w:color="auto"/>
              <w:bottom w:val="nil"/>
              <w:right w:val="single" w:sz="6" w:space="0" w:color="000000"/>
            </w:tcBorders>
          </w:tcPr>
          <w:p w14:paraId="7C331695" w14:textId="77777777" w:rsidR="008F369D" w:rsidRPr="00F638AF" w:rsidRDefault="008F369D" w:rsidP="008919D7">
            <w:pPr>
              <w:pStyle w:val="TextTi10"/>
              <w:keepNext/>
              <w:keepLines/>
              <w:jc w:val="center"/>
              <w:rPr>
                <w:sz w:val="22"/>
                <w:szCs w:val="22"/>
                <w:lang w:val="en-GB"/>
              </w:rPr>
            </w:pPr>
          </w:p>
        </w:tc>
      </w:tr>
      <w:tr w:rsidR="003A788B" w14:paraId="7C3316C5" w14:textId="77777777" w:rsidTr="008919D7">
        <w:tc>
          <w:tcPr>
            <w:tcW w:w="3108" w:type="dxa"/>
            <w:tcBorders>
              <w:top w:val="nil"/>
              <w:left w:val="single" w:sz="4" w:space="0" w:color="auto"/>
              <w:bottom w:val="single" w:sz="4" w:space="0" w:color="auto"/>
            </w:tcBorders>
          </w:tcPr>
          <w:p w14:paraId="7C331697" w14:textId="77777777" w:rsidR="008F369D" w:rsidRPr="00F638AF" w:rsidRDefault="00016F29" w:rsidP="008919D7">
            <w:pPr>
              <w:pStyle w:val="TextTi10"/>
              <w:keepNext/>
              <w:keepLines/>
              <w:rPr>
                <w:sz w:val="22"/>
                <w:szCs w:val="22"/>
                <w:lang w:val="pt-BR"/>
              </w:rPr>
            </w:pPr>
            <w:r w:rsidRPr="00F638AF">
              <w:rPr>
                <w:sz w:val="22"/>
                <w:szCs w:val="22"/>
                <w:lang w:val="pt-BR"/>
              </w:rPr>
              <w:t>PFS</w:t>
            </w:r>
          </w:p>
          <w:p w14:paraId="7C331698" w14:textId="77777777" w:rsidR="008F369D" w:rsidRPr="00F638AF" w:rsidRDefault="00016F29" w:rsidP="008919D7">
            <w:pPr>
              <w:pStyle w:val="TextTi10"/>
              <w:keepNext/>
              <w:keepLines/>
              <w:jc w:val="right"/>
              <w:rPr>
                <w:sz w:val="22"/>
                <w:szCs w:val="22"/>
                <w:lang w:val="pt-BR"/>
              </w:rPr>
            </w:pPr>
            <w:r w:rsidRPr="00F638AF">
              <w:rPr>
                <w:sz w:val="22"/>
                <w:szCs w:val="22"/>
                <w:lang w:val="pt-BR"/>
              </w:rPr>
              <w:t>CHOP</w:t>
            </w:r>
          </w:p>
          <w:p w14:paraId="7C331699" w14:textId="77777777" w:rsidR="008F369D" w:rsidRPr="00F638AF" w:rsidRDefault="00016F29" w:rsidP="008919D7">
            <w:pPr>
              <w:pStyle w:val="TextTi10"/>
              <w:keepNext/>
              <w:keepLines/>
              <w:jc w:val="right"/>
              <w:rPr>
                <w:sz w:val="22"/>
                <w:szCs w:val="22"/>
                <w:lang w:val="pt-BR"/>
              </w:rPr>
            </w:pPr>
            <w:r w:rsidRPr="00F638AF">
              <w:rPr>
                <w:sz w:val="22"/>
                <w:szCs w:val="22"/>
                <w:lang w:val="pt-BR"/>
              </w:rPr>
              <w:t>R</w:t>
            </w:r>
            <w:r w:rsidRPr="00F638AF">
              <w:rPr>
                <w:sz w:val="22"/>
                <w:szCs w:val="22"/>
                <w:lang w:val="pt-BR"/>
              </w:rPr>
              <w:noBreakHyphen/>
              <w:t>CHOP</w:t>
            </w:r>
          </w:p>
          <w:p w14:paraId="7C33169A" w14:textId="77777777" w:rsidR="008F369D" w:rsidRPr="00F638AF" w:rsidRDefault="00016F29" w:rsidP="008919D7">
            <w:pPr>
              <w:pStyle w:val="TextTi10"/>
              <w:keepNext/>
              <w:keepLines/>
              <w:jc w:val="right"/>
              <w:rPr>
                <w:sz w:val="22"/>
                <w:szCs w:val="22"/>
                <w:lang w:val="pt-BR"/>
              </w:rPr>
            </w:pPr>
            <w:r w:rsidRPr="00F638AF">
              <w:rPr>
                <w:sz w:val="22"/>
                <w:szCs w:val="22"/>
                <w:lang w:val="pt-BR"/>
              </w:rPr>
              <w:t>CR</w:t>
            </w:r>
          </w:p>
          <w:p w14:paraId="7C33169B" w14:textId="77777777" w:rsidR="008F369D" w:rsidRPr="00F638AF" w:rsidRDefault="00016F29" w:rsidP="008919D7">
            <w:pPr>
              <w:pStyle w:val="TextTi10"/>
              <w:keepNext/>
              <w:keepLines/>
              <w:jc w:val="right"/>
              <w:rPr>
                <w:sz w:val="22"/>
                <w:szCs w:val="22"/>
                <w:lang w:val="pt-BR"/>
              </w:rPr>
            </w:pPr>
            <w:r w:rsidRPr="00F638AF">
              <w:rPr>
                <w:sz w:val="22"/>
                <w:szCs w:val="22"/>
                <w:lang w:val="pt-BR"/>
              </w:rPr>
              <w:t>PR</w:t>
            </w:r>
          </w:p>
          <w:p w14:paraId="7C33169C" w14:textId="77777777" w:rsidR="008F369D" w:rsidRPr="00F638AF" w:rsidRDefault="008F369D" w:rsidP="008919D7">
            <w:pPr>
              <w:pStyle w:val="TextTi10"/>
              <w:keepNext/>
              <w:keepLines/>
              <w:rPr>
                <w:sz w:val="22"/>
                <w:szCs w:val="22"/>
                <w:u w:val="single"/>
                <w:lang w:val="pt-BR"/>
              </w:rPr>
            </w:pPr>
          </w:p>
          <w:p w14:paraId="7C33169D" w14:textId="77777777" w:rsidR="008F369D" w:rsidRPr="00A56CE7" w:rsidRDefault="00016F29" w:rsidP="008919D7">
            <w:pPr>
              <w:pStyle w:val="TextTi10"/>
              <w:keepNext/>
              <w:keepLines/>
              <w:rPr>
                <w:sz w:val="22"/>
                <w:lang w:val="fr-CH"/>
              </w:rPr>
            </w:pPr>
            <w:r w:rsidRPr="00A56CE7">
              <w:rPr>
                <w:sz w:val="22"/>
                <w:lang w:val="fr-CH"/>
              </w:rPr>
              <w:t>OS</w:t>
            </w:r>
          </w:p>
          <w:p w14:paraId="7C33169E" w14:textId="77777777" w:rsidR="008F369D" w:rsidRPr="00F638AF" w:rsidRDefault="00016F29" w:rsidP="008919D7">
            <w:pPr>
              <w:pStyle w:val="TextTi10"/>
              <w:keepNext/>
              <w:keepLines/>
              <w:jc w:val="right"/>
              <w:rPr>
                <w:sz w:val="22"/>
                <w:szCs w:val="22"/>
                <w:lang w:val="en-GB"/>
              </w:rPr>
            </w:pPr>
            <w:r w:rsidRPr="00F638AF">
              <w:rPr>
                <w:sz w:val="22"/>
                <w:szCs w:val="22"/>
                <w:lang w:val="en-GB"/>
              </w:rPr>
              <w:t>CHOP</w:t>
            </w:r>
          </w:p>
          <w:p w14:paraId="7C33169F" w14:textId="77777777" w:rsidR="008F369D" w:rsidRPr="00F638AF" w:rsidRDefault="00016F29" w:rsidP="008919D7">
            <w:pPr>
              <w:pStyle w:val="TextTi10"/>
              <w:keepNext/>
              <w:keepLines/>
              <w:jc w:val="right"/>
              <w:rPr>
                <w:sz w:val="22"/>
                <w:szCs w:val="22"/>
                <w:lang w:val="en-GB"/>
              </w:rPr>
            </w:pPr>
            <w:r w:rsidRPr="00F638AF">
              <w:rPr>
                <w:sz w:val="22"/>
                <w:szCs w:val="22"/>
                <w:lang w:val="en-GB"/>
              </w:rPr>
              <w:t>R</w:t>
            </w:r>
            <w:r w:rsidR="000A6DDA" w:rsidRPr="00F638AF">
              <w:rPr>
                <w:sz w:val="22"/>
                <w:szCs w:val="22"/>
                <w:lang w:val="en-GB"/>
              </w:rPr>
              <w:noBreakHyphen/>
            </w:r>
            <w:r w:rsidRPr="00F638AF">
              <w:rPr>
                <w:sz w:val="22"/>
                <w:szCs w:val="22"/>
                <w:lang w:val="en-GB"/>
              </w:rPr>
              <w:t>CHOP</w:t>
            </w:r>
          </w:p>
          <w:p w14:paraId="7C3316A0" w14:textId="77777777" w:rsidR="008F369D" w:rsidRPr="00F638AF" w:rsidRDefault="008F369D" w:rsidP="008919D7">
            <w:pPr>
              <w:pStyle w:val="TextTi10"/>
              <w:keepNext/>
              <w:keepLines/>
              <w:rPr>
                <w:sz w:val="22"/>
                <w:szCs w:val="22"/>
                <w:u w:val="single"/>
                <w:lang w:val="en-GB"/>
              </w:rPr>
            </w:pPr>
          </w:p>
        </w:tc>
        <w:tc>
          <w:tcPr>
            <w:tcW w:w="1440" w:type="dxa"/>
            <w:tcBorders>
              <w:top w:val="nil"/>
              <w:bottom w:val="single" w:sz="4" w:space="0" w:color="auto"/>
            </w:tcBorders>
          </w:tcPr>
          <w:p w14:paraId="7C3316A1" w14:textId="77777777" w:rsidR="008F369D" w:rsidRPr="00F638AF" w:rsidRDefault="008F369D" w:rsidP="008919D7">
            <w:pPr>
              <w:pStyle w:val="TextTi10"/>
              <w:keepNext/>
              <w:keepLines/>
              <w:jc w:val="center"/>
              <w:rPr>
                <w:sz w:val="22"/>
                <w:szCs w:val="22"/>
                <w:lang w:val="en-GB"/>
              </w:rPr>
            </w:pPr>
          </w:p>
          <w:p w14:paraId="7C3316A2" w14:textId="77777777" w:rsidR="008F369D" w:rsidRPr="00F638AF" w:rsidRDefault="00016F29" w:rsidP="008919D7">
            <w:pPr>
              <w:pStyle w:val="TextTi10"/>
              <w:keepNext/>
              <w:keepLines/>
              <w:jc w:val="center"/>
              <w:rPr>
                <w:sz w:val="22"/>
                <w:szCs w:val="22"/>
                <w:lang w:val="en-GB"/>
              </w:rPr>
            </w:pPr>
            <w:r w:rsidRPr="00F638AF">
              <w:rPr>
                <w:sz w:val="22"/>
                <w:szCs w:val="22"/>
                <w:lang w:val="en-GB"/>
              </w:rPr>
              <w:t>11.6</w:t>
            </w:r>
          </w:p>
          <w:p w14:paraId="7C3316A3" w14:textId="77777777" w:rsidR="008F369D" w:rsidRPr="00F638AF" w:rsidRDefault="00016F29" w:rsidP="008919D7">
            <w:pPr>
              <w:pStyle w:val="TextTi10"/>
              <w:keepNext/>
              <w:keepLines/>
              <w:jc w:val="center"/>
              <w:rPr>
                <w:sz w:val="22"/>
                <w:szCs w:val="22"/>
                <w:lang w:val="en-GB"/>
              </w:rPr>
            </w:pPr>
            <w:r w:rsidRPr="00F638AF">
              <w:rPr>
                <w:sz w:val="22"/>
                <w:szCs w:val="22"/>
                <w:lang w:val="en-GB"/>
              </w:rPr>
              <w:t>22.1</w:t>
            </w:r>
          </w:p>
          <w:p w14:paraId="7C3316A4" w14:textId="77777777" w:rsidR="008F369D" w:rsidRPr="00F638AF" w:rsidRDefault="00016F29" w:rsidP="008919D7">
            <w:pPr>
              <w:pStyle w:val="TextTi10"/>
              <w:keepNext/>
              <w:keepLines/>
              <w:jc w:val="center"/>
              <w:rPr>
                <w:sz w:val="22"/>
                <w:szCs w:val="22"/>
                <w:lang w:val="en-GB"/>
              </w:rPr>
            </w:pPr>
            <w:r w:rsidRPr="00F638AF">
              <w:rPr>
                <w:sz w:val="22"/>
                <w:szCs w:val="22"/>
                <w:lang w:val="en-GB"/>
              </w:rPr>
              <w:t>14.3</w:t>
            </w:r>
          </w:p>
          <w:p w14:paraId="7C3316A5" w14:textId="77777777" w:rsidR="008F369D" w:rsidRPr="00F638AF" w:rsidRDefault="00016F29" w:rsidP="008919D7">
            <w:pPr>
              <w:pStyle w:val="TextTi10"/>
              <w:keepNext/>
              <w:keepLines/>
              <w:jc w:val="center"/>
              <w:rPr>
                <w:sz w:val="22"/>
                <w:szCs w:val="22"/>
                <w:lang w:val="en-GB"/>
              </w:rPr>
            </w:pPr>
            <w:r w:rsidRPr="00F638AF">
              <w:rPr>
                <w:sz w:val="22"/>
                <w:szCs w:val="22"/>
                <w:lang w:val="en-GB"/>
              </w:rPr>
              <w:t>14.3</w:t>
            </w:r>
          </w:p>
          <w:p w14:paraId="7C3316A6" w14:textId="77777777" w:rsidR="008F369D" w:rsidRPr="00F638AF" w:rsidRDefault="008F369D" w:rsidP="008919D7">
            <w:pPr>
              <w:pStyle w:val="TextTi10"/>
              <w:keepNext/>
              <w:keepLines/>
              <w:jc w:val="center"/>
              <w:rPr>
                <w:sz w:val="22"/>
                <w:szCs w:val="22"/>
                <w:lang w:val="en-GB"/>
              </w:rPr>
            </w:pPr>
          </w:p>
          <w:p w14:paraId="7C3316A7" w14:textId="77777777" w:rsidR="008F369D" w:rsidRPr="00F638AF" w:rsidRDefault="008F369D" w:rsidP="008919D7">
            <w:pPr>
              <w:pStyle w:val="TextTi10"/>
              <w:keepNext/>
              <w:keepLines/>
              <w:jc w:val="center"/>
              <w:rPr>
                <w:sz w:val="22"/>
                <w:szCs w:val="22"/>
                <w:lang w:val="en-GB"/>
              </w:rPr>
            </w:pPr>
          </w:p>
          <w:p w14:paraId="7C3316A8" w14:textId="77777777" w:rsidR="008F369D" w:rsidRPr="00F638AF" w:rsidRDefault="00016F29" w:rsidP="008919D7">
            <w:pPr>
              <w:pStyle w:val="TextTi10"/>
              <w:keepNext/>
              <w:keepLines/>
              <w:jc w:val="center"/>
              <w:rPr>
                <w:sz w:val="22"/>
                <w:szCs w:val="22"/>
                <w:lang w:val="en-GB"/>
              </w:rPr>
            </w:pPr>
            <w:r w:rsidRPr="00F638AF">
              <w:rPr>
                <w:sz w:val="22"/>
                <w:szCs w:val="22"/>
                <w:lang w:val="en-GB"/>
              </w:rPr>
              <w:t>NR</w:t>
            </w:r>
          </w:p>
          <w:p w14:paraId="7C3316A9" w14:textId="77777777" w:rsidR="008F369D" w:rsidRPr="00F638AF" w:rsidRDefault="00016F29" w:rsidP="008919D7">
            <w:pPr>
              <w:pStyle w:val="TextTi10"/>
              <w:keepNext/>
              <w:keepLines/>
              <w:jc w:val="center"/>
              <w:rPr>
                <w:sz w:val="22"/>
                <w:szCs w:val="22"/>
                <w:lang w:val="en-GB"/>
              </w:rPr>
            </w:pPr>
            <w:r w:rsidRPr="00F638AF">
              <w:rPr>
                <w:sz w:val="22"/>
                <w:szCs w:val="22"/>
                <w:lang w:val="en-GB"/>
              </w:rPr>
              <w:t>NR</w:t>
            </w:r>
          </w:p>
        </w:tc>
        <w:tc>
          <w:tcPr>
            <w:tcW w:w="1372" w:type="dxa"/>
            <w:tcBorders>
              <w:top w:val="nil"/>
              <w:bottom w:val="single" w:sz="4" w:space="0" w:color="auto"/>
            </w:tcBorders>
          </w:tcPr>
          <w:p w14:paraId="7C3316AA" w14:textId="77777777" w:rsidR="008F369D" w:rsidRPr="00F638AF" w:rsidRDefault="008F369D" w:rsidP="008919D7">
            <w:pPr>
              <w:pStyle w:val="TextTi10"/>
              <w:keepNext/>
              <w:keepLines/>
              <w:jc w:val="center"/>
              <w:rPr>
                <w:sz w:val="22"/>
                <w:szCs w:val="22"/>
                <w:lang w:val="en-GB"/>
              </w:rPr>
            </w:pPr>
          </w:p>
          <w:p w14:paraId="7C3316AB" w14:textId="77777777" w:rsidR="008F369D" w:rsidRPr="00F638AF" w:rsidRDefault="00016F29" w:rsidP="008919D7">
            <w:pPr>
              <w:pStyle w:val="TextTi10"/>
              <w:keepNext/>
              <w:keepLines/>
              <w:jc w:val="center"/>
              <w:rPr>
                <w:sz w:val="22"/>
                <w:szCs w:val="22"/>
                <w:lang w:val="en-GB"/>
              </w:rPr>
            </w:pPr>
            <w:r w:rsidRPr="00F638AF">
              <w:rPr>
                <w:sz w:val="22"/>
                <w:szCs w:val="22"/>
                <w:lang w:val="en-GB"/>
              </w:rPr>
              <w:t>37.5</w:t>
            </w:r>
          </w:p>
          <w:p w14:paraId="7C3316AC" w14:textId="77777777" w:rsidR="008F369D" w:rsidRPr="00F638AF" w:rsidRDefault="00016F29" w:rsidP="008919D7">
            <w:pPr>
              <w:pStyle w:val="TextTi10"/>
              <w:keepNext/>
              <w:keepLines/>
              <w:jc w:val="center"/>
              <w:rPr>
                <w:sz w:val="22"/>
                <w:szCs w:val="22"/>
                <w:lang w:val="en-GB"/>
              </w:rPr>
            </w:pPr>
            <w:r w:rsidRPr="00F638AF">
              <w:rPr>
                <w:sz w:val="22"/>
                <w:szCs w:val="22"/>
                <w:lang w:val="en-GB"/>
              </w:rPr>
              <w:t>51.9</w:t>
            </w:r>
          </w:p>
          <w:p w14:paraId="7C3316AD" w14:textId="77777777" w:rsidR="008F369D" w:rsidRPr="00F638AF" w:rsidRDefault="00016F29" w:rsidP="008919D7">
            <w:pPr>
              <w:pStyle w:val="TextTi10"/>
              <w:keepNext/>
              <w:keepLines/>
              <w:jc w:val="center"/>
              <w:rPr>
                <w:sz w:val="22"/>
                <w:szCs w:val="22"/>
                <w:lang w:val="en-GB"/>
              </w:rPr>
            </w:pPr>
            <w:r w:rsidRPr="00F638AF">
              <w:rPr>
                <w:sz w:val="22"/>
                <w:szCs w:val="22"/>
                <w:lang w:val="en-GB"/>
              </w:rPr>
              <w:t>52.8</w:t>
            </w:r>
          </w:p>
          <w:p w14:paraId="7C3316AE" w14:textId="77777777" w:rsidR="008F369D" w:rsidRPr="00F638AF" w:rsidRDefault="00016F29" w:rsidP="008919D7">
            <w:pPr>
              <w:pStyle w:val="TextTi10"/>
              <w:keepNext/>
              <w:keepLines/>
              <w:jc w:val="center"/>
              <w:rPr>
                <w:sz w:val="22"/>
                <w:szCs w:val="22"/>
                <w:lang w:val="en-GB"/>
              </w:rPr>
            </w:pPr>
            <w:r w:rsidRPr="00F638AF">
              <w:rPr>
                <w:sz w:val="22"/>
                <w:szCs w:val="22"/>
                <w:lang w:val="en-GB"/>
              </w:rPr>
              <w:t>37.8</w:t>
            </w:r>
          </w:p>
          <w:p w14:paraId="7C3316AF" w14:textId="77777777" w:rsidR="008F369D" w:rsidRPr="00F638AF" w:rsidRDefault="008F369D" w:rsidP="008919D7">
            <w:pPr>
              <w:pStyle w:val="TextTi10"/>
              <w:keepNext/>
              <w:keepLines/>
              <w:jc w:val="center"/>
              <w:rPr>
                <w:sz w:val="22"/>
                <w:szCs w:val="22"/>
                <w:lang w:val="en-GB"/>
              </w:rPr>
            </w:pPr>
          </w:p>
          <w:p w14:paraId="7C3316B0" w14:textId="77777777" w:rsidR="008F369D" w:rsidRPr="00F638AF" w:rsidRDefault="008F369D" w:rsidP="008919D7">
            <w:pPr>
              <w:pStyle w:val="TextTi10"/>
              <w:keepNext/>
              <w:keepLines/>
              <w:jc w:val="center"/>
              <w:rPr>
                <w:sz w:val="22"/>
                <w:szCs w:val="22"/>
                <w:lang w:val="en-GB"/>
              </w:rPr>
            </w:pPr>
          </w:p>
          <w:p w14:paraId="7C3316B1" w14:textId="77777777" w:rsidR="008F369D" w:rsidRPr="00F638AF" w:rsidRDefault="00016F29" w:rsidP="008919D7">
            <w:pPr>
              <w:pStyle w:val="TextTi10"/>
              <w:keepNext/>
              <w:keepLines/>
              <w:jc w:val="center"/>
              <w:rPr>
                <w:sz w:val="22"/>
                <w:szCs w:val="22"/>
                <w:lang w:val="en-GB"/>
              </w:rPr>
            </w:pPr>
            <w:r w:rsidRPr="00F638AF">
              <w:rPr>
                <w:sz w:val="22"/>
                <w:szCs w:val="22"/>
                <w:lang w:val="en-GB"/>
              </w:rPr>
              <w:t>NR</w:t>
            </w:r>
          </w:p>
          <w:p w14:paraId="7C3316B2" w14:textId="77777777" w:rsidR="008F369D" w:rsidRPr="00F638AF" w:rsidRDefault="00016F29" w:rsidP="008919D7">
            <w:pPr>
              <w:pStyle w:val="TextTi10"/>
              <w:keepNext/>
              <w:keepLines/>
              <w:jc w:val="center"/>
              <w:rPr>
                <w:sz w:val="22"/>
                <w:szCs w:val="22"/>
                <w:lang w:val="en-GB"/>
              </w:rPr>
            </w:pPr>
            <w:r w:rsidRPr="00F638AF">
              <w:rPr>
                <w:sz w:val="22"/>
                <w:szCs w:val="22"/>
                <w:lang w:val="en-GB"/>
              </w:rPr>
              <w:t>NR</w:t>
            </w:r>
          </w:p>
        </w:tc>
        <w:tc>
          <w:tcPr>
            <w:tcW w:w="1276" w:type="dxa"/>
            <w:tcBorders>
              <w:top w:val="nil"/>
              <w:bottom w:val="single" w:sz="4" w:space="0" w:color="auto"/>
            </w:tcBorders>
          </w:tcPr>
          <w:p w14:paraId="7C3316B3" w14:textId="77777777" w:rsidR="008F369D" w:rsidRPr="00F638AF" w:rsidRDefault="008F369D" w:rsidP="008919D7">
            <w:pPr>
              <w:pStyle w:val="TextTi10"/>
              <w:keepNext/>
              <w:keepLines/>
              <w:jc w:val="center"/>
              <w:rPr>
                <w:sz w:val="22"/>
                <w:szCs w:val="22"/>
                <w:lang w:val="en-GB"/>
              </w:rPr>
            </w:pPr>
          </w:p>
          <w:p w14:paraId="7C3316B4" w14:textId="77777777" w:rsidR="008F369D" w:rsidRPr="00F638AF" w:rsidRDefault="00016F29" w:rsidP="008919D7">
            <w:pPr>
              <w:pStyle w:val="TextTi10"/>
              <w:keepNext/>
              <w:keepLines/>
              <w:jc w:val="center"/>
              <w:rPr>
                <w:sz w:val="22"/>
                <w:szCs w:val="22"/>
                <w:lang w:val="en-GB"/>
              </w:rPr>
            </w:pPr>
            <w:r w:rsidRPr="00F638AF">
              <w:rPr>
                <w:sz w:val="22"/>
                <w:szCs w:val="22"/>
                <w:lang w:val="en-GB"/>
              </w:rPr>
              <w:t>&lt; 0.0001</w:t>
            </w:r>
          </w:p>
          <w:p w14:paraId="7C3316B5" w14:textId="77777777" w:rsidR="008F369D" w:rsidRPr="00F638AF" w:rsidRDefault="00016F29" w:rsidP="008919D7">
            <w:pPr>
              <w:pStyle w:val="TextTi10"/>
              <w:keepNext/>
              <w:keepLines/>
              <w:jc w:val="center"/>
              <w:rPr>
                <w:sz w:val="22"/>
                <w:szCs w:val="22"/>
                <w:lang w:val="en-GB"/>
              </w:rPr>
            </w:pPr>
            <w:r w:rsidRPr="00F638AF">
              <w:rPr>
                <w:sz w:val="22"/>
                <w:szCs w:val="22"/>
                <w:lang w:val="en-GB"/>
              </w:rPr>
              <w:t>0.0071</w:t>
            </w:r>
          </w:p>
          <w:p w14:paraId="7C3316B6" w14:textId="77777777" w:rsidR="008F369D" w:rsidRPr="00F638AF" w:rsidRDefault="00016F29" w:rsidP="008919D7">
            <w:pPr>
              <w:pStyle w:val="TextTi10"/>
              <w:keepNext/>
              <w:keepLines/>
              <w:jc w:val="center"/>
              <w:rPr>
                <w:sz w:val="22"/>
                <w:szCs w:val="22"/>
                <w:lang w:val="en-GB"/>
              </w:rPr>
            </w:pPr>
            <w:r w:rsidRPr="00F638AF">
              <w:rPr>
                <w:sz w:val="22"/>
                <w:szCs w:val="22"/>
                <w:lang w:val="en-GB"/>
              </w:rPr>
              <w:t xml:space="preserve"> 0.0008</w:t>
            </w:r>
          </w:p>
          <w:p w14:paraId="7C3316B7" w14:textId="77777777" w:rsidR="008F369D" w:rsidRPr="00F638AF" w:rsidRDefault="00016F29" w:rsidP="008919D7">
            <w:pPr>
              <w:pStyle w:val="TextTi10"/>
              <w:keepNext/>
              <w:keepLines/>
              <w:jc w:val="center"/>
              <w:rPr>
                <w:sz w:val="22"/>
                <w:szCs w:val="22"/>
                <w:lang w:val="en-GB"/>
              </w:rPr>
            </w:pPr>
            <w:r w:rsidRPr="00F638AF">
              <w:rPr>
                <w:sz w:val="22"/>
                <w:szCs w:val="22"/>
                <w:lang w:val="en-GB"/>
              </w:rPr>
              <w:t>&lt; 0.0001</w:t>
            </w:r>
          </w:p>
          <w:p w14:paraId="7C3316B8" w14:textId="77777777" w:rsidR="008F369D" w:rsidRPr="00F638AF" w:rsidRDefault="008F369D" w:rsidP="008919D7">
            <w:pPr>
              <w:pStyle w:val="TextTi10"/>
              <w:keepNext/>
              <w:keepLines/>
              <w:jc w:val="center"/>
              <w:rPr>
                <w:sz w:val="22"/>
                <w:szCs w:val="22"/>
                <w:lang w:val="en-GB"/>
              </w:rPr>
            </w:pPr>
          </w:p>
          <w:p w14:paraId="7C3316B9" w14:textId="77777777" w:rsidR="008F369D" w:rsidRPr="00F638AF" w:rsidRDefault="008F369D" w:rsidP="008919D7">
            <w:pPr>
              <w:pStyle w:val="TextTi10"/>
              <w:keepNext/>
              <w:keepLines/>
              <w:jc w:val="center"/>
              <w:rPr>
                <w:sz w:val="22"/>
                <w:szCs w:val="22"/>
                <w:lang w:val="en-GB"/>
              </w:rPr>
            </w:pPr>
          </w:p>
          <w:p w14:paraId="7C3316BA" w14:textId="77777777" w:rsidR="008F369D" w:rsidRPr="00F638AF" w:rsidRDefault="00016F29" w:rsidP="008919D7">
            <w:pPr>
              <w:pStyle w:val="TextTi10"/>
              <w:keepNext/>
              <w:keepLines/>
              <w:jc w:val="center"/>
              <w:rPr>
                <w:sz w:val="22"/>
                <w:szCs w:val="22"/>
                <w:lang w:val="en-GB"/>
              </w:rPr>
            </w:pPr>
            <w:r w:rsidRPr="00F638AF">
              <w:rPr>
                <w:sz w:val="22"/>
                <w:szCs w:val="22"/>
                <w:lang w:val="en-GB"/>
              </w:rPr>
              <w:t>0.0348</w:t>
            </w:r>
          </w:p>
          <w:p w14:paraId="7C3316BB" w14:textId="77777777" w:rsidR="008F369D" w:rsidRPr="00F638AF" w:rsidRDefault="00016F29" w:rsidP="008919D7">
            <w:pPr>
              <w:pStyle w:val="TextTi10"/>
              <w:keepNext/>
              <w:keepLines/>
              <w:jc w:val="center"/>
              <w:rPr>
                <w:sz w:val="22"/>
                <w:szCs w:val="22"/>
                <w:lang w:val="en-GB"/>
              </w:rPr>
            </w:pPr>
            <w:r w:rsidRPr="00F638AF">
              <w:rPr>
                <w:sz w:val="22"/>
                <w:szCs w:val="22"/>
                <w:lang w:val="en-GB"/>
              </w:rPr>
              <w:t>0.0482</w:t>
            </w:r>
          </w:p>
        </w:tc>
        <w:tc>
          <w:tcPr>
            <w:tcW w:w="1417" w:type="dxa"/>
            <w:tcBorders>
              <w:top w:val="nil"/>
              <w:bottom w:val="single" w:sz="4" w:space="0" w:color="auto"/>
              <w:right w:val="single" w:sz="4" w:space="0" w:color="auto"/>
            </w:tcBorders>
          </w:tcPr>
          <w:p w14:paraId="7C3316BC" w14:textId="77777777" w:rsidR="008F369D" w:rsidRPr="00F638AF" w:rsidRDefault="008F369D" w:rsidP="008919D7">
            <w:pPr>
              <w:pStyle w:val="TextTi10"/>
              <w:keepNext/>
              <w:keepLines/>
              <w:jc w:val="center"/>
              <w:rPr>
                <w:sz w:val="22"/>
                <w:szCs w:val="22"/>
                <w:lang w:val="en-GB"/>
              </w:rPr>
            </w:pPr>
          </w:p>
          <w:p w14:paraId="7C3316BD" w14:textId="77777777" w:rsidR="008F369D" w:rsidRPr="00F638AF" w:rsidRDefault="00016F29" w:rsidP="008919D7">
            <w:pPr>
              <w:pStyle w:val="TextTi10"/>
              <w:keepNext/>
              <w:keepLines/>
              <w:jc w:val="center"/>
              <w:rPr>
                <w:sz w:val="22"/>
                <w:szCs w:val="22"/>
                <w:lang w:val="en-GB"/>
              </w:rPr>
            </w:pPr>
            <w:r w:rsidRPr="00F638AF">
              <w:rPr>
                <w:sz w:val="22"/>
                <w:szCs w:val="22"/>
                <w:lang w:val="en-GB"/>
              </w:rPr>
              <w:t>71 %</w:t>
            </w:r>
          </w:p>
          <w:p w14:paraId="7C3316BE" w14:textId="77777777" w:rsidR="008F369D" w:rsidRPr="00F638AF" w:rsidRDefault="00016F29" w:rsidP="008919D7">
            <w:pPr>
              <w:pStyle w:val="TextTi10"/>
              <w:keepNext/>
              <w:keepLines/>
              <w:jc w:val="center"/>
              <w:rPr>
                <w:sz w:val="22"/>
                <w:szCs w:val="22"/>
                <w:lang w:val="en-GB"/>
              </w:rPr>
            </w:pPr>
            <w:r w:rsidRPr="00F638AF">
              <w:rPr>
                <w:sz w:val="22"/>
                <w:szCs w:val="22"/>
                <w:lang w:val="en-GB"/>
              </w:rPr>
              <w:t>46 %</w:t>
            </w:r>
          </w:p>
          <w:p w14:paraId="7C3316BF" w14:textId="77777777" w:rsidR="008F369D" w:rsidRPr="00F638AF" w:rsidRDefault="00016F29" w:rsidP="008919D7">
            <w:pPr>
              <w:pStyle w:val="TextTi10"/>
              <w:keepNext/>
              <w:keepLines/>
              <w:jc w:val="center"/>
              <w:rPr>
                <w:sz w:val="22"/>
                <w:szCs w:val="22"/>
                <w:lang w:val="en-GB"/>
              </w:rPr>
            </w:pPr>
            <w:r w:rsidRPr="00F638AF">
              <w:rPr>
                <w:sz w:val="22"/>
                <w:szCs w:val="22"/>
                <w:lang w:val="en-GB"/>
              </w:rPr>
              <w:t>64 %</w:t>
            </w:r>
          </w:p>
          <w:p w14:paraId="7C3316C0" w14:textId="77777777" w:rsidR="008F369D" w:rsidRPr="00F638AF" w:rsidRDefault="00016F29" w:rsidP="008919D7">
            <w:pPr>
              <w:pStyle w:val="TextTi10"/>
              <w:keepNext/>
              <w:keepLines/>
              <w:jc w:val="center"/>
              <w:rPr>
                <w:sz w:val="22"/>
                <w:szCs w:val="22"/>
                <w:lang w:val="en-GB"/>
              </w:rPr>
            </w:pPr>
            <w:r w:rsidRPr="00F638AF">
              <w:rPr>
                <w:sz w:val="22"/>
                <w:szCs w:val="22"/>
                <w:lang w:val="en-GB"/>
              </w:rPr>
              <w:t>54 %</w:t>
            </w:r>
          </w:p>
          <w:p w14:paraId="7C3316C1" w14:textId="77777777" w:rsidR="008F369D" w:rsidRPr="00F638AF" w:rsidRDefault="008F369D" w:rsidP="008919D7">
            <w:pPr>
              <w:pStyle w:val="TextTi10"/>
              <w:keepNext/>
              <w:keepLines/>
              <w:jc w:val="center"/>
              <w:rPr>
                <w:sz w:val="22"/>
                <w:szCs w:val="22"/>
                <w:lang w:val="en-GB"/>
              </w:rPr>
            </w:pPr>
          </w:p>
          <w:p w14:paraId="7C3316C2" w14:textId="77777777" w:rsidR="008F369D" w:rsidRPr="00F638AF" w:rsidRDefault="008F369D" w:rsidP="008919D7">
            <w:pPr>
              <w:pStyle w:val="TextTi10"/>
              <w:keepNext/>
              <w:keepLines/>
              <w:jc w:val="center"/>
              <w:rPr>
                <w:sz w:val="22"/>
                <w:szCs w:val="22"/>
                <w:lang w:val="en-GB"/>
              </w:rPr>
            </w:pPr>
          </w:p>
          <w:p w14:paraId="7C3316C3" w14:textId="77777777" w:rsidR="008F369D" w:rsidRPr="00F638AF" w:rsidRDefault="00016F29" w:rsidP="008919D7">
            <w:pPr>
              <w:pStyle w:val="TextTi10"/>
              <w:keepNext/>
              <w:keepLines/>
              <w:jc w:val="center"/>
              <w:rPr>
                <w:sz w:val="22"/>
                <w:szCs w:val="22"/>
                <w:lang w:val="en-GB"/>
              </w:rPr>
            </w:pPr>
            <w:r w:rsidRPr="00F638AF">
              <w:rPr>
                <w:sz w:val="22"/>
                <w:szCs w:val="22"/>
                <w:lang w:val="en-GB"/>
              </w:rPr>
              <w:t>55 %</w:t>
            </w:r>
          </w:p>
          <w:p w14:paraId="7C3316C4" w14:textId="77777777" w:rsidR="008F369D" w:rsidRPr="00F638AF" w:rsidRDefault="00016F29" w:rsidP="008919D7">
            <w:pPr>
              <w:pStyle w:val="TextTi10"/>
              <w:keepNext/>
              <w:keepLines/>
              <w:jc w:val="center"/>
              <w:rPr>
                <w:sz w:val="22"/>
                <w:szCs w:val="22"/>
                <w:lang w:val="en-GB"/>
              </w:rPr>
            </w:pPr>
            <w:r w:rsidRPr="00F638AF">
              <w:rPr>
                <w:sz w:val="22"/>
                <w:szCs w:val="22"/>
                <w:lang w:val="en-GB"/>
              </w:rPr>
              <w:t>56 %</w:t>
            </w:r>
          </w:p>
        </w:tc>
      </w:tr>
    </w:tbl>
    <w:p w14:paraId="7C3316C6" w14:textId="77777777" w:rsidR="008F369D" w:rsidRPr="00F638AF" w:rsidRDefault="00016F29" w:rsidP="008F369D">
      <w:pPr>
        <w:outlineLvl w:val="0"/>
        <w:rPr>
          <w:sz w:val="18"/>
          <w:szCs w:val="18"/>
          <w:lang w:val="en-GB"/>
        </w:rPr>
      </w:pPr>
      <w:r w:rsidRPr="00F638AF">
        <w:rPr>
          <w:sz w:val="18"/>
          <w:szCs w:val="18"/>
          <w:lang w:val="en-GB"/>
        </w:rPr>
        <w:t xml:space="preserve">NR: not reached; </w:t>
      </w:r>
      <w:r w:rsidRPr="00F638AF">
        <w:rPr>
          <w:sz w:val="18"/>
          <w:szCs w:val="18"/>
          <w:vertAlign w:val="superscript"/>
          <w:lang w:val="en-GB"/>
        </w:rPr>
        <w:t>a</w:t>
      </w:r>
      <w:r w:rsidRPr="00F638AF">
        <w:rPr>
          <w:sz w:val="18"/>
          <w:szCs w:val="18"/>
          <w:lang w:val="en-GB"/>
        </w:rPr>
        <w:t>: only applicable to patients achieving a CR</w:t>
      </w:r>
    </w:p>
    <w:p w14:paraId="7C3316C7" w14:textId="77777777" w:rsidR="008F369D" w:rsidRPr="00F638AF" w:rsidRDefault="008F369D" w:rsidP="008F369D">
      <w:pPr>
        <w:rPr>
          <w:lang w:val="en-GB"/>
        </w:rPr>
      </w:pPr>
    </w:p>
    <w:p w14:paraId="7C3316C8" w14:textId="77777777" w:rsidR="008F369D" w:rsidRPr="00F638AF" w:rsidRDefault="00016F29" w:rsidP="00E06A78">
      <w:pPr>
        <w:keepNext/>
        <w:keepLines/>
        <w:rPr>
          <w:szCs w:val="22"/>
          <w:lang w:val="en-GB"/>
        </w:rPr>
      </w:pPr>
      <w:r w:rsidRPr="00F638AF">
        <w:rPr>
          <w:szCs w:val="22"/>
          <w:lang w:val="en-GB"/>
        </w:rPr>
        <w:t>The benefit of MabThera maintenance treatment was confirmed in all subgroups analysed, regardless of induction regimen (CHOP or R</w:t>
      </w:r>
      <w:r w:rsidR="000A6DDA" w:rsidRPr="00F638AF">
        <w:rPr>
          <w:szCs w:val="22"/>
          <w:lang w:val="en-GB"/>
        </w:rPr>
        <w:noBreakHyphen/>
      </w:r>
      <w:r w:rsidRPr="00F638AF">
        <w:rPr>
          <w:szCs w:val="22"/>
          <w:lang w:val="en-GB"/>
        </w:rPr>
        <w:t>CHOP) or quality of response to induction treatment (CR or PR) (</w:t>
      </w:r>
      <w:r w:rsidR="0029764E" w:rsidRPr="00F638AF">
        <w:rPr>
          <w:szCs w:val="22"/>
          <w:lang w:val="en-GB"/>
        </w:rPr>
        <w:t>T</w:t>
      </w:r>
      <w:r w:rsidRPr="00F638AF">
        <w:rPr>
          <w:szCs w:val="22"/>
          <w:lang w:val="en-GB"/>
        </w:rPr>
        <w:t>able </w:t>
      </w:r>
      <w:r w:rsidR="00654F47" w:rsidRPr="00F638AF">
        <w:rPr>
          <w:szCs w:val="22"/>
          <w:lang w:val="en-GB"/>
        </w:rPr>
        <w:t>11</w:t>
      </w:r>
      <w:r w:rsidRPr="00F638AF">
        <w:rPr>
          <w:szCs w:val="22"/>
          <w:lang w:val="en-GB"/>
        </w:rPr>
        <w:t>). MabThera maintenance treatment significantly prolonged median PFS in patients responding to CHOP induction therapy (median PFS 37.5 months vs. 11.6 months, p&lt; 0.0001) as well as in those responding to R</w:t>
      </w:r>
      <w:r w:rsidR="000A6DDA" w:rsidRPr="00F638AF">
        <w:rPr>
          <w:szCs w:val="22"/>
          <w:lang w:val="en-GB"/>
        </w:rPr>
        <w:noBreakHyphen/>
      </w:r>
      <w:r w:rsidRPr="00F638AF">
        <w:rPr>
          <w:szCs w:val="22"/>
          <w:lang w:val="en-GB"/>
        </w:rPr>
        <w:t>CHOP induction (median PFS 51.9 months vs. 22.1 months, p=0.0071). Although subgroups were small, MabThera maintenance treatment provided a significant benefit in terms of overall survival for both patients responding to CHOP and patients responding to R</w:t>
      </w:r>
      <w:r w:rsidR="000A6DDA" w:rsidRPr="00F638AF">
        <w:rPr>
          <w:szCs w:val="22"/>
          <w:lang w:val="en-GB"/>
        </w:rPr>
        <w:noBreakHyphen/>
      </w:r>
      <w:r w:rsidRPr="00F638AF">
        <w:rPr>
          <w:szCs w:val="22"/>
          <w:lang w:val="en-GB"/>
        </w:rPr>
        <w:t>CHOP, although longer follow</w:t>
      </w:r>
      <w:r w:rsidR="000A6DDA" w:rsidRPr="00F638AF">
        <w:rPr>
          <w:szCs w:val="22"/>
          <w:lang w:val="en-GB"/>
        </w:rPr>
        <w:noBreakHyphen/>
      </w:r>
      <w:r w:rsidRPr="00F638AF">
        <w:rPr>
          <w:szCs w:val="22"/>
          <w:lang w:val="en-GB"/>
        </w:rPr>
        <w:t xml:space="preserve">up is required to confirm this observation. </w:t>
      </w:r>
    </w:p>
    <w:p w14:paraId="7C3316C9" w14:textId="77777777" w:rsidR="008F369D" w:rsidRPr="00F638AF" w:rsidRDefault="008F369D" w:rsidP="008F369D">
      <w:pPr>
        <w:rPr>
          <w:b/>
          <w:i/>
          <w:szCs w:val="22"/>
          <w:lang w:val="en-GB"/>
        </w:rPr>
      </w:pPr>
    </w:p>
    <w:p w14:paraId="7C3316CA" w14:textId="77777777" w:rsidR="008F369D" w:rsidRPr="00F638AF" w:rsidRDefault="00016F29" w:rsidP="008F369D">
      <w:pPr>
        <w:outlineLvl w:val="0"/>
        <w:rPr>
          <w:i/>
          <w:szCs w:val="22"/>
          <w:u w:val="single"/>
          <w:lang w:val="fr-FR"/>
        </w:rPr>
      </w:pPr>
      <w:r w:rsidRPr="00F638AF">
        <w:rPr>
          <w:i/>
          <w:szCs w:val="22"/>
          <w:u w:val="single"/>
          <w:lang w:val="fr-FR"/>
        </w:rPr>
        <w:t>Adult Diffuse large B cell non</w:t>
      </w:r>
      <w:r w:rsidR="000A6DDA" w:rsidRPr="00F638AF">
        <w:rPr>
          <w:i/>
          <w:szCs w:val="22"/>
          <w:u w:val="single"/>
          <w:lang w:val="fr-FR"/>
        </w:rPr>
        <w:noBreakHyphen/>
      </w:r>
      <w:r w:rsidRPr="00F638AF">
        <w:rPr>
          <w:i/>
          <w:szCs w:val="22"/>
          <w:u w:val="single"/>
          <w:lang w:val="fr-FR"/>
        </w:rPr>
        <w:t>Hodgkin’s lymphoma</w:t>
      </w:r>
    </w:p>
    <w:p w14:paraId="7C3316CB" w14:textId="77777777" w:rsidR="008F369D" w:rsidRPr="00F638AF" w:rsidRDefault="008F369D" w:rsidP="008F369D">
      <w:pPr>
        <w:outlineLvl w:val="0"/>
        <w:rPr>
          <w:i/>
          <w:szCs w:val="22"/>
          <w:u w:val="single"/>
          <w:lang w:val="fr-FR"/>
        </w:rPr>
      </w:pPr>
    </w:p>
    <w:p w14:paraId="7C3316CC" w14:textId="77777777" w:rsidR="008F369D" w:rsidRPr="00F638AF" w:rsidRDefault="00016F29" w:rsidP="008F369D">
      <w:pPr>
        <w:rPr>
          <w:szCs w:val="22"/>
          <w:lang w:val="en-GB"/>
        </w:rPr>
      </w:pPr>
      <w:r w:rsidRPr="00F638AF">
        <w:rPr>
          <w:szCs w:val="22"/>
          <w:lang w:val="en-GB"/>
        </w:rPr>
        <w:t>In a randomised, open</w:t>
      </w:r>
      <w:r w:rsidR="000A6DDA" w:rsidRPr="00F638AF">
        <w:rPr>
          <w:szCs w:val="22"/>
          <w:lang w:val="en-GB"/>
        </w:rPr>
        <w:noBreakHyphen/>
      </w:r>
      <w:r w:rsidRPr="00F638AF">
        <w:rPr>
          <w:szCs w:val="22"/>
          <w:lang w:val="en-GB"/>
        </w:rPr>
        <w:t>label trial, a total of 399 previously untreated elderly patients (age 60 to 80 years) with diffuse large B cell lymphoma received standard CHOP chemotherapy (cyclophosphamide 750 mg/m</w:t>
      </w:r>
      <w:r w:rsidRPr="00F638AF">
        <w:rPr>
          <w:szCs w:val="22"/>
          <w:vertAlign w:val="superscript"/>
          <w:lang w:val="en-GB"/>
        </w:rPr>
        <w:t>2</w:t>
      </w:r>
      <w:r w:rsidRPr="00F638AF">
        <w:rPr>
          <w:szCs w:val="22"/>
          <w:lang w:val="en-GB"/>
        </w:rPr>
        <w:t>, doxorubicin 50 mg/m</w:t>
      </w:r>
      <w:r w:rsidRPr="00F638AF">
        <w:rPr>
          <w:szCs w:val="22"/>
          <w:vertAlign w:val="superscript"/>
          <w:lang w:val="en-GB"/>
        </w:rPr>
        <w:t>2</w:t>
      </w:r>
      <w:r w:rsidRPr="00F638AF">
        <w:rPr>
          <w:szCs w:val="22"/>
          <w:lang w:val="en-GB"/>
        </w:rPr>
        <w:t>, vincristine 1.4 mg/m</w:t>
      </w:r>
      <w:r w:rsidRPr="00F638AF">
        <w:rPr>
          <w:szCs w:val="22"/>
          <w:vertAlign w:val="superscript"/>
          <w:lang w:val="en-GB"/>
        </w:rPr>
        <w:t>2</w:t>
      </w:r>
      <w:r w:rsidRPr="00F638AF">
        <w:rPr>
          <w:szCs w:val="22"/>
          <w:lang w:val="en-GB"/>
        </w:rPr>
        <w:t xml:space="preserve"> up to a maximum of 2 mg on day 1, and prednisolone 40 mg/m</w:t>
      </w:r>
      <w:r w:rsidRPr="00F638AF">
        <w:rPr>
          <w:szCs w:val="22"/>
          <w:vertAlign w:val="superscript"/>
          <w:lang w:val="en-GB"/>
        </w:rPr>
        <w:t>2</w:t>
      </w:r>
      <w:r w:rsidRPr="00F638AF">
        <w:rPr>
          <w:szCs w:val="22"/>
          <w:lang w:val="en-GB"/>
        </w:rPr>
        <w:t>/day on days 1</w:t>
      </w:r>
      <w:r w:rsidR="000A6DDA" w:rsidRPr="00F638AF">
        <w:rPr>
          <w:szCs w:val="22"/>
          <w:lang w:val="en-GB"/>
        </w:rPr>
        <w:noBreakHyphen/>
      </w:r>
      <w:r w:rsidRPr="00F638AF">
        <w:rPr>
          <w:szCs w:val="22"/>
          <w:lang w:val="en-GB"/>
        </w:rPr>
        <w:t>5) every 3 weeks for eight cycles, or MabThera 375 mg/m</w:t>
      </w:r>
      <w:r w:rsidRPr="00F638AF">
        <w:rPr>
          <w:szCs w:val="22"/>
          <w:vertAlign w:val="superscript"/>
          <w:lang w:val="en-GB"/>
        </w:rPr>
        <w:t>2</w:t>
      </w:r>
      <w:r w:rsidRPr="00F638AF">
        <w:rPr>
          <w:szCs w:val="22"/>
          <w:lang w:val="en-GB"/>
        </w:rPr>
        <w:t xml:space="preserve"> plus CHOP (R</w:t>
      </w:r>
      <w:r w:rsidR="000A6DDA" w:rsidRPr="00F638AF">
        <w:rPr>
          <w:szCs w:val="22"/>
          <w:lang w:val="en-GB"/>
        </w:rPr>
        <w:noBreakHyphen/>
      </w:r>
      <w:r w:rsidRPr="00F638AF">
        <w:rPr>
          <w:szCs w:val="22"/>
          <w:lang w:val="en-GB"/>
        </w:rPr>
        <w:t xml:space="preserve">CHOP). MabThera was administered on the first day of the treatment cycle. </w:t>
      </w:r>
    </w:p>
    <w:p w14:paraId="7C3316CD" w14:textId="77777777" w:rsidR="008F369D" w:rsidRPr="00F638AF" w:rsidRDefault="008F369D" w:rsidP="008F369D">
      <w:pPr>
        <w:rPr>
          <w:szCs w:val="22"/>
          <w:lang w:val="en-GB"/>
        </w:rPr>
      </w:pPr>
    </w:p>
    <w:p w14:paraId="7C3316CE" w14:textId="77777777" w:rsidR="008F369D" w:rsidRPr="00F638AF" w:rsidRDefault="00016F29" w:rsidP="008F369D">
      <w:pPr>
        <w:rPr>
          <w:szCs w:val="22"/>
          <w:lang w:val="en-GB"/>
        </w:rPr>
      </w:pPr>
      <w:r w:rsidRPr="00F638AF">
        <w:rPr>
          <w:szCs w:val="22"/>
          <w:lang w:val="en-GB"/>
        </w:rPr>
        <w:t>The final efficacy analysis included all randomised patients (197 CHOP, 202 R</w:t>
      </w:r>
      <w:r w:rsidR="000A6DDA" w:rsidRPr="00F638AF">
        <w:rPr>
          <w:szCs w:val="22"/>
          <w:lang w:val="en-GB"/>
        </w:rPr>
        <w:noBreakHyphen/>
      </w:r>
      <w:r w:rsidRPr="00F638AF">
        <w:rPr>
          <w:szCs w:val="22"/>
          <w:lang w:val="en-GB"/>
        </w:rPr>
        <w:t>CHOP),</w:t>
      </w:r>
      <w:r w:rsidRPr="00F638AF">
        <w:rPr>
          <w:snapToGrid w:val="0"/>
          <w:szCs w:val="22"/>
          <w:lang w:val="en-GB"/>
        </w:rPr>
        <w:t xml:space="preserve"> and had a median follow</w:t>
      </w:r>
      <w:r w:rsidR="000A6DDA" w:rsidRPr="00F638AF">
        <w:rPr>
          <w:snapToGrid w:val="0"/>
          <w:szCs w:val="22"/>
          <w:lang w:val="en-GB"/>
        </w:rPr>
        <w:noBreakHyphen/>
      </w:r>
      <w:r w:rsidRPr="00F638AF">
        <w:rPr>
          <w:snapToGrid w:val="0"/>
          <w:szCs w:val="22"/>
          <w:lang w:val="en-GB"/>
        </w:rPr>
        <w:t xml:space="preserve">up duration of approximately 31 months. </w:t>
      </w:r>
      <w:r w:rsidRPr="00F638AF">
        <w:rPr>
          <w:szCs w:val="22"/>
          <w:lang w:val="en-GB"/>
        </w:rPr>
        <w:t xml:space="preserve">The two treatment groups were well balanced in baseline disease characteristics and disease status. </w:t>
      </w:r>
      <w:r w:rsidRPr="00F638AF">
        <w:rPr>
          <w:snapToGrid w:val="0"/>
          <w:szCs w:val="22"/>
          <w:lang w:val="en-GB"/>
        </w:rPr>
        <w:t>The final analysis</w:t>
      </w:r>
      <w:r w:rsidRPr="00F638AF">
        <w:rPr>
          <w:szCs w:val="22"/>
          <w:lang w:val="en-GB"/>
        </w:rPr>
        <w:t xml:space="preserve"> confirmed that R</w:t>
      </w:r>
      <w:r w:rsidR="000A6DDA" w:rsidRPr="00F638AF">
        <w:rPr>
          <w:szCs w:val="22"/>
          <w:lang w:val="en-GB"/>
        </w:rPr>
        <w:noBreakHyphen/>
      </w:r>
      <w:r w:rsidRPr="00F638AF">
        <w:rPr>
          <w:szCs w:val="22"/>
          <w:lang w:val="en-GB"/>
        </w:rPr>
        <w:t>CHOP treatment was associated with a clinically relevant and statistically significant improvement in the duration of event</w:t>
      </w:r>
      <w:r w:rsidR="000A6DDA" w:rsidRPr="00F638AF">
        <w:rPr>
          <w:szCs w:val="22"/>
          <w:lang w:val="en-GB"/>
        </w:rPr>
        <w:noBreakHyphen/>
      </w:r>
      <w:r w:rsidRPr="00F638AF">
        <w:rPr>
          <w:szCs w:val="22"/>
          <w:lang w:val="en-GB"/>
        </w:rPr>
        <w:t>free survival (the primary efficacy parameter; where events were death, relapse or progression of lymphoma, or institution of a new anti</w:t>
      </w:r>
      <w:r w:rsidR="000A6DDA" w:rsidRPr="00F638AF">
        <w:rPr>
          <w:szCs w:val="22"/>
          <w:lang w:val="en-GB"/>
        </w:rPr>
        <w:noBreakHyphen/>
      </w:r>
      <w:r w:rsidRPr="00F638AF">
        <w:rPr>
          <w:szCs w:val="22"/>
          <w:lang w:val="en-GB"/>
        </w:rPr>
        <w:t>lymphoma treatment) (p=0.0001). Kaplan Meier estimates of the median duration of event</w:t>
      </w:r>
      <w:r w:rsidR="000A6DDA" w:rsidRPr="00F638AF">
        <w:rPr>
          <w:szCs w:val="22"/>
          <w:lang w:val="en-GB"/>
        </w:rPr>
        <w:noBreakHyphen/>
      </w:r>
      <w:r w:rsidRPr="00F638AF">
        <w:rPr>
          <w:szCs w:val="22"/>
          <w:lang w:val="en-GB"/>
        </w:rPr>
        <w:t>free survival were 35 months in the R</w:t>
      </w:r>
      <w:r w:rsidR="000A6DDA" w:rsidRPr="00F638AF">
        <w:rPr>
          <w:szCs w:val="22"/>
          <w:lang w:val="en-GB"/>
        </w:rPr>
        <w:noBreakHyphen/>
      </w:r>
      <w:r w:rsidRPr="00F638AF">
        <w:rPr>
          <w:szCs w:val="22"/>
          <w:lang w:val="en-GB"/>
        </w:rPr>
        <w:t>CHOP arm compared to 13 months in the CHOP arm, representing a risk reduction of 41%. At 24 months, estimates for overall survival were 68.2% in the R</w:t>
      </w:r>
      <w:r w:rsidR="000A6DDA" w:rsidRPr="00F638AF">
        <w:rPr>
          <w:szCs w:val="22"/>
          <w:lang w:val="en-GB"/>
        </w:rPr>
        <w:noBreakHyphen/>
      </w:r>
      <w:r w:rsidRPr="00F638AF">
        <w:rPr>
          <w:szCs w:val="22"/>
          <w:lang w:val="en-GB"/>
        </w:rPr>
        <w:t>CHOP arm compared to 57.4% in the CHOP arm. A subsequent analysis of the duration of overall survival, carried out with a median follow</w:t>
      </w:r>
      <w:r w:rsidR="000A6DDA" w:rsidRPr="00F638AF">
        <w:rPr>
          <w:szCs w:val="22"/>
          <w:lang w:val="en-GB"/>
        </w:rPr>
        <w:noBreakHyphen/>
      </w:r>
      <w:r w:rsidRPr="00F638AF">
        <w:rPr>
          <w:szCs w:val="22"/>
          <w:lang w:val="en-GB"/>
        </w:rPr>
        <w:t>up duration of 60 months, confirmed the benefit of R</w:t>
      </w:r>
      <w:r w:rsidR="000A6DDA" w:rsidRPr="00F638AF">
        <w:rPr>
          <w:szCs w:val="22"/>
          <w:lang w:val="en-GB"/>
        </w:rPr>
        <w:noBreakHyphen/>
      </w:r>
      <w:r w:rsidRPr="00F638AF">
        <w:rPr>
          <w:szCs w:val="22"/>
          <w:lang w:val="en-GB"/>
        </w:rPr>
        <w:t>CHOP over CHOP treatment (p=0.0071), representing a risk reduction of 32%.</w:t>
      </w:r>
    </w:p>
    <w:p w14:paraId="7C3316CF" w14:textId="77777777" w:rsidR="008F369D" w:rsidRPr="00F638AF" w:rsidRDefault="008F369D" w:rsidP="008F369D">
      <w:pPr>
        <w:rPr>
          <w:szCs w:val="22"/>
          <w:lang w:val="en-GB"/>
        </w:rPr>
      </w:pPr>
    </w:p>
    <w:p w14:paraId="7C3316D0" w14:textId="77777777" w:rsidR="008F369D" w:rsidRPr="00F638AF" w:rsidRDefault="00016F29" w:rsidP="008F369D">
      <w:pPr>
        <w:rPr>
          <w:szCs w:val="22"/>
          <w:lang w:val="en-GB"/>
        </w:rPr>
      </w:pPr>
      <w:r w:rsidRPr="00F638AF">
        <w:rPr>
          <w:szCs w:val="22"/>
          <w:lang w:val="en-GB"/>
        </w:rPr>
        <w:t>The analysis of all secondary parameters (response rates, progression</w:t>
      </w:r>
      <w:r w:rsidR="000A6DDA" w:rsidRPr="00F638AF">
        <w:rPr>
          <w:szCs w:val="22"/>
          <w:lang w:val="en-GB"/>
        </w:rPr>
        <w:noBreakHyphen/>
      </w:r>
      <w:r w:rsidRPr="00F638AF">
        <w:rPr>
          <w:szCs w:val="22"/>
          <w:lang w:val="en-GB"/>
        </w:rPr>
        <w:t>free survival, disease</w:t>
      </w:r>
      <w:r w:rsidR="000A6DDA" w:rsidRPr="00F638AF">
        <w:rPr>
          <w:szCs w:val="22"/>
          <w:lang w:val="en-GB"/>
        </w:rPr>
        <w:noBreakHyphen/>
      </w:r>
      <w:r w:rsidRPr="00F638AF">
        <w:rPr>
          <w:szCs w:val="22"/>
          <w:lang w:val="en-GB"/>
        </w:rPr>
        <w:t>free survival, duration of response) verified the treatment effect of R</w:t>
      </w:r>
      <w:r w:rsidR="000A6DDA" w:rsidRPr="00F638AF">
        <w:rPr>
          <w:szCs w:val="22"/>
          <w:lang w:val="en-GB"/>
        </w:rPr>
        <w:noBreakHyphen/>
      </w:r>
      <w:r w:rsidRPr="00F638AF">
        <w:rPr>
          <w:szCs w:val="22"/>
          <w:lang w:val="en-GB"/>
        </w:rPr>
        <w:t>CHOP compared to CHOP. The complete response rate after cycle 8 was 76.2% in the R</w:t>
      </w:r>
      <w:r w:rsidR="000A6DDA" w:rsidRPr="00F638AF">
        <w:rPr>
          <w:szCs w:val="22"/>
          <w:lang w:val="en-GB"/>
        </w:rPr>
        <w:noBreakHyphen/>
      </w:r>
      <w:r w:rsidRPr="00F638AF">
        <w:rPr>
          <w:szCs w:val="22"/>
          <w:lang w:val="en-GB"/>
        </w:rPr>
        <w:t>CHOP group and 62.4% in the CHOP group (p=0.0028). The risk of disease progression was reduced by 46% and the risk of relapse by 51%.</w:t>
      </w:r>
    </w:p>
    <w:p w14:paraId="7C3316D1" w14:textId="77777777" w:rsidR="008F369D" w:rsidRPr="00F638AF" w:rsidRDefault="00016F29" w:rsidP="008F369D">
      <w:pPr>
        <w:rPr>
          <w:szCs w:val="22"/>
          <w:lang w:val="en-GB"/>
        </w:rPr>
      </w:pPr>
      <w:r w:rsidRPr="00F638AF">
        <w:rPr>
          <w:szCs w:val="22"/>
          <w:lang w:val="en-GB"/>
        </w:rPr>
        <w:t>In all patient subgroups (gender, age, age adjusted IPI, Ann Arbor stage, ECOG, β2 microglobulin, LDH, albumin, B symptoms, bulky disease, extranodal sites, bone marrow involvement), the risk ratios for event</w:t>
      </w:r>
      <w:r w:rsidR="000A6DDA" w:rsidRPr="00F638AF">
        <w:rPr>
          <w:szCs w:val="22"/>
          <w:lang w:val="en-GB"/>
        </w:rPr>
        <w:noBreakHyphen/>
      </w:r>
      <w:r w:rsidRPr="00F638AF">
        <w:rPr>
          <w:szCs w:val="22"/>
          <w:lang w:val="en-GB"/>
        </w:rPr>
        <w:t>free survival and overall survival (R</w:t>
      </w:r>
      <w:r w:rsidR="000A6DDA" w:rsidRPr="00F638AF">
        <w:rPr>
          <w:szCs w:val="22"/>
          <w:lang w:val="en-GB"/>
        </w:rPr>
        <w:noBreakHyphen/>
      </w:r>
      <w:r w:rsidRPr="00F638AF">
        <w:rPr>
          <w:szCs w:val="22"/>
          <w:lang w:val="en-GB"/>
        </w:rPr>
        <w:t>CHOP compared with CHOP) were less than 0.83 and 0.95 respectively. R</w:t>
      </w:r>
      <w:r w:rsidR="000A6DDA" w:rsidRPr="00F638AF">
        <w:rPr>
          <w:szCs w:val="22"/>
          <w:lang w:val="en-GB"/>
        </w:rPr>
        <w:noBreakHyphen/>
      </w:r>
      <w:r w:rsidRPr="00F638AF">
        <w:rPr>
          <w:szCs w:val="22"/>
          <w:lang w:val="en-GB"/>
        </w:rPr>
        <w:t>CHOP was associated with improvements in outcome for both high</w:t>
      </w:r>
      <w:r w:rsidR="000A6DDA" w:rsidRPr="00F638AF">
        <w:rPr>
          <w:szCs w:val="22"/>
          <w:lang w:val="en-GB"/>
        </w:rPr>
        <w:noBreakHyphen/>
      </w:r>
      <w:r w:rsidRPr="00F638AF">
        <w:rPr>
          <w:szCs w:val="22"/>
          <w:lang w:val="en-GB"/>
        </w:rPr>
        <w:t xml:space="preserve"> and low</w:t>
      </w:r>
      <w:r w:rsidR="000A6DDA" w:rsidRPr="00F638AF">
        <w:rPr>
          <w:szCs w:val="22"/>
          <w:lang w:val="en-GB"/>
        </w:rPr>
        <w:noBreakHyphen/>
      </w:r>
      <w:r w:rsidRPr="00F638AF">
        <w:rPr>
          <w:szCs w:val="22"/>
          <w:lang w:val="en-GB"/>
        </w:rPr>
        <w:t>risk patients according to age adjusted IPI.</w:t>
      </w:r>
    </w:p>
    <w:p w14:paraId="7C3316D2" w14:textId="77777777" w:rsidR="008F369D" w:rsidRPr="00F638AF" w:rsidRDefault="008F369D" w:rsidP="008F369D">
      <w:pPr>
        <w:rPr>
          <w:szCs w:val="22"/>
          <w:lang w:val="en-GB"/>
        </w:rPr>
      </w:pPr>
    </w:p>
    <w:p w14:paraId="7C3316D3" w14:textId="77777777" w:rsidR="008F369D" w:rsidRPr="00F638AF" w:rsidRDefault="00016F29" w:rsidP="008F369D">
      <w:pPr>
        <w:outlineLvl w:val="0"/>
        <w:rPr>
          <w:i/>
          <w:szCs w:val="22"/>
          <w:u w:val="single"/>
          <w:lang w:val="en-GB"/>
        </w:rPr>
      </w:pPr>
      <w:r w:rsidRPr="00F638AF">
        <w:rPr>
          <w:i/>
          <w:szCs w:val="22"/>
          <w:u w:val="single"/>
          <w:lang w:val="en-GB"/>
        </w:rPr>
        <w:t xml:space="preserve">Clinical laboratory findings </w:t>
      </w:r>
    </w:p>
    <w:p w14:paraId="7C3316D4" w14:textId="77777777" w:rsidR="008F369D" w:rsidRPr="00F638AF" w:rsidRDefault="008F369D" w:rsidP="008F369D">
      <w:pPr>
        <w:outlineLvl w:val="0"/>
        <w:rPr>
          <w:i/>
          <w:szCs w:val="22"/>
          <w:u w:val="single"/>
          <w:lang w:val="en-GB"/>
        </w:rPr>
      </w:pPr>
    </w:p>
    <w:p w14:paraId="7C3316D5" w14:textId="77777777" w:rsidR="008F369D" w:rsidRPr="00F638AF" w:rsidRDefault="00016F29" w:rsidP="008F369D">
      <w:pPr>
        <w:rPr>
          <w:szCs w:val="22"/>
          <w:lang w:val="en-GB"/>
        </w:rPr>
      </w:pPr>
      <w:r w:rsidRPr="00F638AF">
        <w:rPr>
          <w:szCs w:val="22"/>
          <w:lang w:val="en-GB"/>
        </w:rPr>
        <w:t>Of 67 patients evaluated for human anti</w:t>
      </w:r>
      <w:r w:rsidR="000A6DDA" w:rsidRPr="00F638AF">
        <w:rPr>
          <w:szCs w:val="22"/>
          <w:lang w:val="en-GB"/>
        </w:rPr>
        <w:noBreakHyphen/>
      </w:r>
      <w:r w:rsidRPr="00F638AF">
        <w:rPr>
          <w:szCs w:val="22"/>
          <w:lang w:val="en-GB"/>
        </w:rPr>
        <w:t>mouse antibody (</w:t>
      </w:r>
      <w:smartTag w:uri="urn:schemas-microsoft-com:office:smarttags" w:element="place">
        <w:smartTag w:uri="urn:schemas-microsoft-com:office:smarttags" w:element="City">
          <w:r w:rsidRPr="00F638AF">
            <w:rPr>
              <w:caps/>
              <w:szCs w:val="22"/>
              <w:lang w:val="en-GB"/>
            </w:rPr>
            <w:t>hama</w:t>
          </w:r>
        </w:smartTag>
      </w:smartTag>
      <w:r w:rsidRPr="00F638AF">
        <w:rPr>
          <w:caps/>
          <w:szCs w:val="22"/>
          <w:lang w:val="en-GB"/>
        </w:rPr>
        <w:t>)</w:t>
      </w:r>
      <w:r w:rsidRPr="00F638AF">
        <w:rPr>
          <w:szCs w:val="22"/>
          <w:lang w:val="en-GB"/>
        </w:rPr>
        <w:t xml:space="preserve">, no responses were noted. Of 356 patients evaluated for </w:t>
      </w:r>
      <w:r w:rsidR="0029764E" w:rsidRPr="00F638AF">
        <w:rPr>
          <w:szCs w:val="22"/>
          <w:lang w:val="en-GB"/>
        </w:rPr>
        <w:t>anti-drug antibody (</w:t>
      </w:r>
      <w:r w:rsidR="0029764E" w:rsidRPr="00F638AF">
        <w:rPr>
          <w:caps/>
          <w:szCs w:val="22"/>
          <w:lang w:val="en-GB"/>
        </w:rPr>
        <w:t>ADA)</w:t>
      </w:r>
      <w:r w:rsidRPr="00F638AF">
        <w:rPr>
          <w:szCs w:val="22"/>
          <w:lang w:val="en-GB"/>
        </w:rPr>
        <w:t>, 1.1 % (4 patients) were positive.</w:t>
      </w:r>
    </w:p>
    <w:p w14:paraId="7C3316D6" w14:textId="77777777" w:rsidR="008F369D" w:rsidRPr="00F638AF" w:rsidRDefault="008F369D" w:rsidP="008F369D">
      <w:pPr>
        <w:rPr>
          <w:szCs w:val="22"/>
          <w:lang w:val="en-GB"/>
        </w:rPr>
      </w:pPr>
    </w:p>
    <w:p w14:paraId="7C3316D7" w14:textId="77777777" w:rsidR="008F369D" w:rsidRPr="00F638AF" w:rsidRDefault="00016F29" w:rsidP="008F369D">
      <w:pPr>
        <w:outlineLvl w:val="0"/>
        <w:rPr>
          <w:i/>
          <w:szCs w:val="22"/>
          <w:u w:val="single"/>
          <w:lang w:val="en-GB"/>
        </w:rPr>
      </w:pPr>
      <w:r w:rsidRPr="00F638AF">
        <w:rPr>
          <w:i/>
          <w:szCs w:val="22"/>
          <w:u w:val="single"/>
          <w:lang w:val="en-GB"/>
        </w:rPr>
        <w:t>Chronic lymphocytic leukaemia</w:t>
      </w:r>
    </w:p>
    <w:p w14:paraId="7C3316D8" w14:textId="77777777" w:rsidR="008F369D" w:rsidRPr="00F638AF" w:rsidRDefault="008F369D" w:rsidP="008F369D">
      <w:pPr>
        <w:rPr>
          <w:i/>
          <w:szCs w:val="22"/>
          <w:u w:val="single"/>
          <w:lang w:val="en-GB"/>
        </w:rPr>
      </w:pPr>
    </w:p>
    <w:p w14:paraId="7C3316D9" w14:textId="77777777" w:rsidR="008F369D" w:rsidRPr="00F638AF" w:rsidRDefault="00016F29" w:rsidP="008F369D">
      <w:pPr>
        <w:rPr>
          <w:lang w:val="en-GB"/>
        </w:rPr>
      </w:pPr>
      <w:r w:rsidRPr="00F638AF">
        <w:rPr>
          <w:lang w:val="en-GB"/>
        </w:rPr>
        <w:t>In two open</w:t>
      </w:r>
      <w:r w:rsidR="000A6DDA" w:rsidRPr="00F638AF">
        <w:rPr>
          <w:lang w:val="en-GB"/>
        </w:rPr>
        <w:noBreakHyphen/>
      </w:r>
      <w:r w:rsidRPr="00F638AF">
        <w:rPr>
          <w:lang w:val="en-GB"/>
        </w:rPr>
        <w:t>label randomised trials, a total of 817 previously untreated patients and 552 patients with relapsed/refractory CLL were randomised to receive either FC chemotherapy (fludarabine 25 mg/m</w:t>
      </w:r>
      <w:r w:rsidRPr="00F638AF">
        <w:rPr>
          <w:vertAlign w:val="superscript"/>
          <w:lang w:val="en-GB"/>
        </w:rPr>
        <w:t>2</w:t>
      </w:r>
      <w:r w:rsidRPr="00F638AF">
        <w:rPr>
          <w:lang w:val="en-GB"/>
        </w:rPr>
        <w:t>, cyclophosphamide 250 mg/m</w:t>
      </w:r>
      <w:r w:rsidRPr="00F638AF">
        <w:rPr>
          <w:vertAlign w:val="superscript"/>
          <w:lang w:val="en-GB"/>
        </w:rPr>
        <w:t>2</w:t>
      </w:r>
      <w:r w:rsidRPr="00F638AF">
        <w:rPr>
          <w:lang w:val="en-GB"/>
        </w:rPr>
        <w:t>, days 1</w:t>
      </w:r>
      <w:r w:rsidR="000A6DDA" w:rsidRPr="00F638AF">
        <w:rPr>
          <w:lang w:val="en-GB"/>
        </w:rPr>
        <w:noBreakHyphen/>
      </w:r>
      <w:r w:rsidRPr="00F638AF">
        <w:rPr>
          <w:lang w:val="en-GB"/>
        </w:rPr>
        <w:t>3) every 4 weeks for 6 cycles or MabThera in combination with FC (R</w:t>
      </w:r>
      <w:r w:rsidR="000A6DDA" w:rsidRPr="00F638AF">
        <w:rPr>
          <w:lang w:val="en-GB"/>
        </w:rPr>
        <w:noBreakHyphen/>
      </w:r>
      <w:r w:rsidRPr="00F638AF">
        <w:rPr>
          <w:lang w:val="en-GB"/>
        </w:rPr>
        <w:t>FC). MabThera was administered at a dosage of 375 mg/m</w:t>
      </w:r>
      <w:r w:rsidRPr="00F638AF">
        <w:rPr>
          <w:vertAlign w:val="superscript"/>
          <w:lang w:val="en-GB"/>
        </w:rPr>
        <w:t>2</w:t>
      </w:r>
      <w:r w:rsidRPr="00F638AF">
        <w:rPr>
          <w:lang w:val="en-GB"/>
        </w:rPr>
        <w:t xml:space="preserve"> during the first cycle one day prior to chemotherapy and at a dosage of 500 mg/m</w:t>
      </w:r>
      <w:r w:rsidRPr="00F638AF">
        <w:rPr>
          <w:vertAlign w:val="superscript"/>
          <w:lang w:val="en-GB"/>
        </w:rPr>
        <w:t>2</w:t>
      </w:r>
      <w:r w:rsidRPr="00F638AF">
        <w:rPr>
          <w:lang w:val="en-GB"/>
        </w:rPr>
        <w:t xml:space="preserve"> on day 1 of each subsequent treatment cycle. Patients were excluded from the study in relapsed/refractory CLL if they had previously been treated with monoclonal antibodies or if they were refractory (defined as failure to achieve a partial remission for at least 6 months) to fludarabine or any nucleoside analogue. A total of 810 patients (403 R</w:t>
      </w:r>
      <w:r w:rsidR="000A6DDA" w:rsidRPr="00F638AF">
        <w:rPr>
          <w:lang w:val="en-GB"/>
        </w:rPr>
        <w:noBreakHyphen/>
      </w:r>
      <w:r w:rsidRPr="00F638AF">
        <w:rPr>
          <w:lang w:val="en-GB"/>
        </w:rPr>
        <w:t>FC, 407 FC) for the first</w:t>
      </w:r>
      <w:r w:rsidR="000A6DDA" w:rsidRPr="00F638AF">
        <w:rPr>
          <w:lang w:val="en-GB"/>
        </w:rPr>
        <w:noBreakHyphen/>
      </w:r>
      <w:r w:rsidRPr="00F638AF">
        <w:rPr>
          <w:lang w:val="en-GB"/>
        </w:rPr>
        <w:t>line study (Table </w:t>
      </w:r>
      <w:r w:rsidR="001C592D" w:rsidRPr="00F638AF">
        <w:rPr>
          <w:lang w:val="en-GB"/>
        </w:rPr>
        <w:t xml:space="preserve">12a </w:t>
      </w:r>
      <w:r w:rsidRPr="00F638AF">
        <w:rPr>
          <w:lang w:val="en-GB"/>
        </w:rPr>
        <w:t xml:space="preserve">and Table </w:t>
      </w:r>
      <w:r w:rsidR="001C592D" w:rsidRPr="00F638AF">
        <w:rPr>
          <w:lang w:val="en-GB"/>
        </w:rPr>
        <w:t>12b</w:t>
      </w:r>
      <w:r w:rsidRPr="00F638AF">
        <w:rPr>
          <w:lang w:val="en-GB"/>
        </w:rPr>
        <w:t>) and 552 patients (276 R</w:t>
      </w:r>
      <w:r w:rsidR="000A6DDA" w:rsidRPr="00F638AF">
        <w:rPr>
          <w:lang w:val="en-GB"/>
        </w:rPr>
        <w:noBreakHyphen/>
      </w:r>
      <w:r w:rsidRPr="00F638AF">
        <w:rPr>
          <w:lang w:val="en-GB"/>
        </w:rPr>
        <w:t>FC, 276 FC) for the relapsed/refractory study (Table </w:t>
      </w:r>
      <w:r w:rsidR="001C592D" w:rsidRPr="00F638AF">
        <w:rPr>
          <w:lang w:val="en-GB"/>
        </w:rPr>
        <w:t>13</w:t>
      </w:r>
      <w:r w:rsidRPr="00F638AF">
        <w:rPr>
          <w:lang w:val="en-GB"/>
        </w:rPr>
        <w:t>) were analysed for efficacy.</w:t>
      </w:r>
    </w:p>
    <w:p w14:paraId="7C3316DA" w14:textId="77777777" w:rsidR="008F369D" w:rsidRPr="00F638AF" w:rsidRDefault="008F369D" w:rsidP="008F369D">
      <w:pPr>
        <w:rPr>
          <w:lang w:val="en-GB"/>
        </w:rPr>
      </w:pPr>
    </w:p>
    <w:p w14:paraId="7C3316DB" w14:textId="77777777" w:rsidR="008F369D" w:rsidRPr="00F638AF" w:rsidRDefault="00016F29" w:rsidP="008F369D">
      <w:pPr>
        <w:rPr>
          <w:lang w:val="en-GB"/>
        </w:rPr>
      </w:pPr>
      <w:r w:rsidRPr="00F638AF">
        <w:rPr>
          <w:lang w:val="en-GB"/>
        </w:rPr>
        <w:t>In the first</w:t>
      </w:r>
      <w:r w:rsidR="000A6DDA" w:rsidRPr="00F638AF">
        <w:rPr>
          <w:lang w:val="en-GB"/>
        </w:rPr>
        <w:noBreakHyphen/>
      </w:r>
      <w:r w:rsidRPr="00F638AF">
        <w:rPr>
          <w:lang w:val="en-GB"/>
        </w:rPr>
        <w:t>line study, after a median observation time of 48.1 months, the median PFS was 55 months in the R</w:t>
      </w:r>
      <w:r w:rsidR="000A6DDA" w:rsidRPr="00F638AF">
        <w:rPr>
          <w:lang w:val="en-GB"/>
        </w:rPr>
        <w:noBreakHyphen/>
      </w:r>
      <w:r w:rsidRPr="00F638AF">
        <w:rPr>
          <w:lang w:val="en-GB"/>
        </w:rPr>
        <w:t>FC group and 33 months in the FC group (p &lt; 0.0001, log</w:t>
      </w:r>
      <w:r w:rsidR="000A6DDA" w:rsidRPr="00F638AF">
        <w:rPr>
          <w:lang w:val="en-GB"/>
        </w:rPr>
        <w:noBreakHyphen/>
      </w:r>
      <w:r w:rsidRPr="00F638AF">
        <w:rPr>
          <w:lang w:val="en-GB"/>
        </w:rPr>
        <w:t>rank test). The analysis of overall survival showed a significant benefit of R</w:t>
      </w:r>
      <w:r w:rsidR="000A6DDA" w:rsidRPr="00F638AF">
        <w:rPr>
          <w:lang w:val="en-GB"/>
        </w:rPr>
        <w:noBreakHyphen/>
      </w:r>
      <w:r w:rsidRPr="00F638AF">
        <w:rPr>
          <w:lang w:val="en-GB"/>
        </w:rPr>
        <w:t>FC treatment over FC chemotherapy alone (p = 0.0319, log</w:t>
      </w:r>
      <w:r w:rsidR="000A6DDA" w:rsidRPr="00F638AF">
        <w:rPr>
          <w:lang w:val="en-GB"/>
        </w:rPr>
        <w:noBreakHyphen/>
      </w:r>
      <w:r w:rsidRPr="00F638AF">
        <w:rPr>
          <w:lang w:val="en-GB"/>
        </w:rPr>
        <w:t xml:space="preserve">rank test) (Table </w:t>
      </w:r>
      <w:r w:rsidR="007D45DF" w:rsidRPr="00F638AF">
        <w:rPr>
          <w:lang w:val="en-GB"/>
        </w:rPr>
        <w:t>12a</w:t>
      </w:r>
      <w:r w:rsidRPr="00F638AF">
        <w:rPr>
          <w:lang w:val="en-GB"/>
        </w:rPr>
        <w:t>).</w:t>
      </w:r>
      <w:r w:rsidRPr="00F638AF">
        <w:rPr>
          <w:b/>
          <w:i/>
          <w:lang w:val="en-GB"/>
        </w:rPr>
        <w:t xml:space="preserve"> </w:t>
      </w:r>
      <w:r w:rsidRPr="00F638AF">
        <w:rPr>
          <w:lang w:val="en-GB"/>
        </w:rPr>
        <w:t>The benefit in terms of PFS was consistently observed in most patient subgroups analysed according to disease risk at baseline (i.e. Binet stages A</w:t>
      </w:r>
      <w:r w:rsidR="000A6DDA" w:rsidRPr="00F638AF">
        <w:rPr>
          <w:lang w:val="en-GB"/>
        </w:rPr>
        <w:noBreakHyphen/>
      </w:r>
      <w:r w:rsidRPr="00F638AF">
        <w:rPr>
          <w:lang w:val="en-GB"/>
        </w:rPr>
        <w:t xml:space="preserve">C) (Table </w:t>
      </w:r>
      <w:r w:rsidR="007D45DF" w:rsidRPr="00F638AF">
        <w:rPr>
          <w:lang w:val="en-GB"/>
        </w:rPr>
        <w:t>12b</w:t>
      </w:r>
      <w:r w:rsidRPr="00F638AF">
        <w:rPr>
          <w:lang w:val="en-GB"/>
        </w:rPr>
        <w:t>).</w:t>
      </w:r>
    </w:p>
    <w:p w14:paraId="7C3316DC" w14:textId="77777777" w:rsidR="008F369D" w:rsidRPr="00F638AF" w:rsidRDefault="008F369D" w:rsidP="008F369D">
      <w:pPr>
        <w:rPr>
          <w:lang w:val="en-GB"/>
        </w:rPr>
      </w:pPr>
    </w:p>
    <w:p w14:paraId="7C3316DD" w14:textId="77777777" w:rsidR="008F369D" w:rsidRPr="00F638AF" w:rsidRDefault="00016F29" w:rsidP="00731FC0">
      <w:pPr>
        <w:keepNext/>
        <w:keepLines/>
        <w:ind w:left="1134" w:hanging="1134"/>
        <w:rPr>
          <w:b/>
          <w:lang w:val="en-GB"/>
        </w:rPr>
      </w:pPr>
      <w:r w:rsidRPr="00F638AF">
        <w:rPr>
          <w:b/>
          <w:lang w:val="en-GB"/>
        </w:rPr>
        <w:t>Table </w:t>
      </w:r>
      <w:r w:rsidR="007D45DF" w:rsidRPr="00F638AF">
        <w:rPr>
          <w:b/>
          <w:lang w:val="en-GB"/>
        </w:rPr>
        <w:t>12a</w:t>
      </w:r>
      <w:r w:rsidRPr="00F638AF">
        <w:rPr>
          <w:b/>
          <w:lang w:val="en-GB"/>
        </w:rPr>
        <w:tab/>
        <w:t>First</w:t>
      </w:r>
      <w:r w:rsidR="000A6DDA" w:rsidRPr="00F638AF">
        <w:rPr>
          <w:b/>
          <w:lang w:val="en-GB"/>
        </w:rPr>
        <w:noBreakHyphen/>
      </w:r>
      <w:r w:rsidRPr="00F638AF">
        <w:rPr>
          <w:b/>
          <w:lang w:val="en-GB"/>
        </w:rPr>
        <w:t>line treatment of chronic lymphocytic leukaemia</w:t>
      </w:r>
    </w:p>
    <w:p w14:paraId="7C3316DE" w14:textId="77777777" w:rsidR="008F369D" w:rsidRPr="00F638AF" w:rsidRDefault="00016F29" w:rsidP="00731FC0">
      <w:pPr>
        <w:keepNext/>
        <w:keepLines/>
        <w:ind w:left="1134"/>
        <w:rPr>
          <w:szCs w:val="22"/>
          <w:lang w:val="en-GB"/>
        </w:rPr>
      </w:pPr>
      <w:r w:rsidRPr="00F638AF">
        <w:rPr>
          <w:b/>
          <w:lang w:val="en-GB"/>
        </w:rPr>
        <w:t xml:space="preserve">Overview of efficacy results for MabThera plus FC vs. FC alone </w:t>
      </w:r>
      <w:r w:rsidR="000A6DDA" w:rsidRPr="00F638AF">
        <w:rPr>
          <w:b/>
          <w:lang w:val="en-GB"/>
        </w:rPr>
        <w:noBreakHyphen/>
      </w:r>
      <w:r w:rsidRPr="00F638AF">
        <w:rPr>
          <w:b/>
          <w:lang w:val="en-GB"/>
        </w:rPr>
        <w:t xml:space="preserve"> 48.1 months median observation time</w:t>
      </w:r>
    </w:p>
    <w:tbl>
      <w:tblPr>
        <w:tblW w:w="8658" w:type="dxa"/>
        <w:tblInd w:w="108" w:type="dxa"/>
        <w:tblBorders>
          <w:top w:val="single" w:sz="6" w:space="0" w:color="000000"/>
          <w:bottom w:val="single" w:sz="6" w:space="0" w:color="000000"/>
          <w:insideV w:val="single" w:sz="6" w:space="0" w:color="000000"/>
        </w:tblBorders>
        <w:tblLayout w:type="fixed"/>
        <w:tblLook w:val="0000" w:firstRow="0" w:lastRow="0" w:firstColumn="0" w:lastColumn="0" w:noHBand="0" w:noVBand="0"/>
      </w:tblPr>
      <w:tblGrid>
        <w:gridCol w:w="3124"/>
        <w:gridCol w:w="1448"/>
        <w:gridCol w:w="1240"/>
        <w:gridCol w:w="1422"/>
        <w:gridCol w:w="1424"/>
      </w:tblGrid>
      <w:tr w:rsidR="003A788B" w14:paraId="7C3316E2" w14:textId="77777777" w:rsidTr="008919D7">
        <w:trPr>
          <w:trHeight w:val="511"/>
          <w:tblHeader/>
        </w:trPr>
        <w:tc>
          <w:tcPr>
            <w:tcW w:w="3124" w:type="dxa"/>
            <w:vMerge w:val="restart"/>
            <w:tcBorders>
              <w:top w:val="single" w:sz="6" w:space="0" w:color="000000"/>
              <w:left w:val="single" w:sz="4" w:space="0" w:color="auto"/>
            </w:tcBorders>
            <w:shd w:val="clear" w:color="auto" w:fill="auto"/>
          </w:tcPr>
          <w:p w14:paraId="7C3316DF" w14:textId="77777777" w:rsidR="008F369D" w:rsidRPr="00F638AF" w:rsidRDefault="00016F29" w:rsidP="00731FC0">
            <w:pPr>
              <w:pStyle w:val="TextTi10"/>
              <w:keepNext/>
              <w:keepLines/>
              <w:jc w:val="center"/>
              <w:rPr>
                <w:b/>
                <w:sz w:val="22"/>
                <w:szCs w:val="22"/>
                <w:lang w:val="en-GB"/>
              </w:rPr>
            </w:pPr>
            <w:r w:rsidRPr="00F638AF">
              <w:rPr>
                <w:b/>
                <w:sz w:val="22"/>
                <w:szCs w:val="22"/>
                <w:lang w:val="en-GB"/>
              </w:rPr>
              <w:t>Efficacy Parameter</w:t>
            </w:r>
          </w:p>
        </w:tc>
        <w:tc>
          <w:tcPr>
            <w:tcW w:w="4110" w:type="dxa"/>
            <w:gridSpan w:val="3"/>
            <w:tcBorders>
              <w:top w:val="single" w:sz="6" w:space="0" w:color="000000"/>
              <w:bottom w:val="single" w:sz="6" w:space="0" w:color="000000"/>
            </w:tcBorders>
            <w:shd w:val="clear" w:color="auto" w:fill="auto"/>
          </w:tcPr>
          <w:p w14:paraId="7C3316E0" w14:textId="77777777" w:rsidR="008F369D" w:rsidRPr="00F638AF" w:rsidRDefault="00016F29" w:rsidP="00731FC0">
            <w:pPr>
              <w:pStyle w:val="TextTi10"/>
              <w:keepNext/>
              <w:keepLines/>
              <w:jc w:val="center"/>
              <w:rPr>
                <w:b/>
                <w:sz w:val="22"/>
                <w:szCs w:val="22"/>
                <w:lang w:val="en-GB"/>
              </w:rPr>
            </w:pPr>
            <w:r w:rsidRPr="00F638AF">
              <w:rPr>
                <w:b/>
                <w:sz w:val="22"/>
                <w:szCs w:val="22"/>
                <w:lang w:val="en-GB"/>
              </w:rPr>
              <w:t>Kaplan</w:t>
            </w:r>
            <w:r w:rsidR="000A6DDA" w:rsidRPr="00F638AF">
              <w:rPr>
                <w:b/>
                <w:sz w:val="22"/>
                <w:szCs w:val="22"/>
                <w:lang w:val="en-GB"/>
              </w:rPr>
              <w:noBreakHyphen/>
            </w:r>
            <w:r w:rsidRPr="00F638AF">
              <w:rPr>
                <w:b/>
                <w:sz w:val="22"/>
                <w:szCs w:val="22"/>
                <w:lang w:val="en-GB"/>
              </w:rPr>
              <w:t xml:space="preserve">Meier Estimate of </w:t>
            </w:r>
            <w:r w:rsidRPr="00F638AF">
              <w:rPr>
                <w:b/>
                <w:sz w:val="22"/>
                <w:szCs w:val="22"/>
                <w:lang w:val="en-GB"/>
              </w:rPr>
              <w:br/>
              <w:t>Median Time to Event (Months)</w:t>
            </w:r>
          </w:p>
        </w:tc>
        <w:tc>
          <w:tcPr>
            <w:tcW w:w="1424" w:type="dxa"/>
            <w:vMerge w:val="restart"/>
            <w:tcBorders>
              <w:top w:val="single" w:sz="6" w:space="0" w:color="000000"/>
              <w:right w:val="single" w:sz="6" w:space="0" w:color="000000"/>
            </w:tcBorders>
            <w:shd w:val="clear" w:color="auto" w:fill="auto"/>
          </w:tcPr>
          <w:p w14:paraId="7C3316E1" w14:textId="77777777" w:rsidR="008F369D" w:rsidRPr="00F638AF" w:rsidRDefault="00016F29" w:rsidP="00731FC0">
            <w:pPr>
              <w:pStyle w:val="TextTi10"/>
              <w:keepNext/>
              <w:keepLines/>
              <w:jc w:val="center"/>
              <w:rPr>
                <w:b/>
                <w:sz w:val="22"/>
                <w:szCs w:val="22"/>
                <w:vertAlign w:val="superscript"/>
                <w:lang w:val="en-GB"/>
              </w:rPr>
            </w:pPr>
            <w:r w:rsidRPr="00F638AF">
              <w:rPr>
                <w:b/>
                <w:sz w:val="22"/>
                <w:szCs w:val="22"/>
                <w:lang w:val="en-GB"/>
              </w:rPr>
              <w:t>Risk Reduction</w:t>
            </w:r>
          </w:p>
        </w:tc>
      </w:tr>
      <w:tr w:rsidR="003A788B" w14:paraId="7C3316EA" w14:textId="77777777" w:rsidTr="008919D7">
        <w:trPr>
          <w:trHeight w:val="149"/>
          <w:tblHeader/>
        </w:trPr>
        <w:tc>
          <w:tcPr>
            <w:tcW w:w="3124" w:type="dxa"/>
            <w:vMerge/>
            <w:tcBorders>
              <w:left w:val="single" w:sz="4" w:space="0" w:color="auto"/>
              <w:bottom w:val="single" w:sz="6" w:space="0" w:color="000000"/>
            </w:tcBorders>
            <w:shd w:val="clear" w:color="auto" w:fill="auto"/>
          </w:tcPr>
          <w:p w14:paraId="7C3316E3" w14:textId="77777777" w:rsidR="008F369D" w:rsidRPr="00F638AF" w:rsidRDefault="008F369D" w:rsidP="00731FC0">
            <w:pPr>
              <w:pStyle w:val="TextTi10"/>
              <w:keepNext/>
              <w:keepLines/>
              <w:jc w:val="center"/>
              <w:rPr>
                <w:b/>
                <w:sz w:val="22"/>
                <w:szCs w:val="22"/>
                <w:lang w:val="en-GB"/>
              </w:rPr>
            </w:pPr>
          </w:p>
        </w:tc>
        <w:tc>
          <w:tcPr>
            <w:tcW w:w="1448" w:type="dxa"/>
            <w:tcBorders>
              <w:top w:val="single" w:sz="6" w:space="0" w:color="000000"/>
              <w:bottom w:val="single" w:sz="6" w:space="0" w:color="000000"/>
            </w:tcBorders>
            <w:shd w:val="clear" w:color="auto" w:fill="auto"/>
          </w:tcPr>
          <w:p w14:paraId="7C3316E4" w14:textId="77777777" w:rsidR="008F369D" w:rsidRPr="00F638AF" w:rsidRDefault="00016F29" w:rsidP="00731FC0">
            <w:pPr>
              <w:pStyle w:val="TextTi10"/>
              <w:keepNext/>
              <w:keepLines/>
              <w:jc w:val="center"/>
              <w:rPr>
                <w:b/>
                <w:sz w:val="22"/>
                <w:szCs w:val="22"/>
                <w:lang w:val="en-GB"/>
              </w:rPr>
            </w:pPr>
            <w:r w:rsidRPr="00F638AF">
              <w:rPr>
                <w:b/>
                <w:sz w:val="22"/>
                <w:szCs w:val="22"/>
                <w:lang w:val="en-GB"/>
              </w:rPr>
              <w:t>FC</w:t>
            </w:r>
          </w:p>
          <w:p w14:paraId="7C3316E5" w14:textId="77777777" w:rsidR="008F369D" w:rsidRPr="00F638AF" w:rsidRDefault="00016F29" w:rsidP="00731FC0">
            <w:pPr>
              <w:pStyle w:val="TextTi10"/>
              <w:keepNext/>
              <w:keepLines/>
              <w:jc w:val="center"/>
              <w:rPr>
                <w:b/>
                <w:sz w:val="22"/>
                <w:szCs w:val="22"/>
                <w:lang w:val="en-GB"/>
              </w:rPr>
            </w:pPr>
            <w:r w:rsidRPr="00F638AF">
              <w:rPr>
                <w:b/>
                <w:sz w:val="22"/>
                <w:szCs w:val="22"/>
                <w:lang w:val="en-GB"/>
              </w:rPr>
              <w:t>(N = 409)</w:t>
            </w:r>
          </w:p>
        </w:tc>
        <w:tc>
          <w:tcPr>
            <w:tcW w:w="1240" w:type="dxa"/>
            <w:tcBorders>
              <w:top w:val="single" w:sz="6" w:space="0" w:color="000000"/>
              <w:bottom w:val="single" w:sz="6" w:space="0" w:color="000000"/>
            </w:tcBorders>
            <w:shd w:val="clear" w:color="auto" w:fill="auto"/>
          </w:tcPr>
          <w:p w14:paraId="7C3316E6" w14:textId="77777777" w:rsidR="008F369D" w:rsidRPr="00F638AF" w:rsidRDefault="00016F29" w:rsidP="00731FC0">
            <w:pPr>
              <w:pStyle w:val="TextTi10"/>
              <w:keepNext/>
              <w:keepLines/>
              <w:jc w:val="center"/>
              <w:rPr>
                <w:b/>
                <w:sz w:val="22"/>
                <w:szCs w:val="22"/>
                <w:lang w:val="en-GB"/>
              </w:rPr>
            </w:pPr>
            <w:r w:rsidRPr="00F638AF">
              <w:rPr>
                <w:b/>
                <w:sz w:val="22"/>
                <w:szCs w:val="22"/>
                <w:lang w:val="en-GB"/>
              </w:rPr>
              <w:t>R</w:t>
            </w:r>
            <w:r w:rsidR="000A6DDA" w:rsidRPr="00F638AF">
              <w:rPr>
                <w:b/>
                <w:sz w:val="22"/>
                <w:szCs w:val="22"/>
                <w:lang w:val="en-GB"/>
              </w:rPr>
              <w:noBreakHyphen/>
            </w:r>
            <w:r w:rsidRPr="00F638AF">
              <w:rPr>
                <w:b/>
                <w:sz w:val="22"/>
                <w:szCs w:val="22"/>
                <w:lang w:val="en-GB"/>
              </w:rPr>
              <w:t>FC</w:t>
            </w:r>
          </w:p>
          <w:p w14:paraId="7C3316E7" w14:textId="77777777" w:rsidR="008F369D" w:rsidRPr="00F638AF" w:rsidRDefault="00016F29" w:rsidP="00731FC0">
            <w:pPr>
              <w:pStyle w:val="TextTi10"/>
              <w:keepNext/>
              <w:keepLines/>
              <w:jc w:val="center"/>
              <w:rPr>
                <w:b/>
                <w:sz w:val="22"/>
                <w:szCs w:val="22"/>
                <w:lang w:val="en-GB"/>
              </w:rPr>
            </w:pPr>
            <w:r w:rsidRPr="00F638AF">
              <w:rPr>
                <w:b/>
                <w:sz w:val="22"/>
                <w:szCs w:val="22"/>
                <w:lang w:val="en-GB"/>
              </w:rPr>
              <w:t>(N=408)</w:t>
            </w:r>
          </w:p>
        </w:tc>
        <w:tc>
          <w:tcPr>
            <w:tcW w:w="1422" w:type="dxa"/>
            <w:tcBorders>
              <w:top w:val="single" w:sz="6" w:space="0" w:color="000000"/>
              <w:bottom w:val="single" w:sz="6" w:space="0" w:color="000000"/>
            </w:tcBorders>
            <w:shd w:val="clear" w:color="auto" w:fill="auto"/>
          </w:tcPr>
          <w:p w14:paraId="7C3316E8" w14:textId="77777777" w:rsidR="008F369D" w:rsidRPr="00F638AF" w:rsidRDefault="00016F29" w:rsidP="00731FC0">
            <w:pPr>
              <w:pStyle w:val="TextTi10"/>
              <w:keepNext/>
              <w:keepLines/>
              <w:jc w:val="center"/>
              <w:rPr>
                <w:b/>
                <w:sz w:val="22"/>
                <w:szCs w:val="22"/>
                <w:lang w:val="en-GB"/>
              </w:rPr>
            </w:pPr>
            <w:r w:rsidRPr="00F638AF">
              <w:rPr>
                <w:b/>
                <w:sz w:val="22"/>
                <w:szCs w:val="22"/>
                <w:lang w:val="en-GB"/>
              </w:rPr>
              <w:t>Log</w:t>
            </w:r>
            <w:r w:rsidR="000A6DDA" w:rsidRPr="00F638AF">
              <w:rPr>
                <w:b/>
                <w:sz w:val="22"/>
                <w:szCs w:val="22"/>
                <w:lang w:val="en-GB"/>
              </w:rPr>
              <w:noBreakHyphen/>
            </w:r>
            <w:r w:rsidRPr="00F638AF">
              <w:rPr>
                <w:b/>
                <w:sz w:val="22"/>
                <w:szCs w:val="22"/>
                <w:lang w:val="en-GB"/>
              </w:rPr>
              <w:t xml:space="preserve">Rank </w:t>
            </w:r>
            <w:r w:rsidRPr="00F638AF">
              <w:rPr>
                <w:b/>
                <w:sz w:val="22"/>
                <w:szCs w:val="22"/>
                <w:lang w:val="en-GB"/>
              </w:rPr>
              <w:br/>
              <w:t>p value</w:t>
            </w:r>
          </w:p>
        </w:tc>
        <w:tc>
          <w:tcPr>
            <w:tcW w:w="1424" w:type="dxa"/>
            <w:vMerge/>
            <w:tcBorders>
              <w:bottom w:val="single" w:sz="6" w:space="0" w:color="000000"/>
              <w:right w:val="single" w:sz="6" w:space="0" w:color="000000"/>
            </w:tcBorders>
            <w:shd w:val="clear" w:color="auto" w:fill="auto"/>
          </w:tcPr>
          <w:p w14:paraId="7C3316E9" w14:textId="77777777" w:rsidR="008F369D" w:rsidRPr="00F638AF" w:rsidRDefault="008F369D" w:rsidP="00731FC0">
            <w:pPr>
              <w:pStyle w:val="TextTi10"/>
              <w:keepNext/>
              <w:keepLines/>
              <w:jc w:val="center"/>
              <w:rPr>
                <w:b/>
                <w:sz w:val="22"/>
                <w:szCs w:val="22"/>
                <w:lang w:val="en-GB"/>
              </w:rPr>
            </w:pPr>
          </w:p>
        </w:tc>
      </w:tr>
      <w:tr w:rsidR="003A788B" w14:paraId="7C3316F0" w14:textId="77777777" w:rsidTr="008919D7">
        <w:trPr>
          <w:trHeight w:val="263"/>
        </w:trPr>
        <w:tc>
          <w:tcPr>
            <w:tcW w:w="3124" w:type="dxa"/>
            <w:tcBorders>
              <w:top w:val="single" w:sz="6" w:space="0" w:color="000000"/>
              <w:left w:val="single" w:sz="4" w:space="0" w:color="auto"/>
              <w:bottom w:val="nil"/>
            </w:tcBorders>
            <w:shd w:val="clear" w:color="auto" w:fill="auto"/>
          </w:tcPr>
          <w:p w14:paraId="7C3316EB" w14:textId="77777777" w:rsidR="008F369D" w:rsidRPr="00F638AF" w:rsidRDefault="00016F29" w:rsidP="00731FC0">
            <w:pPr>
              <w:pStyle w:val="TextTi10"/>
              <w:keepNext/>
              <w:keepLines/>
              <w:rPr>
                <w:b/>
                <w:sz w:val="22"/>
                <w:szCs w:val="22"/>
                <w:lang w:val="en-GB"/>
              </w:rPr>
            </w:pPr>
            <w:r w:rsidRPr="00F638AF">
              <w:rPr>
                <w:sz w:val="22"/>
                <w:szCs w:val="22"/>
                <w:lang w:val="en-GB"/>
              </w:rPr>
              <w:t>Progression</w:t>
            </w:r>
            <w:r w:rsidR="000A6DDA" w:rsidRPr="00F638AF">
              <w:rPr>
                <w:rFonts w:ascii="Cambria Math" w:hAnsi="Cambria Math" w:cs="Cambria Math"/>
                <w:sz w:val="22"/>
                <w:szCs w:val="22"/>
                <w:lang w:val="en-GB"/>
              </w:rPr>
              <w:noBreakHyphen/>
            </w:r>
            <w:r w:rsidRPr="00F638AF">
              <w:rPr>
                <w:sz w:val="22"/>
                <w:szCs w:val="22"/>
                <w:lang w:val="en-GB"/>
              </w:rPr>
              <w:t>free survival (PFS)</w:t>
            </w:r>
          </w:p>
        </w:tc>
        <w:tc>
          <w:tcPr>
            <w:tcW w:w="1448" w:type="dxa"/>
            <w:tcBorders>
              <w:top w:val="single" w:sz="6" w:space="0" w:color="000000"/>
              <w:bottom w:val="nil"/>
            </w:tcBorders>
            <w:shd w:val="clear" w:color="auto" w:fill="auto"/>
          </w:tcPr>
          <w:p w14:paraId="7C3316EC" w14:textId="77777777" w:rsidR="008F369D" w:rsidRPr="00F638AF" w:rsidRDefault="00016F29" w:rsidP="00731FC0">
            <w:pPr>
              <w:pStyle w:val="TextTi10"/>
              <w:keepNext/>
              <w:keepLines/>
              <w:jc w:val="center"/>
              <w:rPr>
                <w:sz w:val="22"/>
                <w:szCs w:val="22"/>
                <w:lang w:val="en-GB"/>
              </w:rPr>
            </w:pPr>
            <w:r w:rsidRPr="00F638AF">
              <w:rPr>
                <w:sz w:val="22"/>
                <w:szCs w:val="22"/>
                <w:lang w:val="en-GB"/>
              </w:rPr>
              <w:t>32.8</w:t>
            </w:r>
          </w:p>
        </w:tc>
        <w:tc>
          <w:tcPr>
            <w:tcW w:w="1240" w:type="dxa"/>
            <w:tcBorders>
              <w:top w:val="single" w:sz="6" w:space="0" w:color="000000"/>
              <w:bottom w:val="nil"/>
            </w:tcBorders>
            <w:shd w:val="clear" w:color="auto" w:fill="auto"/>
          </w:tcPr>
          <w:p w14:paraId="7C3316ED" w14:textId="77777777" w:rsidR="008F369D" w:rsidRPr="00F638AF" w:rsidRDefault="00016F29" w:rsidP="00731FC0">
            <w:pPr>
              <w:pStyle w:val="TextTi10"/>
              <w:keepNext/>
              <w:keepLines/>
              <w:jc w:val="center"/>
              <w:rPr>
                <w:sz w:val="22"/>
                <w:szCs w:val="22"/>
                <w:lang w:val="en-GB"/>
              </w:rPr>
            </w:pPr>
            <w:r w:rsidRPr="00F638AF">
              <w:rPr>
                <w:sz w:val="22"/>
                <w:szCs w:val="22"/>
                <w:lang w:val="en-GB"/>
              </w:rPr>
              <w:t>55.3</w:t>
            </w:r>
          </w:p>
        </w:tc>
        <w:tc>
          <w:tcPr>
            <w:tcW w:w="1422" w:type="dxa"/>
            <w:tcBorders>
              <w:top w:val="single" w:sz="6" w:space="0" w:color="000000"/>
              <w:bottom w:val="nil"/>
            </w:tcBorders>
            <w:shd w:val="clear" w:color="auto" w:fill="auto"/>
          </w:tcPr>
          <w:p w14:paraId="7C3316EE" w14:textId="77777777" w:rsidR="008F369D" w:rsidRPr="00F638AF" w:rsidRDefault="00016F29" w:rsidP="00731FC0">
            <w:pPr>
              <w:pStyle w:val="TextTi10"/>
              <w:keepNext/>
              <w:keepLines/>
              <w:jc w:val="center"/>
              <w:rPr>
                <w:sz w:val="22"/>
                <w:szCs w:val="22"/>
                <w:lang w:val="en-GB"/>
              </w:rPr>
            </w:pPr>
            <w:r w:rsidRPr="00F638AF">
              <w:rPr>
                <w:sz w:val="22"/>
                <w:szCs w:val="22"/>
                <w:lang w:val="en-GB"/>
              </w:rPr>
              <w:t>&lt;0.0001</w:t>
            </w:r>
          </w:p>
        </w:tc>
        <w:tc>
          <w:tcPr>
            <w:tcW w:w="1424" w:type="dxa"/>
            <w:tcBorders>
              <w:top w:val="single" w:sz="6" w:space="0" w:color="000000"/>
              <w:bottom w:val="nil"/>
              <w:right w:val="single" w:sz="6" w:space="0" w:color="000000"/>
            </w:tcBorders>
            <w:shd w:val="clear" w:color="auto" w:fill="auto"/>
          </w:tcPr>
          <w:p w14:paraId="7C3316EF" w14:textId="77777777" w:rsidR="008F369D" w:rsidRPr="00F638AF" w:rsidRDefault="00016F29" w:rsidP="00731FC0">
            <w:pPr>
              <w:pStyle w:val="TextTi10"/>
              <w:keepNext/>
              <w:keepLines/>
              <w:jc w:val="center"/>
              <w:rPr>
                <w:sz w:val="22"/>
                <w:szCs w:val="22"/>
                <w:lang w:val="en-GB"/>
              </w:rPr>
            </w:pPr>
            <w:r w:rsidRPr="00F638AF">
              <w:rPr>
                <w:sz w:val="22"/>
                <w:szCs w:val="22"/>
                <w:lang w:val="en-GB"/>
              </w:rPr>
              <w:t>45%</w:t>
            </w:r>
          </w:p>
        </w:tc>
      </w:tr>
      <w:tr w:rsidR="003A788B" w14:paraId="7C3316F6" w14:textId="77777777" w:rsidTr="008919D7">
        <w:trPr>
          <w:trHeight w:val="267"/>
        </w:trPr>
        <w:tc>
          <w:tcPr>
            <w:tcW w:w="3124" w:type="dxa"/>
            <w:tcBorders>
              <w:top w:val="single" w:sz="4" w:space="0" w:color="auto"/>
              <w:left w:val="single" w:sz="4" w:space="0" w:color="auto"/>
              <w:bottom w:val="nil"/>
            </w:tcBorders>
            <w:shd w:val="clear" w:color="auto" w:fill="auto"/>
          </w:tcPr>
          <w:p w14:paraId="7C3316F1" w14:textId="77777777" w:rsidR="008F369D" w:rsidRPr="00F638AF" w:rsidRDefault="00016F29" w:rsidP="00731FC0">
            <w:pPr>
              <w:pStyle w:val="TextTi10"/>
              <w:keepNext/>
              <w:keepLines/>
              <w:rPr>
                <w:b/>
                <w:sz w:val="22"/>
                <w:szCs w:val="22"/>
                <w:lang w:val="en-GB"/>
              </w:rPr>
            </w:pPr>
            <w:r w:rsidRPr="00F638AF">
              <w:rPr>
                <w:sz w:val="22"/>
                <w:szCs w:val="22"/>
                <w:lang w:val="en-GB"/>
              </w:rPr>
              <w:t>Overal</w:t>
            </w:r>
            <w:r w:rsidR="009953F0" w:rsidRPr="00F638AF">
              <w:rPr>
                <w:sz w:val="22"/>
                <w:szCs w:val="22"/>
                <w:lang w:val="en-GB"/>
              </w:rPr>
              <w:t xml:space="preserve">l </w:t>
            </w:r>
            <w:r w:rsidR="00FC6974" w:rsidRPr="00F638AF">
              <w:rPr>
                <w:sz w:val="22"/>
                <w:szCs w:val="22"/>
                <w:lang w:val="en-GB"/>
              </w:rPr>
              <w:t>s</w:t>
            </w:r>
            <w:r w:rsidRPr="00F638AF">
              <w:rPr>
                <w:sz w:val="22"/>
                <w:szCs w:val="22"/>
                <w:lang w:val="en-GB"/>
              </w:rPr>
              <w:t xml:space="preserve">urvival </w:t>
            </w:r>
          </w:p>
        </w:tc>
        <w:tc>
          <w:tcPr>
            <w:tcW w:w="1448" w:type="dxa"/>
            <w:tcBorders>
              <w:top w:val="single" w:sz="4" w:space="0" w:color="auto"/>
              <w:bottom w:val="nil"/>
            </w:tcBorders>
            <w:shd w:val="clear" w:color="auto" w:fill="auto"/>
          </w:tcPr>
          <w:p w14:paraId="7C3316F2" w14:textId="77777777" w:rsidR="008F369D" w:rsidRPr="00F638AF" w:rsidRDefault="00016F29" w:rsidP="00731FC0">
            <w:pPr>
              <w:pStyle w:val="TextTi10"/>
              <w:keepNext/>
              <w:keepLines/>
              <w:jc w:val="center"/>
              <w:rPr>
                <w:sz w:val="22"/>
                <w:szCs w:val="22"/>
                <w:lang w:val="en-GB"/>
              </w:rPr>
            </w:pPr>
            <w:r w:rsidRPr="00F638AF">
              <w:rPr>
                <w:sz w:val="22"/>
                <w:szCs w:val="22"/>
                <w:lang w:val="en-GB"/>
              </w:rPr>
              <w:t>NR</w:t>
            </w:r>
          </w:p>
        </w:tc>
        <w:tc>
          <w:tcPr>
            <w:tcW w:w="1240" w:type="dxa"/>
            <w:tcBorders>
              <w:top w:val="single" w:sz="4" w:space="0" w:color="auto"/>
              <w:bottom w:val="nil"/>
            </w:tcBorders>
            <w:shd w:val="clear" w:color="auto" w:fill="auto"/>
          </w:tcPr>
          <w:p w14:paraId="7C3316F3" w14:textId="77777777" w:rsidR="008F369D" w:rsidRPr="00F638AF" w:rsidRDefault="00016F29" w:rsidP="00731FC0">
            <w:pPr>
              <w:pStyle w:val="TextTi10"/>
              <w:keepNext/>
              <w:keepLines/>
              <w:jc w:val="center"/>
              <w:rPr>
                <w:sz w:val="22"/>
                <w:szCs w:val="22"/>
                <w:lang w:val="en-GB"/>
              </w:rPr>
            </w:pPr>
            <w:r w:rsidRPr="00F638AF">
              <w:rPr>
                <w:sz w:val="22"/>
                <w:szCs w:val="22"/>
                <w:lang w:val="en-GB"/>
              </w:rPr>
              <w:t>NR</w:t>
            </w:r>
          </w:p>
        </w:tc>
        <w:tc>
          <w:tcPr>
            <w:tcW w:w="1422" w:type="dxa"/>
            <w:tcBorders>
              <w:top w:val="single" w:sz="4" w:space="0" w:color="auto"/>
              <w:bottom w:val="nil"/>
            </w:tcBorders>
            <w:shd w:val="clear" w:color="auto" w:fill="auto"/>
          </w:tcPr>
          <w:p w14:paraId="7C3316F4" w14:textId="77777777" w:rsidR="008F369D" w:rsidRPr="00F638AF" w:rsidRDefault="00016F29" w:rsidP="00731FC0">
            <w:pPr>
              <w:pStyle w:val="TextTi10"/>
              <w:keepNext/>
              <w:keepLines/>
              <w:jc w:val="center"/>
              <w:rPr>
                <w:sz w:val="22"/>
                <w:szCs w:val="22"/>
                <w:lang w:val="en-GB"/>
              </w:rPr>
            </w:pPr>
            <w:r w:rsidRPr="00F638AF">
              <w:rPr>
                <w:sz w:val="22"/>
                <w:szCs w:val="22"/>
                <w:lang w:val="en-GB"/>
              </w:rPr>
              <w:t>0.0319</w:t>
            </w:r>
          </w:p>
        </w:tc>
        <w:tc>
          <w:tcPr>
            <w:tcW w:w="1424" w:type="dxa"/>
            <w:tcBorders>
              <w:top w:val="single" w:sz="4" w:space="0" w:color="auto"/>
              <w:bottom w:val="nil"/>
              <w:right w:val="single" w:sz="6" w:space="0" w:color="000000"/>
            </w:tcBorders>
            <w:shd w:val="clear" w:color="auto" w:fill="auto"/>
          </w:tcPr>
          <w:p w14:paraId="7C3316F5" w14:textId="77777777" w:rsidR="008F369D" w:rsidRPr="00F638AF" w:rsidRDefault="00016F29" w:rsidP="00731FC0">
            <w:pPr>
              <w:pStyle w:val="TextTi10"/>
              <w:keepNext/>
              <w:keepLines/>
              <w:jc w:val="center"/>
              <w:rPr>
                <w:sz w:val="22"/>
                <w:szCs w:val="22"/>
                <w:lang w:val="en-GB"/>
              </w:rPr>
            </w:pPr>
            <w:r w:rsidRPr="00F638AF">
              <w:rPr>
                <w:sz w:val="22"/>
                <w:szCs w:val="22"/>
                <w:lang w:val="en-GB"/>
              </w:rPr>
              <w:t>27%</w:t>
            </w:r>
          </w:p>
        </w:tc>
      </w:tr>
      <w:tr w:rsidR="003A788B" w14:paraId="7C3316FC" w14:textId="77777777" w:rsidTr="008919D7">
        <w:trPr>
          <w:trHeight w:val="295"/>
        </w:trPr>
        <w:tc>
          <w:tcPr>
            <w:tcW w:w="3124" w:type="dxa"/>
            <w:tcBorders>
              <w:top w:val="single" w:sz="4" w:space="0" w:color="auto"/>
              <w:left w:val="single" w:sz="4" w:space="0" w:color="auto"/>
              <w:bottom w:val="nil"/>
            </w:tcBorders>
            <w:shd w:val="clear" w:color="auto" w:fill="auto"/>
          </w:tcPr>
          <w:p w14:paraId="7C3316F7" w14:textId="77777777" w:rsidR="008F369D" w:rsidRPr="00F638AF" w:rsidRDefault="00016F29" w:rsidP="00731FC0">
            <w:pPr>
              <w:pStyle w:val="TextTi10"/>
              <w:keepNext/>
              <w:keepLines/>
              <w:rPr>
                <w:sz w:val="22"/>
                <w:szCs w:val="22"/>
                <w:lang w:val="en-GB"/>
              </w:rPr>
            </w:pPr>
            <w:r w:rsidRPr="00F638AF">
              <w:rPr>
                <w:sz w:val="22"/>
                <w:szCs w:val="22"/>
                <w:lang w:val="en-GB"/>
              </w:rPr>
              <w:t>Event free survival</w:t>
            </w:r>
          </w:p>
        </w:tc>
        <w:tc>
          <w:tcPr>
            <w:tcW w:w="1448" w:type="dxa"/>
            <w:tcBorders>
              <w:top w:val="single" w:sz="4" w:space="0" w:color="auto"/>
              <w:bottom w:val="nil"/>
            </w:tcBorders>
            <w:shd w:val="clear" w:color="auto" w:fill="auto"/>
          </w:tcPr>
          <w:p w14:paraId="7C3316F8" w14:textId="77777777" w:rsidR="008F369D" w:rsidRPr="00F638AF" w:rsidRDefault="00016F29" w:rsidP="00731FC0">
            <w:pPr>
              <w:pStyle w:val="TextTi10"/>
              <w:keepNext/>
              <w:keepLines/>
              <w:jc w:val="center"/>
              <w:rPr>
                <w:sz w:val="22"/>
                <w:szCs w:val="22"/>
                <w:lang w:val="en-GB"/>
              </w:rPr>
            </w:pPr>
            <w:r w:rsidRPr="00F638AF">
              <w:rPr>
                <w:sz w:val="22"/>
                <w:szCs w:val="22"/>
                <w:lang w:val="en-GB"/>
              </w:rPr>
              <w:t>31.3</w:t>
            </w:r>
          </w:p>
        </w:tc>
        <w:tc>
          <w:tcPr>
            <w:tcW w:w="1240" w:type="dxa"/>
            <w:tcBorders>
              <w:top w:val="single" w:sz="4" w:space="0" w:color="auto"/>
              <w:bottom w:val="nil"/>
            </w:tcBorders>
            <w:shd w:val="clear" w:color="auto" w:fill="auto"/>
          </w:tcPr>
          <w:p w14:paraId="7C3316F9" w14:textId="77777777" w:rsidR="008F369D" w:rsidRPr="00F638AF" w:rsidRDefault="00016F29" w:rsidP="00731FC0">
            <w:pPr>
              <w:pStyle w:val="TextTi10"/>
              <w:keepNext/>
              <w:keepLines/>
              <w:jc w:val="center"/>
              <w:rPr>
                <w:sz w:val="22"/>
                <w:szCs w:val="22"/>
                <w:lang w:val="en-GB"/>
              </w:rPr>
            </w:pPr>
            <w:r w:rsidRPr="00F638AF">
              <w:rPr>
                <w:sz w:val="22"/>
                <w:szCs w:val="22"/>
                <w:lang w:val="en-GB"/>
              </w:rPr>
              <w:t>51.8</w:t>
            </w:r>
          </w:p>
        </w:tc>
        <w:tc>
          <w:tcPr>
            <w:tcW w:w="1422" w:type="dxa"/>
            <w:tcBorders>
              <w:top w:val="single" w:sz="4" w:space="0" w:color="auto"/>
              <w:bottom w:val="nil"/>
            </w:tcBorders>
            <w:shd w:val="clear" w:color="auto" w:fill="auto"/>
          </w:tcPr>
          <w:p w14:paraId="7C3316FA" w14:textId="77777777" w:rsidR="008F369D" w:rsidRPr="00F638AF" w:rsidRDefault="00016F29" w:rsidP="00731FC0">
            <w:pPr>
              <w:pStyle w:val="TextTi10"/>
              <w:keepNext/>
              <w:keepLines/>
              <w:jc w:val="center"/>
              <w:rPr>
                <w:sz w:val="22"/>
                <w:szCs w:val="22"/>
                <w:lang w:val="en-GB"/>
              </w:rPr>
            </w:pPr>
            <w:r w:rsidRPr="00F638AF">
              <w:rPr>
                <w:sz w:val="22"/>
                <w:szCs w:val="22"/>
                <w:lang w:val="en-GB"/>
              </w:rPr>
              <w:t>&lt;0.0001</w:t>
            </w:r>
          </w:p>
        </w:tc>
        <w:tc>
          <w:tcPr>
            <w:tcW w:w="1424" w:type="dxa"/>
            <w:tcBorders>
              <w:top w:val="single" w:sz="4" w:space="0" w:color="auto"/>
              <w:bottom w:val="nil"/>
              <w:right w:val="single" w:sz="6" w:space="0" w:color="000000"/>
            </w:tcBorders>
            <w:shd w:val="clear" w:color="auto" w:fill="auto"/>
          </w:tcPr>
          <w:p w14:paraId="7C3316FB" w14:textId="77777777" w:rsidR="008F369D" w:rsidRPr="00F638AF" w:rsidRDefault="00016F29" w:rsidP="00731FC0">
            <w:pPr>
              <w:pStyle w:val="TextTi10"/>
              <w:keepNext/>
              <w:keepLines/>
              <w:jc w:val="center"/>
              <w:rPr>
                <w:sz w:val="22"/>
                <w:szCs w:val="22"/>
                <w:lang w:val="en-GB"/>
              </w:rPr>
            </w:pPr>
            <w:r w:rsidRPr="00F638AF">
              <w:rPr>
                <w:sz w:val="22"/>
                <w:szCs w:val="22"/>
                <w:lang w:val="en-GB"/>
              </w:rPr>
              <w:t>44%</w:t>
            </w:r>
          </w:p>
        </w:tc>
      </w:tr>
      <w:tr w:rsidR="003A788B" w14:paraId="7C331702" w14:textId="77777777" w:rsidTr="008919D7">
        <w:trPr>
          <w:trHeight w:val="292"/>
        </w:trPr>
        <w:tc>
          <w:tcPr>
            <w:tcW w:w="3124" w:type="dxa"/>
            <w:tcBorders>
              <w:top w:val="single" w:sz="4" w:space="0" w:color="auto"/>
              <w:left w:val="single" w:sz="4" w:space="0" w:color="auto"/>
              <w:bottom w:val="nil"/>
            </w:tcBorders>
            <w:shd w:val="clear" w:color="auto" w:fill="auto"/>
          </w:tcPr>
          <w:p w14:paraId="7C3316FD" w14:textId="77777777" w:rsidR="008F369D" w:rsidRPr="00F638AF" w:rsidRDefault="00016F29" w:rsidP="008919D7">
            <w:pPr>
              <w:pStyle w:val="TextTi10"/>
              <w:rPr>
                <w:sz w:val="22"/>
                <w:szCs w:val="22"/>
                <w:lang w:val="en-GB"/>
              </w:rPr>
            </w:pPr>
            <w:r w:rsidRPr="00F638AF">
              <w:rPr>
                <w:sz w:val="22"/>
                <w:szCs w:val="22"/>
                <w:lang w:val="en-GB"/>
              </w:rPr>
              <w:t>Response rate (CR, nPR, or PR)</w:t>
            </w:r>
          </w:p>
        </w:tc>
        <w:tc>
          <w:tcPr>
            <w:tcW w:w="1448" w:type="dxa"/>
            <w:tcBorders>
              <w:top w:val="single" w:sz="4" w:space="0" w:color="auto"/>
              <w:bottom w:val="nil"/>
            </w:tcBorders>
            <w:shd w:val="clear" w:color="auto" w:fill="auto"/>
          </w:tcPr>
          <w:p w14:paraId="7C3316FE" w14:textId="77777777" w:rsidR="008F369D" w:rsidRPr="00F638AF" w:rsidRDefault="00016F29" w:rsidP="008919D7">
            <w:pPr>
              <w:pStyle w:val="TextTi10"/>
              <w:jc w:val="center"/>
              <w:rPr>
                <w:sz w:val="22"/>
                <w:szCs w:val="22"/>
                <w:lang w:val="en-GB"/>
              </w:rPr>
            </w:pPr>
            <w:r w:rsidRPr="00F638AF">
              <w:rPr>
                <w:sz w:val="22"/>
                <w:szCs w:val="22"/>
                <w:lang w:val="en-GB"/>
              </w:rPr>
              <w:t>72.6%</w:t>
            </w:r>
          </w:p>
        </w:tc>
        <w:tc>
          <w:tcPr>
            <w:tcW w:w="1240" w:type="dxa"/>
            <w:tcBorders>
              <w:top w:val="single" w:sz="4" w:space="0" w:color="auto"/>
              <w:bottom w:val="nil"/>
            </w:tcBorders>
            <w:shd w:val="clear" w:color="auto" w:fill="auto"/>
          </w:tcPr>
          <w:p w14:paraId="7C3316FF" w14:textId="77777777" w:rsidR="008F369D" w:rsidRPr="00F638AF" w:rsidRDefault="00016F29" w:rsidP="008919D7">
            <w:pPr>
              <w:pStyle w:val="TextTi10"/>
              <w:jc w:val="center"/>
              <w:rPr>
                <w:sz w:val="22"/>
                <w:szCs w:val="22"/>
                <w:lang w:val="en-GB"/>
              </w:rPr>
            </w:pPr>
            <w:r w:rsidRPr="00F638AF">
              <w:rPr>
                <w:sz w:val="22"/>
                <w:szCs w:val="22"/>
                <w:lang w:val="en-GB"/>
              </w:rPr>
              <w:t>85.8%</w:t>
            </w:r>
          </w:p>
        </w:tc>
        <w:tc>
          <w:tcPr>
            <w:tcW w:w="1422" w:type="dxa"/>
            <w:tcBorders>
              <w:top w:val="single" w:sz="4" w:space="0" w:color="auto"/>
              <w:bottom w:val="nil"/>
            </w:tcBorders>
            <w:shd w:val="clear" w:color="auto" w:fill="auto"/>
          </w:tcPr>
          <w:p w14:paraId="7C331700" w14:textId="77777777" w:rsidR="008F369D" w:rsidRPr="00F638AF" w:rsidRDefault="00016F29" w:rsidP="008919D7">
            <w:pPr>
              <w:pStyle w:val="TextTi10"/>
              <w:jc w:val="center"/>
              <w:rPr>
                <w:sz w:val="22"/>
                <w:szCs w:val="22"/>
                <w:lang w:val="en-GB"/>
              </w:rPr>
            </w:pPr>
            <w:r w:rsidRPr="00F638AF">
              <w:rPr>
                <w:sz w:val="22"/>
                <w:szCs w:val="22"/>
                <w:lang w:val="en-GB"/>
              </w:rPr>
              <w:t>&lt;0.0001</w:t>
            </w:r>
          </w:p>
        </w:tc>
        <w:tc>
          <w:tcPr>
            <w:tcW w:w="1424" w:type="dxa"/>
            <w:tcBorders>
              <w:top w:val="single" w:sz="4" w:space="0" w:color="auto"/>
              <w:bottom w:val="nil"/>
              <w:right w:val="single" w:sz="6" w:space="0" w:color="000000"/>
            </w:tcBorders>
            <w:shd w:val="clear" w:color="auto" w:fill="auto"/>
          </w:tcPr>
          <w:p w14:paraId="7C331701" w14:textId="77777777" w:rsidR="008F369D" w:rsidRPr="00F638AF" w:rsidRDefault="00016F29" w:rsidP="008919D7">
            <w:pPr>
              <w:pStyle w:val="TextTi10"/>
              <w:jc w:val="center"/>
              <w:rPr>
                <w:sz w:val="22"/>
                <w:szCs w:val="22"/>
                <w:lang w:val="en-GB"/>
              </w:rPr>
            </w:pPr>
            <w:r w:rsidRPr="00F638AF">
              <w:rPr>
                <w:sz w:val="22"/>
                <w:szCs w:val="22"/>
                <w:lang w:val="en-GB"/>
              </w:rPr>
              <w:t>n.a.</w:t>
            </w:r>
          </w:p>
        </w:tc>
      </w:tr>
      <w:tr w:rsidR="003A788B" w14:paraId="7C331708" w14:textId="77777777" w:rsidTr="008919D7">
        <w:trPr>
          <w:trHeight w:val="277"/>
        </w:trPr>
        <w:tc>
          <w:tcPr>
            <w:tcW w:w="3124" w:type="dxa"/>
            <w:tcBorders>
              <w:top w:val="nil"/>
              <w:left w:val="single" w:sz="4" w:space="0" w:color="auto"/>
              <w:bottom w:val="single" w:sz="4" w:space="0" w:color="auto"/>
            </w:tcBorders>
            <w:shd w:val="clear" w:color="auto" w:fill="auto"/>
          </w:tcPr>
          <w:p w14:paraId="7C331703" w14:textId="77777777" w:rsidR="008F369D" w:rsidRPr="00F638AF" w:rsidRDefault="00016F29" w:rsidP="008919D7">
            <w:pPr>
              <w:pStyle w:val="TextTi10"/>
              <w:jc w:val="right"/>
              <w:rPr>
                <w:sz w:val="22"/>
                <w:szCs w:val="22"/>
                <w:lang w:val="en-GB"/>
              </w:rPr>
            </w:pPr>
            <w:r w:rsidRPr="00F638AF">
              <w:rPr>
                <w:sz w:val="22"/>
                <w:szCs w:val="22"/>
                <w:lang w:val="en-GB"/>
              </w:rPr>
              <w:t>CR rates</w:t>
            </w:r>
          </w:p>
        </w:tc>
        <w:tc>
          <w:tcPr>
            <w:tcW w:w="1448" w:type="dxa"/>
            <w:tcBorders>
              <w:top w:val="nil"/>
              <w:bottom w:val="single" w:sz="4" w:space="0" w:color="auto"/>
            </w:tcBorders>
            <w:shd w:val="clear" w:color="auto" w:fill="auto"/>
          </w:tcPr>
          <w:p w14:paraId="7C331704" w14:textId="77777777" w:rsidR="008F369D" w:rsidRPr="00F638AF" w:rsidRDefault="00016F29" w:rsidP="008919D7">
            <w:pPr>
              <w:pStyle w:val="TextTi10"/>
              <w:jc w:val="center"/>
              <w:rPr>
                <w:sz w:val="22"/>
                <w:szCs w:val="22"/>
                <w:lang w:val="en-GB"/>
              </w:rPr>
            </w:pPr>
            <w:r w:rsidRPr="00F638AF">
              <w:rPr>
                <w:sz w:val="22"/>
                <w:szCs w:val="22"/>
                <w:lang w:val="en-GB"/>
              </w:rPr>
              <w:t>16.9%</w:t>
            </w:r>
          </w:p>
        </w:tc>
        <w:tc>
          <w:tcPr>
            <w:tcW w:w="1240" w:type="dxa"/>
            <w:tcBorders>
              <w:top w:val="nil"/>
              <w:bottom w:val="single" w:sz="4" w:space="0" w:color="auto"/>
            </w:tcBorders>
            <w:shd w:val="clear" w:color="auto" w:fill="auto"/>
          </w:tcPr>
          <w:p w14:paraId="7C331705" w14:textId="77777777" w:rsidR="008F369D" w:rsidRPr="00F638AF" w:rsidRDefault="00016F29" w:rsidP="008919D7">
            <w:pPr>
              <w:pStyle w:val="TextTi10"/>
              <w:jc w:val="center"/>
              <w:rPr>
                <w:sz w:val="22"/>
                <w:szCs w:val="22"/>
                <w:lang w:val="en-GB"/>
              </w:rPr>
            </w:pPr>
            <w:r w:rsidRPr="00F638AF">
              <w:rPr>
                <w:sz w:val="22"/>
                <w:szCs w:val="22"/>
                <w:lang w:val="en-GB"/>
              </w:rPr>
              <w:t>36.0%</w:t>
            </w:r>
          </w:p>
        </w:tc>
        <w:tc>
          <w:tcPr>
            <w:tcW w:w="1422" w:type="dxa"/>
            <w:tcBorders>
              <w:top w:val="nil"/>
              <w:bottom w:val="single" w:sz="4" w:space="0" w:color="auto"/>
            </w:tcBorders>
            <w:shd w:val="clear" w:color="auto" w:fill="auto"/>
          </w:tcPr>
          <w:p w14:paraId="7C331706" w14:textId="77777777" w:rsidR="008F369D" w:rsidRPr="00F638AF" w:rsidRDefault="00016F29" w:rsidP="008919D7">
            <w:pPr>
              <w:pStyle w:val="TextTi10"/>
              <w:jc w:val="center"/>
              <w:rPr>
                <w:sz w:val="22"/>
                <w:szCs w:val="22"/>
                <w:lang w:val="en-GB"/>
              </w:rPr>
            </w:pPr>
            <w:r w:rsidRPr="00F638AF">
              <w:rPr>
                <w:sz w:val="22"/>
                <w:szCs w:val="22"/>
                <w:lang w:val="en-GB"/>
              </w:rPr>
              <w:t xml:space="preserve">&lt;0.0001 </w:t>
            </w:r>
          </w:p>
        </w:tc>
        <w:tc>
          <w:tcPr>
            <w:tcW w:w="1424" w:type="dxa"/>
            <w:tcBorders>
              <w:top w:val="nil"/>
              <w:bottom w:val="single" w:sz="4" w:space="0" w:color="auto"/>
              <w:right w:val="single" w:sz="6" w:space="0" w:color="000000"/>
            </w:tcBorders>
            <w:shd w:val="clear" w:color="auto" w:fill="auto"/>
          </w:tcPr>
          <w:p w14:paraId="7C331707" w14:textId="77777777" w:rsidR="008F369D" w:rsidRPr="00F638AF" w:rsidRDefault="00016F29" w:rsidP="008919D7">
            <w:pPr>
              <w:pStyle w:val="TextTi10"/>
              <w:jc w:val="center"/>
              <w:rPr>
                <w:sz w:val="22"/>
                <w:szCs w:val="22"/>
                <w:lang w:val="en-GB"/>
              </w:rPr>
            </w:pPr>
            <w:r w:rsidRPr="00F638AF">
              <w:rPr>
                <w:sz w:val="22"/>
                <w:szCs w:val="22"/>
                <w:lang w:val="en-GB"/>
              </w:rPr>
              <w:t>n.a.</w:t>
            </w:r>
          </w:p>
        </w:tc>
      </w:tr>
      <w:tr w:rsidR="003A788B" w14:paraId="7C33170E" w14:textId="77777777" w:rsidTr="008919D7">
        <w:trPr>
          <w:trHeight w:val="263"/>
        </w:trPr>
        <w:tc>
          <w:tcPr>
            <w:tcW w:w="3124" w:type="dxa"/>
            <w:tcBorders>
              <w:top w:val="single" w:sz="4" w:space="0" w:color="auto"/>
              <w:left w:val="single" w:sz="4" w:space="0" w:color="auto"/>
              <w:bottom w:val="single" w:sz="4" w:space="0" w:color="auto"/>
            </w:tcBorders>
            <w:shd w:val="clear" w:color="auto" w:fill="auto"/>
          </w:tcPr>
          <w:p w14:paraId="7C331709" w14:textId="77777777" w:rsidR="008F369D" w:rsidRPr="00F638AF" w:rsidRDefault="00016F29" w:rsidP="008919D7">
            <w:pPr>
              <w:pStyle w:val="TextTi10"/>
              <w:rPr>
                <w:sz w:val="22"/>
                <w:szCs w:val="22"/>
                <w:lang w:val="en-GB"/>
              </w:rPr>
            </w:pPr>
            <w:r w:rsidRPr="00F638AF">
              <w:rPr>
                <w:sz w:val="22"/>
                <w:szCs w:val="22"/>
                <w:lang w:val="en-GB"/>
              </w:rPr>
              <w:t>Duration of response*</w:t>
            </w:r>
          </w:p>
        </w:tc>
        <w:tc>
          <w:tcPr>
            <w:tcW w:w="1448" w:type="dxa"/>
            <w:tcBorders>
              <w:top w:val="single" w:sz="4" w:space="0" w:color="auto"/>
              <w:bottom w:val="single" w:sz="4" w:space="0" w:color="auto"/>
            </w:tcBorders>
            <w:shd w:val="clear" w:color="auto" w:fill="auto"/>
          </w:tcPr>
          <w:p w14:paraId="7C33170A" w14:textId="77777777" w:rsidR="008F369D" w:rsidRPr="00F638AF" w:rsidRDefault="00016F29" w:rsidP="008919D7">
            <w:pPr>
              <w:pStyle w:val="TextTi10"/>
              <w:jc w:val="center"/>
              <w:rPr>
                <w:sz w:val="22"/>
                <w:szCs w:val="22"/>
                <w:lang w:val="en-GB"/>
              </w:rPr>
            </w:pPr>
            <w:r w:rsidRPr="00F638AF">
              <w:rPr>
                <w:sz w:val="22"/>
                <w:szCs w:val="22"/>
                <w:lang w:val="en-GB"/>
              </w:rPr>
              <w:t>36.2</w:t>
            </w:r>
          </w:p>
        </w:tc>
        <w:tc>
          <w:tcPr>
            <w:tcW w:w="1240" w:type="dxa"/>
            <w:tcBorders>
              <w:top w:val="single" w:sz="4" w:space="0" w:color="auto"/>
              <w:bottom w:val="single" w:sz="4" w:space="0" w:color="auto"/>
            </w:tcBorders>
            <w:shd w:val="clear" w:color="auto" w:fill="auto"/>
          </w:tcPr>
          <w:p w14:paraId="7C33170B" w14:textId="77777777" w:rsidR="008F369D" w:rsidRPr="00F638AF" w:rsidRDefault="00016F29" w:rsidP="008919D7">
            <w:pPr>
              <w:pStyle w:val="TextTi10"/>
              <w:jc w:val="center"/>
              <w:rPr>
                <w:sz w:val="22"/>
                <w:szCs w:val="22"/>
                <w:lang w:val="en-GB"/>
              </w:rPr>
            </w:pPr>
            <w:r w:rsidRPr="00F638AF">
              <w:rPr>
                <w:sz w:val="22"/>
                <w:szCs w:val="22"/>
                <w:lang w:val="en-GB"/>
              </w:rPr>
              <w:t>57.3</w:t>
            </w:r>
          </w:p>
        </w:tc>
        <w:tc>
          <w:tcPr>
            <w:tcW w:w="1422" w:type="dxa"/>
            <w:tcBorders>
              <w:top w:val="single" w:sz="4" w:space="0" w:color="auto"/>
              <w:bottom w:val="single" w:sz="4" w:space="0" w:color="auto"/>
            </w:tcBorders>
            <w:shd w:val="clear" w:color="auto" w:fill="auto"/>
          </w:tcPr>
          <w:p w14:paraId="7C33170C" w14:textId="77777777" w:rsidR="008F369D" w:rsidRPr="00F638AF" w:rsidRDefault="00016F29" w:rsidP="008919D7">
            <w:pPr>
              <w:pStyle w:val="TextTi10"/>
              <w:jc w:val="center"/>
              <w:rPr>
                <w:sz w:val="22"/>
                <w:szCs w:val="22"/>
                <w:lang w:val="en-GB"/>
              </w:rPr>
            </w:pPr>
            <w:r w:rsidRPr="00F638AF">
              <w:rPr>
                <w:sz w:val="22"/>
                <w:szCs w:val="22"/>
                <w:lang w:val="en-GB"/>
              </w:rPr>
              <w:t>&lt;0.0001</w:t>
            </w:r>
          </w:p>
        </w:tc>
        <w:tc>
          <w:tcPr>
            <w:tcW w:w="1424" w:type="dxa"/>
            <w:tcBorders>
              <w:top w:val="single" w:sz="4" w:space="0" w:color="auto"/>
              <w:bottom w:val="single" w:sz="4" w:space="0" w:color="auto"/>
              <w:right w:val="single" w:sz="6" w:space="0" w:color="000000"/>
            </w:tcBorders>
            <w:shd w:val="clear" w:color="auto" w:fill="auto"/>
          </w:tcPr>
          <w:p w14:paraId="7C33170D" w14:textId="77777777" w:rsidR="008F369D" w:rsidRPr="00F638AF" w:rsidRDefault="00016F29" w:rsidP="008919D7">
            <w:pPr>
              <w:pStyle w:val="TextTi10"/>
              <w:jc w:val="center"/>
              <w:rPr>
                <w:sz w:val="22"/>
                <w:szCs w:val="22"/>
                <w:lang w:val="en-GB"/>
              </w:rPr>
            </w:pPr>
            <w:r w:rsidRPr="00F638AF">
              <w:rPr>
                <w:sz w:val="22"/>
                <w:szCs w:val="22"/>
                <w:lang w:val="en-GB"/>
              </w:rPr>
              <w:t>44%</w:t>
            </w:r>
          </w:p>
        </w:tc>
      </w:tr>
      <w:tr w:rsidR="003A788B" w14:paraId="7C331714" w14:textId="77777777" w:rsidTr="008919D7">
        <w:trPr>
          <w:trHeight w:val="263"/>
        </w:trPr>
        <w:tc>
          <w:tcPr>
            <w:tcW w:w="3124" w:type="dxa"/>
            <w:tcBorders>
              <w:top w:val="single" w:sz="4" w:space="0" w:color="auto"/>
              <w:left w:val="single" w:sz="4" w:space="0" w:color="auto"/>
              <w:bottom w:val="single" w:sz="4" w:space="0" w:color="auto"/>
            </w:tcBorders>
            <w:shd w:val="clear" w:color="auto" w:fill="auto"/>
          </w:tcPr>
          <w:p w14:paraId="7C33170F" w14:textId="77777777" w:rsidR="008F369D" w:rsidRPr="00F638AF" w:rsidRDefault="00016F29" w:rsidP="008919D7">
            <w:pPr>
              <w:pStyle w:val="TextTi10"/>
              <w:rPr>
                <w:sz w:val="22"/>
                <w:szCs w:val="22"/>
                <w:lang w:val="en-GB"/>
              </w:rPr>
            </w:pPr>
            <w:r w:rsidRPr="00F638AF">
              <w:rPr>
                <w:sz w:val="22"/>
                <w:szCs w:val="22"/>
                <w:lang w:val="en-GB"/>
              </w:rPr>
              <w:t>Disease free survival (DFS)**</w:t>
            </w:r>
          </w:p>
        </w:tc>
        <w:tc>
          <w:tcPr>
            <w:tcW w:w="1448" w:type="dxa"/>
            <w:tcBorders>
              <w:top w:val="single" w:sz="4" w:space="0" w:color="auto"/>
              <w:bottom w:val="single" w:sz="4" w:space="0" w:color="auto"/>
            </w:tcBorders>
            <w:shd w:val="clear" w:color="auto" w:fill="auto"/>
          </w:tcPr>
          <w:p w14:paraId="7C331710" w14:textId="77777777" w:rsidR="008F369D" w:rsidRPr="00F638AF" w:rsidRDefault="00016F29" w:rsidP="008919D7">
            <w:pPr>
              <w:pStyle w:val="TextTi10"/>
              <w:jc w:val="center"/>
              <w:rPr>
                <w:sz w:val="22"/>
                <w:szCs w:val="22"/>
                <w:lang w:val="en-GB"/>
              </w:rPr>
            </w:pPr>
            <w:r w:rsidRPr="00F638AF">
              <w:rPr>
                <w:sz w:val="22"/>
                <w:szCs w:val="22"/>
                <w:lang w:val="en-GB"/>
              </w:rPr>
              <w:t>48.9</w:t>
            </w:r>
          </w:p>
        </w:tc>
        <w:tc>
          <w:tcPr>
            <w:tcW w:w="1240" w:type="dxa"/>
            <w:tcBorders>
              <w:top w:val="single" w:sz="4" w:space="0" w:color="auto"/>
              <w:bottom w:val="single" w:sz="4" w:space="0" w:color="auto"/>
            </w:tcBorders>
            <w:shd w:val="clear" w:color="auto" w:fill="auto"/>
          </w:tcPr>
          <w:p w14:paraId="7C331711" w14:textId="77777777" w:rsidR="008F369D" w:rsidRPr="00F638AF" w:rsidRDefault="00016F29" w:rsidP="008919D7">
            <w:pPr>
              <w:pStyle w:val="TextTi10"/>
              <w:jc w:val="center"/>
              <w:rPr>
                <w:sz w:val="22"/>
                <w:szCs w:val="22"/>
                <w:lang w:val="en-GB"/>
              </w:rPr>
            </w:pPr>
            <w:r w:rsidRPr="00F638AF">
              <w:rPr>
                <w:sz w:val="22"/>
                <w:szCs w:val="22"/>
                <w:lang w:val="en-GB"/>
              </w:rPr>
              <w:t>60.3</w:t>
            </w:r>
          </w:p>
        </w:tc>
        <w:tc>
          <w:tcPr>
            <w:tcW w:w="1422" w:type="dxa"/>
            <w:tcBorders>
              <w:top w:val="single" w:sz="4" w:space="0" w:color="auto"/>
              <w:bottom w:val="single" w:sz="4" w:space="0" w:color="auto"/>
            </w:tcBorders>
            <w:shd w:val="clear" w:color="auto" w:fill="auto"/>
          </w:tcPr>
          <w:p w14:paraId="7C331712" w14:textId="77777777" w:rsidR="008F369D" w:rsidRPr="00F638AF" w:rsidRDefault="00016F29" w:rsidP="008919D7">
            <w:pPr>
              <w:pStyle w:val="TextTi10"/>
              <w:jc w:val="center"/>
              <w:rPr>
                <w:sz w:val="22"/>
                <w:szCs w:val="22"/>
                <w:lang w:val="en-GB"/>
              </w:rPr>
            </w:pPr>
            <w:r w:rsidRPr="00F638AF">
              <w:rPr>
                <w:sz w:val="22"/>
                <w:szCs w:val="22"/>
                <w:lang w:val="en-GB"/>
              </w:rPr>
              <w:t>0.0520</w:t>
            </w:r>
          </w:p>
        </w:tc>
        <w:tc>
          <w:tcPr>
            <w:tcW w:w="1424" w:type="dxa"/>
            <w:tcBorders>
              <w:top w:val="single" w:sz="4" w:space="0" w:color="auto"/>
              <w:bottom w:val="single" w:sz="4" w:space="0" w:color="auto"/>
              <w:right w:val="single" w:sz="6" w:space="0" w:color="000000"/>
            </w:tcBorders>
            <w:shd w:val="clear" w:color="auto" w:fill="auto"/>
          </w:tcPr>
          <w:p w14:paraId="7C331713" w14:textId="77777777" w:rsidR="008F369D" w:rsidRPr="00F638AF" w:rsidRDefault="00016F29" w:rsidP="008919D7">
            <w:pPr>
              <w:pStyle w:val="TextTi10"/>
              <w:jc w:val="center"/>
              <w:rPr>
                <w:sz w:val="22"/>
                <w:szCs w:val="22"/>
                <w:lang w:val="en-GB"/>
              </w:rPr>
            </w:pPr>
            <w:r w:rsidRPr="00F638AF">
              <w:rPr>
                <w:sz w:val="22"/>
                <w:szCs w:val="22"/>
                <w:lang w:val="en-GB"/>
              </w:rPr>
              <w:t>31%</w:t>
            </w:r>
          </w:p>
        </w:tc>
      </w:tr>
      <w:tr w:rsidR="003A788B" w14:paraId="7C33171A" w14:textId="77777777" w:rsidTr="008919D7">
        <w:trPr>
          <w:trHeight w:val="310"/>
        </w:trPr>
        <w:tc>
          <w:tcPr>
            <w:tcW w:w="3124" w:type="dxa"/>
            <w:tcBorders>
              <w:top w:val="single" w:sz="4" w:space="0" w:color="auto"/>
              <w:left w:val="single" w:sz="4" w:space="0" w:color="auto"/>
              <w:bottom w:val="single" w:sz="4" w:space="0" w:color="auto"/>
            </w:tcBorders>
            <w:shd w:val="clear" w:color="auto" w:fill="auto"/>
          </w:tcPr>
          <w:p w14:paraId="7C331715" w14:textId="77777777" w:rsidR="008F369D" w:rsidRPr="00F638AF" w:rsidRDefault="00016F29" w:rsidP="008919D7">
            <w:pPr>
              <w:pStyle w:val="TextTi10"/>
              <w:rPr>
                <w:sz w:val="22"/>
                <w:szCs w:val="22"/>
                <w:lang w:val="en-GB"/>
              </w:rPr>
            </w:pPr>
            <w:r w:rsidRPr="00F638AF">
              <w:rPr>
                <w:sz w:val="22"/>
                <w:szCs w:val="22"/>
                <w:lang w:val="en-GB"/>
              </w:rPr>
              <w:t>Time to new treatment</w:t>
            </w:r>
          </w:p>
        </w:tc>
        <w:tc>
          <w:tcPr>
            <w:tcW w:w="1448" w:type="dxa"/>
            <w:tcBorders>
              <w:top w:val="single" w:sz="4" w:space="0" w:color="auto"/>
              <w:bottom w:val="single" w:sz="4" w:space="0" w:color="auto"/>
            </w:tcBorders>
            <w:shd w:val="clear" w:color="auto" w:fill="auto"/>
          </w:tcPr>
          <w:p w14:paraId="7C331716" w14:textId="77777777" w:rsidR="008F369D" w:rsidRPr="00F638AF" w:rsidRDefault="00016F29" w:rsidP="008919D7">
            <w:pPr>
              <w:pStyle w:val="TextTi10"/>
              <w:jc w:val="center"/>
              <w:rPr>
                <w:sz w:val="22"/>
                <w:szCs w:val="22"/>
                <w:lang w:val="en-GB"/>
              </w:rPr>
            </w:pPr>
            <w:r w:rsidRPr="00F638AF">
              <w:rPr>
                <w:sz w:val="22"/>
                <w:szCs w:val="22"/>
                <w:lang w:val="en-GB"/>
              </w:rPr>
              <w:t>47.2</w:t>
            </w:r>
          </w:p>
        </w:tc>
        <w:tc>
          <w:tcPr>
            <w:tcW w:w="1240" w:type="dxa"/>
            <w:tcBorders>
              <w:top w:val="single" w:sz="4" w:space="0" w:color="auto"/>
              <w:bottom w:val="single" w:sz="4" w:space="0" w:color="auto"/>
            </w:tcBorders>
            <w:shd w:val="clear" w:color="auto" w:fill="auto"/>
          </w:tcPr>
          <w:p w14:paraId="7C331717" w14:textId="77777777" w:rsidR="008F369D" w:rsidRPr="00F638AF" w:rsidRDefault="00016F29" w:rsidP="008919D7">
            <w:pPr>
              <w:pStyle w:val="TextTi10"/>
              <w:jc w:val="center"/>
              <w:rPr>
                <w:sz w:val="22"/>
                <w:szCs w:val="22"/>
                <w:lang w:val="en-GB"/>
              </w:rPr>
            </w:pPr>
            <w:r w:rsidRPr="00F638AF">
              <w:rPr>
                <w:sz w:val="22"/>
                <w:szCs w:val="22"/>
                <w:lang w:val="en-GB"/>
              </w:rPr>
              <w:t>69.7</w:t>
            </w:r>
          </w:p>
        </w:tc>
        <w:tc>
          <w:tcPr>
            <w:tcW w:w="1422" w:type="dxa"/>
            <w:tcBorders>
              <w:top w:val="single" w:sz="4" w:space="0" w:color="auto"/>
              <w:bottom w:val="single" w:sz="4" w:space="0" w:color="auto"/>
            </w:tcBorders>
            <w:shd w:val="clear" w:color="auto" w:fill="auto"/>
          </w:tcPr>
          <w:p w14:paraId="7C331718" w14:textId="77777777" w:rsidR="008F369D" w:rsidRPr="00F638AF" w:rsidRDefault="00016F29" w:rsidP="008919D7">
            <w:pPr>
              <w:pStyle w:val="TextTi10"/>
              <w:jc w:val="center"/>
              <w:rPr>
                <w:sz w:val="22"/>
                <w:szCs w:val="22"/>
                <w:lang w:val="en-GB"/>
              </w:rPr>
            </w:pPr>
            <w:r w:rsidRPr="00F638AF">
              <w:rPr>
                <w:sz w:val="22"/>
                <w:szCs w:val="22"/>
                <w:lang w:val="en-GB"/>
              </w:rPr>
              <w:t>&lt;0.0001</w:t>
            </w:r>
          </w:p>
        </w:tc>
        <w:tc>
          <w:tcPr>
            <w:tcW w:w="1424" w:type="dxa"/>
            <w:tcBorders>
              <w:top w:val="single" w:sz="4" w:space="0" w:color="auto"/>
              <w:bottom w:val="single" w:sz="4" w:space="0" w:color="auto"/>
              <w:right w:val="single" w:sz="6" w:space="0" w:color="000000"/>
            </w:tcBorders>
            <w:shd w:val="clear" w:color="auto" w:fill="auto"/>
          </w:tcPr>
          <w:p w14:paraId="7C331719" w14:textId="77777777" w:rsidR="008F369D" w:rsidRPr="00F638AF" w:rsidRDefault="00016F29" w:rsidP="008919D7">
            <w:pPr>
              <w:pStyle w:val="TextTi10"/>
              <w:jc w:val="center"/>
              <w:rPr>
                <w:sz w:val="22"/>
                <w:szCs w:val="22"/>
                <w:lang w:val="en-GB"/>
              </w:rPr>
            </w:pPr>
            <w:r w:rsidRPr="00F638AF">
              <w:rPr>
                <w:sz w:val="22"/>
                <w:szCs w:val="22"/>
                <w:lang w:val="en-GB"/>
              </w:rPr>
              <w:t>42%</w:t>
            </w:r>
          </w:p>
        </w:tc>
      </w:tr>
    </w:tbl>
    <w:p w14:paraId="7C33171B" w14:textId="77777777" w:rsidR="008F369D" w:rsidRPr="00F638AF" w:rsidRDefault="00016F29" w:rsidP="008F369D">
      <w:pPr>
        <w:rPr>
          <w:sz w:val="18"/>
          <w:szCs w:val="18"/>
          <w:lang w:val="en-GB"/>
        </w:rPr>
      </w:pPr>
      <w:r w:rsidRPr="00F638AF">
        <w:rPr>
          <w:sz w:val="18"/>
          <w:szCs w:val="18"/>
          <w:lang w:val="en-GB"/>
        </w:rPr>
        <w:t>Response rate and CR rates analysed using Chi</w:t>
      </w:r>
      <w:r w:rsidR="000A6DDA" w:rsidRPr="00F638AF">
        <w:rPr>
          <w:sz w:val="18"/>
          <w:szCs w:val="18"/>
          <w:lang w:val="en-GB"/>
        </w:rPr>
        <w:noBreakHyphen/>
      </w:r>
      <w:r w:rsidRPr="00F638AF">
        <w:rPr>
          <w:sz w:val="18"/>
          <w:szCs w:val="18"/>
          <w:lang w:val="en-GB"/>
        </w:rPr>
        <w:t>squared Test. NR: not reached; n.a.: not applicable</w:t>
      </w:r>
    </w:p>
    <w:p w14:paraId="7C33171C" w14:textId="77777777" w:rsidR="008F369D" w:rsidRPr="00F638AF" w:rsidRDefault="00016F29" w:rsidP="008F369D">
      <w:pPr>
        <w:ind w:left="284" w:hanging="284"/>
        <w:rPr>
          <w:sz w:val="18"/>
          <w:szCs w:val="18"/>
          <w:lang w:val="en-GB"/>
        </w:rPr>
      </w:pPr>
      <w:r w:rsidRPr="00F638AF">
        <w:rPr>
          <w:sz w:val="18"/>
          <w:szCs w:val="18"/>
          <w:lang w:val="en-GB"/>
        </w:rPr>
        <w:t>*: only applicable to patients achieving a CR, nPR, PR</w:t>
      </w:r>
    </w:p>
    <w:p w14:paraId="7C33171D" w14:textId="77777777" w:rsidR="008F369D" w:rsidRPr="00F638AF" w:rsidRDefault="00016F29" w:rsidP="008F369D">
      <w:pPr>
        <w:ind w:left="284" w:hanging="284"/>
        <w:rPr>
          <w:noProof/>
          <w:sz w:val="18"/>
          <w:szCs w:val="18"/>
          <w:lang w:val="en-GB"/>
        </w:rPr>
      </w:pPr>
      <w:r w:rsidRPr="00F638AF">
        <w:rPr>
          <w:noProof/>
          <w:sz w:val="18"/>
          <w:szCs w:val="18"/>
          <w:lang w:val="en-GB"/>
        </w:rPr>
        <w:t>**: only applicable to patients achieving a CR</w:t>
      </w:r>
    </w:p>
    <w:p w14:paraId="7C33171E" w14:textId="77777777" w:rsidR="008F369D" w:rsidRPr="00F638AF" w:rsidRDefault="008F369D" w:rsidP="008F369D">
      <w:pPr>
        <w:ind w:left="284" w:hanging="284"/>
        <w:rPr>
          <w:noProof/>
          <w:lang w:val="en-GB"/>
        </w:rPr>
      </w:pPr>
    </w:p>
    <w:p w14:paraId="7C33171F" w14:textId="77777777" w:rsidR="008F369D" w:rsidRPr="00F638AF" w:rsidRDefault="00016F29" w:rsidP="008F369D">
      <w:pPr>
        <w:keepNext/>
        <w:keepLines/>
        <w:ind w:left="1134" w:hanging="1134"/>
        <w:rPr>
          <w:b/>
          <w:lang w:val="en-GB"/>
        </w:rPr>
      </w:pPr>
      <w:r w:rsidRPr="00F638AF">
        <w:rPr>
          <w:b/>
          <w:lang w:val="en-GB"/>
        </w:rPr>
        <w:t>Table </w:t>
      </w:r>
      <w:r w:rsidR="00F87B5F" w:rsidRPr="00F638AF">
        <w:rPr>
          <w:b/>
          <w:lang w:val="en-GB"/>
        </w:rPr>
        <w:t>12b</w:t>
      </w:r>
      <w:r w:rsidRPr="00F638AF">
        <w:rPr>
          <w:b/>
          <w:lang w:val="en-GB"/>
        </w:rPr>
        <w:tab/>
        <w:t>First</w:t>
      </w:r>
      <w:r w:rsidR="000A6DDA" w:rsidRPr="00F638AF">
        <w:rPr>
          <w:b/>
          <w:lang w:val="en-GB"/>
        </w:rPr>
        <w:noBreakHyphen/>
      </w:r>
      <w:r w:rsidRPr="00F638AF">
        <w:rPr>
          <w:b/>
          <w:lang w:val="en-GB"/>
        </w:rPr>
        <w:t>line treatment of chronic lymphocytic leukaemia</w:t>
      </w:r>
    </w:p>
    <w:p w14:paraId="7C331720" w14:textId="77777777" w:rsidR="008F369D" w:rsidRPr="00F638AF" w:rsidRDefault="00016F29" w:rsidP="008F369D">
      <w:pPr>
        <w:keepNext/>
        <w:keepLines/>
        <w:ind w:left="1134"/>
        <w:rPr>
          <w:b/>
          <w:noProof/>
          <w:lang w:val="en-GB"/>
        </w:rPr>
      </w:pPr>
      <w:r w:rsidRPr="00F638AF">
        <w:rPr>
          <w:b/>
          <w:noProof/>
          <w:lang w:val="en-GB"/>
        </w:rPr>
        <w:t>Hazard ratios of progression</w:t>
      </w:r>
      <w:r w:rsidR="000A6DDA" w:rsidRPr="00F638AF">
        <w:rPr>
          <w:b/>
          <w:noProof/>
          <w:lang w:val="en-GB"/>
        </w:rPr>
        <w:noBreakHyphen/>
      </w:r>
      <w:r w:rsidRPr="00F638AF">
        <w:rPr>
          <w:b/>
          <w:noProof/>
          <w:lang w:val="en-GB"/>
        </w:rPr>
        <w:t>free survival according to Binet stage (ITT) – 48.1 months median observation time</w:t>
      </w:r>
    </w:p>
    <w:tbl>
      <w:tblPr>
        <w:tblW w:w="8789" w:type="dxa"/>
        <w:tblInd w:w="108" w:type="dxa"/>
        <w:tblBorders>
          <w:top w:val="single" w:sz="6" w:space="0" w:color="000000"/>
          <w:bottom w:val="single" w:sz="6" w:space="0" w:color="000000"/>
          <w:insideV w:val="single" w:sz="6" w:space="0" w:color="000000"/>
        </w:tblBorders>
        <w:tblLayout w:type="fixed"/>
        <w:tblLook w:val="0000" w:firstRow="0" w:lastRow="0" w:firstColumn="0" w:lastColumn="0" w:noHBand="0" w:noVBand="0"/>
      </w:tblPr>
      <w:tblGrid>
        <w:gridCol w:w="3402"/>
        <w:gridCol w:w="851"/>
        <w:gridCol w:w="850"/>
        <w:gridCol w:w="1985"/>
        <w:gridCol w:w="1701"/>
      </w:tblGrid>
      <w:tr w:rsidR="003A788B" w14:paraId="7C331726" w14:textId="77777777" w:rsidTr="008919D7">
        <w:trPr>
          <w:trHeight w:val="511"/>
        </w:trPr>
        <w:tc>
          <w:tcPr>
            <w:tcW w:w="3402" w:type="dxa"/>
            <w:vMerge w:val="restart"/>
            <w:tcBorders>
              <w:top w:val="single" w:sz="6" w:space="0" w:color="000000"/>
              <w:left w:val="single" w:sz="4" w:space="0" w:color="auto"/>
            </w:tcBorders>
            <w:shd w:val="clear" w:color="auto" w:fill="auto"/>
          </w:tcPr>
          <w:p w14:paraId="7C331721" w14:textId="77777777" w:rsidR="008F369D" w:rsidRPr="00F638AF" w:rsidRDefault="00016F29" w:rsidP="008919D7">
            <w:pPr>
              <w:pStyle w:val="TextTi10"/>
              <w:keepNext/>
              <w:keepLines/>
              <w:rPr>
                <w:b/>
                <w:sz w:val="22"/>
                <w:szCs w:val="22"/>
                <w:lang w:val="en-GB"/>
              </w:rPr>
            </w:pPr>
            <w:r w:rsidRPr="00F638AF">
              <w:rPr>
                <w:b/>
                <w:sz w:val="22"/>
                <w:szCs w:val="22"/>
                <w:lang w:val="en-GB"/>
              </w:rPr>
              <w:t>Progression</w:t>
            </w:r>
            <w:r w:rsidR="000A6DDA" w:rsidRPr="00F638AF">
              <w:rPr>
                <w:rFonts w:ascii="Cambria Math" w:hAnsi="Cambria Math" w:cs="Cambria Math"/>
                <w:b/>
                <w:sz w:val="22"/>
                <w:szCs w:val="22"/>
                <w:lang w:val="en-GB"/>
              </w:rPr>
              <w:noBreakHyphen/>
            </w:r>
            <w:r w:rsidRPr="00F638AF">
              <w:rPr>
                <w:b/>
                <w:sz w:val="22"/>
                <w:szCs w:val="22"/>
                <w:lang w:val="en-GB"/>
              </w:rPr>
              <w:t>free survival (PFS)</w:t>
            </w:r>
          </w:p>
          <w:p w14:paraId="7C331722" w14:textId="77777777" w:rsidR="008F369D" w:rsidRPr="00F638AF" w:rsidRDefault="008F369D" w:rsidP="008919D7">
            <w:pPr>
              <w:pStyle w:val="TextTi10"/>
              <w:keepNext/>
              <w:keepLines/>
              <w:jc w:val="center"/>
              <w:rPr>
                <w:b/>
                <w:sz w:val="22"/>
                <w:szCs w:val="22"/>
                <w:lang w:val="en-GB"/>
              </w:rPr>
            </w:pPr>
          </w:p>
        </w:tc>
        <w:tc>
          <w:tcPr>
            <w:tcW w:w="1701" w:type="dxa"/>
            <w:gridSpan w:val="2"/>
            <w:tcBorders>
              <w:top w:val="single" w:sz="6" w:space="0" w:color="000000"/>
              <w:bottom w:val="single" w:sz="6" w:space="0" w:color="000000"/>
            </w:tcBorders>
            <w:shd w:val="clear" w:color="auto" w:fill="auto"/>
          </w:tcPr>
          <w:p w14:paraId="7C331723" w14:textId="77777777" w:rsidR="008F369D" w:rsidRPr="00F638AF" w:rsidRDefault="00016F29" w:rsidP="008919D7">
            <w:pPr>
              <w:pStyle w:val="TextTi10"/>
              <w:keepNext/>
              <w:keepLines/>
              <w:jc w:val="center"/>
              <w:rPr>
                <w:b/>
                <w:sz w:val="22"/>
                <w:szCs w:val="22"/>
                <w:lang w:val="en-GB"/>
              </w:rPr>
            </w:pPr>
            <w:r w:rsidRPr="00F638AF">
              <w:rPr>
                <w:b/>
                <w:sz w:val="22"/>
                <w:szCs w:val="22"/>
                <w:lang w:val="en-GB"/>
              </w:rPr>
              <w:t>Number of patients</w:t>
            </w:r>
          </w:p>
        </w:tc>
        <w:tc>
          <w:tcPr>
            <w:tcW w:w="1985" w:type="dxa"/>
            <w:vMerge w:val="restart"/>
            <w:tcBorders>
              <w:top w:val="single" w:sz="6" w:space="0" w:color="000000"/>
            </w:tcBorders>
            <w:shd w:val="clear" w:color="auto" w:fill="auto"/>
          </w:tcPr>
          <w:p w14:paraId="7C331724" w14:textId="77777777" w:rsidR="008F369D" w:rsidRPr="00F638AF" w:rsidRDefault="00016F29" w:rsidP="008919D7">
            <w:pPr>
              <w:pStyle w:val="TextTi10"/>
              <w:keepNext/>
              <w:keepLines/>
              <w:jc w:val="center"/>
              <w:rPr>
                <w:b/>
                <w:sz w:val="22"/>
                <w:szCs w:val="22"/>
                <w:lang w:val="en-GB"/>
              </w:rPr>
            </w:pPr>
            <w:r w:rsidRPr="00F638AF">
              <w:rPr>
                <w:b/>
                <w:sz w:val="22"/>
                <w:szCs w:val="22"/>
                <w:lang w:val="en-GB"/>
              </w:rPr>
              <w:t>Hazard Ratio (95% CI)</w:t>
            </w:r>
          </w:p>
        </w:tc>
        <w:tc>
          <w:tcPr>
            <w:tcW w:w="1701" w:type="dxa"/>
            <w:vMerge w:val="restart"/>
            <w:tcBorders>
              <w:top w:val="single" w:sz="6" w:space="0" w:color="000000"/>
              <w:right w:val="single" w:sz="6" w:space="0" w:color="000000"/>
            </w:tcBorders>
            <w:shd w:val="clear" w:color="auto" w:fill="auto"/>
          </w:tcPr>
          <w:p w14:paraId="7C331725" w14:textId="77777777" w:rsidR="008F369D" w:rsidRPr="00F638AF" w:rsidRDefault="00016F29" w:rsidP="008919D7">
            <w:pPr>
              <w:pStyle w:val="TextTi10"/>
              <w:keepNext/>
              <w:keepLines/>
              <w:jc w:val="center"/>
              <w:rPr>
                <w:b/>
                <w:sz w:val="22"/>
                <w:szCs w:val="22"/>
                <w:vertAlign w:val="superscript"/>
                <w:lang w:val="en-GB"/>
              </w:rPr>
            </w:pPr>
            <w:r w:rsidRPr="00F638AF">
              <w:rPr>
                <w:b/>
                <w:sz w:val="22"/>
                <w:szCs w:val="22"/>
                <w:lang w:val="en-GB"/>
              </w:rPr>
              <w:t>p</w:t>
            </w:r>
            <w:r w:rsidR="000A6DDA" w:rsidRPr="00F638AF">
              <w:rPr>
                <w:b/>
                <w:sz w:val="22"/>
                <w:szCs w:val="22"/>
                <w:lang w:val="en-GB"/>
              </w:rPr>
              <w:noBreakHyphen/>
            </w:r>
            <w:r w:rsidRPr="00F638AF">
              <w:rPr>
                <w:b/>
                <w:sz w:val="22"/>
                <w:szCs w:val="22"/>
                <w:lang w:val="en-GB"/>
              </w:rPr>
              <w:t>value (Wald test, not adjusted)</w:t>
            </w:r>
          </w:p>
        </w:tc>
      </w:tr>
      <w:tr w:rsidR="003A788B" w14:paraId="7C33172C" w14:textId="77777777" w:rsidTr="008919D7">
        <w:trPr>
          <w:trHeight w:val="149"/>
        </w:trPr>
        <w:tc>
          <w:tcPr>
            <w:tcW w:w="3402" w:type="dxa"/>
            <w:vMerge/>
            <w:tcBorders>
              <w:left w:val="single" w:sz="4" w:space="0" w:color="auto"/>
              <w:bottom w:val="single" w:sz="6" w:space="0" w:color="000000"/>
            </w:tcBorders>
            <w:shd w:val="clear" w:color="auto" w:fill="auto"/>
          </w:tcPr>
          <w:p w14:paraId="7C331727" w14:textId="77777777" w:rsidR="008F369D" w:rsidRPr="00F638AF" w:rsidRDefault="008F369D" w:rsidP="008919D7">
            <w:pPr>
              <w:pStyle w:val="TextTi10"/>
              <w:keepNext/>
              <w:jc w:val="center"/>
              <w:rPr>
                <w:b/>
                <w:sz w:val="22"/>
                <w:szCs w:val="22"/>
                <w:lang w:val="en-GB"/>
              </w:rPr>
            </w:pPr>
          </w:p>
        </w:tc>
        <w:tc>
          <w:tcPr>
            <w:tcW w:w="851" w:type="dxa"/>
            <w:tcBorders>
              <w:top w:val="single" w:sz="6" w:space="0" w:color="000000"/>
              <w:bottom w:val="single" w:sz="6" w:space="0" w:color="000000"/>
            </w:tcBorders>
            <w:shd w:val="clear" w:color="auto" w:fill="auto"/>
          </w:tcPr>
          <w:p w14:paraId="7C331728" w14:textId="77777777" w:rsidR="008F369D" w:rsidRPr="00F638AF" w:rsidRDefault="00016F29" w:rsidP="008919D7">
            <w:pPr>
              <w:pStyle w:val="TextTi10"/>
              <w:keepNext/>
              <w:jc w:val="center"/>
              <w:rPr>
                <w:b/>
                <w:sz w:val="22"/>
                <w:szCs w:val="22"/>
                <w:lang w:val="en-GB"/>
              </w:rPr>
            </w:pPr>
            <w:r w:rsidRPr="00F638AF">
              <w:rPr>
                <w:b/>
                <w:sz w:val="22"/>
                <w:szCs w:val="22"/>
                <w:lang w:val="en-GB"/>
              </w:rPr>
              <w:t>FC</w:t>
            </w:r>
          </w:p>
        </w:tc>
        <w:tc>
          <w:tcPr>
            <w:tcW w:w="850" w:type="dxa"/>
            <w:tcBorders>
              <w:top w:val="single" w:sz="6" w:space="0" w:color="000000"/>
              <w:bottom w:val="single" w:sz="6" w:space="0" w:color="000000"/>
            </w:tcBorders>
            <w:shd w:val="clear" w:color="auto" w:fill="auto"/>
          </w:tcPr>
          <w:p w14:paraId="7C331729" w14:textId="77777777" w:rsidR="008F369D" w:rsidRPr="00F638AF" w:rsidRDefault="00016F29" w:rsidP="008919D7">
            <w:pPr>
              <w:pStyle w:val="TextTi10"/>
              <w:keepNext/>
              <w:jc w:val="center"/>
              <w:rPr>
                <w:b/>
                <w:sz w:val="22"/>
                <w:szCs w:val="22"/>
                <w:lang w:val="en-GB"/>
              </w:rPr>
            </w:pPr>
            <w:r w:rsidRPr="00F638AF">
              <w:rPr>
                <w:b/>
                <w:sz w:val="22"/>
                <w:szCs w:val="22"/>
                <w:lang w:val="en-GB"/>
              </w:rPr>
              <w:t>R</w:t>
            </w:r>
            <w:r w:rsidR="000A6DDA" w:rsidRPr="00F638AF">
              <w:rPr>
                <w:rFonts w:ascii="Cambria Math" w:hAnsi="Cambria Math" w:cs="Cambria Math"/>
                <w:b/>
                <w:sz w:val="22"/>
                <w:szCs w:val="22"/>
                <w:lang w:val="en-GB"/>
              </w:rPr>
              <w:noBreakHyphen/>
            </w:r>
            <w:r w:rsidRPr="00F638AF">
              <w:rPr>
                <w:b/>
                <w:sz w:val="22"/>
                <w:szCs w:val="22"/>
                <w:lang w:val="en-GB"/>
              </w:rPr>
              <w:t>FC</w:t>
            </w:r>
          </w:p>
        </w:tc>
        <w:tc>
          <w:tcPr>
            <w:tcW w:w="1985" w:type="dxa"/>
            <w:vMerge/>
            <w:tcBorders>
              <w:bottom w:val="single" w:sz="6" w:space="0" w:color="000000"/>
            </w:tcBorders>
            <w:shd w:val="clear" w:color="auto" w:fill="auto"/>
          </w:tcPr>
          <w:p w14:paraId="7C33172A" w14:textId="77777777" w:rsidR="008F369D" w:rsidRPr="00F638AF" w:rsidRDefault="008F369D" w:rsidP="008919D7">
            <w:pPr>
              <w:pStyle w:val="TextTi10"/>
              <w:keepNext/>
              <w:jc w:val="center"/>
              <w:rPr>
                <w:b/>
                <w:sz w:val="22"/>
                <w:szCs w:val="22"/>
                <w:lang w:val="en-GB"/>
              </w:rPr>
            </w:pPr>
          </w:p>
        </w:tc>
        <w:tc>
          <w:tcPr>
            <w:tcW w:w="1701" w:type="dxa"/>
            <w:vMerge/>
            <w:tcBorders>
              <w:bottom w:val="single" w:sz="6" w:space="0" w:color="000000"/>
              <w:right w:val="single" w:sz="6" w:space="0" w:color="000000"/>
            </w:tcBorders>
            <w:shd w:val="clear" w:color="auto" w:fill="auto"/>
          </w:tcPr>
          <w:p w14:paraId="7C33172B" w14:textId="77777777" w:rsidR="008F369D" w:rsidRPr="00F638AF" w:rsidRDefault="008F369D" w:rsidP="008919D7">
            <w:pPr>
              <w:pStyle w:val="TextTi10"/>
              <w:keepNext/>
              <w:jc w:val="center"/>
              <w:rPr>
                <w:b/>
                <w:sz w:val="22"/>
                <w:szCs w:val="22"/>
                <w:lang w:val="en-GB"/>
              </w:rPr>
            </w:pPr>
          </w:p>
        </w:tc>
      </w:tr>
      <w:tr w:rsidR="003A788B" w14:paraId="7C331732" w14:textId="77777777" w:rsidTr="008919D7">
        <w:trPr>
          <w:trHeight w:val="284"/>
        </w:trPr>
        <w:tc>
          <w:tcPr>
            <w:tcW w:w="3402" w:type="dxa"/>
            <w:tcBorders>
              <w:top w:val="single" w:sz="6" w:space="0" w:color="000000"/>
              <w:left w:val="single" w:sz="4" w:space="0" w:color="auto"/>
              <w:bottom w:val="dotted" w:sz="4" w:space="0" w:color="auto"/>
            </w:tcBorders>
            <w:shd w:val="clear" w:color="auto" w:fill="auto"/>
          </w:tcPr>
          <w:p w14:paraId="7C33172D" w14:textId="77777777" w:rsidR="008F369D" w:rsidRPr="00F638AF" w:rsidRDefault="00016F29" w:rsidP="008919D7">
            <w:pPr>
              <w:pStyle w:val="TextTi10"/>
              <w:keepNext/>
              <w:ind w:left="34"/>
              <w:jc w:val="both"/>
              <w:rPr>
                <w:sz w:val="22"/>
                <w:szCs w:val="22"/>
                <w:lang w:val="en-GB"/>
              </w:rPr>
            </w:pPr>
            <w:r w:rsidRPr="00F638AF">
              <w:rPr>
                <w:sz w:val="22"/>
                <w:szCs w:val="22"/>
                <w:lang w:val="en-GB"/>
              </w:rPr>
              <w:t>Binet stage A</w:t>
            </w:r>
          </w:p>
        </w:tc>
        <w:tc>
          <w:tcPr>
            <w:tcW w:w="851" w:type="dxa"/>
            <w:tcBorders>
              <w:top w:val="single" w:sz="6" w:space="0" w:color="000000"/>
              <w:bottom w:val="dotted" w:sz="4" w:space="0" w:color="auto"/>
            </w:tcBorders>
            <w:shd w:val="clear" w:color="auto" w:fill="auto"/>
          </w:tcPr>
          <w:p w14:paraId="7C33172E" w14:textId="77777777" w:rsidR="008F369D" w:rsidRPr="00F638AF" w:rsidRDefault="00016F29" w:rsidP="008919D7">
            <w:pPr>
              <w:pStyle w:val="TextTi10"/>
              <w:keepNext/>
              <w:jc w:val="center"/>
              <w:rPr>
                <w:sz w:val="22"/>
                <w:szCs w:val="22"/>
                <w:lang w:val="en-GB"/>
              </w:rPr>
            </w:pPr>
            <w:r w:rsidRPr="00F638AF">
              <w:rPr>
                <w:sz w:val="22"/>
                <w:szCs w:val="22"/>
                <w:lang w:val="en-GB"/>
              </w:rPr>
              <w:t>22</w:t>
            </w:r>
          </w:p>
        </w:tc>
        <w:tc>
          <w:tcPr>
            <w:tcW w:w="850" w:type="dxa"/>
            <w:tcBorders>
              <w:top w:val="single" w:sz="6" w:space="0" w:color="000000"/>
              <w:bottom w:val="dotted" w:sz="4" w:space="0" w:color="auto"/>
            </w:tcBorders>
            <w:shd w:val="clear" w:color="auto" w:fill="auto"/>
          </w:tcPr>
          <w:p w14:paraId="7C33172F" w14:textId="77777777" w:rsidR="008F369D" w:rsidRPr="00F638AF" w:rsidRDefault="00016F29" w:rsidP="008919D7">
            <w:pPr>
              <w:pStyle w:val="TextTi10"/>
              <w:keepNext/>
              <w:jc w:val="center"/>
              <w:rPr>
                <w:sz w:val="22"/>
                <w:szCs w:val="22"/>
                <w:lang w:val="en-GB"/>
              </w:rPr>
            </w:pPr>
            <w:r w:rsidRPr="00F638AF">
              <w:rPr>
                <w:sz w:val="22"/>
                <w:szCs w:val="22"/>
                <w:lang w:val="en-GB"/>
              </w:rPr>
              <w:t>18</w:t>
            </w:r>
          </w:p>
        </w:tc>
        <w:tc>
          <w:tcPr>
            <w:tcW w:w="1985" w:type="dxa"/>
            <w:tcBorders>
              <w:top w:val="single" w:sz="6" w:space="0" w:color="000000"/>
              <w:bottom w:val="dotted" w:sz="4" w:space="0" w:color="auto"/>
            </w:tcBorders>
            <w:shd w:val="clear" w:color="auto" w:fill="auto"/>
          </w:tcPr>
          <w:p w14:paraId="7C331730" w14:textId="77777777" w:rsidR="008F369D" w:rsidRPr="00F638AF" w:rsidRDefault="00016F29" w:rsidP="008919D7">
            <w:pPr>
              <w:pStyle w:val="TextTi10"/>
              <w:keepNext/>
              <w:jc w:val="center"/>
              <w:rPr>
                <w:sz w:val="22"/>
                <w:szCs w:val="22"/>
                <w:lang w:val="en-GB"/>
              </w:rPr>
            </w:pPr>
            <w:r w:rsidRPr="00F638AF">
              <w:rPr>
                <w:sz w:val="22"/>
                <w:szCs w:val="22"/>
                <w:lang w:val="en-GB"/>
              </w:rPr>
              <w:t>0.39 (0.15; 0.98)</w:t>
            </w:r>
          </w:p>
        </w:tc>
        <w:tc>
          <w:tcPr>
            <w:tcW w:w="1701" w:type="dxa"/>
            <w:tcBorders>
              <w:top w:val="single" w:sz="6" w:space="0" w:color="000000"/>
              <w:bottom w:val="dotted" w:sz="4" w:space="0" w:color="auto"/>
              <w:right w:val="single" w:sz="6" w:space="0" w:color="000000"/>
            </w:tcBorders>
            <w:shd w:val="clear" w:color="auto" w:fill="auto"/>
          </w:tcPr>
          <w:p w14:paraId="7C331731" w14:textId="77777777" w:rsidR="008F369D" w:rsidRPr="00F638AF" w:rsidRDefault="00016F29" w:rsidP="008919D7">
            <w:pPr>
              <w:pStyle w:val="TextTi10"/>
              <w:keepNext/>
              <w:jc w:val="center"/>
              <w:rPr>
                <w:sz w:val="22"/>
                <w:szCs w:val="22"/>
                <w:lang w:val="en-GB"/>
              </w:rPr>
            </w:pPr>
            <w:r w:rsidRPr="00F638AF">
              <w:rPr>
                <w:sz w:val="22"/>
                <w:szCs w:val="22"/>
                <w:lang w:val="en-GB"/>
              </w:rPr>
              <w:t>0.0442</w:t>
            </w:r>
          </w:p>
        </w:tc>
      </w:tr>
      <w:tr w:rsidR="003A788B" w14:paraId="7C331738" w14:textId="77777777" w:rsidTr="008919D7">
        <w:trPr>
          <w:trHeight w:val="248"/>
        </w:trPr>
        <w:tc>
          <w:tcPr>
            <w:tcW w:w="3402" w:type="dxa"/>
            <w:tcBorders>
              <w:top w:val="dotted" w:sz="4" w:space="0" w:color="auto"/>
              <w:left w:val="single" w:sz="4" w:space="0" w:color="auto"/>
              <w:bottom w:val="dotted" w:sz="4" w:space="0" w:color="auto"/>
            </w:tcBorders>
            <w:shd w:val="clear" w:color="auto" w:fill="auto"/>
          </w:tcPr>
          <w:p w14:paraId="7C331733" w14:textId="77777777" w:rsidR="008F369D" w:rsidRPr="00F638AF" w:rsidRDefault="00016F29" w:rsidP="008919D7">
            <w:pPr>
              <w:pStyle w:val="TextTi10"/>
              <w:keepNext/>
              <w:rPr>
                <w:sz w:val="22"/>
                <w:szCs w:val="22"/>
                <w:lang w:val="en-GB"/>
              </w:rPr>
            </w:pPr>
            <w:r w:rsidRPr="00F638AF">
              <w:rPr>
                <w:sz w:val="22"/>
                <w:szCs w:val="22"/>
                <w:lang w:val="en-GB"/>
              </w:rPr>
              <w:t>Binet stage B</w:t>
            </w:r>
          </w:p>
        </w:tc>
        <w:tc>
          <w:tcPr>
            <w:tcW w:w="851" w:type="dxa"/>
            <w:tcBorders>
              <w:top w:val="dotted" w:sz="4" w:space="0" w:color="auto"/>
              <w:bottom w:val="dotted" w:sz="4" w:space="0" w:color="auto"/>
            </w:tcBorders>
            <w:shd w:val="clear" w:color="auto" w:fill="auto"/>
          </w:tcPr>
          <w:p w14:paraId="7C331734" w14:textId="77777777" w:rsidR="008F369D" w:rsidRPr="00F638AF" w:rsidRDefault="00016F29" w:rsidP="008919D7">
            <w:pPr>
              <w:pStyle w:val="TextTi10"/>
              <w:keepNext/>
              <w:jc w:val="center"/>
              <w:rPr>
                <w:sz w:val="22"/>
                <w:szCs w:val="22"/>
                <w:lang w:val="en-GB"/>
              </w:rPr>
            </w:pPr>
            <w:r w:rsidRPr="00F638AF">
              <w:rPr>
                <w:sz w:val="22"/>
                <w:szCs w:val="22"/>
                <w:lang w:val="en-GB"/>
              </w:rPr>
              <w:t>259</w:t>
            </w:r>
          </w:p>
        </w:tc>
        <w:tc>
          <w:tcPr>
            <w:tcW w:w="850" w:type="dxa"/>
            <w:tcBorders>
              <w:top w:val="dotted" w:sz="4" w:space="0" w:color="auto"/>
              <w:bottom w:val="dotted" w:sz="4" w:space="0" w:color="auto"/>
            </w:tcBorders>
            <w:shd w:val="clear" w:color="auto" w:fill="auto"/>
          </w:tcPr>
          <w:p w14:paraId="7C331735" w14:textId="77777777" w:rsidR="008F369D" w:rsidRPr="00F638AF" w:rsidRDefault="00016F29" w:rsidP="008919D7">
            <w:pPr>
              <w:pStyle w:val="TextTi10"/>
              <w:keepNext/>
              <w:jc w:val="center"/>
              <w:rPr>
                <w:sz w:val="22"/>
                <w:szCs w:val="22"/>
                <w:lang w:val="en-GB"/>
              </w:rPr>
            </w:pPr>
            <w:r w:rsidRPr="00F638AF">
              <w:rPr>
                <w:sz w:val="22"/>
                <w:szCs w:val="22"/>
                <w:lang w:val="en-GB"/>
              </w:rPr>
              <w:t>263</w:t>
            </w:r>
          </w:p>
        </w:tc>
        <w:tc>
          <w:tcPr>
            <w:tcW w:w="1985" w:type="dxa"/>
            <w:tcBorders>
              <w:top w:val="dotted" w:sz="4" w:space="0" w:color="auto"/>
              <w:bottom w:val="dotted" w:sz="4" w:space="0" w:color="auto"/>
            </w:tcBorders>
            <w:shd w:val="clear" w:color="auto" w:fill="auto"/>
          </w:tcPr>
          <w:p w14:paraId="7C331736" w14:textId="77777777" w:rsidR="008F369D" w:rsidRPr="00F638AF" w:rsidRDefault="00016F29" w:rsidP="008919D7">
            <w:pPr>
              <w:pStyle w:val="TextTi10"/>
              <w:keepNext/>
              <w:jc w:val="center"/>
              <w:rPr>
                <w:sz w:val="22"/>
                <w:szCs w:val="22"/>
                <w:lang w:val="en-GB"/>
              </w:rPr>
            </w:pPr>
            <w:r w:rsidRPr="00F638AF">
              <w:rPr>
                <w:sz w:val="22"/>
                <w:szCs w:val="22"/>
                <w:lang w:val="en-GB"/>
              </w:rPr>
              <w:t>0.52 (0.41; 0.66)</w:t>
            </w:r>
          </w:p>
        </w:tc>
        <w:tc>
          <w:tcPr>
            <w:tcW w:w="1701" w:type="dxa"/>
            <w:tcBorders>
              <w:top w:val="dotted" w:sz="4" w:space="0" w:color="auto"/>
              <w:bottom w:val="dotted" w:sz="4" w:space="0" w:color="auto"/>
              <w:right w:val="single" w:sz="6" w:space="0" w:color="000000"/>
            </w:tcBorders>
            <w:shd w:val="clear" w:color="auto" w:fill="auto"/>
          </w:tcPr>
          <w:p w14:paraId="7C331737" w14:textId="77777777" w:rsidR="008F369D" w:rsidRPr="00F638AF" w:rsidRDefault="00016F29" w:rsidP="008919D7">
            <w:pPr>
              <w:pStyle w:val="TextTi10"/>
              <w:keepNext/>
              <w:jc w:val="center"/>
              <w:rPr>
                <w:sz w:val="22"/>
                <w:szCs w:val="22"/>
                <w:lang w:val="en-GB"/>
              </w:rPr>
            </w:pPr>
            <w:r w:rsidRPr="00F638AF">
              <w:rPr>
                <w:sz w:val="22"/>
                <w:szCs w:val="22"/>
                <w:lang w:val="en-GB"/>
              </w:rPr>
              <w:t>&lt;0.0001</w:t>
            </w:r>
          </w:p>
        </w:tc>
      </w:tr>
      <w:tr w:rsidR="003A788B" w14:paraId="7C33173E" w14:textId="77777777" w:rsidTr="008919D7">
        <w:trPr>
          <w:trHeight w:val="283"/>
        </w:trPr>
        <w:tc>
          <w:tcPr>
            <w:tcW w:w="3402" w:type="dxa"/>
            <w:tcBorders>
              <w:top w:val="dotted" w:sz="4" w:space="0" w:color="auto"/>
              <w:left w:val="single" w:sz="4" w:space="0" w:color="auto"/>
              <w:bottom w:val="single" w:sz="6" w:space="0" w:color="000000"/>
            </w:tcBorders>
            <w:shd w:val="clear" w:color="auto" w:fill="auto"/>
          </w:tcPr>
          <w:p w14:paraId="7C331739" w14:textId="77777777" w:rsidR="008F369D" w:rsidRPr="00F638AF" w:rsidRDefault="00016F29" w:rsidP="008919D7">
            <w:pPr>
              <w:pStyle w:val="TextTi10"/>
              <w:keepNext/>
              <w:rPr>
                <w:sz w:val="22"/>
                <w:szCs w:val="22"/>
                <w:lang w:val="en-GB"/>
              </w:rPr>
            </w:pPr>
            <w:r w:rsidRPr="00F638AF">
              <w:rPr>
                <w:sz w:val="22"/>
                <w:szCs w:val="22"/>
                <w:lang w:val="en-GB"/>
              </w:rPr>
              <w:t>Binet stage C</w:t>
            </w:r>
          </w:p>
        </w:tc>
        <w:tc>
          <w:tcPr>
            <w:tcW w:w="851" w:type="dxa"/>
            <w:tcBorders>
              <w:top w:val="dotted" w:sz="4" w:space="0" w:color="auto"/>
              <w:bottom w:val="single" w:sz="6" w:space="0" w:color="000000"/>
            </w:tcBorders>
            <w:shd w:val="clear" w:color="auto" w:fill="auto"/>
          </w:tcPr>
          <w:p w14:paraId="7C33173A" w14:textId="77777777" w:rsidR="008F369D" w:rsidRPr="00F638AF" w:rsidRDefault="00016F29" w:rsidP="008919D7">
            <w:pPr>
              <w:pStyle w:val="TextTi10"/>
              <w:keepNext/>
              <w:jc w:val="center"/>
              <w:rPr>
                <w:sz w:val="22"/>
                <w:szCs w:val="22"/>
                <w:lang w:val="en-GB"/>
              </w:rPr>
            </w:pPr>
            <w:r w:rsidRPr="00F638AF">
              <w:rPr>
                <w:sz w:val="22"/>
                <w:szCs w:val="22"/>
                <w:lang w:val="en-GB"/>
              </w:rPr>
              <w:t>126</w:t>
            </w:r>
          </w:p>
        </w:tc>
        <w:tc>
          <w:tcPr>
            <w:tcW w:w="850" w:type="dxa"/>
            <w:tcBorders>
              <w:top w:val="dotted" w:sz="4" w:space="0" w:color="auto"/>
              <w:bottom w:val="single" w:sz="6" w:space="0" w:color="000000"/>
            </w:tcBorders>
            <w:shd w:val="clear" w:color="auto" w:fill="auto"/>
          </w:tcPr>
          <w:p w14:paraId="7C33173B" w14:textId="77777777" w:rsidR="008F369D" w:rsidRPr="00F638AF" w:rsidRDefault="00016F29" w:rsidP="008919D7">
            <w:pPr>
              <w:pStyle w:val="TextTi10"/>
              <w:keepNext/>
              <w:jc w:val="center"/>
              <w:rPr>
                <w:sz w:val="22"/>
                <w:szCs w:val="22"/>
                <w:lang w:val="en-GB"/>
              </w:rPr>
            </w:pPr>
            <w:r w:rsidRPr="00F638AF">
              <w:rPr>
                <w:sz w:val="22"/>
                <w:szCs w:val="22"/>
                <w:lang w:val="en-GB"/>
              </w:rPr>
              <w:t>126</w:t>
            </w:r>
          </w:p>
        </w:tc>
        <w:tc>
          <w:tcPr>
            <w:tcW w:w="1985" w:type="dxa"/>
            <w:tcBorders>
              <w:top w:val="dotted" w:sz="4" w:space="0" w:color="auto"/>
              <w:bottom w:val="single" w:sz="6" w:space="0" w:color="000000"/>
            </w:tcBorders>
            <w:shd w:val="clear" w:color="auto" w:fill="auto"/>
          </w:tcPr>
          <w:p w14:paraId="7C33173C" w14:textId="77777777" w:rsidR="008F369D" w:rsidRPr="00F638AF" w:rsidRDefault="00016F29" w:rsidP="008919D7">
            <w:pPr>
              <w:pStyle w:val="TextTi10"/>
              <w:keepNext/>
              <w:jc w:val="center"/>
              <w:rPr>
                <w:sz w:val="22"/>
                <w:szCs w:val="22"/>
                <w:lang w:val="en-GB"/>
              </w:rPr>
            </w:pPr>
            <w:r w:rsidRPr="00F638AF">
              <w:rPr>
                <w:sz w:val="22"/>
                <w:szCs w:val="22"/>
                <w:lang w:val="en-GB"/>
              </w:rPr>
              <w:t>0.68 (0.49; 0.95)</w:t>
            </w:r>
          </w:p>
        </w:tc>
        <w:tc>
          <w:tcPr>
            <w:tcW w:w="1701" w:type="dxa"/>
            <w:tcBorders>
              <w:top w:val="dotted" w:sz="4" w:space="0" w:color="auto"/>
              <w:bottom w:val="single" w:sz="6" w:space="0" w:color="000000"/>
              <w:right w:val="single" w:sz="6" w:space="0" w:color="000000"/>
            </w:tcBorders>
            <w:shd w:val="clear" w:color="auto" w:fill="auto"/>
          </w:tcPr>
          <w:p w14:paraId="7C33173D" w14:textId="77777777" w:rsidR="008F369D" w:rsidRPr="00F638AF" w:rsidRDefault="00016F29" w:rsidP="008919D7">
            <w:pPr>
              <w:pStyle w:val="TextTi10"/>
              <w:keepNext/>
              <w:jc w:val="center"/>
              <w:rPr>
                <w:sz w:val="22"/>
                <w:szCs w:val="22"/>
                <w:lang w:val="en-GB"/>
              </w:rPr>
            </w:pPr>
            <w:r w:rsidRPr="00F638AF">
              <w:rPr>
                <w:sz w:val="22"/>
                <w:szCs w:val="22"/>
                <w:lang w:val="en-GB"/>
              </w:rPr>
              <w:t>0.0224</w:t>
            </w:r>
          </w:p>
        </w:tc>
      </w:tr>
    </w:tbl>
    <w:p w14:paraId="7C33173F" w14:textId="77777777" w:rsidR="008F369D" w:rsidRPr="00F638AF" w:rsidRDefault="00016F29" w:rsidP="008F369D">
      <w:pPr>
        <w:rPr>
          <w:noProof/>
          <w:sz w:val="18"/>
          <w:szCs w:val="18"/>
          <w:lang w:val="en-GB"/>
        </w:rPr>
      </w:pPr>
      <w:r w:rsidRPr="00F638AF">
        <w:rPr>
          <w:noProof/>
          <w:sz w:val="18"/>
          <w:szCs w:val="18"/>
          <w:lang w:val="en-GB"/>
        </w:rPr>
        <w:t>CI: Confidence Interval</w:t>
      </w:r>
    </w:p>
    <w:p w14:paraId="7C331740" w14:textId="77777777" w:rsidR="008F369D" w:rsidRPr="00F638AF" w:rsidRDefault="008F369D" w:rsidP="008F369D">
      <w:pPr>
        <w:rPr>
          <w:lang w:val="en-GB"/>
        </w:rPr>
      </w:pPr>
    </w:p>
    <w:p w14:paraId="7C331741" w14:textId="77777777" w:rsidR="008F369D" w:rsidRPr="00F638AF" w:rsidRDefault="00016F29" w:rsidP="008F369D">
      <w:pPr>
        <w:rPr>
          <w:lang w:val="en-GB"/>
        </w:rPr>
      </w:pPr>
      <w:r w:rsidRPr="00F638AF">
        <w:rPr>
          <w:lang w:val="en-GB"/>
        </w:rPr>
        <w:t>In the relapsed/refractory study, the median progression</w:t>
      </w:r>
      <w:r w:rsidR="000A6DDA" w:rsidRPr="00F638AF">
        <w:rPr>
          <w:lang w:val="en-GB"/>
        </w:rPr>
        <w:noBreakHyphen/>
      </w:r>
      <w:r w:rsidRPr="00F638AF">
        <w:rPr>
          <w:lang w:val="en-GB"/>
        </w:rPr>
        <w:t>free survival (primary endpoint)</w:t>
      </w:r>
      <w:r w:rsidRPr="00F638AF">
        <w:rPr>
          <w:szCs w:val="22"/>
          <w:lang w:val="en-GB"/>
        </w:rPr>
        <w:t xml:space="preserve"> was 30.6 months </w:t>
      </w:r>
      <w:r w:rsidRPr="00F638AF">
        <w:rPr>
          <w:lang w:val="en-GB"/>
        </w:rPr>
        <w:t>in the R</w:t>
      </w:r>
      <w:r w:rsidR="000A6DDA" w:rsidRPr="00F638AF">
        <w:rPr>
          <w:lang w:val="en-GB"/>
        </w:rPr>
        <w:noBreakHyphen/>
      </w:r>
      <w:r w:rsidRPr="00F638AF">
        <w:rPr>
          <w:lang w:val="en-GB"/>
        </w:rPr>
        <w:t>FC group and 20.6 months in the FC group (p=0.0002, log</w:t>
      </w:r>
      <w:r w:rsidR="000A6DDA" w:rsidRPr="00F638AF">
        <w:rPr>
          <w:lang w:val="en-GB"/>
        </w:rPr>
        <w:noBreakHyphen/>
      </w:r>
      <w:r w:rsidRPr="00F638AF">
        <w:rPr>
          <w:lang w:val="en-GB"/>
        </w:rPr>
        <w:t>rank test). The benefit in terms of PFS was observed in almost all patient subgroups analysed according to disease risk at baseline. A slight but not significant improvement in overall survival was reported in the R</w:t>
      </w:r>
      <w:r w:rsidR="000A6DDA" w:rsidRPr="00F638AF">
        <w:rPr>
          <w:lang w:val="en-GB"/>
        </w:rPr>
        <w:noBreakHyphen/>
      </w:r>
      <w:r w:rsidRPr="00F638AF">
        <w:rPr>
          <w:lang w:val="en-GB"/>
        </w:rPr>
        <w:t xml:space="preserve">FC compared to the FC arm. </w:t>
      </w:r>
    </w:p>
    <w:p w14:paraId="7C331742" w14:textId="77777777" w:rsidR="008F369D" w:rsidRPr="00F638AF" w:rsidRDefault="008F369D" w:rsidP="008F369D">
      <w:pPr>
        <w:rPr>
          <w:lang w:val="en-GB"/>
        </w:rPr>
      </w:pPr>
    </w:p>
    <w:p w14:paraId="7C331743" w14:textId="77777777" w:rsidR="008F369D" w:rsidRPr="00F638AF" w:rsidRDefault="00016F29" w:rsidP="008F369D">
      <w:pPr>
        <w:keepNext/>
        <w:keepLines/>
        <w:ind w:left="1134" w:hanging="1134"/>
        <w:rPr>
          <w:b/>
          <w:lang w:val="en-GB"/>
        </w:rPr>
      </w:pPr>
      <w:r w:rsidRPr="00F638AF">
        <w:rPr>
          <w:b/>
          <w:lang w:val="en-GB"/>
        </w:rPr>
        <w:t>Table </w:t>
      </w:r>
      <w:r w:rsidR="00CB4FD7" w:rsidRPr="00F638AF">
        <w:rPr>
          <w:b/>
          <w:lang w:val="en-GB"/>
        </w:rPr>
        <w:t>13</w:t>
      </w:r>
      <w:r w:rsidRPr="00F638AF">
        <w:rPr>
          <w:b/>
          <w:lang w:val="en-GB"/>
        </w:rPr>
        <w:tab/>
        <w:t xml:space="preserve">Treatment of relapsed/refractory chronic lymphocytic leukaemia </w:t>
      </w:r>
      <w:r w:rsidR="000A6DDA" w:rsidRPr="00F638AF">
        <w:rPr>
          <w:b/>
          <w:lang w:val="en-GB"/>
        </w:rPr>
        <w:noBreakHyphen/>
      </w:r>
      <w:r w:rsidRPr="00F638AF">
        <w:rPr>
          <w:b/>
          <w:lang w:val="en-GB"/>
        </w:rPr>
        <w:t xml:space="preserve"> overview of efficacy results for MabThera plus FC vs. FC alone (25.3 months median observation time)</w:t>
      </w:r>
    </w:p>
    <w:tbl>
      <w:tblPr>
        <w:tblW w:w="8658" w:type="dxa"/>
        <w:tblInd w:w="108" w:type="dxa"/>
        <w:tblBorders>
          <w:top w:val="single" w:sz="6" w:space="0" w:color="000000"/>
          <w:bottom w:val="single" w:sz="6" w:space="0" w:color="000000"/>
          <w:insideV w:val="single" w:sz="6" w:space="0" w:color="000000"/>
        </w:tblBorders>
        <w:tblLayout w:type="fixed"/>
        <w:tblLook w:val="0000" w:firstRow="0" w:lastRow="0" w:firstColumn="0" w:lastColumn="0" w:noHBand="0" w:noVBand="0"/>
      </w:tblPr>
      <w:tblGrid>
        <w:gridCol w:w="3124"/>
        <w:gridCol w:w="1448"/>
        <w:gridCol w:w="1379"/>
        <w:gridCol w:w="1283"/>
        <w:gridCol w:w="1424"/>
      </w:tblGrid>
      <w:tr w:rsidR="003A788B" w14:paraId="7C331747" w14:textId="77777777" w:rsidTr="008919D7">
        <w:trPr>
          <w:trHeight w:val="511"/>
          <w:tblHeader/>
        </w:trPr>
        <w:tc>
          <w:tcPr>
            <w:tcW w:w="3124" w:type="dxa"/>
            <w:vMerge w:val="restart"/>
            <w:tcBorders>
              <w:top w:val="single" w:sz="6" w:space="0" w:color="000000"/>
              <w:left w:val="single" w:sz="4" w:space="0" w:color="auto"/>
            </w:tcBorders>
            <w:shd w:val="clear" w:color="auto" w:fill="auto"/>
          </w:tcPr>
          <w:p w14:paraId="7C331744" w14:textId="77777777" w:rsidR="008F369D" w:rsidRPr="00F638AF" w:rsidRDefault="00016F29" w:rsidP="008919D7">
            <w:pPr>
              <w:pStyle w:val="TextTi10"/>
              <w:keepNext/>
              <w:keepLines/>
              <w:jc w:val="center"/>
              <w:rPr>
                <w:b/>
                <w:sz w:val="22"/>
                <w:szCs w:val="22"/>
                <w:lang w:val="en-GB"/>
              </w:rPr>
            </w:pPr>
            <w:r w:rsidRPr="00F638AF">
              <w:rPr>
                <w:b/>
                <w:sz w:val="22"/>
                <w:szCs w:val="22"/>
                <w:lang w:val="en-GB"/>
              </w:rPr>
              <w:t>Efficacy Parameter</w:t>
            </w:r>
          </w:p>
        </w:tc>
        <w:tc>
          <w:tcPr>
            <w:tcW w:w="4110" w:type="dxa"/>
            <w:gridSpan w:val="3"/>
            <w:tcBorders>
              <w:top w:val="single" w:sz="6" w:space="0" w:color="000000"/>
              <w:bottom w:val="single" w:sz="6" w:space="0" w:color="000000"/>
            </w:tcBorders>
            <w:shd w:val="clear" w:color="auto" w:fill="auto"/>
          </w:tcPr>
          <w:p w14:paraId="7C331745" w14:textId="77777777" w:rsidR="008F369D" w:rsidRPr="00F638AF" w:rsidRDefault="00016F29" w:rsidP="008919D7">
            <w:pPr>
              <w:pStyle w:val="TextTi10"/>
              <w:keepNext/>
              <w:keepLines/>
              <w:jc w:val="center"/>
              <w:rPr>
                <w:b/>
                <w:sz w:val="22"/>
                <w:szCs w:val="22"/>
                <w:lang w:val="en-GB"/>
              </w:rPr>
            </w:pPr>
            <w:r w:rsidRPr="00F638AF">
              <w:rPr>
                <w:b/>
                <w:sz w:val="22"/>
                <w:szCs w:val="22"/>
                <w:lang w:val="en-GB"/>
              </w:rPr>
              <w:t>Kaplan</w:t>
            </w:r>
            <w:r w:rsidR="000A6DDA" w:rsidRPr="00F638AF">
              <w:rPr>
                <w:b/>
                <w:sz w:val="22"/>
                <w:szCs w:val="22"/>
                <w:lang w:val="en-GB"/>
              </w:rPr>
              <w:noBreakHyphen/>
            </w:r>
            <w:r w:rsidRPr="00F638AF">
              <w:rPr>
                <w:b/>
                <w:sz w:val="22"/>
                <w:szCs w:val="22"/>
                <w:lang w:val="en-GB"/>
              </w:rPr>
              <w:t xml:space="preserve">Meier Estimate of </w:t>
            </w:r>
            <w:r w:rsidRPr="00F638AF">
              <w:rPr>
                <w:b/>
                <w:sz w:val="22"/>
                <w:szCs w:val="22"/>
                <w:lang w:val="en-GB"/>
              </w:rPr>
              <w:br/>
              <w:t>Median Time to Event (Months)</w:t>
            </w:r>
          </w:p>
        </w:tc>
        <w:tc>
          <w:tcPr>
            <w:tcW w:w="1424" w:type="dxa"/>
            <w:vMerge w:val="restart"/>
            <w:tcBorders>
              <w:top w:val="single" w:sz="6" w:space="0" w:color="000000"/>
              <w:right w:val="single" w:sz="6" w:space="0" w:color="000000"/>
            </w:tcBorders>
            <w:shd w:val="clear" w:color="auto" w:fill="auto"/>
          </w:tcPr>
          <w:p w14:paraId="7C331746" w14:textId="77777777" w:rsidR="008F369D" w:rsidRPr="00F638AF" w:rsidRDefault="00016F29" w:rsidP="008919D7">
            <w:pPr>
              <w:pStyle w:val="TextTi10"/>
              <w:keepNext/>
              <w:keepLines/>
              <w:jc w:val="center"/>
              <w:rPr>
                <w:b/>
                <w:sz w:val="22"/>
                <w:szCs w:val="22"/>
                <w:vertAlign w:val="superscript"/>
                <w:lang w:val="en-GB"/>
              </w:rPr>
            </w:pPr>
            <w:r w:rsidRPr="00F638AF">
              <w:rPr>
                <w:b/>
                <w:sz w:val="22"/>
                <w:szCs w:val="22"/>
                <w:lang w:val="en-GB"/>
              </w:rPr>
              <w:t>Risk Reduction</w:t>
            </w:r>
          </w:p>
        </w:tc>
      </w:tr>
      <w:tr w:rsidR="003A788B" w14:paraId="7C33174F" w14:textId="77777777" w:rsidTr="008919D7">
        <w:trPr>
          <w:trHeight w:val="149"/>
          <w:tblHeader/>
        </w:trPr>
        <w:tc>
          <w:tcPr>
            <w:tcW w:w="3124" w:type="dxa"/>
            <w:vMerge/>
            <w:tcBorders>
              <w:left w:val="single" w:sz="4" w:space="0" w:color="auto"/>
              <w:bottom w:val="single" w:sz="6" w:space="0" w:color="000000"/>
            </w:tcBorders>
            <w:shd w:val="clear" w:color="auto" w:fill="auto"/>
          </w:tcPr>
          <w:p w14:paraId="7C331748" w14:textId="77777777" w:rsidR="008F369D" w:rsidRPr="00F638AF" w:rsidRDefault="008F369D" w:rsidP="008919D7">
            <w:pPr>
              <w:pStyle w:val="TextTi10"/>
              <w:keepNext/>
              <w:keepLines/>
              <w:jc w:val="center"/>
              <w:rPr>
                <w:b/>
                <w:sz w:val="22"/>
                <w:szCs w:val="22"/>
                <w:lang w:val="en-GB"/>
              </w:rPr>
            </w:pPr>
          </w:p>
        </w:tc>
        <w:tc>
          <w:tcPr>
            <w:tcW w:w="1448" w:type="dxa"/>
            <w:tcBorders>
              <w:top w:val="single" w:sz="6" w:space="0" w:color="000000"/>
              <w:bottom w:val="single" w:sz="6" w:space="0" w:color="000000"/>
            </w:tcBorders>
            <w:shd w:val="clear" w:color="auto" w:fill="auto"/>
          </w:tcPr>
          <w:p w14:paraId="7C331749" w14:textId="77777777" w:rsidR="008F369D" w:rsidRPr="00F638AF" w:rsidRDefault="00016F29" w:rsidP="008919D7">
            <w:pPr>
              <w:pStyle w:val="TextTi10"/>
              <w:keepNext/>
              <w:keepLines/>
              <w:jc w:val="center"/>
              <w:rPr>
                <w:b/>
                <w:sz w:val="22"/>
                <w:szCs w:val="22"/>
                <w:lang w:val="en-GB"/>
              </w:rPr>
            </w:pPr>
            <w:r w:rsidRPr="00F638AF">
              <w:rPr>
                <w:b/>
                <w:sz w:val="22"/>
                <w:szCs w:val="22"/>
                <w:lang w:val="en-GB"/>
              </w:rPr>
              <w:t>FC</w:t>
            </w:r>
          </w:p>
          <w:p w14:paraId="7C33174A" w14:textId="77777777" w:rsidR="008F369D" w:rsidRPr="00F638AF" w:rsidRDefault="00016F29" w:rsidP="008919D7">
            <w:pPr>
              <w:pStyle w:val="TextTi10"/>
              <w:keepNext/>
              <w:keepLines/>
              <w:jc w:val="center"/>
              <w:rPr>
                <w:b/>
                <w:sz w:val="22"/>
                <w:szCs w:val="22"/>
                <w:lang w:val="en-GB"/>
              </w:rPr>
            </w:pPr>
            <w:r w:rsidRPr="00F638AF">
              <w:rPr>
                <w:b/>
                <w:sz w:val="22"/>
                <w:szCs w:val="22"/>
                <w:lang w:val="en-GB"/>
              </w:rPr>
              <w:t>(N = 276)</w:t>
            </w:r>
          </w:p>
        </w:tc>
        <w:tc>
          <w:tcPr>
            <w:tcW w:w="1379" w:type="dxa"/>
            <w:tcBorders>
              <w:top w:val="single" w:sz="6" w:space="0" w:color="000000"/>
              <w:bottom w:val="single" w:sz="6" w:space="0" w:color="000000"/>
            </w:tcBorders>
            <w:shd w:val="clear" w:color="auto" w:fill="auto"/>
          </w:tcPr>
          <w:p w14:paraId="7C33174B" w14:textId="77777777" w:rsidR="008F369D" w:rsidRPr="00F638AF" w:rsidRDefault="00016F29" w:rsidP="008919D7">
            <w:pPr>
              <w:pStyle w:val="TextTi10"/>
              <w:keepNext/>
              <w:keepLines/>
              <w:jc w:val="center"/>
              <w:rPr>
                <w:b/>
                <w:sz w:val="22"/>
                <w:szCs w:val="22"/>
                <w:lang w:val="en-GB"/>
              </w:rPr>
            </w:pPr>
            <w:r w:rsidRPr="00F638AF">
              <w:rPr>
                <w:b/>
                <w:sz w:val="22"/>
                <w:szCs w:val="22"/>
                <w:lang w:val="en-GB"/>
              </w:rPr>
              <w:t>R</w:t>
            </w:r>
            <w:r w:rsidR="000A6DDA" w:rsidRPr="00F638AF">
              <w:rPr>
                <w:b/>
                <w:sz w:val="22"/>
                <w:szCs w:val="22"/>
                <w:lang w:val="en-GB"/>
              </w:rPr>
              <w:noBreakHyphen/>
            </w:r>
            <w:r w:rsidRPr="00F638AF">
              <w:rPr>
                <w:b/>
                <w:sz w:val="22"/>
                <w:szCs w:val="22"/>
                <w:lang w:val="en-GB"/>
              </w:rPr>
              <w:t>FC</w:t>
            </w:r>
          </w:p>
          <w:p w14:paraId="7C33174C" w14:textId="77777777" w:rsidR="008F369D" w:rsidRPr="00F638AF" w:rsidRDefault="00016F29" w:rsidP="008919D7">
            <w:pPr>
              <w:pStyle w:val="TextTi10"/>
              <w:keepNext/>
              <w:keepLines/>
              <w:jc w:val="center"/>
              <w:rPr>
                <w:b/>
                <w:sz w:val="22"/>
                <w:szCs w:val="22"/>
                <w:lang w:val="en-GB"/>
              </w:rPr>
            </w:pPr>
            <w:r w:rsidRPr="00F638AF">
              <w:rPr>
                <w:b/>
                <w:sz w:val="22"/>
                <w:szCs w:val="22"/>
                <w:lang w:val="en-GB"/>
              </w:rPr>
              <w:t>(N=276)</w:t>
            </w:r>
          </w:p>
        </w:tc>
        <w:tc>
          <w:tcPr>
            <w:tcW w:w="1283" w:type="dxa"/>
            <w:tcBorders>
              <w:top w:val="single" w:sz="6" w:space="0" w:color="000000"/>
              <w:bottom w:val="single" w:sz="6" w:space="0" w:color="000000"/>
            </w:tcBorders>
            <w:shd w:val="clear" w:color="auto" w:fill="auto"/>
          </w:tcPr>
          <w:p w14:paraId="7C33174D" w14:textId="77777777" w:rsidR="008F369D" w:rsidRPr="00F638AF" w:rsidRDefault="00016F29" w:rsidP="008919D7">
            <w:pPr>
              <w:pStyle w:val="TextTi10"/>
              <w:keepNext/>
              <w:keepLines/>
              <w:jc w:val="center"/>
              <w:rPr>
                <w:b/>
                <w:sz w:val="22"/>
                <w:szCs w:val="22"/>
                <w:lang w:val="en-GB"/>
              </w:rPr>
            </w:pPr>
            <w:r w:rsidRPr="00F638AF">
              <w:rPr>
                <w:b/>
                <w:sz w:val="22"/>
                <w:szCs w:val="22"/>
                <w:lang w:val="en-GB"/>
              </w:rPr>
              <w:t>Log</w:t>
            </w:r>
            <w:r w:rsidR="000A6DDA" w:rsidRPr="00F638AF">
              <w:rPr>
                <w:b/>
                <w:sz w:val="22"/>
                <w:szCs w:val="22"/>
                <w:lang w:val="en-GB"/>
              </w:rPr>
              <w:noBreakHyphen/>
            </w:r>
            <w:r w:rsidRPr="00F638AF">
              <w:rPr>
                <w:b/>
                <w:sz w:val="22"/>
                <w:szCs w:val="22"/>
                <w:lang w:val="en-GB"/>
              </w:rPr>
              <w:t xml:space="preserve">Rank </w:t>
            </w:r>
            <w:r w:rsidRPr="00F638AF">
              <w:rPr>
                <w:b/>
                <w:sz w:val="22"/>
                <w:szCs w:val="22"/>
                <w:lang w:val="en-GB"/>
              </w:rPr>
              <w:br/>
              <w:t>p value</w:t>
            </w:r>
          </w:p>
        </w:tc>
        <w:tc>
          <w:tcPr>
            <w:tcW w:w="1424" w:type="dxa"/>
            <w:vMerge/>
            <w:tcBorders>
              <w:bottom w:val="single" w:sz="6" w:space="0" w:color="000000"/>
              <w:right w:val="single" w:sz="6" w:space="0" w:color="000000"/>
            </w:tcBorders>
            <w:shd w:val="clear" w:color="auto" w:fill="auto"/>
          </w:tcPr>
          <w:p w14:paraId="7C33174E" w14:textId="77777777" w:rsidR="008F369D" w:rsidRPr="00F638AF" w:rsidRDefault="008F369D" w:rsidP="008919D7">
            <w:pPr>
              <w:pStyle w:val="TextTi10"/>
              <w:keepNext/>
              <w:keepLines/>
              <w:jc w:val="center"/>
              <w:rPr>
                <w:b/>
                <w:sz w:val="22"/>
                <w:szCs w:val="22"/>
                <w:lang w:val="en-GB"/>
              </w:rPr>
            </w:pPr>
          </w:p>
        </w:tc>
      </w:tr>
      <w:tr w:rsidR="003A788B" w14:paraId="7C331755" w14:textId="77777777" w:rsidTr="008919D7">
        <w:trPr>
          <w:trHeight w:val="263"/>
        </w:trPr>
        <w:tc>
          <w:tcPr>
            <w:tcW w:w="3124" w:type="dxa"/>
            <w:tcBorders>
              <w:top w:val="single" w:sz="6" w:space="0" w:color="000000"/>
              <w:left w:val="single" w:sz="4" w:space="0" w:color="auto"/>
              <w:bottom w:val="nil"/>
            </w:tcBorders>
            <w:shd w:val="clear" w:color="auto" w:fill="auto"/>
          </w:tcPr>
          <w:p w14:paraId="7C331750" w14:textId="77777777" w:rsidR="008F369D" w:rsidRPr="00F638AF" w:rsidRDefault="00016F29" w:rsidP="008919D7">
            <w:pPr>
              <w:pStyle w:val="TextTi10"/>
              <w:keepNext/>
              <w:keepLines/>
              <w:rPr>
                <w:b/>
                <w:sz w:val="22"/>
                <w:szCs w:val="22"/>
                <w:lang w:val="en-GB"/>
              </w:rPr>
            </w:pPr>
            <w:r w:rsidRPr="00F638AF">
              <w:rPr>
                <w:sz w:val="22"/>
                <w:szCs w:val="22"/>
                <w:lang w:val="en-GB"/>
              </w:rPr>
              <w:t>Progression</w:t>
            </w:r>
            <w:r w:rsidR="000A6DDA" w:rsidRPr="00F638AF">
              <w:rPr>
                <w:rFonts w:ascii="Cambria Math" w:hAnsi="Cambria Math" w:cs="Cambria Math"/>
                <w:sz w:val="22"/>
                <w:szCs w:val="22"/>
                <w:lang w:val="en-GB"/>
              </w:rPr>
              <w:noBreakHyphen/>
            </w:r>
            <w:r w:rsidRPr="00F638AF">
              <w:rPr>
                <w:sz w:val="22"/>
                <w:szCs w:val="22"/>
                <w:lang w:val="en-GB"/>
              </w:rPr>
              <w:t>free survival (PFS)</w:t>
            </w:r>
          </w:p>
        </w:tc>
        <w:tc>
          <w:tcPr>
            <w:tcW w:w="1448" w:type="dxa"/>
            <w:tcBorders>
              <w:top w:val="single" w:sz="6" w:space="0" w:color="000000"/>
              <w:bottom w:val="nil"/>
            </w:tcBorders>
            <w:shd w:val="clear" w:color="auto" w:fill="auto"/>
          </w:tcPr>
          <w:p w14:paraId="7C331751" w14:textId="77777777" w:rsidR="008F369D" w:rsidRPr="00F638AF" w:rsidRDefault="00016F29" w:rsidP="008919D7">
            <w:pPr>
              <w:pStyle w:val="TextTi10"/>
              <w:keepNext/>
              <w:keepLines/>
              <w:jc w:val="center"/>
              <w:rPr>
                <w:sz w:val="22"/>
                <w:szCs w:val="22"/>
                <w:lang w:val="en-GB"/>
              </w:rPr>
            </w:pPr>
            <w:r w:rsidRPr="00F638AF">
              <w:rPr>
                <w:sz w:val="22"/>
                <w:szCs w:val="22"/>
                <w:lang w:val="en-GB"/>
              </w:rPr>
              <w:t>20.6</w:t>
            </w:r>
          </w:p>
        </w:tc>
        <w:tc>
          <w:tcPr>
            <w:tcW w:w="1379" w:type="dxa"/>
            <w:tcBorders>
              <w:top w:val="single" w:sz="6" w:space="0" w:color="000000"/>
              <w:bottom w:val="nil"/>
            </w:tcBorders>
            <w:shd w:val="clear" w:color="auto" w:fill="auto"/>
          </w:tcPr>
          <w:p w14:paraId="7C331752" w14:textId="77777777" w:rsidR="008F369D" w:rsidRPr="00F638AF" w:rsidRDefault="00016F29" w:rsidP="008919D7">
            <w:pPr>
              <w:pStyle w:val="TextTi10"/>
              <w:keepNext/>
              <w:keepLines/>
              <w:jc w:val="center"/>
              <w:rPr>
                <w:sz w:val="22"/>
                <w:szCs w:val="22"/>
                <w:lang w:val="en-GB"/>
              </w:rPr>
            </w:pPr>
            <w:r w:rsidRPr="00F638AF">
              <w:rPr>
                <w:sz w:val="22"/>
                <w:szCs w:val="22"/>
                <w:lang w:val="en-GB"/>
              </w:rPr>
              <w:t>30.6</w:t>
            </w:r>
          </w:p>
        </w:tc>
        <w:tc>
          <w:tcPr>
            <w:tcW w:w="1283" w:type="dxa"/>
            <w:tcBorders>
              <w:top w:val="single" w:sz="6" w:space="0" w:color="000000"/>
              <w:bottom w:val="nil"/>
            </w:tcBorders>
            <w:shd w:val="clear" w:color="auto" w:fill="auto"/>
          </w:tcPr>
          <w:p w14:paraId="7C331753" w14:textId="77777777" w:rsidR="008F369D" w:rsidRPr="00F638AF" w:rsidRDefault="00016F29" w:rsidP="008919D7">
            <w:pPr>
              <w:pStyle w:val="TextTi10"/>
              <w:keepNext/>
              <w:keepLines/>
              <w:jc w:val="center"/>
              <w:rPr>
                <w:sz w:val="22"/>
                <w:szCs w:val="22"/>
                <w:lang w:val="en-GB"/>
              </w:rPr>
            </w:pPr>
            <w:r w:rsidRPr="00F638AF">
              <w:rPr>
                <w:sz w:val="22"/>
                <w:szCs w:val="22"/>
                <w:lang w:val="en-GB"/>
              </w:rPr>
              <w:t>0.0002</w:t>
            </w:r>
          </w:p>
        </w:tc>
        <w:tc>
          <w:tcPr>
            <w:tcW w:w="1424" w:type="dxa"/>
            <w:tcBorders>
              <w:top w:val="single" w:sz="6" w:space="0" w:color="000000"/>
              <w:bottom w:val="nil"/>
              <w:right w:val="single" w:sz="6" w:space="0" w:color="000000"/>
            </w:tcBorders>
            <w:shd w:val="clear" w:color="auto" w:fill="auto"/>
          </w:tcPr>
          <w:p w14:paraId="7C331754" w14:textId="77777777" w:rsidR="008F369D" w:rsidRPr="00F638AF" w:rsidRDefault="00016F29" w:rsidP="008919D7">
            <w:pPr>
              <w:pStyle w:val="TextTi10"/>
              <w:keepNext/>
              <w:keepLines/>
              <w:jc w:val="center"/>
              <w:rPr>
                <w:sz w:val="22"/>
                <w:szCs w:val="22"/>
                <w:lang w:val="en-GB"/>
              </w:rPr>
            </w:pPr>
            <w:r w:rsidRPr="00F638AF">
              <w:rPr>
                <w:sz w:val="22"/>
                <w:szCs w:val="22"/>
                <w:lang w:val="en-GB"/>
              </w:rPr>
              <w:t>35%</w:t>
            </w:r>
          </w:p>
        </w:tc>
      </w:tr>
      <w:tr w:rsidR="003A788B" w14:paraId="7C33175B" w14:textId="77777777" w:rsidTr="008919D7">
        <w:trPr>
          <w:trHeight w:val="263"/>
        </w:trPr>
        <w:tc>
          <w:tcPr>
            <w:tcW w:w="3124" w:type="dxa"/>
            <w:tcBorders>
              <w:top w:val="nil"/>
              <w:left w:val="single" w:sz="4" w:space="0" w:color="auto"/>
              <w:bottom w:val="single" w:sz="4" w:space="0" w:color="auto"/>
            </w:tcBorders>
            <w:shd w:val="clear" w:color="auto" w:fill="auto"/>
          </w:tcPr>
          <w:p w14:paraId="7C331756" w14:textId="77777777" w:rsidR="008F369D" w:rsidRPr="00F638AF" w:rsidRDefault="008F369D" w:rsidP="008919D7">
            <w:pPr>
              <w:pStyle w:val="TextTi10"/>
              <w:keepNext/>
              <w:keepLines/>
              <w:jc w:val="right"/>
              <w:rPr>
                <w:sz w:val="22"/>
                <w:szCs w:val="22"/>
                <w:lang w:val="en-GB"/>
              </w:rPr>
            </w:pPr>
          </w:p>
        </w:tc>
        <w:tc>
          <w:tcPr>
            <w:tcW w:w="1448" w:type="dxa"/>
            <w:tcBorders>
              <w:top w:val="nil"/>
              <w:bottom w:val="single" w:sz="4" w:space="0" w:color="auto"/>
            </w:tcBorders>
            <w:shd w:val="clear" w:color="auto" w:fill="auto"/>
          </w:tcPr>
          <w:p w14:paraId="7C331757" w14:textId="77777777" w:rsidR="008F369D" w:rsidRPr="00F638AF" w:rsidRDefault="008F369D" w:rsidP="008919D7">
            <w:pPr>
              <w:pStyle w:val="TextTi10"/>
              <w:keepNext/>
              <w:keepLines/>
              <w:jc w:val="center"/>
              <w:rPr>
                <w:sz w:val="22"/>
                <w:szCs w:val="22"/>
                <w:lang w:val="en-GB"/>
              </w:rPr>
            </w:pPr>
          </w:p>
        </w:tc>
        <w:tc>
          <w:tcPr>
            <w:tcW w:w="1379" w:type="dxa"/>
            <w:tcBorders>
              <w:top w:val="nil"/>
              <w:bottom w:val="single" w:sz="4" w:space="0" w:color="auto"/>
            </w:tcBorders>
            <w:shd w:val="clear" w:color="auto" w:fill="auto"/>
          </w:tcPr>
          <w:p w14:paraId="7C331758" w14:textId="77777777" w:rsidR="008F369D" w:rsidRPr="00F638AF" w:rsidRDefault="008F369D" w:rsidP="008919D7">
            <w:pPr>
              <w:pStyle w:val="TextTi10"/>
              <w:keepNext/>
              <w:keepLines/>
              <w:jc w:val="center"/>
              <w:rPr>
                <w:sz w:val="22"/>
                <w:szCs w:val="22"/>
                <w:lang w:val="en-GB"/>
              </w:rPr>
            </w:pPr>
          </w:p>
        </w:tc>
        <w:tc>
          <w:tcPr>
            <w:tcW w:w="1283" w:type="dxa"/>
            <w:tcBorders>
              <w:top w:val="nil"/>
              <w:bottom w:val="single" w:sz="4" w:space="0" w:color="auto"/>
            </w:tcBorders>
            <w:shd w:val="clear" w:color="auto" w:fill="auto"/>
          </w:tcPr>
          <w:p w14:paraId="7C331759" w14:textId="77777777" w:rsidR="008F369D" w:rsidRPr="00F638AF" w:rsidRDefault="008F369D" w:rsidP="008919D7">
            <w:pPr>
              <w:pStyle w:val="TextTi10"/>
              <w:keepNext/>
              <w:keepLines/>
              <w:jc w:val="center"/>
              <w:rPr>
                <w:sz w:val="22"/>
                <w:szCs w:val="22"/>
                <w:lang w:val="en-GB"/>
              </w:rPr>
            </w:pPr>
          </w:p>
        </w:tc>
        <w:tc>
          <w:tcPr>
            <w:tcW w:w="1424" w:type="dxa"/>
            <w:tcBorders>
              <w:top w:val="nil"/>
              <w:bottom w:val="single" w:sz="4" w:space="0" w:color="auto"/>
              <w:right w:val="single" w:sz="6" w:space="0" w:color="000000"/>
            </w:tcBorders>
            <w:shd w:val="clear" w:color="auto" w:fill="auto"/>
          </w:tcPr>
          <w:p w14:paraId="7C33175A" w14:textId="77777777" w:rsidR="008F369D" w:rsidRPr="00F638AF" w:rsidRDefault="008F369D" w:rsidP="008919D7">
            <w:pPr>
              <w:pStyle w:val="TextTi10"/>
              <w:keepNext/>
              <w:keepLines/>
              <w:jc w:val="center"/>
              <w:rPr>
                <w:sz w:val="22"/>
                <w:szCs w:val="22"/>
                <w:lang w:val="en-GB"/>
              </w:rPr>
            </w:pPr>
          </w:p>
        </w:tc>
      </w:tr>
      <w:tr w:rsidR="003A788B" w14:paraId="7C331761" w14:textId="77777777" w:rsidTr="008919D7">
        <w:trPr>
          <w:trHeight w:val="248"/>
        </w:trPr>
        <w:tc>
          <w:tcPr>
            <w:tcW w:w="3124" w:type="dxa"/>
            <w:tcBorders>
              <w:top w:val="single" w:sz="4" w:space="0" w:color="auto"/>
              <w:left w:val="single" w:sz="4" w:space="0" w:color="auto"/>
              <w:bottom w:val="nil"/>
            </w:tcBorders>
            <w:shd w:val="clear" w:color="auto" w:fill="auto"/>
          </w:tcPr>
          <w:p w14:paraId="7C33175C" w14:textId="77777777" w:rsidR="008F369D" w:rsidRPr="00F638AF" w:rsidRDefault="00016F29" w:rsidP="008919D7">
            <w:pPr>
              <w:pStyle w:val="TextTi10"/>
              <w:keepNext/>
              <w:keepLines/>
              <w:rPr>
                <w:b/>
                <w:sz w:val="22"/>
                <w:szCs w:val="22"/>
                <w:lang w:val="en-GB"/>
              </w:rPr>
            </w:pPr>
            <w:r w:rsidRPr="00F638AF">
              <w:rPr>
                <w:sz w:val="22"/>
                <w:szCs w:val="22"/>
                <w:lang w:val="en-GB"/>
              </w:rPr>
              <w:t xml:space="preserve">Overall survival </w:t>
            </w:r>
          </w:p>
        </w:tc>
        <w:tc>
          <w:tcPr>
            <w:tcW w:w="1448" w:type="dxa"/>
            <w:tcBorders>
              <w:top w:val="single" w:sz="4" w:space="0" w:color="auto"/>
              <w:bottom w:val="nil"/>
            </w:tcBorders>
            <w:shd w:val="clear" w:color="auto" w:fill="auto"/>
          </w:tcPr>
          <w:p w14:paraId="7C33175D" w14:textId="77777777" w:rsidR="008F369D" w:rsidRPr="00F638AF" w:rsidRDefault="00016F29" w:rsidP="008919D7">
            <w:pPr>
              <w:pStyle w:val="TextTi10"/>
              <w:keepNext/>
              <w:keepLines/>
              <w:jc w:val="center"/>
              <w:rPr>
                <w:sz w:val="22"/>
                <w:szCs w:val="22"/>
                <w:lang w:val="en-GB"/>
              </w:rPr>
            </w:pPr>
            <w:r w:rsidRPr="00F638AF">
              <w:rPr>
                <w:sz w:val="22"/>
                <w:szCs w:val="22"/>
                <w:lang w:val="en-GB"/>
              </w:rPr>
              <w:t>51.9</w:t>
            </w:r>
          </w:p>
        </w:tc>
        <w:tc>
          <w:tcPr>
            <w:tcW w:w="1379" w:type="dxa"/>
            <w:tcBorders>
              <w:top w:val="single" w:sz="4" w:space="0" w:color="auto"/>
              <w:bottom w:val="nil"/>
            </w:tcBorders>
            <w:shd w:val="clear" w:color="auto" w:fill="auto"/>
          </w:tcPr>
          <w:p w14:paraId="7C33175E" w14:textId="77777777" w:rsidR="008F369D" w:rsidRPr="00F638AF" w:rsidRDefault="00016F29" w:rsidP="008919D7">
            <w:pPr>
              <w:pStyle w:val="TextTi10"/>
              <w:keepNext/>
              <w:keepLines/>
              <w:jc w:val="center"/>
              <w:rPr>
                <w:sz w:val="22"/>
                <w:szCs w:val="22"/>
                <w:lang w:val="en-GB"/>
              </w:rPr>
            </w:pPr>
            <w:r w:rsidRPr="00F638AF">
              <w:rPr>
                <w:sz w:val="22"/>
                <w:szCs w:val="22"/>
                <w:lang w:val="en-GB"/>
              </w:rPr>
              <w:t>NR</w:t>
            </w:r>
          </w:p>
        </w:tc>
        <w:tc>
          <w:tcPr>
            <w:tcW w:w="1283" w:type="dxa"/>
            <w:tcBorders>
              <w:top w:val="single" w:sz="4" w:space="0" w:color="auto"/>
              <w:bottom w:val="nil"/>
            </w:tcBorders>
            <w:shd w:val="clear" w:color="auto" w:fill="auto"/>
          </w:tcPr>
          <w:p w14:paraId="7C33175F" w14:textId="77777777" w:rsidR="008F369D" w:rsidRPr="00F638AF" w:rsidRDefault="00016F29" w:rsidP="008919D7">
            <w:pPr>
              <w:pStyle w:val="TextTi10"/>
              <w:keepNext/>
              <w:keepLines/>
              <w:jc w:val="center"/>
              <w:rPr>
                <w:sz w:val="22"/>
                <w:szCs w:val="22"/>
                <w:lang w:val="en-GB"/>
              </w:rPr>
            </w:pPr>
            <w:r w:rsidRPr="00F638AF">
              <w:rPr>
                <w:sz w:val="22"/>
                <w:szCs w:val="22"/>
                <w:lang w:val="en-GB"/>
              </w:rPr>
              <w:t>0.2874</w:t>
            </w:r>
          </w:p>
        </w:tc>
        <w:tc>
          <w:tcPr>
            <w:tcW w:w="1424" w:type="dxa"/>
            <w:tcBorders>
              <w:top w:val="single" w:sz="4" w:space="0" w:color="auto"/>
              <w:bottom w:val="nil"/>
              <w:right w:val="single" w:sz="6" w:space="0" w:color="000000"/>
            </w:tcBorders>
            <w:shd w:val="clear" w:color="auto" w:fill="auto"/>
          </w:tcPr>
          <w:p w14:paraId="7C331760" w14:textId="77777777" w:rsidR="008F369D" w:rsidRPr="00F638AF" w:rsidRDefault="00016F29" w:rsidP="008919D7">
            <w:pPr>
              <w:pStyle w:val="TextTi10"/>
              <w:keepNext/>
              <w:keepLines/>
              <w:jc w:val="center"/>
              <w:rPr>
                <w:sz w:val="22"/>
                <w:szCs w:val="22"/>
                <w:lang w:val="en-GB"/>
              </w:rPr>
            </w:pPr>
            <w:r w:rsidRPr="00F638AF">
              <w:rPr>
                <w:sz w:val="22"/>
                <w:szCs w:val="22"/>
                <w:lang w:val="en-GB"/>
              </w:rPr>
              <w:t>17%</w:t>
            </w:r>
          </w:p>
        </w:tc>
      </w:tr>
      <w:tr w:rsidR="003A788B" w14:paraId="7C331767" w14:textId="77777777" w:rsidTr="008919D7">
        <w:trPr>
          <w:trHeight w:val="263"/>
        </w:trPr>
        <w:tc>
          <w:tcPr>
            <w:tcW w:w="3124" w:type="dxa"/>
            <w:tcBorders>
              <w:top w:val="nil"/>
              <w:left w:val="single" w:sz="4" w:space="0" w:color="auto"/>
              <w:bottom w:val="single" w:sz="4" w:space="0" w:color="auto"/>
            </w:tcBorders>
            <w:shd w:val="clear" w:color="auto" w:fill="auto"/>
          </w:tcPr>
          <w:p w14:paraId="7C331762" w14:textId="77777777" w:rsidR="008F369D" w:rsidRPr="00F638AF" w:rsidRDefault="008F369D" w:rsidP="008919D7">
            <w:pPr>
              <w:pStyle w:val="TextTi10"/>
              <w:keepNext/>
              <w:keepLines/>
              <w:jc w:val="right"/>
              <w:rPr>
                <w:sz w:val="22"/>
                <w:szCs w:val="22"/>
                <w:lang w:val="en-GB"/>
              </w:rPr>
            </w:pPr>
          </w:p>
        </w:tc>
        <w:tc>
          <w:tcPr>
            <w:tcW w:w="1448" w:type="dxa"/>
            <w:tcBorders>
              <w:top w:val="nil"/>
              <w:bottom w:val="single" w:sz="4" w:space="0" w:color="auto"/>
            </w:tcBorders>
            <w:shd w:val="clear" w:color="auto" w:fill="auto"/>
          </w:tcPr>
          <w:p w14:paraId="7C331763" w14:textId="77777777" w:rsidR="008F369D" w:rsidRPr="00F638AF" w:rsidRDefault="008F369D" w:rsidP="008919D7">
            <w:pPr>
              <w:pStyle w:val="TextTi10"/>
              <w:keepNext/>
              <w:keepLines/>
              <w:jc w:val="center"/>
              <w:rPr>
                <w:sz w:val="22"/>
                <w:szCs w:val="22"/>
                <w:lang w:val="en-GB"/>
              </w:rPr>
            </w:pPr>
          </w:p>
        </w:tc>
        <w:tc>
          <w:tcPr>
            <w:tcW w:w="1379" w:type="dxa"/>
            <w:tcBorders>
              <w:top w:val="nil"/>
              <w:bottom w:val="single" w:sz="4" w:space="0" w:color="auto"/>
            </w:tcBorders>
            <w:shd w:val="clear" w:color="auto" w:fill="auto"/>
          </w:tcPr>
          <w:p w14:paraId="7C331764" w14:textId="77777777" w:rsidR="008F369D" w:rsidRPr="00F638AF" w:rsidRDefault="008F369D" w:rsidP="008919D7">
            <w:pPr>
              <w:pStyle w:val="TextTi10"/>
              <w:keepNext/>
              <w:keepLines/>
              <w:jc w:val="center"/>
              <w:rPr>
                <w:sz w:val="22"/>
                <w:szCs w:val="22"/>
                <w:lang w:val="en-GB"/>
              </w:rPr>
            </w:pPr>
          </w:p>
        </w:tc>
        <w:tc>
          <w:tcPr>
            <w:tcW w:w="1283" w:type="dxa"/>
            <w:tcBorders>
              <w:top w:val="nil"/>
              <w:bottom w:val="single" w:sz="4" w:space="0" w:color="auto"/>
            </w:tcBorders>
            <w:shd w:val="clear" w:color="auto" w:fill="auto"/>
          </w:tcPr>
          <w:p w14:paraId="7C331765" w14:textId="77777777" w:rsidR="008F369D" w:rsidRPr="00F638AF" w:rsidRDefault="008F369D" w:rsidP="008919D7">
            <w:pPr>
              <w:pStyle w:val="TextTi10"/>
              <w:keepNext/>
              <w:keepLines/>
              <w:jc w:val="center"/>
              <w:rPr>
                <w:sz w:val="22"/>
                <w:szCs w:val="22"/>
                <w:lang w:val="en-GB"/>
              </w:rPr>
            </w:pPr>
          </w:p>
        </w:tc>
        <w:tc>
          <w:tcPr>
            <w:tcW w:w="1424" w:type="dxa"/>
            <w:tcBorders>
              <w:top w:val="nil"/>
              <w:bottom w:val="single" w:sz="4" w:space="0" w:color="auto"/>
              <w:right w:val="single" w:sz="6" w:space="0" w:color="000000"/>
            </w:tcBorders>
            <w:shd w:val="clear" w:color="auto" w:fill="auto"/>
          </w:tcPr>
          <w:p w14:paraId="7C331766" w14:textId="77777777" w:rsidR="008F369D" w:rsidRPr="00F638AF" w:rsidRDefault="008F369D" w:rsidP="008919D7">
            <w:pPr>
              <w:pStyle w:val="TextTi10"/>
              <w:keepNext/>
              <w:keepLines/>
              <w:jc w:val="center"/>
              <w:rPr>
                <w:sz w:val="22"/>
                <w:szCs w:val="22"/>
                <w:lang w:val="en-GB"/>
              </w:rPr>
            </w:pPr>
          </w:p>
        </w:tc>
      </w:tr>
      <w:tr w:rsidR="003A788B" w14:paraId="7C33176D" w14:textId="77777777" w:rsidTr="008919D7">
        <w:trPr>
          <w:trHeight w:val="561"/>
        </w:trPr>
        <w:tc>
          <w:tcPr>
            <w:tcW w:w="3124" w:type="dxa"/>
            <w:tcBorders>
              <w:top w:val="single" w:sz="4" w:space="0" w:color="auto"/>
              <w:left w:val="single" w:sz="4" w:space="0" w:color="auto"/>
              <w:bottom w:val="nil"/>
            </w:tcBorders>
            <w:shd w:val="clear" w:color="auto" w:fill="auto"/>
          </w:tcPr>
          <w:p w14:paraId="7C331768" w14:textId="77777777" w:rsidR="008F369D" w:rsidRPr="00F638AF" w:rsidRDefault="00016F29" w:rsidP="00FC6974">
            <w:pPr>
              <w:pStyle w:val="TextTi10"/>
              <w:keepNext/>
              <w:keepLines/>
              <w:rPr>
                <w:sz w:val="22"/>
                <w:szCs w:val="22"/>
                <w:lang w:val="en-GB"/>
              </w:rPr>
            </w:pPr>
            <w:r w:rsidRPr="00F638AF">
              <w:rPr>
                <w:sz w:val="22"/>
                <w:szCs w:val="22"/>
                <w:lang w:val="en-GB"/>
              </w:rPr>
              <w:t>Event free survival</w:t>
            </w:r>
          </w:p>
        </w:tc>
        <w:tc>
          <w:tcPr>
            <w:tcW w:w="1448" w:type="dxa"/>
            <w:tcBorders>
              <w:top w:val="single" w:sz="4" w:space="0" w:color="auto"/>
              <w:bottom w:val="nil"/>
            </w:tcBorders>
            <w:shd w:val="clear" w:color="auto" w:fill="auto"/>
          </w:tcPr>
          <w:p w14:paraId="7C331769" w14:textId="77777777" w:rsidR="008F369D" w:rsidRPr="00F638AF" w:rsidRDefault="00016F29" w:rsidP="008919D7">
            <w:pPr>
              <w:pStyle w:val="TextTi10"/>
              <w:keepNext/>
              <w:keepLines/>
              <w:jc w:val="center"/>
              <w:rPr>
                <w:sz w:val="22"/>
                <w:szCs w:val="22"/>
                <w:lang w:val="en-GB"/>
              </w:rPr>
            </w:pPr>
            <w:r w:rsidRPr="00F638AF">
              <w:rPr>
                <w:sz w:val="22"/>
                <w:szCs w:val="22"/>
                <w:lang w:val="en-GB"/>
              </w:rPr>
              <w:t>19.3</w:t>
            </w:r>
          </w:p>
        </w:tc>
        <w:tc>
          <w:tcPr>
            <w:tcW w:w="1379" w:type="dxa"/>
            <w:tcBorders>
              <w:top w:val="single" w:sz="4" w:space="0" w:color="auto"/>
              <w:bottom w:val="nil"/>
            </w:tcBorders>
            <w:shd w:val="clear" w:color="auto" w:fill="auto"/>
          </w:tcPr>
          <w:p w14:paraId="7C33176A" w14:textId="77777777" w:rsidR="008F369D" w:rsidRPr="00F638AF" w:rsidRDefault="00016F29" w:rsidP="008919D7">
            <w:pPr>
              <w:pStyle w:val="TextTi10"/>
              <w:keepNext/>
              <w:keepLines/>
              <w:jc w:val="center"/>
              <w:rPr>
                <w:sz w:val="22"/>
                <w:szCs w:val="22"/>
                <w:lang w:val="en-GB"/>
              </w:rPr>
            </w:pPr>
            <w:r w:rsidRPr="00F638AF">
              <w:rPr>
                <w:sz w:val="22"/>
                <w:szCs w:val="22"/>
                <w:lang w:val="en-GB"/>
              </w:rPr>
              <w:t>28.7</w:t>
            </w:r>
          </w:p>
        </w:tc>
        <w:tc>
          <w:tcPr>
            <w:tcW w:w="1283" w:type="dxa"/>
            <w:tcBorders>
              <w:top w:val="single" w:sz="4" w:space="0" w:color="auto"/>
              <w:bottom w:val="nil"/>
            </w:tcBorders>
            <w:shd w:val="clear" w:color="auto" w:fill="auto"/>
          </w:tcPr>
          <w:p w14:paraId="7C33176B" w14:textId="77777777" w:rsidR="008F369D" w:rsidRPr="00F638AF" w:rsidRDefault="00016F29" w:rsidP="008919D7">
            <w:pPr>
              <w:pStyle w:val="TextTi10"/>
              <w:keepNext/>
              <w:keepLines/>
              <w:jc w:val="center"/>
              <w:rPr>
                <w:sz w:val="22"/>
                <w:szCs w:val="22"/>
                <w:lang w:val="en-GB"/>
              </w:rPr>
            </w:pPr>
            <w:r w:rsidRPr="00F638AF">
              <w:rPr>
                <w:sz w:val="22"/>
                <w:szCs w:val="22"/>
                <w:lang w:val="en-GB"/>
              </w:rPr>
              <w:t>0.0002</w:t>
            </w:r>
          </w:p>
        </w:tc>
        <w:tc>
          <w:tcPr>
            <w:tcW w:w="1424" w:type="dxa"/>
            <w:tcBorders>
              <w:top w:val="single" w:sz="4" w:space="0" w:color="auto"/>
              <w:bottom w:val="nil"/>
              <w:right w:val="single" w:sz="6" w:space="0" w:color="000000"/>
            </w:tcBorders>
            <w:shd w:val="clear" w:color="auto" w:fill="auto"/>
          </w:tcPr>
          <w:p w14:paraId="7C33176C" w14:textId="77777777" w:rsidR="008F369D" w:rsidRPr="00F638AF" w:rsidRDefault="00016F29" w:rsidP="008919D7">
            <w:pPr>
              <w:pStyle w:val="TextTi10"/>
              <w:keepNext/>
              <w:keepLines/>
              <w:jc w:val="center"/>
              <w:rPr>
                <w:sz w:val="22"/>
                <w:szCs w:val="22"/>
                <w:lang w:val="en-GB"/>
              </w:rPr>
            </w:pPr>
            <w:r w:rsidRPr="00F638AF">
              <w:rPr>
                <w:sz w:val="22"/>
                <w:szCs w:val="22"/>
                <w:lang w:val="en-GB"/>
              </w:rPr>
              <w:t>36%</w:t>
            </w:r>
          </w:p>
        </w:tc>
      </w:tr>
      <w:tr w:rsidR="003A788B" w14:paraId="7C331773" w14:textId="77777777" w:rsidTr="008919D7">
        <w:trPr>
          <w:trHeight w:val="561"/>
        </w:trPr>
        <w:tc>
          <w:tcPr>
            <w:tcW w:w="3124" w:type="dxa"/>
            <w:tcBorders>
              <w:top w:val="single" w:sz="4" w:space="0" w:color="auto"/>
              <w:left w:val="single" w:sz="4" w:space="0" w:color="auto"/>
              <w:bottom w:val="nil"/>
            </w:tcBorders>
            <w:shd w:val="clear" w:color="auto" w:fill="auto"/>
          </w:tcPr>
          <w:p w14:paraId="7C33176E" w14:textId="77777777" w:rsidR="008F369D" w:rsidRPr="00F638AF" w:rsidRDefault="00016F29" w:rsidP="008919D7">
            <w:pPr>
              <w:pStyle w:val="TextTi10"/>
              <w:keepNext/>
              <w:keepLines/>
              <w:rPr>
                <w:sz w:val="22"/>
                <w:szCs w:val="22"/>
                <w:lang w:val="en-GB"/>
              </w:rPr>
            </w:pPr>
            <w:r w:rsidRPr="00F638AF">
              <w:rPr>
                <w:sz w:val="22"/>
                <w:szCs w:val="22"/>
                <w:lang w:val="en-GB"/>
              </w:rPr>
              <w:t>Response rate (CR, nPR, or PR)</w:t>
            </w:r>
          </w:p>
        </w:tc>
        <w:tc>
          <w:tcPr>
            <w:tcW w:w="1448" w:type="dxa"/>
            <w:tcBorders>
              <w:top w:val="single" w:sz="4" w:space="0" w:color="auto"/>
              <w:bottom w:val="nil"/>
            </w:tcBorders>
            <w:shd w:val="clear" w:color="auto" w:fill="auto"/>
          </w:tcPr>
          <w:p w14:paraId="7C33176F" w14:textId="77777777" w:rsidR="008F369D" w:rsidRPr="00F638AF" w:rsidRDefault="00016F29" w:rsidP="008919D7">
            <w:pPr>
              <w:pStyle w:val="TextTi10"/>
              <w:keepNext/>
              <w:keepLines/>
              <w:jc w:val="center"/>
              <w:rPr>
                <w:sz w:val="22"/>
                <w:szCs w:val="22"/>
                <w:lang w:val="en-GB"/>
              </w:rPr>
            </w:pPr>
            <w:r w:rsidRPr="00F638AF">
              <w:rPr>
                <w:sz w:val="22"/>
                <w:szCs w:val="22"/>
                <w:lang w:val="en-GB"/>
              </w:rPr>
              <w:t>58.0%</w:t>
            </w:r>
          </w:p>
        </w:tc>
        <w:tc>
          <w:tcPr>
            <w:tcW w:w="1379" w:type="dxa"/>
            <w:tcBorders>
              <w:top w:val="single" w:sz="4" w:space="0" w:color="auto"/>
              <w:bottom w:val="nil"/>
            </w:tcBorders>
            <w:shd w:val="clear" w:color="auto" w:fill="auto"/>
          </w:tcPr>
          <w:p w14:paraId="7C331770" w14:textId="77777777" w:rsidR="008F369D" w:rsidRPr="00F638AF" w:rsidRDefault="00016F29" w:rsidP="008919D7">
            <w:pPr>
              <w:pStyle w:val="TextTi10"/>
              <w:keepNext/>
              <w:keepLines/>
              <w:jc w:val="center"/>
              <w:rPr>
                <w:sz w:val="22"/>
                <w:szCs w:val="22"/>
                <w:lang w:val="en-GB"/>
              </w:rPr>
            </w:pPr>
            <w:r w:rsidRPr="00F638AF">
              <w:rPr>
                <w:sz w:val="22"/>
                <w:szCs w:val="22"/>
                <w:lang w:val="en-GB"/>
              </w:rPr>
              <w:t>69.9%</w:t>
            </w:r>
          </w:p>
        </w:tc>
        <w:tc>
          <w:tcPr>
            <w:tcW w:w="1283" w:type="dxa"/>
            <w:tcBorders>
              <w:top w:val="single" w:sz="4" w:space="0" w:color="auto"/>
              <w:bottom w:val="nil"/>
            </w:tcBorders>
            <w:shd w:val="clear" w:color="auto" w:fill="auto"/>
          </w:tcPr>
          <w:p w14:paraId="7C331771" w14:textId="77777777" w:rsidR="008F369D" w:rsidRPr="00F638AF" w:rsidRDefault="00016F29" w:rsidP="008919D7">
            <w:pPr>
              <w:pStyle w:val="TextTi10"/>
              <w:keepNext/>
              <w:keepLines/>
              <w:jc w:val="center"/>
              <w:rPr>
                <w:sz w:val="22"/>
                <w:szCs w:val="22"/>
                <w:lang w:val="en-GB"/>
              </w:rPr>
            </w:pPr>
            <w:r w:rsidRPr="00F638AF">
              <w:rPr>
                <w:sz w:val="22"/>
                <w:szCs w:val="22"/>
                <w:lang w:val="en-GB"/>
              </w:rPr>
              <w:t>0.0034</w:t>
            </w:r>
          </w:p>
        </w:tc>
        <w:tc>
          <w:tcPr>
            <w:tcW w:w="1424" w:type="dxa"/>
            <w:tcBorders>
              <w:top w:val="single" w:sz="4" w:space="0" w:color="auto"/>
              <w:bottom w:val="nil"/>
              <w:right w:val="single" w:sz="6" w:space="0" w:color="000000"/>
            </w:tcBorders>
            <w:shd w:val="clear" w:color="auto" w:fill="auto"/>
          </w:tcPr>
          <w:p w14:paraId="7C331772" w14:textId="77777777" w:rsidR="008F369D" w:rsidRPr="00F638AF" w:rsidRDefault="00016F29" w:rsidP="008919D7">
            <w:pPr>
              <w:pStyle w:val="TextTi10"/>
              <w:keepNext/>
              <w:keepLines/>
              <w:jc w:val="center"/>
              <w:rPr>
                <w:sz w:val="22"/>
                <w:szCs w:val="22"/>
                <w:lang w:val="en-GB"/>
              </w:rPr>
            </w:pPr>
            <w:r w:rsidRPr="00F638AF">
              <w:rPr>
                <w:sz w:val="22"/>
                <w:szCs w:val="22"/>
                <w:lang w:val="en-GB"/>
              </w:rPr>
              <w:t>n.a.</w:t>
            </w:r>
          </w:p>
        </w:tc>
      </w:tr>
      <w:tr w:rsidR="003A788B" w14:paraId="7C331779" w14:textId="77777777" w:rsidTr="008919D7">
        <w:trPr>
          <w:trHeight w:val="535"/>
        </w:trPr>
        <w:tc>
          <w:tcPr>
            <w:tcW w:w="3124" w:type="dxa"/>
            <w:tcBorders>
              <w:left w:val="single" w:sz="4" w:space="0" w:color="auto"/>
              <w:bottom w:val="nil"/>
            </w:tcBorders>
            <w:shd w:val="clear" w:color="auto" w:fill="auto"/>
          </w:tcPr>
          <w:p w14:paraId="7C331774" w14:textId="77777777" w:rsidR="008F369D" w:rsidRPr="00F638AF" w:rsidRDefault="00016F29" w:rsidP="008919D7">
            <w:pPr>
              <w:pStyle w:val="TextTi10"/>
              <w:keepNext/>
              <w:keepLines/>
              <w:jc w:val="right"/>
              <w:rPr>
                <w:sz w:val="22"/>
                <w:szCs w:val="22"/>
                <w:lang w:val="en-GB"/>
              </w:rPr>
            </w:pPr>
            <w:r w:rsidRPr="00F638AF">
              <w:rPr>
                <w:sz w:val="22"/>
                <w:szCs w:val="22"/>
                <w:lang w:val="en-GB"/>
              </w:rPr>
              <w:t>CR rates</w:t>
            </w:r>
          </w:p>
        </w:tc>
        <w:tc>
          <w:tcPr>
            <w:tcW w:w="1448" w:type="dxa"/>
            <w:tcBorders>
              <w:bottom w:val="nil"/>
            </w:tcBorders>
            <w:shd w:val="clear" w:color="auto" w:fill="auto"/>
          </w:tcPr>
          <w:p w14:paraId="7C331775" w14:textId="77777777" w:rsidR="008F369D" w:rsidRPr="00F638AF" w:rsidRDefault="00016F29" w:rsidP="008919D7">
            <w:pPr>
              <w:pStyle w:val="TextTi10"/>
              <w:keepNext/>
              <w:keepLines/>
              <w:jc w:val="center"/>
              <w:rPr>
                <w:sz w:val="22"/>
                <w:szCs w:val="22"/>
                <w:lang w:val="en-GB"/>
              </w:rPr>
            </w:pPr>
            <w:r w:rsidRPr="00F638AF">
              <w:rPr>
                <w:sz w:val="22"/>
                <w:szCs w:val="22"/>
                <w:lang w:val="en-GB"/>
              </w:rPr>
              <w:t>13.0%</w:t>
            </w:r>
          </w:p>
        </w:tc>
        <w:tc>
          <w:tcPr>
            <w:tcW w:w="1379" w:type="dxa"/>
            <w:tcBorders>
              <w:bottom w:val="nil"/>
            </w:tcBorders>
            <w:shd w:val="clear" w:color="auto" w:fill="auto"/>
          </w:tcPr>
          <w:p w14:paraId="7C331776" w14:textId="77777777" w:rsidR="008F369D" w:rsidRPr="00F638AF" w:rsidRDefault="00016F29" w:rsidP="008919D7">
            <w:pPr>
              <w:pStyle w:val="TextTi10"/>
              <w:keepNext/>
              <w:keepLines/>
              <w:jc w:val="center"/>
              <w:rPr>
                <w:sz w:val="22"/>
                <w:szCs w:val="22"/>
                <w:lang w:val="en-GB"/>
              </w:rPr>
            </w:pPr>
            <w:r w:rsidRPr="00F638AF">
              <w:rPr>
                <w:sz w:val="22"/>
                <w:szCs w:val="22"/>
                <w:lang w:val="en-GB"/>
              </w:rPr>
              <w:t>24.3%</w:t>
            </w:r>
          </w:p>
        </w:tc>
        <w:tc>
          <w:tcPr>
            <w:tcW w:w="1283" w:type="dxa"/>
            <w:tcBorders>
              <w:bottom w:val="nil"/>
            </w:tcBorders>
            <w:shd w:val="clear" w:color="auto" w:fill="auto"/>
          </w:tcPr>
          <w:p w14:paraId="7C331777" w14:textId="77777777" w:rsidR="008F369D" w:rsidRPr="00F638AF" w:rsidRDefault="00016F29" w:rsidP="008919D7">
            <w:pPr>
              <w:pStyle w:val="TextTi10"/>
              <w:keepNext/>
              <w:keepLines/>
              <w:jc w:val="center"/>
              <w:rPr>
                <w:sz w:val="22"/>
                <w:szCs w:val="22"/>
                <w:lang w:val="en-GB"/>
              </w:rPr>
            </w:pPr>
            <w:r w:rsidRPr="00F638AF">
              <w:rPr>
                <w:sz w:val="22"/>
                <w:szCs w:val="22"/>
                <w:lang w:val="en-GB"/>
              </w:rPr>
              <w:t xml:space="preserve">0.0007 </w:t>
            </w:r>
          </w:p>
        </w:tc>
        <w:tc>
          <w:tcPr>
            <w:tcW w:w="1424" w:type="dxa"/>
            <w:tcBorders>
              <w:bottom w:val="nil"/>
              <w:right w:val="single" w:sz="6" w:space="0" w:color="000000"/>
            </w:tcBorders>
            <w:shd w:val="clear" w:color="auto" w:fill="auto"/>
          </w:tcPr>
          <w:p w14:paraId="7C331778" w14:textId="77777777" w:rsidR="008F369D" w:rsidRPr="00F638AF" w:rsidRDefault="00016F29" w:rsidP="008919D7">
            <w:pPr>
              <w:pStyle w:val="TextTi10"/>
              <w:keepNext/>
              <w:keepLines/>
              <w:jc w:val="center"/>
              <w:rPr>
                <w:sz w:val="22"/>
                <w:szCs w:val="22"/>
                <w:lang w:val="en-GB"/>
              </w:rPr>
            </w:pPr>
            <w:r w:rsidRPr="00F638AF">
              <w:rPr>
                <w:sz w:val="22"/>
                <w:szCs w:val="22"/>
                <w:lang w:val="en-GB"/>
              </w:rPr>
              <w:t>n.a.</w:t>
            </w:r>
          </w:p>
        </w:tc>
      </w:tr>
      <w:tr w:rsidR="003A788B" w14:paraId="7C33177F" w14:textId="77777777" w:rsidTr="008919D7">
        <w:trPr>
          <w:trHeight w:val="263"/>
        </w:trPr>
        <w:tc>
          <w:tcPr>
            <w:tcW w:w="3124" w:type="dxa"/>
            <w:tcBorders>
              <w:top w:val="nil"/>
              <w:left w:val="single" w:sz="4" w:space="0" w:color="auto"/>
              <w:bottom w:val="nil"/>
            </w:tcBorders>
            <w:shd w:val="clear" w:color="auto" w:fill="auto"/>
          </w:tcPr>
          <w:p w14:paraId="7C33177A" w14:textId="77777777" w:rsidR="008F369D" w:rsidRPr="00F638AF" w:rsidRDefault="00016F29" w:rsidP="008919D7">
            <w:pPr>
              <w:pStyle w:val="TextTi10"/>
              <w:keepNext/>
              <w:keepLines/>
              <w:rPr>
                <w:sz w:val="22"/>
                <w:szCs w:val="22"/>
                <w:lang w:val="en-GB"/>
              </w:rPr>
            </w:pPr>
            <w:r w:rsidRPr="00F638AF">
              <w:rPr>
                <w:sz w:val="22"/>
                <w:szCs w:val="22"/>
                <w:lang w:val="en-GB"/>
              </w:rPr>
              <w:t xml:space="preserve"> Duration of response </w:t>
            </w:r>
            <w:r w:rsidRPr="00F638AF">
              <w:rPr>
                <w:noProof/>
                <w:lang w:val="en-GB"/>
              </w:rPr>
              <w:t>*</w:t>
            </w:r>
          </w:p>
        </w:tc>
        <w:tc>
          <w:tcPr>
            <w:tcW w:w="1448" w:type="dxa"/>
            <w:tcBorders>
              <w:top w:val="nil"/>
              <w:bottom w:val="nil"/>
            </w:tcBorders>
            <w:shd w:val="clear" w:color="auto" w:fill="auto"/>
          </w:tcPr>
          <w:p w14:paraId="7C33177B" w14:textId="77777777" w:rsidR="008F369D" w:rsidRPr="00F638AF" w:rsidRDefault="00016F29" w:rsidP="008919D7">
            <w:pPr>
              <w:pStyle w:val="TextTi10"/>
              <w:keepNext/>
              <w:keepLines/>
              <w:jc w:val="center"/>
              <w:rPr>
                <w:sz w:val="22"/>
                <w:szCs w:val="22"/>
                <w:lang w:val="en-GB"/>
              </w:rPr>
            </w:pPr>
            <w:r w:rsidRPr="00F638AF">
              <w:rPr>
                <w:sz w:val="22"/>
                <w:szCs w:val="22"/>
                <w:lang w:val="en-GB"/>
              </w:rPr>
              <w:t>27.6</w:t>
            </w:r>
          </w:p>
        </w:tc>
        <w:tc>
          <w:tcPr>
            <w:tcW w:w="1379" w:type="dxa"/>
            <w:tcBorders>
              <w:top w:val="nil"/>
              <w:bottom w:val="nil"/>
            </w:tcBorders>
            <w:shd w:val="clear" w:color="auto" w:fill="auto"/>
          </w:tcPr>
          <w:p w14:paraId="7C33177C" w14:textId="77777777" w:rsidR="008F369D" w:rsidRPr="00F638AF" w:rsidRDefault="00016F29" w:rsidP="008919D7">
            <w:pPr>
              <w:pStyle w:val="TextTi10"/>
              <w:keepNext/>
              <w:keepLines/>
              <w:jc w:val="center"/>
              <w:rPr>
                <w:sz w:val="22"/>
                <w:szCs w:val="22"/>
                <w:lang w:val="en-GB"/>
              </w:rPr>
            </w:pPr>
            <w:r w:rsidRPr="00F638AF">
              <w:rPr>
                <w:sz w:val="22"/>
                <w:szCs w:val="22"/>
                <w:lang w:val="en-GB"/>
              </w:rPr>
              <w:t>39.6</w:t>
            </w:r>
          </w:p>
        </w:tc>
        <w:tc>
          <w:tcPr>
            <w:tcW w:w="1283" w:type="dxa"/>
            <w:tcBorders>
              <w:top w:val="nil"/>
              <w:bottom w:val="nil"/>
            </w:tcBorders>
            <w:shd w:val="clear" w:color="auto" w:fill="auto"/>
          </w:tcPr>
          <w:p w14:paraId="7C33177D" w14:textId="77777777" w:rsidR="008F369D" w:rsidRPr="00F638AF" w:rsidRDefault="00016F29" w:rsidP="008919D7">
            <w:pPr>
              <w:pStyle w:val="TextTi10"/>
              <w:keepNext/>
              <w:keepLines/>
              <w:jc w:val="center"/>
              <w:rPr>
                <w:sz w:val="22"/>
                <w:szCs w:val="22"/>
                <w:lang w:val="en-GB"/>
              </w:rPr>
            </w:pPr>
            <w:r w:rsidRPr="00F638AF">
              <w:rPr>
                <w:sz w:val="22"/>
                <w:szCs w:val="22"/>
                <w:lang w:val="en-GB"/>
              </w:rPr>
              <w:t>0.0252</w:t>
            </w:r>
          </w:p>
        </w:tc>
        <w:tc>
          <w:tcPr>
            <w:tcW w:w="1424" w:type="dxa"/>
            <w:tcBorders>
              <w:top w:val="nil"/>
              <w:bottom w:val="nil"/>
              <w:right w:val="single" w:sz="6" w:space="0" w:color="000000"/>
            </w:tcBorders>
            <w:shd w:val="clear" w:color="auto" w:fill="auto"/>
          </w:tcPr>
          <w:p w14:paraId="7C33177E" w14:textId="77777777" w:rsidR="008F369D" w:rsidRPr="00F638AF" w:rsidRDefault="00016F29" w:rsidP="008919D7">
            <w:pPr>
              <w:pStyle w:val="TextTi10"/>
              <w:keepNext/>
              <w:keepLines/>
              <w:jc w:val="center"/>
              <w:rPr>
                <w:sz w:val="22"/>
                <w:szCs w:val="22"/>
                <w:lang w:val="en-GB"/>
              </w:rPr>
            </w:pPr>
            <w:r w:rsidRPr="00F638AF">
              <w:rPr>
                <w:sz w:val="22"/>
                <w:szCs w:val="22"/>
                <w:lang w:val="en-GB"/>
              </w:rPr>
              <w:t>31%</w:t>
            </w:r>
          </w:p>
        </w:tc>
      </w:tr>
      <w:tr w:rsidR="003A788B" w14:paraId="7C331785" w14:textId="77777777" w:rsidTr="008919D7">
        <w:trPr>
          <w:trHeight w:val="263"/>
        </w:trPr>
        <w:tc>
          <w:tcPr>
            <w:tcW w:w="3124" w:type="dxa"/>
            <w:tcBorders>
              <w:top w:val="nil"/>
              <w:left w:val="single" w:sz="4" w:space="0" w:color="auto"/>
              <w:bottom w:val="nil"/>
            </w:tcBorders>
            <w:shd w:val="clear" w:color="auto" w:fill="auto"/>
          </w:tcPr>
          <w:p w14:paraId="7C331780" w14:textId="77777777" w:rsidR="008F369D" w:rsidRPr="00F638AF" w:rsidRDefault="00016F29" w:rsidP="008919D7">
            <w:pPr>
              <w:pStyle w:val="TextTi10"/>
              <w:keepNext/>
              <w:rPr>
                <w:sz w:val="22"/>
                <w:szCs w:val="22"/>
                <w:lang w:val="en-GB"/>
              </w:rPr>
            </w:pPr>
            <w:r w:rsidRPr="00F638AF">
              <w:rPr>
                <w:sz w:val="22"/>
                <w:szCs w:val="22"/>
                <w:lang w:val="en-GB"/>
              </w:rPr>
              <w:t>Disease free survival (DFS)**</w:t>
            </w:r>
          </w:p>
        </w:tc>
        <w:tc>
          <w:tcPr>
            <w:tcW w:w="1448" w:type="dxa"/>
            <w:tcBorders>
              <w:top w:val="nil"/>
              <w:bottom w:val="nil"/>
            </w:tcBorders>
            <w:shd w:val="clear" w:color="auto" w:fill="auto"/>
          </w:tcPr>
          <w:p w14:paraId="7C331781" w14:textId="77777777" w:rsidR="008F369D" w:rsidRPr="00F638AF" w:rsidRDefault="00016F29" w:rsidP="008919D7">
            <w:pPr>
              <w:pStyle w:val="TextTi10"/>
              <w:keepNext/>
              <w:jc w:val="center"/>
              <w:rPr>
                <w:sz w:val="22"/>
                <w:szCs w:val="22"/>
                <w:lang w:val="en-GB"/>
              </w:rPr>
            </w:pPr>
            <w:r w:rsidRPr="00F638AF">
              <w:rPr>
                <w:sz w:val="22"/>
                <w:szCs w:val="22"/>
                <w:lang w:val="en-GB"/>
              </w:rPr>
              <w:t>42.2</w:t>
            </w:r>
          </w:p>
        </w:tc>
        <w:tc>
          <w:tcPr>
            <w:tcW w:w="1379" w:type="dxa"/>
            <w:tcBorders>
              <w:top w:val="nil"/>
              <w:bottom w:val="nil"/>
            </w:tcBorders>
            <w:shd w:val="clear" w:color="auto" w:fill="auto"/>
          </w:tcPr>
          <w:p w14:paraId="7C331782" w14:textId="77777777" w:rsidR="008F369D" w:rsidRPr="00F638AF" w:rsidRDefault="00016F29" w:rsidP="008919D7">
            <w:pPr>
              <w:pStyle w:val="TextTi10"/>
              <w:keepNext/>
              <w:jc w:val="center"/>
              <w:rPr>
                <w:sz w:val="22"/>
                <w:szCs w:val="22"/>
                <w:lang w:val="en-GB"/>
              </w:rPr>
            </w:pPr>
            <w:r w:rsidRPr="00F638AF">
              <w:rPr>
                <w:sz w:val="22"/>
                <w:szCs w:val="22"/>
                <w:lang w:val="en-GB"/>
              </w:rPr>
              <w:t>39.6</w:t>
            </w:r>
          </w:p>
        </w:tc>
        <w:tc>
          <w:tcPr>
            <w:tcW w:w="1283" w:type="dxa"/>
            <w:tcBorders>
              <w:top w:val="nil"/>
              <w:bottom w:val="nil"/>
            </w:tcBorders>
            <w:shd w:val="clear" w:color="auto" w:fill="auto"/>
          </w:tcPr>
          <w:p w14:paraId="7C331783" w14:textId="77777777" w:rsidR="008F369D" w:rsidRPr="00F638AF" w:rsidRDefault="00016F29" w:rsidP="008919D7">
            <w:pPr>
              <w:pStyle w:val="TextTi10"/>
              <w:keepNext/>
              <w:jc w:val="center"/>
              <w:rPr>
                <w:sz w:val="22"/>
                <w:szCs w:val="22"/>
                <w:lang w:val="en-GB"/>
              </w:rPr>
            </w:pPr>
            <w:r w:rsidRPr="00F638AF">
              <w:rPr>
                <w:sz w:val="22"/>
                <w:szCs w:val="22"/>
                <w:lang w:val="en-GB"/>
              </w:rPr>
              <w:t>0.8842</w:t>
            </w:r>
          </w:p>
        </w:tc>
        <w:tc>
          <w:tcPr>
            <w:tcW w:w="1424" w:type="dxa"/>
            <w:tcBorders>
              <w:top w:val="nil"/>
              <w:bottom w:val="nil"/>
              <w:right w:val="single" w:sz="6" w:space="0" w:color="000000"/>
            </w:tcBorders>
            <w:shd w:val="clear" w:color="auto" w:fill="auto"/>
          </w:tcPr>
          <w:p w14:paraId="7C331784" w14:textId="77777777" w:rsidR="008F369D" w:rsidRPr="00F638AF" w:rsidRDefault="00016F29" w:rsidP="008919D7">
            <w:pPr>
              <w:pStyle w:val="TextTi10"/>
              <w:keepNext/>
              <w:jc w:val="center"/>
              <w:rPr>
                <w:sz w:val="22"/>
                <w:szCs w:val="22"/>
                <w:lang w:val="en-GB"/>
              </w:rPr>
            </w:pPr>
            <w:r w:rsidRPr="00F638AF">
              <w:rPr>
                <w:rFonts w:ascii="Cambria Math" w:hAnsi="Cambria Math" w:cs="Cambria Math"/>
                <w:sz w:val="22"/>
                <w:szCs w:val="22"/>
                <w:lang w:val="en-GB"/>
              </w:rPr>
              <w:noBreakHyphen/>
            </w:r>
            <w:r w:rsidRPr="00F638AF">
              <w:rPr>
                <w:sz w:val="22"/>
                <w:szCs w:val="22"/>
                <w:lang w:val="en-GB"/>
              </w:rPr>
              <w:t>6%</w:t>
            </w:r>
          </w:p>
        </w:tc>
      </w:tr>
      <w:tr w:rsidR="003A788B" w14:paraId="7C33178B" w14:textId="77777777" w:rsidTr="008919D7">
        <w:trPr>
          <w:trHeight w:val="526"/>
        </w:trPr>
        <w:tc>
          <w:tcPr>
            <w:tcW w:w="3124" w:type="dxa"/>
            <w:tcBorders>
              <w:top w:val="nil"/>
              <w:left w:val="single" w:sz="4" w:space="0" w:color="auto"/>
              <w:bottom w:val="single" w:sz="4" w:space="0" w:color="auto"/>
            </w:tcBorders>
            <w:shd w:val="clear" w:color="auto" w:fill="auto"/>
          </w:tcPr>
          <w:p w14:paraId="7C331786" w14:textId="77777777" w:rsidR="008F369D" w:rsidRPr="00F638AF" w:rsidRDefault="00016F29" w:rsidP="008919D7">
            <w:pPr>
              <w:pStyle w:val="TextTi10"/>
              <w:keepNext/>
              <w:rPr>
                <w:sz w:val="22"/>
                <w:szCs w:val="22"/>
                <w:lang w:val="en-GB"/>
              </w:rPr>
            </w:pPr>
            <w:r w:rsidRPr="00F638AF">
              <w:rPr>
                <w:sz w:val="22"/>
                <w:szCs w:val="22"/>
                <w:lang w:val="en-GB"/>
              </w:rPr>
              <w:t>Time to new CLL treatment</w:t>
            </w:r>
          </w:p>
        </w:tc>
        <w:tc>
          <w:tcPr>
            <w:tcW w:w="1448" w:type="dxa"/>
            <w:tcBorders>
              <w:top w:val="nil"/>
              <w:bottom w:val="single" w:sz="4" w:space="0" w:color="auto"/>
            </w:tcBorders>
            <w:shd w:val="clear" w:color="auto" w:fill="auto"/>
          </w:tcPr>
          <w:p w14:paraId="7C331787" w14:textId="77777777" w:rsidR="008F369D" w:rsidRPr="00F638AF" w:rsidRDefault="00016F29" w:rsidP="008919D7">
            <w:pPr>
              <w:pStyle w:val="TextTi10"/>
              <w:keepNext/>
              <w:jc w:val="center"/>
              <w:rPr>
                <w:sz w:val="22"/>
                <w:szCs w:val="22"/>
                <w:lang w:val="en-GB"/>
              </w:rPr>
            </w:pPr>
            <w:r w:rsidRPr="00F638AF">
              <w:rPr>
                <w:sz w:val="22"/>
                <w:szCs w:val="22"/>
                <w:lang w:val="en-GB"/>
              </w:rPr>
              <w:t>34.2</w:t>
            </w:r>
          </w:p>
        </w:tc>
        <w:tc>
          <w:tcPr>
            <w:tcW w:w="1379" w:type="dxa"/>
            <w:tcBorders>
              <w:top w:val="nil"/>
              <w:bottom w:val="single" w:sz="4" w:space="0" w:color="auto"/>
            </w:tcBorders>
            <w:shd w:val="clear" w:color="auto" w:fill="auto"/>
          </w:tcPr>
          <w:p w14:paraId="7C331788" w14:textId="77777777" w:rsidR="008F369D" w:rsidRPr="00F638AF" w:rsidRDefault="00016F29" w:rsidP="008919D7">
            <w:pPr>
              <w:pStyle w:val="TextTi10"/>
              <w:keepNext/>
              <w:jc w:val="center"/>
              <w:rPr>
                <w:sz w:val="22"/>
                <w:szCs w:val="22"/>
                <w:lang w:val="en-GB"/>
              </w:rPr>
            </w:pPr>
            <w:r w:rsidRPr="00F638AF">
              <w:rPr>
                <w:sz w:val="22"/>
                <w:szCs w:val="22"/>
                <w:lang w:val="en-GB"/>
              </w:rPr>
              <w:t>NR</w:t>
            </w:r>
          </w:p>
        </w:tc>
        <w:tc>
          <w:tcPr>
            <w:tcW w:w="1283" w:type="dxa"/>
            <w:tcBorders>
              <w:top w:val="nil"/>
              <w:bottom w:val="single" w:sz="4" w:space="0" w:color="auto"/>
            </w:tcBorders>
            <w:shd w:val="clear" w:color="auto" w:fill="auto"/>
          </w:tcPr>
          <w:p w14:paraId="7C331789" w14:textId="77777777" w:rsidR="008F369D" w:rsidRPr="00F638AF" w:rsidRDefault="00016F29" w:rsidP="008919D7">
            <w:pPr>
              <w:pStyle w:val="TextTi10"/>
              <w:keepNext/>
              <w:jc w:val="center"/>
              <w:rPr>
                <w:sz w:val="22"/>
                <w:szCs w:val="22"/>
                <w:lang w:val="en-GB"/>
              </w:rPr>
            </w:pPr>
            <w:r w:rsidRPr="00F638AF">
              <w:rPr>
                <w:sz w:val="22"/>
                <w:szCs w:val="22"/>
                <w:lang w:val="en-GB"/>
              </w:rPr>
              <w:t>0.0024</w:t>
            </w:r>
          </w:p>
        </w:tc>
        <w:tc>
          <w:tcPr>
            <w:tcW w:w="1424" w:type="dxa"/>
            <w:tcBorders>
              <w:top w:val="nil"/>
              <w:bottom w:val="single" w:sz="4" w:space="0" w:color="auto"/>
              <w:right w:val="single" w:sz="6" w:space="0" w:color="000000"/>
            </w:tcBorders>
            <w:shd w:val="clear" w:color="auto" w:fill="auto"/>
          </w:tcPr>
          <w:p w14:paraId="7C33178A" w14:textId="77777777" w:rsidR="008F369D" w:rsidRPr="00F638AF" w:rsidRDefault="00016F29" w:rsidP="008919D7">
            <w:pPr>
              <w:pStyle w:val="TextTi10"/>
              <w:keepNext/>
              <w:jc w:val="center"/>
              <w:rPr>
                <w:sz w:val="22"/>
                <w:szCs w:val="22"/>
                <w:lang w:val="en-GB"/>
              </w:rPr>
            </w:pPr>
            <w:r w:rsidRPr="00F638AF">
              <w:rPr>
                <w:sz w:val="22"/>
                <w:szCs w:val="22"/>
                <w:lang w:val="en-GB"/>
              </w:rPr>
              <w:t>35%</w:t>
            </w:r>
          </w:p>
        </w:tc>
      </w:tr>
    </w:tbl>
    <w:p w14:paraId="7C33178C" w14:textId="77777777" w:rsidR="008F369D" w:rsidRPr="00F638AF" w:rsidRDefault="00016F29" w:rsidP="008F369D">
      <w:pPr>
        <w:rPr>
          <w:i/>
          <w:sz w:val="18"/>
          <w:szCs w:val="18"/>
          <w:lang w:val="en-GB"/>
        </w:rPr>
      </w:pPr>
      <w:r w:rsidRPr="00F638AF">
        <w:rPr>
          <w:i/>
          <w:sz w:val="18"/>
          <w:szCs w:val="18"/>
          <w:lang w:val="en-GB"/>
        </w:rPr>
        <w:t>Response rate and CR rates analysed using Chi</w:t>
      </w:r>
      <w:r w:rsidR="000A6DDA" w:rsidRPr="00F638AF">
        <w:rPr>
          <w:i/>
          <w:sz w:val="18"/>
          <w:szCs w:val="18"/>
          <w:lang w:val="en-GB"/>
        </w:rPr>
        <w:noBreakHyphen/>
      </w:r>
      <w:r w:rsidRPr="00F638AF">
        <w:rPr>
          <w:i/>
          <w:sz w:val="18"/>
          <w:szCs w:val="18"/>
          <w:lang w:val="en-GB"/>
        </w:rPr>
        <w:t>squared Test.</w:t>
      </w:r>
    </w:p>
    <w:p w14:paraId="7C33178D" w14:textId="77777777" w:rsidR="008F369D" w:rsidRPr="00F638AF" w:rsidRDefault="00016F29" w:rsidP="008F369D">
      <w:pPr>
        <w:ind w:left="284" w:hanging="284"/>
        <w:rPr>
          <w:sz w:val="18"/>
          <w:szCs w:val="18"/>
          <w:lang w:val="en-GB"/>
        </w:rPr>
      </w:pPr>
      <w:r w:rsidRPr="00F638AF">
        <w:rPr>
          <w:sz w:val="18"/>
          <w:szCs w:val="18"/>
          <w:lang w:val="en-GB"/>
        </w:rPr>
        <w:t xml:space="preserve">*: only applicable to patients achieving a CR, nPR, PR;          NR: not reached                  n.a. not applicable </w:t>
      </w:r>
    </w:p>
    <w:p w14:paraId="7C33178E" w14:textId="77777777" w:rsidR="008F369D" w:rsidRPr="00F638AF" w:rsidRDefault="00016F29" w:rsidP="008F369D">
      <w:pPr>
        <w:ind w:left="284" w:hanging="284"/>
        <w:rPr>
          <w:noProof/>
          <w:sz w:val="18"/>
          <w:szCs w:val="18"/>
          <w:lang w:val="en-GB"/>
        </w:rPr>
      </w:pPr>
      <w:r w:rsidRPr="00F638AF">
        <w:rPr>
          <w:noProof/>
          <w:sz w:val="18"/>
          <w:szCs w:val="18"/>
          <w:lang w:val="en-GB"/>
        </w:rPr>
        <w:t xml:space="preserve">**: only applicable to patients achieving a CR;     </w:t>
      </w:r>
    </w:p>
    <w:p w14:paraId="7C33178F" w14:textId="77777777" w:rsidR="008F369D" w:rsidRPr="00F638AF" w:rsidRDefault="008F369D" w:rsidP="008F369D">
      <w:pPr>
        <w:ind w:left="851" w:hanging="851"/>
        <w:rPr>
          <w:noProof/>
          <w:lang w:val="en-GB"/>
        </w:rPr>
      </w:pPr>
    </w:p>
    <w:p w14:paraId="7C331790" w14:textId="77777777" w:rsidR="008F369D" w:rsidRPr="00F638AF" w:rsidRDefault="00016F29" w:rsidP="008F369D">
      <w:pPr>
        <w:rPr>
          <w:szCs w:val="22"/>
          <w:lang w:val="en-GB"/>
        </w:rPr>
      </w:pPr>
      <w:r w:rsidRPr="00F638AF">
        <w:rPr>
          <w:szCs w:val="22"/>
          <w:lang w:val="en-GB"/>
        </w:rPr>
        <w:t xml:space="preserve">Results from other supportive studies using MabThera in combination with other chemotherapy regimens (including CHOP, FCM, PC, PCM, </w:t>
      </w:r>
      <w:r w:rsidRPr="00F638AF">
        <w:rPr>
          <w:lang w:val="en-GB"/>
        </w:rPr>
        <w:t>bendamustine and cladribine</w:t>
      </w:r>
      <w:r w:rsidRPr="00F638AF">
        <w:rPr>
          <w:szCs w:val="22"/>
          <w:lang w:val="en-GB"/>
        </w:rPr>
        <w:t xml:space="preserve">) for the treatment of previously untreated and/or relapsed/refractory CLL patients have also demonstrated high overall response rates with </w:t>
      </w:r>
      <w:r w:rsidRPr="00F638AF">
        <w:rPr>
          <w:rStyle w:val="Emphasis"/>
          <w:i w:val="0"/>
          <w:lang w:val="en-GB"/>
        </w:rPr>
        <w:t>benefit in terms of</w:t>
      </w:r>
      <w:r w:rsidRPr="00F638AF">
        <w:rPr>
          <w:rStyle w:val="Emphasis"/>
          <w:lang w:val="en-GB"/>
        </w:rPr>
        <w:t xml:space="preserve"> </w:t>
      </w:r>
      <w:r w:rsidRPr="00F638AF">
        <w:rPr>
          <w:szCs w:val="22"/>
          <w:lang w:val="en-GB"/>
        </w:rPr>
        <w:t>PFS rates, albeit with modestly higher toxicity (especially myelotoxicity). These studies support the use of MabThera with any chemotherapy.</w:t>
      </w:r>
    </w:p>
    <w:p w14:paraId="7C331791" w14:textId="77777777" w:rsidR="008F369D" w:rsidRPr="00F638AF" w:rsidRDefault="00016F29" w:rsidP="008F369D">
      <w:pPr>
        <w:rPr>
          <w:szCs w:val="22"/>
          <w:lang w:val="en-GB"/>
        </w:rPr>
      </w:pPr>
      <w:r w:rsidRPr="00F638AF">
        <w:rPr>
          <w:szCs w:val="22"/>
          <w:lang w:val="en-GB"/>
        </w:rPr>
        <w:t>Data in approximately 180 patients pre</w:t>
      </w:r>
      <w:r w:rsidR="000A6DDA" w:rsidRPr="00F638AF">
        <w:rPr>
          <w:szCs w:val="22"/>
          <w:lang w:val="en-GB"/>
        </w:rPr>
        <w:noBreakHyphen/>
      </w:r>
      <w:r w:rsidRPr="00F638AF">
        <w:rPr>
          <w:szCs w:val="22"/>
          <w:lang w:val="en-GB"/>
        </w:rPr>
        <w:t>treated with MabThera have demonstrated clinical benefit (including CR) and are supportive for MabThera re</w:t>
      </w:r>
      <w:r w:rsidR="000A6DDA" w:rsidRPr="00F638AF">
        <w:rPr>
          <w:szCs w:val="22"/>
          <w:lang w:val="en-GB"/>
        </w:rPr>
        <w:noBreakHyphen/>
      </w:r>
      <w:r w:rsidRPr="00F638AF">
        <w:rPr>
          <w:szCs w:val="22"/>
          <w:lang w:val="en-GB"/>
        </w:rPr>
        <w:t>treatment.</w:t>
      </w:r>
    </w:p>
    <w:p w14:paraId="7C331792" w14:textId="77777777" w:rsidR="008F369D" w:rsidRPr="00F638AF" w:rsidRDefault="008F369D" w:rsidP="008F369D">
      <w:pPr>
        <w:rPr>
          <w:szCs w:val="22"/>
          <w:lang w:val="en-GB"/>
        </w:rPr>
      </w:pPr>
    </w:p>
    <w:p w14:paraId="7C331793" w14:textId="77777777" w:rsidR="008F369D" w:rsidRPr="00F638AF" w:rsidRDefault="00016F29" w:rsidP="008F369D">
      <w:pPr>
        <w:rPr>
          <w:i/>
          <w:szCs w:val="22"/>
          <w:u w:val="single"/>
          <w:lang w:val="en-GB"/>
        </w:rPr>
      </w:pPr>
      <w:r w:rsidRPr="00F638AF">
        <w:rPr>
          <w:i/>
          <w:szCs w:val="22"/>
          <w:u w:val="single"/>
          <w:lang w:val="en-GB"/>
        </w:rPr>
        <w:t>Paediatric population</w:t>
      </w:r>
    </w:p>
    <w:p w14:paraId="7C331794" w14:textId="77777777" w:rsidR="008F369D" w:rsidRPr="00F638AF" w:rsidRDefault="008F369D" w:rsidP="008F369D">
      <w:pPr>
        <w:rPr>
          <w:i/>
          <w:szCs w:val="22"/>
          <w:u w:val="single"/>
          <w:lang w:val="en-GB"/>
        </w:rPr>
      </w:pPr>
    </w:p>
    <w:p w14:paraId="7C331795" w14:textId="77777777" w:rsidR="00CB4FD7" w:rsidRPr="00F638AF" w:rsidRDefault="00016F29" w:rsidP="00CB4FD7">
      <w:pPr>
        <w:rPr>
          <w:szCs w:val="22"/>
          <w:lang w:val="en-GB" w:eastAsia="en-US"/>
        </w:rPr>
      </w:pPr>
      <w:r w:rsidRPr="00F638AF">
        <w:rPr>
          <w:szCs w:val="22"/>
          <w:lang w:val="en-GB" w:eastAsia="en-US"/>
        </w:rPr>
        <w:t>A multicenter, open-label, randomized study of Lymphome Malin B (LMB) chemotherapy (corticosteroids, vincristine, cyclophosphamide, high-dose methotrexate, cytarabine, doxorubicin, etoposide and triple drug  [methotrexate/cytarabine/ corticosteroid] intrathecal therapy) alone or in combination with MabThera was conducted in paediatric patients with previously untreated advanced stage CD20 positive DLBCL/BL/BAL/BLL. Advanced stage is defined as Stage III with elevated LDH level (“B-high”), [LDH &gt; twice the institutional upper limit of the adult normal values (&gt; Nx2)] or any stage IV or BAL. Patients were randomized to receive either LMB chemotherapy or six IV infusions of MabThera at a dose of 375mg/m</w:t>
      </w:r>
      <w:r w:rsidRPr="00F638AF">
        <w:rPr>
          <w:szCs w:val="22"/>
          <w:vertAlign w:val="superscript"/>
          <w:lang w:val="en-GB" w:eastAsia="en-US"/>
        </w:rPr>
        <w:t>2</w:t>
      </w:r>
      <w:r w:rsidRPr="00F638AF">
        <w:rPr>
          <w:szCs w:val="22"/>
          <w:lang w:val="en-GB" w:eastAsia="en-US"/>
        </w:rPr>
        <w:t xml:space="preserve"> BSA in combination with LMB chemotherapy (two during each of the two induction courses and one during each of the two consolidation courses) as per the LMB scheme. A total of 328 randomized patients were included in the efficacy analyses, of which one patient under 3 years of age received MabThera in combination with LMB chemotherapy.</w:t>
      </w:r>
    </w:p>
    <w:p w14:paraId="7C331796" w14:textId="77777777" w:rsidR="00CB4FD7" w:rsidRPr="00F638AF" w:rsidRDefault="00CB4FD7" w:rsidP="00CB4FD7">
      <w:pPr>
        <w:rPr>
          <w:szCs w:val="22"/>
          <w:lang w:val="en-GB" w:eastAsia="en-US"/>
        </w:rPr>
      </w:pPr>
    </w:p>
    <w:p w14:paraId="7C331797" w14:textId="77777777" w:rsidR="00CB4FD7" w:rsidRPr="00F638AF" w:rsidRDefault="00016F29" w:rsidP="00CB4FD7">
      <w:pPr>
        <w:rPr>
          <w:szCs w:val="22"/>
          <w:lang w:val="en-GB" w:eastAsia="en-US"/>
        </w:rPr>
      </w:pPr>
      <w:r w:rsidRPr="00F638AF">
        <w:rPr>
          <w:szCs w:val="22"/>
          <w:lang w:val="en-GB" w:eastAsia="en-US"/>
        </w:rPr>
        <w:t xml:space="preserve">The two treatment arms, LMB (LMB chemotherapy) and R-LMB (LMB chemotherapy with MabThera), were well balanced with regards to baseline characteristics.  Patients had a median age of 7 and 8 years in the LMB arm and R-LMB arm, respectively.  Approximately half of patients were in Group B (50.6% in the LMB arm and 49.4% in the R-LMB arm), 39.6% in Group C1 in both arms, and 9.8% and 11.0% were in Group C3 in the LMB and R-LMB arms, respectively.  Based on Murphy staging, most patients were either BL stage III (45.7% in the LMB arm and 43.3% in the R-LMB arm) or BAL, CNS negative (21.3% in the LMB arm and 24.4% in the R-LMB arm). Less than half of the patients (45.1% in both arms) had bone marrow involvement, and most patients (72.6% in the LMB arm and 73.2% in the R-LMB arm) had no CNS involvement. The primary efficacy endpoint was EFS, where an event was defined as occurrence of progressive disease, relapse, second malignancy, death from any cause, or non-response as evidenced by detection of viable cells in residue after the second CYVE course, whichever occurs first. The secondary efficacy endpoints were OS and CR (complete remission). </w:t>
      </w:r>
    </w:p>
    <w:p w14:paraId="7C331798" w14:textId="77777777" w:rsidR="00CB4FD7" w:rsidRPr="00F638AF" w:rsidRDefault="00CB4FD7" w:rsidP="00CB4FD7">
      <w:pPr>
        <w:rPr>
          <w:szCs w:val="22"/>
          <w:lang w:val="en-GB" w:eastAsia="en-US"/>
        </w:rPr>
      </w:pPr>
    </w:p>
    <w:p w14:paraId="7C331799" w14:textId="77777777" w:rsidR="00CB4FD7" w:rsidRPr="00F638AF" w:rsidRDefault="00016F29" w:rsidP="00CB4FD7">
      <w:pPr>
        <w:rPr>
          <w:szCs w:val="22"/>
          <w:lang w:val="en-GB" w:eastAsia="en-US"/>
        </w:rPr>
      </w:pPr>
      <w:r w:rsidRPr="00F638AF">
        <w:rPr>
          <w:szCs w:val="22"/>
          <w:lang w:val="en-GB" w:eastAsia="en-US"/>
        </w:rPr>
        <w:t xml:space="preserve">At the pre-specified interim analysis with approximately 1 year of median follow-up, clinically relevant improvement in the primary endpoint of EFS was observed, with 1-year rate estimates of 94.2% (95% CI, 88.5% - 97.2%) in the R-LMB arm vs. 81.5% (95% CI, 73.0% - 87.8%) in the LMB arm, and adjusted Cox HR 0.33 (95% CI, 0.14 – 0.79). Upon IDMC (independent data monitoring committee) recommendation based on this result, the randomization was halted and patients in the LMB arm were allowed to cross over to receive MabThera.  </w:t>
      </w:r>
    </w:p>
    <w:p w14:paraId="7C33179A" w14:textId="77777777" w:rsidR="00CB4FD7" w:rsidRPr="00F638AF" w:rsidRDefault="00CB4FD7" w:rsidP="00CB4FD7">
      <w:pPr>
        <w:rPr>
          <w:szCs w:val="22"/>
          <w:lang w:val="en-GB" w:eastAsia="en-US"/>
        </w:rPr>
      </w:pPr>
    </w:p>
    <w:p w14:paraId="7C33179B" w14:textId="77777777" w:rsidR="00CB4FD7" w:rsidRPr="00F638AF" w:rsidRDefault="00016F29" w:rsidP="00CB4FD7">
      <w:pPr>
        <w:rPr>
          <w:szCs w:val="22"/>
          <w:lang w:val="en-GB" w:eastAsia="en-US"/>
        </w:rPr>
      </w:pPr>
      <w:r w:rsidRPr="00F638AF">
        <w:rPr>
          <w:szCs w:val="22"/>
          <w:lang w:val="en-GB" w:eastAsia="en-US"/>
        </w:rPr>
        <w:t>Primary efficacy analyses were performed in 328 randomized patients with a median follow-up of 3.1 years. The results are described in Table 14.</w:t>
      </w:r>
    </w:p>
    <w:p w14:paraId="7C33179C" w14:textId="77777777" w:rsidR="00CB4FD7" w:rsidRPr="00F638AF" w:rsidRDefault="00CB4FD7" w:rsidP="00CB4FD7">
      <w:pPr>
        <w:rPr>
          <w:szCs w:val="22"/>
          <w:lang w:val="en-GB" w:eastAsia="en-US"/>
        </w:rPr>
      </w:pPr>
    </w:p>
    <w:p w14:paraId="7C33179D" w14:textId="77777777" w:rsidR="00CB4FD7" w:rsidRPr="002345CA" w:rsidRDefault="00016F29" w:rsidP="00CB4FD7">
      <w:pPr>
        <w:rPr>
          <w:b/>
          <w:szCs w:val="22"/>
          <w:lang w:val="en-GB" w:eastAsia="en-US"/>
        </w:rPr>
      </w:pPr>
      <w:r w:rsidRPr="002345CA">
        <w:rPr>
          <w:b/>
          <w:szCs w:val="22"/>
          <w:lang w:val="en-GB" w:eastAsia="en-US"/>
        </w:rPr>
        <w:t>Table 14: Overview of Primary Efficacy Results (ITT population)</w:t>
      </w:r>
    </w:p>
    <w:tbl>
      <w:tblPr>
        <w:tblW w:w="8932" w:type="dxa"/>
        <w:tblLayout w:type="fixed"/>
        <w:tblLook w:val="0000" w:firstRow="0" w:lastRow="0" w:firstColumn="0" w:lastColumn="0" w:noHBand="0" w:noVBand="0"/>
      </w:tblPr>
      <w:tblGrid>
        <w:gridCol w:w="2260"/>
        <w:gridCol w:w="3335"/>
        <w:gridCol w:w="3337"/>
      </w:tblGrid>
      <w:tr w:rsidR="003A788B" w14:paraId="7C3317A3" w14:textId="77777777" w:rsidTr="00365ACB">
        <w:trPr>
          <w:trHeight w:val="471"/>
        </w:trPr>
        <w:tc>
          <w:tcPr>
            <w:tcW w:w="2260" w:type="dxa"/>
            <w:tcBorders>
              <w:top w:val="single" w:sz="4" w:space="0" w:color="000000"/>
              <w:left w:val="single" w:sz="4" w:space="0" w:color="000000"/>
              <w:bottom w:val="single" w:sz="4" w:space="0" w:color="000000"/>
              <w:right w:val="single" w:sz="4" w:space="0" w:color="000000"/>
            </w:tcBorders>
            <w:shd w:val="clear" w:color="auto" w:fill="auto"/>
          </w:tcPr>
          <w:p w14:paraId="7C33179E" w14:textId="77777777" w:rsidR="00CB4FD7" w:rsidRPr="00F638AF" w:rsidRDefault="00016F29" w:rsidP="00CB4FD7">
            <w:pPr>
              <w:keepNext/>
              <w:keepLines/>
              <w:spacing w:before="50" w:after="50"/>
              <w:jc w:val="center"/>
              <w:rPr>
                <w:b/>
                <w:szCs w:val="22"/>
                <w:lang w:val="en-GB" w:eastAsia="en-US"/>
              </w:rPr>
            </w:pPr>
            <w:r w:rsidRPr="00F638AF">
              <w:rPr>
                <w:b/>
                <w:szCs w:val="22"/>
                <w:lang w:val="en-GB" w:eastAsia="en-US"/>
              </w:rPr>
              <w:t>Analysis</w:t>
            </w:r>
          </w:p>
        </w:tc>
        <w:tc>
          <w:tcPr>
            <w:tcW w:w="3335" w:type="dxa"/>
            <w:tcBorders>
              <w:top w:val="single" w:sz="4" w:space="0" w:color="000000"/>
              <w:left w:val="single" w:sz="4" w:space="0" w:color="000000"/>
              <w:bottom w:val="single" w:sz="4" w:space="0" w:color="000000"/>
              <w:right w:val="single" w:sz="4" w:space="0" w:color="000000"/>
            </w:tcBorders>
            <w:shd w:val="clear" w:color="auto" w:fill="auto"/>
          </w:tcPr>
          <w:p w14:paraId="7C33179F" w14:textId="77777777" w:rsidR="00CB4FD7" w:rsidRPr="00F638AF" w:rsidRDefault="00016F29" w:rsidP="00CB4FD7">
            <w:pPr>
              <w:keepNext/>
              <w:keepLines/>
              <w:spacing w:before="50" w:after="50"/>
              <w:jc w:val="center"/>
              <w:rPr>
                <w:b/>
                <w:szCs w:val="22"/>
                <w:lang w:val="en-GB" w:eastAsia="en-US"/>
              </w:rPr>
            </w:pPr>
            <w:r w:rsidRPr="00F638AF">
              <w:rPr>
                <w:b/>
                <w:szCs w:val="22"/>
                <w:lang w:val="en-GB" w:eastAsia="en-US"/>
              </w:rPr>
              <w:t>LMB</w:t>
            </w:r>
          </w:p>
          <w:p w14:paraId="7C3317A0" w14:textId="77777777" w:rsidR="00CB4FD7" w:rsidRPr="00F638AF" w:rsidRDefault="00016F29" w:rsidP="00CB4FD7">
            <w:pPr>
              <w:keepNext/>
              <w:keepLines/>
              <w:spacing w:before="50" w:after="50"/>
              <w:jc w:val="center"/>
              <w:rPr>
                <w:b/>
                <w:szCs w:val="22"/>
                <w:lang w:val="en-GB" w:eastAsia="en-US"/>
              </w:rPr>
            </w:pPr>
            <w:r w:rsidRPr="00F638AF">
              <w:rPr>
                <w:b/>
                <w:szCs w:val="22"/>
                <w:lang w:val="en-GB" w:eastAsia="en-US"/>
              </w:rPr>
              <w:t>(N = 164)</w:t>
            </w:r>
          </w:p>
        </w:tc>
        <w:tc>
          <w:tcPr>
            <w:tcW w:w="3337" w:type="dxa"/>
            <w:tcBorders>
              <w:top w:val="single" w:sz="4" w:space="0" w:color="000000"/>
              <w:left w:val="single" w:sz="4" w:space="0" w:color="000000"/>
              <w:bottom w:val="single" w:sz="4" w:space="0" w:color="000000"/>
              <w:right w:val="single" w:sz="4" w:space="0" w:color="000000"/>
            </w:tcBorders>
            <w:shd w:val="clear" w:color="auto" w:fill="auto"/>
          </w:tcPr>
          <w:p w14:paraId="7C3317A1" w14:textId="77777777" w:rsidR="00CB4FD7" w:rsidRPr="00F638AF" w:rsidRDefault="00016F29" w:rsidP="00CB4FD7">
            <w:pPr>
              <w:keepNext/>
              <w:keepLines/>
              <w:spacing w:before="50" w:after="50"/>
              <w:jc w:val="center"/>
              <w:rPr>
                <w:b/>
                <w:szCs w:val="22"/>
                <w:lang w:val="en-GB" w:eastAsia="en-US"/>
              </w:rPr>
            </w:pPr>
            <w:r w:rsidRPr="00F638AF">
              <w:rPr>
                <w:b/>
                <w:szCs w:val="22"/>
                <w:lang w:val="en-GB" w:eastAsia="en-US"/>
              </w:rPr>
              <w:t>R-LMB</w:t>
            </w:r>
          </w:p>
          <w:p w14:paraId="7C3317A2" w14:textId="77777777" w:rsidR="00CB4FD7" w:rsidRPr="00F638AF" w:rsidRDefault="00016F29" w:rsidP="00CB4FD7">
            <w:pPr>
              <w:keepNext/>
              <w:keepLines/>
              <w:spacing w:before="50" w:after="50"/>
              <w:jc w:val="center"/>
              <w:rPr>
                <w:b/>
                <w:szCs w:val="22"/>
                <w:lang w:val="en-GB" w:eastAsia="en-US"/>
              </w:rPr>
            </w:pPr>
            <w:r w:rsidRPr="00F638AF">
              <w:rPr>
                <w:b/>
                <w:szCs w:val="22"/>
                <w:lang w:val="en-GB" w:eastAsia="en-US"/>
              </w:rPr>
              <w:t>(N=164)</w:t>
            </w:r>
          </w:p>
        </w:tc>
      </w:tr>
      <w:tr w:rsidR="003A788B" w14:paraId="7C3317A7" w14:textId="77777777" w:rsidTr="00365ACB">
        <w:trPr>
          <w:trHeight w:val="471"/>
        </w:trPr>
        <w:tc>
          <w:tcPr>
            <w:tcW w:w="2260" w:type="dxa"/>
            <w:vMerge w:val="restart"/>
            <w:tcBorders>
              <w:top w:val="single" w:sz="4" w:space="0" w:color="000000"/>
              <w:left w:val="single" w:sz="4" w:space="0" w:color="000000"/>
              <w:right w:val="single" w:sz="4" w:space="0" w:color="000000"/>
            </w:tcBorders>
            <w:shd w:val="clear" w:color="auto" w:fill="auto"/>
          </w:tcPr>
          <w:p w14:paraId="7C3317A4" w14:textId="77777777" w:rsidR="00CB4FD7" w:rsidRPr="00F638AF" w:rsidRDefault="00016F29" w:rsidP="00CB4FD7">
            <w:pPr>
              <w:keepNext/>
              <w:keepLines/>
              <w:spacing w:before="50" w:after="50"/>
              <w:jc w:val="center"/>
              <w:rPr>
                <w:b/>
                <w:szCs w:val="22"/>
                <w:vertAlign w:val="superscript"/>
                <w:lang w:val="en-GB" w:eastAsia="en-US"/>
              </w:rPr>
            </w:pPr>
            <w:r w:rsidRPr="00F638AF">
              <w:rPr>
                <w:b/>
                <w:szCs w:val="22"/>
                <w:lang w:val="en-GB" w:eastAsia="en-US"/>
              </w:rPr>
              <w:t>EFS</w:t>
            </w:r>
          </w:p>
        </w:tc>
        <w:tc>
          <w:tcPr>
            <w:tcW w:w="3335" w:type="dxa"/>
            <w:tcBorders>
              <w:top w:val="single" w:sz="4" w:space="0" w:color="000000"/>
              <w:left w:val="single" w:sz="4" w:space="0" w:color="000000"/>
              <w:right w:val="single" w:sz="4" w:space="0" w:color="000000"/>
            </w:tcBorders>
            <w:shd w:val="clear" w:color="auto" w:fill="auto"/>
          </w:tcPr>
          <w:p w14:paraId="7C3317A5" w14:textId="77777777" w:rsidR="00CB4FD7" w:rsidRPr="00F638AF" w:rsidRDefault="00016F29" w:rsidP="00CB4FD7">
            <w:pPr>
              <w:keepNext/>
              <w:keepLines/>
              <w:spacing w:before="50" w:after="50"/>
              <w:jc w:val="center"/>
              <w:rPr>
                <w:szCs w:val="22"/>
                <w:lang w:val="en-GB" w:eastAsia="en-US"/>
              </w:rPr>
            </w:pPr>
            <w:r w:rsidRPr="00F638AF">
              <w:rPr>
                <w:szCs w:val="22"/>
                <w:lang w:val="en-GB" w:eastAsia="en-US"/>
              </w:rPr>
              <w:t>28 events</w:t>
            </w:r>
          </w:p>
        </w:tc>
        <w:tc>
          <w:tcPr>
            <w:tcW w:w="3337" w:type="dxa"/>
            <w:tcBorders>
              <w:top w:val="single" w:sz="4" w:space="0" w:color="000000"/>
              <w:left w:val="single" w:sz="4" w:space="0" w:color="000000"/>
              <w:right w:val="single" w:sz="4" w:space="0" w:color="000000"/>
            </w:tcBorders>
            <w:shd w:val="clear" w:color="auto" w:fill="auto"/>
          </w:tcPr>
          <w:p w14:paraId="7C3317A6" w14:textId="77777777" w:rsidR="00CB4FD7" w:rsidRPr="00F638AF" w:rsidRDefault="00016F29" w:rsidP="00CB4FD7">
            <w:pPr>
              <w:keepNext/>
              <w:keepLines/>
              <w:spacing w:before="50" w:after="50"/>
              <w:jc w:val="center"/>
              <w:rPr>
                <w:szCs w:val="22"/>
                <w:lang w:val="en-GB" w:eastAsia="en-US"/>
              </w:rPr>
            </w:pPr>
            <w:r w:rsidRPr="00F638AF">
              <w:rPr>
                <w:szCs w:val="22"/>
                <w:lang w:val="en-GB" w:eastAsia="en-US"/>
              </w:rPr>
              <w:t>10 events</w:t>
            </w:r>
          </w:p>
        </w:tc>
      </w:tr>
      <w:tr w:rsidR="003A788B" w14:paraId="7C3317AA" w14:textId="77777777" w:rsidTr="00365ACB">
        <w:trPr>
          <w:trHeight w:val="471"/>
        </w:trPr>
        <w:tc>
          <w:tcPr>
            <w:tcW w:w="2260" w:type="dxa"/>
            <w:vMerge/>
            <w:tcBorders>
              <w:top w:val="single" w:sz="4" w:space="0" w:color="000000"/>
              <w:left w:val="single" w:sz="4" w:space="0" w:color="000000"/>
              <w:right w:val="single" w:sz="4" w:space="0" w:color="000000"/>
            </w:tcBorders>
            <w:shd w:val="clear" w:color="auto" w:fill="auto"/>
          </w:tcPr>
          <w:p w14:paraId="7C3317A8" w14:textId="77777777" w:rsidR="00CB4FD7" w:rsidRPr="00F638AF" w:rsidRDefault="00CB4FD7" w:rsidP="00CB4FD7">
            <w:pPr>
              <w:widowControl w:val="0"/>
              <w:pBdr>
                <w:top w:val="nil"/>
                <w:left w:val="nil"/>
                <w:bottom w:val="nil"/>
                <w:right w:val="nil"/>
                <w:between w:val="nil"/>
              </w:pBdr>
              <w:spacing w:line="276" w:lineRule="auto"/>
              <w:rPr>
                <w:szCs w:val="22"/>
                <w:lang w:val="en-GB" w:eastAsia="en-US"/>
              </w:rPr>
            </w:pPr>
          </w:p>
        </w:tc>
        <w:tc>
          <w:tcPr>
            <w:tcW w:w="6672" w:type="dxa"/>
            <w:gridSpan w:val="2"/>
            <w:tcBorders>
              <w:top w:val="single" w:sz="4" w:space="0" w:color="000000"/>
              <w:left w:val="single" w:sz="4" w:space="0" w:color="000000"/>
              <w:right w:val="single" w:sz="4" w:space="0" w:color="000000"/>
            </w:tcBorders>
            <w:shd w:val="clear" w:color="auto" w:fill="auto"/>
          </w:tcPr>
          <w:p w14:paraId="7C3317A9" w14:textId="77777777" w:rsidR="00CB4FD7" w:rsidRPr="00F638AF" w:rsidRDefault="00016F29" w:rsidP="00CB4FD7">
            <w:pPr>
              <w:keepNext/>
              <w:keepLines/>
              <w:spacing w:before="50" w:after="50"/>
              <w:jc w:val="center"/>
              <w:rPr>
                <w:szCs w:val="22"/>
                <w:lang w:val="en-GB" w:eastAsia="en-US"/>
              </w:rPr>
            </w:pPr>
            <w:r w:rsidRPr="00F638AF">
              <w:rPr>
                <w:szCs w:val="22"/>
                <w:lang w:val="en-GB" w:eastAsia="en-US"/>
              </w:rPr>
              <w:t>One-sided log-rank test p-value 0.0006</w:t>
            </w:r>
          </w:p>
        </w:tc>
      </w:tr>
      <w:tr w:rsidR="003A788B" w14:paraId="7C3317AD" w14:textId="77777777" w:rsidTr="00365ACB">
        <w:trPr>
          <w:trHeight w:val="471"/>
        </w:trPr>
        <w:tc>
          <w:tcPr>
            <w:tcW w:w="2260" w:type="dxa"/>
            <w:vMerge/>
            <w:tcBorders>
              <w:top w:val="single" w:sz="4" w:space="0" w:color="000000"/>
              <w:left w:val="single" w:sz="4" w:space="0" w:color="000000"/>
              <w:right w:val="single" w:sz="4" w:space="0" w:color="000000"/>
            </w:tcBorders>
            <w:shd w:val="clear" w:color="auto" w:fill="auto"/>
          </w:tcPr>
          <w:p w14:paraId="7C3317AB" w14:textId="77777777" w:rsidR="00CB4FD7" w:rsidRPr="00F638AF" w:rsidRDefault="00CB4FD7" w:rsidP="00CB4FD7">
            <w:pPr>
              <w:widowControl w:val="0"/>
              <w:pBdr>
                <w:top w:val="nil"/>
                <w:left w:val="nil"/>
                <w:bottom w:val="nil"/>
                <w:right w:val="nil"/>
                <w:between w:val="nil"/>
              </w:pBdr>
              <w:spacing w:line="276" w:lineRule="auto"/>
              <w:rPr>
                <w:szCs w:val="22"/>
                <w:lang w:val="en-GB" w:eastAsia="en-US"/>
              </w:rPr>
            </w:pPr>
          </w:p>
        </w:tc>
        <w:tc>
          <w:tcPr>
            <w:tcW w:w="6672" w:type="dxa"/>
            <w:gridSpan w:val="2"/>
            <w:tcBorders>
              <w:top w:val="single" w:sz="4" w:space="0" w:color="000000"/>
              <w:left w:val="single" w:sz="4" w:space="0" w:color="000000"/>
              <w:bottom w:val="single" w:sz="4" w:space="0" w:color="000000"/>
              <w:right w:val="single" w:sz="4" w:space="0" w:color="000000"/>
            </w:tcBorders>
            <w:shd w:val="clear" w:color="auto" w:fill="auto"/>
          </w:tcPr>
          <w:p w14:paraId="7C3317AC" w14:textId="77777777" w:rsidR="00CB4FD7" w:rsidRPr="00F638AF" w:rsidRDefault="00016F29" w:rsidP="00CB4FD7">
            <w:pPr>
              <w:keepNext/>
              <w:keepLines/>
              <w:spacing w:before="50" w:after="50"/>
              <w:jc w:val="center"/>
              <w:rPr>
                <w:szCs w:val="22"/>
                <w:lang w:val="en-GB" w:eastAsia="en-US"/>
              </w:rPr>
            </w:pPr>
            <w:r w:rsidRPr="00F638AF">
              <w:rPr>
                <w:szCs w:val="22"/>
                <w:lang w:val="en-GB" w:eastAsia="en-US"/>
              </w:rPr>
              <w:t>Adjusted Cox HR 0.32 (90% CI: 0.17, 0.58)</w:t>
            </w:r>
          </w:p>
        </w:tc>
      </w:tr>
      <w:tr w:rsidR="003A788B" w14:paraId="7C3317B3" w14:textId="77777777" w:rsidTr="00365ACB">
        <w:trPr>
          <w:trHeight w:val="471"/>
        </w:trPr>
        <w:tc>
          <w:tcPr>
            <w:tcW w:w="2260" w:type="dxa"/>
            <w:tcBorders>
              <w:top w:val="single" w:sz="4" w:space="0" w:color="000000"/>
              <w:left w:val="single" w:sz="4" w:space="0" w:color="000000"/>
              <w:bottom w:val="single" w:sz="4" w:space="0" w:color="000000"/>
              <w:right w:val="single" w:sz="4" w:space="0" w:color="000000"/>
            </w:tcBorders>
            <w:shd w:val="clear" w:color="auto" w:fill="auto"/>
          </w:tcPr>
          <w:p w14:paraId="7C3317AE" w14:textId="77777777" w:rsidR="00CB4FD7" w:rsidRPr="00F638AF" w:rsidRDefault="00016F29" w:rsidP="00CB4FD7">
            <w:pPr>
              <w:keepNext/>
              <w:keepLines/>
              <w:spacing w:before="50" w:after="50"/>
              <w:jc w:val="center"/>
              <w:rPr>
                <w:b/>
                <w:szCs w:val="22"/>
                <w:vertAlign w:val="superscript"/>
                <w:lang w:val="en-GB" w:eastAsia="en-US"/>
              </w:rPr>
            </w:pPr>
            <w:r w:rsidRPr="00F638AF">
              <w:rPr>
                <w:b/>
                <w:szCs w:val="22"/>
                <w:lang w:val="en-GB" w:eastAsia="en-US"/>
              </w:rPr>
              <w:t>3-year EFS rates</w:t>
            </w:r>
          </w:p>
        </w:tc>
        <w:tc>
          <w:tcPr>
            <w:tcW w:w="3335" w:type="dxa"/>
            <w:tcBorders>
              <w:top w:val="single" w:sz="4" w:space="0" w:color="000000"/>
              <w:left w:val="single" w:sz="4" w:space="0" w:color="000000"/>
              <w:bottom w:val="single" w:sz="4" w:space="0" w:color="000000"/>
              <w:right w:val="single" w:sz="4" w:space="0" w:color="000000"/>
            </w:tcBorders>
            <w:shd w:val="clear" w:color="auto" w:fill="auto"/>
          </w:tcPr>
          <w:p w14:paraId="7C3317AF" w14:textId="77777777" w:rsidR="00CB4FD7" w:rsidRPr="00F638AF" w:rsidRDefault="00016F29" w:rsidP="00CB4FD7">
            <w:pPr>
              <w:keepNext/>
              <w:keepLines/>
              <w:spacing w:before="50" w:after="50"/>
              <w:jc w:val="center"/>
              <w:rPr>
                <w:szCs w:val="22"/>
                <w:lang w:val="en-GB" w:eastAsia="en-US"/>
              </w:rPr>
            </w:pPr>
            <w:r w:rsidRPr="00F638AF">
              <w:rPr>
                <w:szCs w:val="22"/>
                <w:lang w:val="en-GB" w:eastAsia="en-US"/>
              </w:rPr>
              <w:t>82.3%</w:t>
            </w:r>
          </w:p>
          <w:p w14:paraId="7C3317B0" w14:textId="77777777" w:rsidR="00CB4FD7" w:rsidRPr="00F638AF" w:rsidRDefault="00016F29" w:rsidP="00CB4FD7">
            <w:pPr>
              <w:keepNext/>
              <w:keepLines/>
              <w:spacing w:before="50" w:after="50"/>
              <w:jc w:val="center"/>
              <w:rPr>
                <w:szCs w:val="22"/>
                <w:lang w:val="en-GB" w:eastAsia="en-US"/>
              </w:rPr>
            </w:pPr>
            <w:r w:rsidRPr="00F638AF">
              <w:rPr>
                <w:szCs w:val="22"/>
                <w:lang w:val="en-GB" w:eastAsia="en-US"/>
              </w:rPr>
              <w:t>(95% CI: 75.7%, 87.5%)</w:t>
            </w:r>
          </w:p>
        </w:tc>
        <w:tc>
          <w:tcPr>
            <w:tcW w:w="3337" w:type="dxa"/>
            <w:tcBorders>
              <w:top w:val="single" w:sz="4" w:space="0" w:color="000000"/>
              <w:left w:val="single" w:sz="4" w:space="0" w:color="000000"/>
              <w:bottom w:val="single" w:sz="4" w:space="0" w:color="000000"/>
              <w:right w:val="single" w:sz="4" w:space="0" w:color="000000"/>
            </w:tcBorders>
            <w:shd w:val="clear" w:color="auto" w:fill="auto"/>
          </w:tcPr>
          <w:p w14:paraId="7C3317B1" w14:textId="77777777" w:rsidR="00CB4FD7" w:rsidRPr="00F638AF" w:rsidRDefault="00016F29" w:rsidP="00CB4FD7">
            <w:pPr>
              <w:keepNext/>
              <w:keepLines/>
              <w:spacing w:before="50" w:after="50"/>
              <w:jc w:val="center"/>
              <w:rPr>
                <w:szCs w:val="22"/>
                <w:lang w:val="en-GB" w:eastAsia="en-US"/>
              </w:rPr>
            </w:pPr>
            <w:r w:rsidRPr="00F638AF">
              <w:rPr>
                <w:szCs w:val="22"/>
                <w:lang w:val="en-GB" w:eastAsia="en-US"/>
              </w:rPr>
              <w:t>93.9%</w:t>
            </w:r>
          </w:p>
          <w:p w14:paraId="7C3317B2" w14:textId="77777777" w:rsidR="00CB4FD7" w:rsidRPr="00F638AF" w:rsidRDefault="00016F29" w:rsidP="00CB4FD7">
            <w:pPr>
              <w:keepNext/>
              <w:keepLines/>
              <w:spacing w:before="50" w:after="50"/>
              <w:jc w:val="center"/>
              <w:rPr>
                <w:szCs w:val="22"/>
                <w:lang w:val="en-GB" w:eastAsia="en-US"/>
              </w:rPr>
            </w:pPr>
            <w:r w:rsidRPr="00F638AF">
              <w:rPr>
                <w:szCs w:val="22"/>
                <w:lang w:val="en-GB" w:eastAsia="en-US"/>
              </w:rPr>
              <w:t>(95% CI: 89.1%, 96.7%)</w:t>
            </w:r>
          </w:p>
        </w:tc>
      </w:tr>
      <w:tr w:rsidR="003A788B" w14:paraId="7C3317B7" w14:textId="77777777" w:rsidTr="00365ACB">
        <w:trPr>
          <w:trHeight w:val="471"/>
        </w:trPr>
        <w:tc>
          <w:tcPr>
            <w:tcW w:w="2260" w:type="dxa"/>
            <w:vMerge w:val="restart"/>
            <w:tcBorders>
              <w:top w:val="single" w:sz="4" w:space="0" w:color="000000"/>
              <w:left w:val="single" w:sz="4" w:space="0" w:color="000000"/>
              <w:right w:val="single" w:sz="4" w:space="0" w:color="000000"/>
            </w:tcBorders>
            <w:shd w:val="clear" w:color="auto" w:fill="auto"/>
          </w:tcPr>
          <w:p w14:paraId="7C3317B4" w14:textId="77777777" w:rsidR="00CB4FD7" w:rsidRPr="00F638AF" w:rsidRDefault="00016F29" w:rsidP="00CB4FD7">
            <w:pPr>
              <w:keepNext/>
              <w:keepLines/>
              <w:spacing w:before="50" w:after="50"/>
              <w:jc w:val="center"/>
              <w:rPr>
                <w:b/>
                <w:szCs w:val="22"/>
                <w:vertAlign w:val="superscript"/>
                <w:lang w:val="en-GB" w:eastAsia="en-US"/>
              </w:rPr>
            </w:pPr>
            <w:r w:rsidRPr="00F638AF">
              <w:rPr>
                <w:b/>
                <w:szCs w:val="22"/>
                <w:lang w:val="en-GB" w:eastAsia="en-US"/>
              </w:rPr>
              <w:t>OS</w:t>
            </w:r>
          </w:p>
        </w:tc>
        <w:tc>
          <w:tcPr>
            <w:tcW w:w="3335" w:type="dxa"/>
            <w:tcBorders>
              <w:left w:val="single" w:sz="4" w:space="0" w:color="000000"/>
              <w:bottom w:val="single" w:sz="4" w:space="0" w:color="000000"/>
              <w:right w:val="single" w:sz="4" w:space="0" w:color="000000"/>
            </w:tcBorders>
            <w:shd w:val="clear" w:color="auto" w:fill="auto"/>
          </w:tcPr>
          <w:p w14:paraId="7C3317B5" w14:textId="77777777" w:rsidR="00CB4FD7" w:rsidRPr="00F638AF" w:rsidRDefault="00016F29" w:rsidP="00CB4FD7">
            <w:pPr>
              <w:keepNext/>
              <w:keepLines/>
              <w:spacing w:before="50" w:after="50"/>
              <w:jc w:val="center"/>
              <w:rPr>
                <w:szCs w:val="22"/>
                <w:lang w:val="en-GB" w:eastAsia="en-US"/>
              </w:rPr>
            </w:pPr>
            <w:r w:rsidRPr="00F638AF">
              <w:rPr>
                <w:szCs w:val="22"/>
                <w:lang w:val="en-GB" w:eastAsia="en-US"/>
              </w:rPr>
              <w:t>20 deaths</w:t>
            </w:r>
          </w:p>
        </w:tc>
        <w:tc>
          <w:tcPr>
            <w:tcW w:w="3337" w:type="dxa"/>
            <w:tcBorders>
              <w:left w:val="single" w:sz="4" w:space="0" w:color="000000"/>
              <w:bottom w:val="single" w:sz="4" w:space="0" w:color="000000"/>
              <w:right w:val="single" w:sz="4" w:space="0" w:color="000000"/>
            </w:tcBorders>
            <w:shd w:val="clear" w:color="auto" w:fill="auto"/>
          </w:tcPr>
          <w:p w14:paraId="7C3317B6" w14:textId="77777777" w:rsidR="00CB4FD7" w:rsidRPr="00F638AF" w:rsidRDefault="00016F29" w:rsidP="00CB4FD7">
            <w:pPr>
              <w:keepNext/>
              <w:keepLines/>
              <w:spacing w:before="50" w:after="50"/>
              <w:jc w:val="center"/>
              <w:rPr>
                <w:szCs w:val="22"/>
                <w:lang w:val="en-GB" w:eastAsia="en-US"/>
              </w:rPr>
            </w:pPr>
            <w:r w:rsidRPr="00F638AF">
              <w:rPr>
                <w:szCs w:val="22"/>
                <w:lang w:val="en-GB" w:eastAsia="en-US"/>
              </w:rPr>
              <w:t>8 deaths</w:t>
            </w:r>
          </w:p>
        </w:tc>
      </w:tr>
      <w:tr w:rsidR="003A788B" w14:paraId="7C3317BA" w14:textId="77777777" w:rsidTr="00365ACB">
        <w:trPr>
          <w:trHeight w:val="471"/>
        </w:trPr>
        <w:tc>
          <w:tcPr>
            <w:tcW w:w="2260" w:type="dxa"/>
            <w:vMerge/>
            <w:tcBorders>
              <w:top w:val="single" w:sz="4" w:space="0" w:color="000000"/>
              <w:left w:val="single" w:sz="4" w:space="0" w:color="000000"/>
              <w:right w:val="single" w:sz="4" w:space="0" w:color="000000"/>
            </w:tcBorders>
            <w:shd w:val="clear" w:color="auto" w:fill="auto"/>
          </w:tcPr>
          <w:p w14:paraId="7C3317B8" w14:textId="77777777" w:rsidR="00CB4FD7" w:rsidRPr="00F638AF" w:rsidRDefault="00CB4FD7" w:rsidP="00CB4FD7">
            <w:pPr>
              <w:widowControl w:val="0"/>
              <w:pBdr>
                <w:top w:val="nil"/>
                <w:left w:val="nil"/>
                <w:bottom w:val="nil"/>
                <w:right w:val="nil"/>
                <w:between w:val="nil"/>
              </w:pBdr>
              <w:spacing w:line="276" w:lineRule="auto"/>
              <w:rPr>
                <w:szCs w:val="22"/>
                <w:lang w:val="en-GB" w:eastAsia="en-US"/>
              </w:rPr>
            </w:pPr>
          </w:p>
        </w:tc>
        <w:tc>
          <w:tcPr>
            <w:tcW w:w="6672" w:type="dxa"/>
            <w:gridSpan w:val="2"/>
            <w:tcBorders>
              <w:left w:val="single" w:sz="4" w:space="0" w:color="000000"/>
              <w:bottom w:val="single" w:sz="4" w:space="0" w:color="000000"/>
              <w:right w:val="single" w:sz="4" w:space="0" w:color="000000"/>
            </w:tcBorders>
            <w:shd w:val="clear" w:color="auto" w:fill="auto"/>
          </w:tcPr>
          <w:p w14:paraId="7C3317B9" w14:textId="77777777" w:rsidR="00CB4FD7" w:rsidRPr="00F638AF" w:rsidRDefault="00016F29" w:rsidP="00CB4FD7">
            <w:pPr>
              <w:keepNext/>
              <w:keepLines/>
              <w:spacing w:before="50" w:after="50"/>
              <w:jc w:val="center"/>
              <w:rPr>
                <w:szCs w:val="22"/>
                <w:lang w:val="en-GB" w:eastAsia="en-US"/>
              </w:rPr>
            </w:pPr>
            <w:r w:rsidRPr="00F638AF">
              <w:rPr>
                <w:szCs w:val="22"/>
                <w:lang w:val="en-GB" w:eastAsia="en-US"/>
              </w:rPr>
              <w:t>One-sided log-rank test p-value 0.0061</w:t>
            </w:r>
          </w:p>
        </w:tc>
      </w:tr>
      <w:tr w:rsidR="003A788B" w14:paraId="7C3317BD" w14:textId="77777777" w:rsidTr="00365ACB">
        <w:trPr>
          <w:trHeight w:val="471"/>
        </w:trPr>
        <w:tc>
          <w:tcPr>
            <w:tcW w:w="2260" w:type="dxa"/>
            <w:vMerge/>
            <w:tcBorders>
              <w:top w:val="single" w:sz="4" w:space="0" w:color="000000"/>
              <w:left w:val="single" w:sz="4" w:space="0" w:color="000000"/>
              <w:right w:val="single" w:sz="4" w:space="0" w:color="000000"/>
            </w:tcBorders>
            <w:shd w:val="clear" w:color="auto" w:fill="auto"/>
          </w:tcPr>
          <w:p w14:paraId="7C3317BB" w14:textId="77777777" w:rsidR="00CB4FD7" w:rsidRPr="00F638AF" w:rsidRDefault="00CB4FD7" w:rsidP="00CB4FD7">
            <w:pPr>
              <w:widowControl w:val="0"/>
              <w:pBdr>
                <w:top w:val="nil"/>
                <w:left w:val="nil"/>
                <w:bottom w:val="nil"/>
                <w:right w:val="nil"/>
                <w:between w:val="nil"/>
              </w:pBdr>
              <w:spacing w:line="276" w:lineRule="auto"/>
              <w:rPr>
                <w:szCs w:val="22"/>
                <w:lang w:val="en-GB" w:eastAsia="en-US"/>
              </w:rPr>
            </w:pPr>
          </w:p>
        </w:tc>
        <w:tc>
          <w:tcPr>
            <w:tcW w:w="6672" w:type="dxa"/>
            <w:gridSpan w:val="2"/>
            <w:tcBorders>
              <w:top w:val="single" w:sz="4" w:space="0" w:color="000000"/>
              <w:left w:val="single" w:sz="4" w:space="0" w:color="000000"/>
              <w:bottom w:val="single" w:sz="4" w:space="0" w:color="000000"/>
              <w:right w:val="single" w:sz="4" w:space="0" w:color="000000"/>
            </w:tcBorders>
            <w:shd w:val="clear" w:color="auto" w:fill="auto"/>
          </w:tcPr>
          <w:p w14:paraId="7C3317BC" w14:textId="77777777" w:rsidR="00CB4FD7" w:rsidRPr="00F638AF" w:rsidRDefault="00016F29" w:rsidP="00CB4FD7">
            <w:pPr>
              <w:keepNext/>
              <w:keepLines/>
              <w:spacing w:before="50" w:after="50"/>
              <w:jc w:val="center"/>
              <w:rPr>
                <w:szCs w:val="22"/>
                <w:lang w:val="en-GB" w:eastAsia="en-US"/>
              </w:rPr>
            </w:pPr>
            <w:r w:rsidRPr="00F638AF">
              <w:rPr>
                <w:szCs w:val="22"/>
                <w:lang w:val="en-GB" w:eastAsia="en-US"/>
              </w:rPr>
              <w:t>Adjusted Cox model HR 0.36 (95% CI: 0.16; 0.81)</w:t>
            </w:r>
          </w:p>
        </w:tc>
      </w:tr>
      <w:tr w:rsidR="003A788B" w14:paraId="7C3317C3" w14:textId="77777777" w:rsidTr="00365ACB">
        <w:trPr>
          <w:trHeight w:val="471"/>
        </w:trPr>
        <w:tc>
          <w:tcPr>
            <w:tcW w:w="2260" w:type="dxa"/>
            <w:tcBorders>
              <w:top w:val="single" w:sz="4" w:space="0" w:color="000000"/>
              <w:left w:val="single" w:sz="4" w:space="0" w:color="000000"/>
              <w:bottom w:val="single" w:sz="4" w:space="0" w:color="000000"/>
              <w:right w:val="single" w:sz="4" w:space="0" w:color="000000"/>
            </w:tcBorders>
            <w:shd w:val="clear" w:color="auto" w:fill="auto"/>
          </w:tcPr>
          <w:p w14:paraId="7C3317BE" w14:textId="77777777" w:rsidR="00CB4FD7" w:rsidRPr="00F638AF" w:rsidRDefault="00016F29" w:rsidP="00CB4FD7">
            <w:pPr>
              <w:keepNext/>
              <w:keepLines/>
              <w:spacing w:before="50" w:after="50"/>
              <w:jc w:val="center"/>
              <w:rPr>
                <w:b/>
                <w:szCs w:val="22"/>
                <w:vertAlign w:val="superscript"/>
                <w:lang w:val="en-GB" w:eastAsia="en-US"/>
              </w:rPr>
            </w:pPr>
            <w:r w:rsidRPr="00F638AF">
              <w:rPr>
                <w:b/>
                <w:szCs w:val="22"/>
                <w:lang w:val="en-GB" w:eastAsia="en-US"/>
              </w:rPr>
              <w:t>3-year OS rates</w:t>
            </w:r>
          </w:p>
        </w:tc>
        <w:tc>
          <w:tcPr>
            <w:tcW w:w="3335" w:type="dxa"/>
            <w:tcBorders>
              <w:top w:val="single" w:sz="4" w:space="0" w:color="000000"/>
              <w:left w:val="single" w:sz="4" w:space="0" w:color="000000"/>
              <w:bottom w:val="single" w:sz="4" w:space="0" w:color="000000"/>
              <w:right w:val="single" w:sz="4" w:space="0" w:color="000000"/>
            </w:tcBorders>
            <w:shd w:val="clear" w:color="auto" w:fill="auto"/>
          </w:tcPr>
          <w:p w14:paraId="7C3317BF" w14:textId="77777777" w:rsidR="00CB4FD7" w:rsidRPr="00F638AF" w:rsidRDefault="00016F29" w:rsidP="00CB4FD7">
            <w:pPr>
              <w:keepNext/>
              <w:keepLines/>
              <w:spacing w:before="50" w:after="50"/>
              <w:jc w:val="center"/>
              <w:rPr>
                <w:szCs w:val="22"/>
                <w:lang w:val="en-GB" w:eastAsia="en-US"/>
              </w:rPr>
            </w:pPr>
            <w:r w:rsidRPr="00F638AF">
              <w:rPr>
                <w:szCs w:val="22"/>
                <w:lang w:val="en-GB" w:eastAsia="en-US"/>
              </w:rPr>
              <w:t>87.3%</w:t>
            </w:r>
          </w:p>
          <w:p w14:paraId="7C3317C0" w14:textId="77777777" w:rsidR="00CB4FD7" w:rsidRPr="00F638AF" w:rsidRDefault="00016F29" w:rsidP="00CB4FD7">
            <w:pPr>
              <w:keepNext/>
              <w:keepLines/>
              <w:spacing w:before="50" w:after="50"/>
              <w:jc w:val="center"/>
              <w:rPr>
                <w:szCs w:val="22"/>
                <w:lang w:val="en-GB" w:eastAsia="en-US"/>
              </w:rPr>
            </w:pPr>
            <w:r w:rsidRPr="00F638AF">
              <w:rPr>
                <w:szCs w:val="22"/>
                <w:lang w:val="en-GB" w:eastAsia="en-US"/>
              </w:rPr>
              <w:t>(95% CI: 81.2%, 91.6%)</w:t>
            </w:r>
          </w:p>
        </w:tc>
        <w:tc>
          <w:tcPr>
            <w:tcW w:w="3337" w:type="dxa"/>
            <w:tcBorders>
              <w:top w:val="single" w:sz="4" w:space="0" w:color="000000"/>
              <w:left w:val="single" w:sz="4" w:space="0" w:color="000000"/>
              <w:bottom w:val="single" w:sz="4" w:space="0" w:color="000000"/>
              <w:right w:val="single" w:sz="4" w:space="0" w:color="000000"/>
            </w:tcBorders>
            <w:shd w:val="clear" w:color="auto" w:fill="auto"/>
          </w:tcPr>
          <w:p w14:paraId="7C3317C1" w14:textId="77777777" w:rsidR="00CB4FD7" w:rsidRPr="00F638AF" w:rsidRDefault="00016F29" w:rsidP="00CB4FD7">
            <w:pPr>
              <w:keepNext/>
              <w:keepLines/>
              <w:spacing w:before="50" w:after="50"/>
              <w:jc w:val="center"/>
              <w:rPr>
                <w:szCs w:val="22"/>
                <w:lang w:val="en-GB" w:eastAsia="en-US"/>
              </w:rPr>
            </w:pPr>
            <w:r w:rsidRPr="00F638AF">
              <w:rPr>
                <w:szCs w:val="22"/>
                <w:lang w:val="en-GB" w:eastAsia="en-US"/>
              </w:rPr>
              <w:t>95.1%</w:t>
            </w:r>
          </w:p>
          <w:p w14:paraId="7C3317C2" w14:textId="77777777" w:rsidR="00CB4FD7" w:rsidRPr="00F638AF" w:rsidRDefault="00016F29" w:rsidP="00CB4FD7">
            <w:pPr>
              <w:keepNext/>
              <w:keepLines/>
              <w:spacing w:before="50" w:after="50"/>
              <w:jc w:val="center"/>
              <w:rPr>
                <w:szCs w:val="22"/>
                <w:lang w:val="en-GB" w:eastAsia="en-US"/>
              </w:rPr>
            </w:pPr>
            <w:r w:rsidRPr="00F638AF">
              <w:rPr>
                <w:szCs w:val="22"/>
                <w:lang w:val="en-GB" w:eastAsia="en-US"/>
              </w:rPr>
              <w:t>(95% CI: 90.5%, 97.5%)</w:t>
            </w:r>
          </w:p>
        </w:tc>
      </w:tr>
      <w:tr w:rsidR="003A788B" w14:paraId="7C3317C7" w14:textId="77777777" w:rsidTr="00365ACB">
        <w:trPr>
          <w:trHeight w:val="471"/>
        </w:trPr>
        <w:tc>
          <w:tcPr>
            <w:tcW w:w="2260" w:type="dxa"/>
            <w:tcBorders>
              <w:top w:val="single" w:sz="4" w:space="0" w:color="000000"/>
              <w:left w:val="single" w:sz="4" w:space="0" w:color="000000"/>
              <w:bottom w:val="single" w:sz="4" w:space="0" w:color="000000"/>
              <w:right w:val="single" w:sz="4" w:space="0" w:color="000000"/>
            </w:tcBorders>
            <w:shd w:val="clear" w:color="auto" w:fill="auto"/>
          </w:tcPr>
          <w:p w14:paraId="7C3317C4" w14:textId="77777777" w:rsidR="00CB4FD7" w:rsidRPr="00F638AF" w:rsidRDefault="00016F29" w:rsidP="00CB4FD7">
            <w:pPr>
              <w:keepNext/>
              <w:keepLines/>
              <w:spacing w:before="50" w:after="50"/>
              <w:jc w:val="center"/>
              <w:rPr>
                <w:b/>
                <w:szCs w:val="22"/>
                <w:lang w:val="en-GB" w:eastAsia="en-US"/>
              </w:rPr>
            </w:pPr>
            <w:r w:rsidRPr="00F638AF">
              <w:rPr>
                <w:b/>
                <w:szCs w:val="22"/>
                <w:lang w:val="en-GB" w:eastAsia="en-US"/>
              </w:rPr>
              <w:t>CR rate</w:t>
            </w:r>
          </w:p>
        </w:tc>
        <w:tc>
          <w:tcPr>
            <w:tcW w:w="3335" w:type="dxa"/>
            <w:tcBorders>
              <w:top w:val="single" w:sz="4" w:space="0" w:color="000000"/>
              <w:left w:val="single" w:sz="4" w:space="0" w:color="000000"/>
              <w:bottom w:val="single" w:sz="4" w:space="0" w:color="000000"/>
              <w:right w:val="single" w:sz="4" w:space="0" w:color="000000"/>
            </w:tcBorders>
            <w:shd w:val="clear" w:color="auto" w:fill="auto"/>
          </w:tcPr>
          <w:p w14:paraId="7C3317C5" w14:textId="77777777" w:rsidR="00CB4FD7" w:rsidRPr="00F638AF" w:rsidRDefault="00016F29" w:rsidP="00CB4FD7">
            <w:pPr>
              <w:keepNext/>
              <w:keepLines/>
              <w:spacing w:before="50" w:after="50"/>
              <w:jc w:val="center"/>
              <w:rPr>
                <w:szCs w:val="22"/>
                <w:lang w:val="en-GB" w:eastAsia="en-US"/>
              </w:rPr>
            </w:pPr>
            <w:r w:rsidRPr="00F638AF">
              <w:rPr>
                <w:szCs w:val="22"/>
                <w:lang w:val="en-GB" w:eastAsia="en-US"/>
              </w:rPr>
              <w:t xml:space="preserve">93.6% (95% CI: 88.2%; 97.0%) </w:t>
            </w:r>
          </w:p>
        </w:tc>
        <w:tc>
          <w:tcPr>
            <w:tcW w:w="3337" w:type="dxa"/>
            <w:tcBorders>
              <w:top w:val="single" w:sz="4" w:space="0" w:color="000000"/>
              <w:left w:val="single" w:sz="4" w:space="0" w:color="000000"/>
              <w:bottom w:val="single" w:sz="4" w:space="0" w:color="000000"/>
              <w:right w:val="single" w:sz="4" w:space="0" w:color="000000"/>
            </w:tcBorders>
            <w:shd w:val="clear" w:color="auto" w:fill="auto"/>
          </w:tcPr>
          <w:p w14:paraId="7C3317C6" w14:textId="77777777" w:rsidR="00CB4FD7" w:rsidRPr="00F638AF" w:rsidRDefault="00016F29" w:rsidP="00CB4FD7">
            <w:pPr>
              <w:keepNext/>
              <w:keepLines/>
              <w:spacing w:before="50" w:after="50"/>
              <w:jc w:val="center"/>
              <w:rPr>
                <w:szCs w:val="22"/>
                <w:lang w:val="en-GB" w:eastAsia="en-US"/>
              </w:rPr>
            </w:pPr>
            <w:r w:rsidRPr="00F638AF">
              <w:rPr>
                <w:szCs w:val="22"/>
                <w:lang w:val="en-GB" w:eastAsia="en-US"/>
              </w:rPr>
              <w:t xml:space="preserve">94.0% (95% CI: 88.8%, 97.2%) </w:t>
            </w:r>
          </w:p>
        </w:tc>
      </w:tr>
    </w:tbl>
    <w:p w14:paraId="7C3317C8" w14:textId="77777777" w:rsidR="00CB4FD7" w:rsidRPr="00F638AF" w:rsidRDefault="00CB4FD7" w:rsidP="00CB4FD7">
      <w:pPr>
        <w:rPr>
          <w:szCs w:val="22"/>
          <w:u w:val="single"/>
          <w:lang w:val="en-GB" w:eastAsia="en-US"/>
        </w:rPr>
      </w:pPr>
    </w:p>
    <w:p w14:paraId="7C3317C9" w14:textId="77777777" w:rsidR="00CB4FD7" w:rsidRPr="00F638AF" w:rsidRDefault="00016F29" w:rsidP="00CB4FD7">
      <w:pPr>
        <w:rPr>
          <w:szCs w:val="22"/>
          <w:lang w:val="en-GB" w:eastAsia="en-US"/>
        </w:rPr>
      </w:pPr>
      <w:r w:rsidRPr="00F638AF">
        <w:rPr>
          <w:szCs w:val="22"/>
          <w:lang w:val="en-GB" w:eastAsia="en-US"/>
        </w:rPr>
        <w:t>The primary efficacy analysis showed an EFS benefit of MabThera addition to LMB chemotherapy over LMB chemotherapy alone, with an EFS HR 0.32 (90% CI 0.17 - 0.58) from a Cox regression analysis adjusting for national group, histology, and therapeutic group. While no major differences in numbers of patients achieving CR was observed between the two treatment groups, the benefit of MabThera addition to LMB chemotherapy was also shown in the secondary endpoint of OS, with the OS HR of 0.36 (95% CI, 0.16 – 0.81).</w:t>
      </w:r>
    </w:p>
    <w:p w14:paraId="7C3317CA" w14:textId="77777777" w:rsidR="00CB4FD7" w:rsidRPr="00F638AF" w:rsidRDefault="00CB4FD7" w:rsidP="008F369D">
      <w:pPr>
        <w:rPr>
          <w:szCs w:val="22"/>
          <w:lang w:val="en-GB"/>
        </w:rPr>
      </w:pPr>
    </w:p>
    <w:p w14:paraId="7C3317CB" w14:textId="77777777" w:rsidR="008F369D" w:rsidRPr="00F638AF" w:rsidRDefault="00016F29" w:rsidP="008F369D">
      <w:pPr>
        <w:rPr>
          <w:i/>
          <w:szCs w:val="22"/>
          <w:u w:val="single"/>
          <w:lang w:val="en-GB"/>
        </w:rPr>
      </w:pPr>
      <w:r w:rsidRPr="00F638AF">
        <w:rPr>
          <w:szCs w:val="22"/>
          <w:lang w:val="en-GB"/>
        </w:rPr>
        <w:t xml:space="preserve">The European Medicines Agency has waived the obligation to submit the results of studies with MabThera in all subsets of the paediatric population with follicular lymphoma and </w:t>
      </w:r>
      <w:r w:rsidR="007D4E4A" w:rsidRPr="00F638AF">
        <w:rPr>
          <w:szCs w:val="22"/>
          <w:lang w:val="en-GB"/>
        </w:rPr>
        <w:t>CLL</w:t>
      </w:r>
      <w:r w:rsidR="00012804" w:rsidRPr="00F638AF">
        <w:rPr>
          <w:szCs w:val="22"/>
          <w:lang w:val="en-GB"/>
        </w:rPr>
        <w:t xml:space="preserve">, and in the paediatric population from birth to &lt; 6 months of age in CD20 positive diffuse large B-cell lymphoma. </w:t>
      </w:r>
      <w:r w:rsidRPr="00F638AF">
        <w:rPr>
          <w:szCs w:val="22"/>
          <w:lang w:val="en-GB"/>
        </w:rPr>
        <w:t xml:space="preserve"> See Section 4.2 for information on paediatric use.</w:t>
      </w:r>
    </w:p>
    <w:p w14:paraId="7C3317CC" w14:textId="77777777" w:rsidR="008F369D" w:rsidRPr="00F638AF" w:rsidRDefault="008F369D" w:rsidP="008F369D">
      <w:pPr>
        <w:rPr>
          <w:szCs w:val="22"/>
          <w:u w:val="single"/>
          <w:lang w:val="en-GB"/>
        </w:rPr>
      </w:pPr>
    </w:p>
    <w:p w14:paraId="7C3317CD" w14:textId="77777777" w:rsidR="008F369D" w:rsidRPr="00F638AF" w:rsidRDefault="00016F29" w:rsidP="008F369D">
      <w:pPr>
        <w:keepNext/>
        <w:keepLines/>
        <w:ind w:left="567" w:hanging="567"/>
        <w:outlineLvl w:val="0"/>
        <w:rPr>
          <w:rFonts w:eastAsia="Times"/>
          <w:szCs w:val="22"/>
          <w:u w:val="single"/>
          <w:lang w:val="en-GB"/>
        </w:rPr>
      </w:pPr>
      <w:r w:rsidRPr="00F638AF">
        <w:rPr>
          <w:rFonts w:eastAsia="Times"/>
          <w:szCs w:val="22"/>
          <w:u w:val="single"/>
          <w:lang w:val="en-GB"/>
        </w:rPr>
        <w:t>Clinical experience in rheumatoid arthritis</w:t>
      </w:r>
    </w:p>
    <w:p w14:paraId="7C3317CE" w14:textId="77777777" w:rsidR="008F369D" w:rsidRPr="00F638AF" w:rsidRDefault="008F369D" w:rsidP="008F369D">
      <w:pPr>
        <w:keepNext/>
        <w:keepLines/>
        <w:rPr>
          <w:b/>
          <w:szCs w:val="22"/>
          <w:lang w:val="en-GB"/>
        </w:rPr>
      </w:pPr>
    </w:p>
    <w:p w14:paraId="7C3317CF" w14:textId="77777777" w:rsidR="008F369D" w:rsidRPr="00F638AF" w:rsidRDefault="00016F29" w:rsidP="008F369D">
      <w:pPr>
        <w:keepNext/>
        <w:keepLines/>
        <w:rPr>
          <w:szCs w:val="22"/>
          <w:lang w:val="en-GB"/>
        </w:rPr>
      </w:pPr>
      <w:bookmarkStart w:id="7" w:name="OLE_LINK5"/>
      <w:bookmarkStart w:id="8" w:name="OLE_LINK6"/>
      <w:r w:rsidRPr="00F638AF">
        <w:rPr>
          <w:szCs w:val="22"/>
          <w:lang w:val="en-GB"/>
        </w:rPr>
        <w:t>The efficacy and safety of MabThera in alleviating the symptoms and signs of rheumatoid arthritis in patients with an inadequate response to TNF</w:t>
      </w:r>
      <w:r w:rsidR="000A6DDA" w:rsidRPr="00F638AF">
        <w:rPr>
          <w:szCs w:val="22"/>
          <w:lang w:val="en-GB"/>
        </w:rPr>
        <w:noBreakHyphen/>
      </w:r>
      <w:r w:rsidRPr="00F638AF">
        <w:rPr>
          <w:szCs w:val="22"/>
          <w:lang w:val="en-GB"/>
        </w:rPr>
        <w:t>inhibitors was demonstrated in a pivotal randomised, controlled, double</w:t>
      </w:r>
      <w:r w:rsidR="000A6DDA" w:rsidRPr="00F638AF">
        <w:rPr>
          <w:szCs w:val="22"/>
          <w:lang w:val="en-GB"/>
        </w:rPr>
        <w:noBreakHyphen/>
      </w:r>
      <w:r w:rsidRPr="00F638AF">
        <w:rPr>
          <w:szCs w:val="22"/>
          <w:lang w:val="en-GB"/>
        </w:rPr>
        <w:t xml:space="preserve">blind, multicenter trial (Trial 1). </w:t>
      </w:r>
      <w:bookmarkEnd w:id="7"/>
      <w:bookmarkEnd w:id="8"/>
    </w:p>
    <w:p w14:paraId="7C3317D0" w14:textId="77777777" w:rsidR="008F369D" w:rsidRPr="00F638AF" w:rsidRDefault="008F369D" w:rsidP="008F369D">
      <w:pPr>
        <w:rPr>
          <w:szCs w:val="22"/>
          <w:lang w:val="en-GB"/>
        </w:rPr>
      </w:pPr>
    </w:p>
    <w:p w14:paraId="7C3317D1" w14:textId="77777777" w:rsidR="008F369D" w:rsidRPr="00F638AF" w:rsidRDefault="00016F29" w:rsidP="008F369D">
      <w:pPr>
        <w:rPr>
          <w:szCs w:val="22"/>
          <w:lang w:val="en-GB"/>
        </w:rPr>
      </w:pPr>
      <w:r w:rsidRPr="00F638AF">
        <w:rPr>
          <w:szCs w:val="22"/>
          <w:lang w:val="en-GB"/>
        </w:rPr>
        <w:t xml:space="preserve">Trial 1 evaluated 517 patients that had experienced an inadequate response or intolerance to one or more TNF inhibitor therapies. Eligible patients had active rheumatoid arthritis, diagnosed according to the criteria of the </w:t>
      </w:r>
      <w:smartTag w:uri="urn:schemas-microsoft-com:office:smarttags" w:element="place">
        <w:smartTag w:uri="urn:schemas-microsoft-com:office:smarttags" w:element="PlaceName">
          <w:r w:rsidRPr="00F638AF">
            <w:rPr>
              <w:szCs w:val="22"/>
              <w:lang w:val="en-GB"/>
            </w:rPr>
            <w:t>American</w:t>
          </w:r>
        </w:smartTag>
        <w:r w:rsidRPr="00F638AF">
          <w:rPr>
            <w:szCs w:val="22"/>
            <w:lang w:val="en-GB"/>
          </w:rPr>
          <w:t xml:space="preserve"> </w:t>
        </w:r>
        <w:smartTag w:uri="urn:schemas-microsoft-com:office:smarttags" w:element="PlaceType">
          <w:r w:rsidRPr="00F638AF">
            <w:rPr>
              <w:szCs w:val="22"/>
              <w:lang w:val="en-GB"/>
            </w:rPr>
            <w:t>College</w:t>
          </w:r>
        </w:smartTag>
      </w:smartTag>
      <w:r w:rsidRPr="00F638AF">
        <w:rPr>
          <w:szCs w:val="22"/>
          <w:lang w:val="en-GB"/>
        </w:rPr>
        <w:t xml:space="preserve"> of Rheumatology (ACR). MabThera was administered as two IV infusions separated by an interval of 15 days. Patients received 2 x 1000 mg intravenous infusions of MabThera or placebo in combination with MTX. All patients received concomitant 60 mg oral prednisone on days 2</w:t>
      </w:r>
      <w:r w:rsidR="000A6DDA" w:rsidRPr="00F638AF">
        <w:rPr>
          <w:szCs w:val="22"/>
          <w:lang w:val="en-GB"/>
        </w:rPr>
        <w:noBreakHyphen/>
      </w:r>
      <w:r w:rsidRPr="00F638AF">
        <w:rPr>
          <w:szCs w:val="22"/>
          <w:lang w:val="en-GB"/>
        </w:rPr>
        <w:t>7 and 30 mg on days 8</w:t>
      </w:r>
      <w:r w:rsidR="000A6DDA" w:rsidRPr="00F638AF">
        <w:rPr>
          <w:szCs w:val="22"/>
          <w:lang w:val="en-GB"/>
        </w:rPr>
        <w:noBreakHyphen/>
      </w:r>
      <w:r w:rsidRPr="00F638AF">
        <w:rPr>
          <w:szCs w:val="22"/>
          <w:lang w:val="en-GB"/>
        </w:rPr>
        <w:t>14 following the first infusion.</w:t>
      </w:r>
      <w:r w:rsidRPr="00F638AF">
        <w:rPr>
          <w:lang w:val="en-GB"/>
        </w:rPr>
        <w:t xml:space="preserve"> The primary endpoint was the proportion of patients who achieved an ACR20 response at week 24. Patients were followed beyond week 24 for long term endpoints, including radiographic assessment at 56 weeks and at 104 weeks. During this time, 81% of patients</w:t>
      </w:r>
      <w:r w:rsidRPr="00F638AF">
        <w:rPr>
          <w:szCs w:val="22"/>
          <w:lang w:val="en-GB"/>
        </w:rPr>
        <w:t>, from the original placebo group received</w:t>
      </w:r>
      <w:r w:rsidRPr="00F638AF">
        <w:rPr>
          <w:lang w:val="en-GB"/>
        </w:rPr>
        <w:t xml:space="preserve"> MabThera between weeks 24 and 56, under an open label extension study protocol. </w:t>
      </w:r>
    </w:p>
    <w:p w14:paraId="7C3317D2" w14:textId="77777777" w:rsidR="008F369D" w:rsidRPr="00F638AF" w:rsidRDefault="008F369D" w:rsidP="008F369D">
      <w:pPr>
        <w:rPr>
          <w:lang w:val="en-GB"/>
        </w:rPr>
      </w:pPr>
    </w:p>
    <w:p w14:paraId="7C3317D3" w14:textId="77777777" w:rsidR="008F369D" w:rsidRPr="00F638AF" w:rsidRDefault="00016F29" w:rsidP="008F369D">
      <w:pPr>
        <w:rPr>
          <w:lang w:val="en-GB"/>
        </w:rPr>
      </w:pPr>
      <w:r w:rsidRPr="00F638AF">
        <w:rPr>
          <w:lang w:val="en-GB"/>
        </w:rPr>
        <w:t>Trials of MabThera in patients with early arthritis (patients without prior methotrexate treatment and patients with an inadequate response to methotrexate, but not yet treated with TNF</w:t>
      </w:r>
      <w:r w:rsidR="000A6DDA" w:rsidRPr="00F638AF">
        <w:rPr>
          <w:lang w:val="en-GB"/>
        </w:rPr>
        <w:noBreakHyphen/>
      </w:r>
      <w:r w:rsidRPr="00F638AF">
        <w:rPr>
          <w:lang w:val="en-GB"/>
        </w:rPr>
        <w:t>alpha inhibitors) have met their primary endpoints.  MabThera is not indicated for these patients, since the safety data about long</w:t>
      </w:r>
      <w:r w:rsidR="000A6DDA" w:rsidRPr="00F638AF">
        <w:rPr>
          <w:lang w:val="en-GB"/>
        </w:rPr>
        <w:noBreakHyphen/>
      </w:r>
      <w:r w:rsidRPr="00F638AF">
        <w:rPr>
          <w:lang w:val="en-GB"/>
        </w:rPr>
        <w:t>term MabThera treatment are insufficient, in particular concerning the risk of development of malignancies and PML.</w:t>
      </w:r>
    </w:p>
    <w:p w14:paraId="7C3317D4" w14:textId="77777777" w:rsidR="008F369D" w:rsidRPr="00F638AF" w:rsidRDefault="008F369D" w:rsidP="008F369D">
      <w:pPr>
        <w:rPr>
          <w:rFonts w:eastAsia="MS Mincho"/>
          <w:szCs w:val="22"/>
          <w:lang w:val="en-GB"/>
        </w:rPr>
      </w:pPr>
    </w:p>
    <w:p w14:paraId="7C3317D5" w14:textId="77777777" w:rsidR="008F369D" w:rsidRPr="00F638AF" w:rsidRDefault="00016F29" w:rsidP="008F369D">
      <w:pPr>
        <w:outlineLvl w:val="0"/>
        <w:rPr>
          <w:i/>
          <w:szCs w:val="22"/>
          <w:lang w:val="en-GB"/>
        </w:rPr>
      </w:pPr>
      <w:r w:rsidRPr="00F638AF">
        <w:rPr>
          <w:i/>
          <w:szCs w:val="22"/>
          <w:lang w:val="en-GB"/>
        </w:rPr>
        <w:t>Disease activity outcomes</w:t>
      </w:r>
    </w:p>
    <w:p w14:paraId="7C3317D6" w14:textId="77777777" w:rsidR="008F369D" w:rsidRPr="00F638AF" w:rsidRDefault="00016F29" w:rsidP="008F369D">
      <w:pPr>
        <w:rPr>
          <w:b/>
          <w:szCs w:val="22"/>
          <w:lang w:val="en-GB"/>
        </w:rPr>
      </w:pPr>
      <w:r w:rsidRPr="00F638AF">
        <w:rPr>
          <w:szCs w:val="22"/>
          <w:lang w:val="en-GB"/>
        </w:rPr>
        <w:t>MabThera in combination with methotrexate significantly increased the proportion of patients achieving at least a 20 % improvement in ACR score compared with patients treated with methotrexate alone (Table </w:t>
      </w:r>
      <w:r w:rsidR="0029764E" w:rsidRPr="00F638AF">
        <w:rPr>
          <w:szCs w:val="22"/>
          <w:lang w:val="en-GB"/>
        </w:rPr>
        <w:t>1</w:t>
      </w:r>
      <w:r w:rsidR="00024161" w:rsidRPr="00F638AF">
        <w:rPr>
          <w:szCs w:val="22"/>
          <w:lang w:val="en-GB"/>
        </w:rPr>
        <w:t>5</w:t>
      </w:r>
      <w:r w:rsidRPr="00F638AF">
        <w:rPr>
          <w:szCs w:val="22"/>
          <w:lang w:val="en-GB"/>
        </w:rPr>
        <w:t>). Across all development studies the treatment benefit was similar in patients independent of age, gender, body surface area, race, number of prior treatments or disease status.</w:t>
      </w:r>
      <w:r w:rsidRPr="00F638AF">
        <w:rPr>
          <w:b/>
          <w:szCs w:val="22"/>
          <w:lang w:val="en-GB"/>
        </w:rPr>
        <w:t xml:space="preserve"> </w:t>
      </w:r>
    </w:p>
    <w:p w14:paraId="7C3317D7" w14:textId="77777777" w:rsidR="008F369D" w:rsidRPr="00F638AF" w:rsidRDefault="008F369D" w:rsidP="008F369D">
      <w:pPr>
        <w:rPr>
          <w:szCs w:val="22"/>
          <w:lang w:val="en-GB"/>
        </w:rPr>
      </w:pPr>
    </w:p>
    <w:p w14:paraId="7C3317D8" w14:textId="77777777" w:rsidR="008F369D" w:rsidRPr="00F638AF" w:rsidRDefault="00016F29" w:rsidP="008F369D">
      <w:pPr>
        <w:rPr>
          <w:szCs w:val="22"/>
          <w:lang w:val="en-GB"/>
        </w:rPr>
      </w:pPr>
      <w:r w:rsidRPr="00F638AF">
        <w:rPr>
          <w:szCs w:val="22"/>
          <w:lang w:val="en-GB"/>
        </w:rPr>
        <w:t>Clinically and statistically significant improvement was also noted on all individual components of the ACR response (tender and swollen joint counts, patient and physician global assessment, disability index scores (HAQ), pain assessment and C</w:t>
      </w:r>
      <w:r w:rsidR="000A6DDA" w:rsidRPr="00F638AF">
        <w:rPr>
          <w:szCs w:val="22"/>
          <w:lang w:val="en-GB"/>
        </w:rPr>
        <w:noBreakHyphen/>
      </w:r>
      <w:r w:rsidRPr="00F638AF">
        <w:rPr>
          <w:szCs w:val="22"/>
          <w:lang w:val="en-GB"/>
        </w:rPr>
        <w:t>Reactive Proteins (mg/dL).</w:t>
      </w:r>
    </w:p>
    <w:p w14:paraId="7C3317D9" w14:textId="77777777" w:rsidR="008F369D" w:rsidRPr="00F638AF" w:rsidRDefault="008F369D" w:rsidP="008F369D">
      <w:pPr>
        <w:rPr>
          <w:szCs w:val="22"/>
          <w:lang w:val="en-GB"/>
        </w:rPr>
      </w:pPr>
    </w:p>
    <w:p w14:paraId="7C3317DA" w14:textId="77777777" w:rsidR="008F369D" w:rsidRPr="00F638AF" w:rsidRDefault="00016F29" w:rsidP="008F369D">
      <w:pPr>
        <w:keepNext/>
        <w:keepLines/>
        <w:ind w:left="1134" w:hanging="1134"/>
        <w:rPr>
          <w:b/>
          <w:bCs/>
          <w:szCs w:val="22"/>
          <w:lang w:val="en-GB"/>
        </w:rPr>
      </w:pPr>
      <w:r w:rsidRPr="00F638AF">
        <w:rPr>
          <w:b/>
          <w:bCs/>
          <w:szCs w:val="22"/>
          <w:lang w:val="en-GB"/>
        </w:rPr>
        <w:t>Table </w:t>
      </w:r>
      <w:r w:rsidR="00113B0C" w:rsidRPr="00F638AF">
        <w:rPr>
          <w:b/>
          <w:bCs/>
          <w:szCs w:val="22"/>
          <w:lang w:val="en-GB"/>
        </w:rPr>
        <w:t>15</w:t>
      </w:r>
      <w:r w:rsidRPr="00F638AF">
        <w:rPr>
          <w:b/>
          <w:bCs/>
          <w:szCs w:val="22"/>
          <w:lang w:val="en-GB"/>
        </w:rPr>
        <w:tab/>
        <w:t xml:space="preserve">Clinical response outcomes </w:t>
      </w:r>
      <w:r w:rsidRPr="00F638AF">
        <w:rPr>
          <w:rFonts w:cs="Arial"/>
          <w:b/>
          <w:bCs/>
          <w:szCs w:val="22"/>
          <w:lang w:val="en-GB"/>
        </w:rPr>
        <w:t>at primary endpoint in Trial 1(ITT population)</w:t>
      </w:r>
      <w:r w:rsidRPr="00F638AF">
        <w:rPr>
          <w:b/>
          <w:bCs/>
          <w:szCs w:val="22"/>
          <w:lang w:val="en-GB"/>
        </w:rPr>
        <w:t xml:space="preserve"> </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2268"/>
        <w:gridCol w:w="1887"/>
        <w:gridCol w:w="2082"/>
      </w:tblGrid>
      <w:tr w:rsidR="003A788B" w14:paraId="7C3317E0" w14:textId="77777777" w:rsidTr="008919D7">
        <w:tc>
          <w:tcPr>
            <w:tcW w:w="1588" w:type="dxa"/>
          </w:tcPr>
          <w:p w14:paraId="7C3317DB" w14:textId="77777777" w:rsidR="008F369D" w:rsidRPr="00F638AF" w:rsidRDefault="008F369D" w:rsidP="008919D7">
            <w:pPr>
              <w:keepNext/>
              <w:keepLines/>
              <w:rPr>
                <w:szCs w:val="22"/>
                <w:lang w:val="en-GB"/>
              </w:rPr>
            </w:pPr>
          </w:p>
        </w:tc>
        <w:tc>
          <w:tcPr>
            <w:tcW w:w="2268" w:type="dxa"/>
          </w:tcPr>
          <w:p w14:paraId="7C3317DC" w14:textId="77777777" w:rsidR="008F369D" w:rsidRPr="00F638AF" w:rsidRDefault="00016F29" w:rsidP="008919D7">
            <w:pPr>
              <w:keepNext/>
              <w:keepLines/>
              <w:jc w:val="center"/>
              <w:rPr>
                <w:szCs w:val="22"/>
                <w:lang w:val="en-GB"/>
              </w:rPr>
            </w:pPr>
            <w:r w:rsidRPr="00F638AF">
              <w:rPr>
                <w:szCs w:val="22"/>
                <w:lang w:val="en-GB"/>
              </w:rPr>
              <w:t>Outcome†</w:t>
            </w:r>
          </w:p>
        </w:tc>
        <w:tc>
          <w:tcPr>
            <w:tcW w:w="1887" w:type="dxa"/>
          </w:tcPr>
          <w:p w14:paraId="7C3317DD" w14:textId="77777777" w:rsidR="008F369D" w:rsidRPr="00F638AF" w:rsidRDefault="00016F29" w:rsidP="008919D7">
            <w:pPr>
              <w:keepNext/>
              <w:keepLines/>
              <w:jc w:val="center"/>
              <w:rPr>
                <w:szCs w:val="22"/>
                <w:lang w:val="en-GB"/>
              </w:rPr>
            </w:pPr>
            <w:r w:rsidRPr="00F638AF">
              <w:rPr>
                <w:szCs w:val="22"/>
                <w:lang w:val="en-GB"/>
              </w:rPr>
              <w:t>Placebo+MTX</w:t>
            </w:r>
          </w:p>
        </w:tc>
        <w:tc>
          <w:tcPr>
            <w:tcW w:w="2082" w:type="dxa"/>
          </w:tcPr>
          <w:p w14:paraId="7C3317DE" w14:textId="77777777" w:rsidR="008F369D" w:rsidRPr="00F638AF" w:rsidRDefault="00016F29" w:rsidP="008919D7">
            <w:pPr>
              <w:keepNext/>
              <w:keepLines/>
              <w:jc w:val="center"/>
              <w:rPr>
                <w:szCs w:val="22"/>
                <w:lang w:val="en-GB"/>
              </w:rPr>
            </w:pPr>
            <w:r w:rsidRPr="00F638AF">
              <w:rPr>
                <w:szCs w:val="22"/>
                <w:lang w:val="en-GB"/>
              </w:rPr>
              <w:t>MabThera+MTX</w:t>
            </w:r>
          </w:p>
          <w:p w14:paraId="7C3317DF" w14:textId="77777777" w:rsidR="008F369D" w:rsidRPr="00F638AF" w:rsidRDefault="00016F29" w:rsidP="008919D7">
            <w:pPr>
              <w:keepNext/>
              <w:keepLines/>
              <w:jc w:val="center"/>
              <w:rPr>
                <w:szCs w:val="22"/>
                <w:lang w:val="en-GB"/>
              </w:rPr>
            </w:pPr>
            <w:r w:rsidRPr="00F638AF">
              <w:rPr>
                <w:szCs w:val="22"/>
                <w:lang w:val="en-GB"/>
              </w:rPr>
              <w:t>(2 x 1000 mg)</w:t>
            </w:r>
          </w:p>
        </w:tc>
      </w:tr>
      <w:tr w:rsidR="003A788B" w14:paraId="7C3317E7" w14:textId="77777777" w:rsidTr="008919D7">
        <w:tc>
          <w:tcPr>
            <w:tcW w:w="1588" w:type="dxa"/>
            <w:tcBorders>
              <w:bottom w:val="single" w:sz="4" w:space="0" w:color="auto"/>
            </w:tcBorders>
          </w:tcPr>
          <w:p w14:paraId="7C3317E1" w14:textId="77777777" w:rsidR="008F369D" w:rsidRPr="00F638AF" w:rsidRDefault="00016F29" w:rsidP="008919D7">
            <w:pPr>
              <w:keepNext/>
              <w:keepLines/>
              <w:rPr>
                <w:szCs w:val="22"/>
                <w:lang w:val="en-GB"/>
              </w:rPr>
            </w:pPr>
            <w:r w:rsidRPr="00F638AF">
              <w:rPr>
                <w:szCs w:val="22"/>
                <w:lang w:val="en-GB"/>
              </w:rPr>
              <w:t xml:space="preserve">Trial 1 </w:t>
            </w:r>
          </w:p>
          <w:p w14:paraId="7C3317E2" w14:textId="77777777" w:rsidR="008F369D" w:rsidRPr="00F638AF" w:rsidRDefault="008F369D" w:rsidP="008919D7">
            <w:pPr>
              <w:keepNext/>
              <w:keepLines/>
              <w:rPr>
                <w:szCs w:val="22"/>
                <w:lang w:val="en-GB"/>
              </w:rPr>
            </w:pPr>
          </w:p>
        </w:tc>
        <w:tc>
          <w:tcPr>
            <w:tcW w:w="2268" w:type="dxa"/>
            <w:tcBorders>
              <w:bottom w:val="single" w:sz="4" w:space="0" w:color="auto"/>
            </w:tcBorders>
          </w:tcPr>
          <w:p w14:paraId="7C3317E3" w14:textId="77777777" w:rsidR="008F369D" w:rsidRPr="00F638AF" w:rsidRDefault="008F369D" w:rsidP="008919D7">
            <w:pPr>
              <w:keepNext/>
              <w:keepLines/>
              <w:jc w:val="center"/>
              <w:rPr>
                <w:szCs w:val="22"/>
                <w:lang w:val="en-GB"/>
              </w:rPr>
            </w:pPr>
          </w:p>
        </w:tc>
        <w:tc>
          <w:tcPr>
            <w:tcW w:w="1887" w:type="dxa"/>
            <w:tcBorders>
              <w:bottom w:val="single" w:sz="4" w:space="0" w:color="auto"/>
            </w:tcBorders>
          </w:tcPr>
          <w:p w14:paraId="7C3317E4" w14:textId="77777777" w:rsidR="008F369D" w:rsidRPr="00F638AF" w:rsidRDefault="00016F29" w:rsidP="008919D7">
            <w:pPr>
              <w:keepNext/>
              <w:keepLines/>
              <w:jc w:val="center"/>
              <w:rPr>
                <w:szCs w:val="22"/>
                <w:lang w:val="en-GB"/>
              </w:rPr>
            </w:pPr>
            <w:r w:rsidRPr="00F638AF">
              <w:rPr>
                <w:szCs w:val="22"/>
                <w:lang w:val="en-GB"/>
              </w:rPr>
              <w:t>N= 201</w:t>
            </w:r>
          </w:p>
        </w:tc>
        <w:tc>
          <w:tcPr>
            <w:tcW w:w="2082" w:type="dxa"/>
            <w:tcBorders>
              <w:bottom w:val="single" w:sz="4" w:space="0" w:color="auto"/>
            </w:tcBorders>
          </w:tcPr>
          <w:p w14:paraId="7C3317E5" w14:textId="77777777" w:rsidR="008F369D" w:rsidRPr="00F638AF" w:rsidRDefault="00016F29" w:rsidP="008919D7">
            <w:pPr>
              <w:keepNext/>
              <w:keepLines/>
              <w:jc w:val="center"/>
              <w:rPr>
                <w:szCs w:val="22"/>
                <w:lang w:val="en-GB"/>
              </w:rPr>
            </w:pPr>
            <w:r w:rsidRPr="00F638AF">
              <w:rPr>
                <w:szCs w:val="22"/>
                <w:lang w:val="en-GB"/>
              </w:rPr>
              <w:t>N= 298</w:t>
            </w:r>
          </w:p>
          <w:p w14:paraId="7C3317E6" w14:textId="77777777" w:rsidR="008F369D" w:rsidRPr="00F638AF" w:rsidRDefault="008F369D" w:rsidP="008919D7">
            <w:pPr>
              <w:keepNext/>
              <w:keepLines/>
              <w:jc w:val="center"/>
              <w:rPr>
                <w:szCs w:val="22"/>
                <w:lang w:val="en-GB"/>
              </w:rPr>
            </w:pPr>
          </w:p>
        </w:tc>
      </w:tr>
      <w:tr w:rsidR="003A788B" w14:paraId="7C3317EC" w14:textId="77777777" w:rsidTr="008919D7">
        <w:tc>
          <w:tcPr>
            <w:tcW w:w="1588" w:type="dxa"/>
            <w:tcBorders>
              <w:bottom w:val="nil"/>
            </w:tcBorders>
          </w:tcPr>
          <w:p w14:paraId="7C3317E8" w14:textId="77777777" w:rsidR="008F369D" w:rsidRPr="00F638AF" w:rsidRDefault="008F369D" w:rsidP="008919D7">
            <w:pPr>
              <w:rPr>
                <w:szCs w:val="22"/>
                <w:lang w:val="en-GB"/>
              </w:rPr>
            </w:pPr>
          </w:p>
        </w:tc>
        <w:tc>
          <w:tcPr>
            <w:tcW w:w="2268" w:type="dxa"/>
            <w:tcBorders>
              <w:bottom w:val="nil"/>
            </w:tcBorders>
          </w:tcPr>
          <w:p w14:paraId="7C3317E9" w14:textId="77777777" w:rsidR="008F369D" w:rsidRPr="00F638AF" w:rsidRDefault="00016F29" w:rsidP="008919D7">
            <w:pPr>
              <w:jc w:val="center"/>
              <w:rPr>
                <w:szCs w:val="22"/>
                <w:lang w:val="en-GB"/>
              </w:rPr>
            </w:pPr>
            <w:r w:rsidRPr="00F638AF">
              <w:rPr>
                <w:szCs w:val="22"/>
                <w:lang w:val="en-GB"/>
              </w:rPr>
              <w:t>ACR20</w:t>
            </w:r>
          </w:p>
        </w:tc>
        <w:tc>
          <w:tcPr>
            <w:tcW w:w="1887" w:type="dxa"/>
            <w:tcBorders>
              <w:bottom w:val="nil"/>
            </w:tcBorders>
          </w:tcPr>
          <w:p w14:paraId="7C3317EA" w14:textId="77777777" w:rsidR="008F369D" w:rsidRPr="00F638AF" w:rsidRDefault="00016F29" w:rsidP="008919D7">
            <w:pPr>
              <w:jc w:val="center"/>
              <w:rPr>
                <w:szCs w:val="22"/>
                <w:lang w:val="en-GB"/>
              </w:rPr>
            </w:pPr>
            <w:r w:rsidRPr="00F638AF">
              <w:rPr>
                <w:szCs w:val="22"/>
                <w:lang w:val="en-GB"/>
              </w:rPr>
              <w:t>36 (18%)</w:t>
            </w:r>
          </w:p>
        </w:tc>
        <w:tc>
          <w:tcPr>
            <w:tcW w:w="2082" w:type="dxa"/>
            <w:tcBorders>
              <w:bottom w:val="nil"/>
            </w:tcBorders>
          </w:tcPr>
          <w:p w14:paraId="7C3317EB" w14:textId="77777777" w:rsidR="008F369D" w:rsidRPr="00F638AF" w:rsidRDefault="00016F29" w:rsidP="008919D7">
            <w:pPr>
              <w:jc w:val="center"/>
              <w:rPr>
                <w:szCs w:val="22"/>
                <w:lang w:val="en-GB"/>
              </w:rPr>
            </w:pPr>
            <w:r w:rsidRPr="00F638AF">
              <w:rPr>
                <w:szCs w:val="22"/>
                <w:lang w:val="en-GB"/>
              </w:rPr>
              <w:t>153 (51%)</w:t>
            </w:r>
            <w:r w:rsidRPr="00F638AF">
              <w:rPr>
                <w:szCs w:val="22"/>
                <w:vertAlign w:val="superscript"/>
                <w:lang w:val="en-GB"/>
              </w:rPr>
              <w:t>***</w:t>
            </w:r>
          </w:p>
        </w:tc>
      </w:tr>
      <w:tr w:rsidR="003A788B" w14:paraId="7C3317F1" w14:textId="77777777" w:rsidTr="008919D7">
        <w:tc>
          <w:tcPr>
            <w:tcW w:w="1588" w:type="dxa"/>
            <w:tcBorders>
              <w:top w:val="nil"/>
              <w:bottom w:val="nil"/>
            </w:tcBorders>
          </w:tcPr>
          <w:p w14:paraId="7C3317ED" w14:textId="77777777" w:rsidR="008F369D" w:rsidRPr="00F638AF" w:rsidRDefault="008F369D" w:rsidP="008919D7">
            <w:pPr>
              <w:rPr>
                <w:szCs w:val="22"/>
                <w:lang w:val="en-GB"/>
              </w:rPr>
            </w:pPr>
          </w:p>
        </w:tc>
        <w:tc>
          <w:tcPr>
            <w:tcW w:w="2268" w:type="dxa"/>
            <w:tcBorders>
              <w:top w:val="nil"/>
              <w:bottom w:val="nil"/>
            </w:tcBorders>
          </w:tcPr>
          <w:p w14:paraId="7C3317EE" w14:textId="77777777" w:rsidR="008F369D" w:rsidRPr="00F638AF" w:rsidRDefault="00016F29" w:rsidP="008919D7">
            <w:pPr>
              <w:jc w:val="center"/>
              <w:rPr>
                <w:szCs w:val="22"/>
                <w:lang w:val="en-GB"/>
              </w:rPr>
            </w:pPr>
            <w:r w:rsidRPr="00F638AF">
              <w:rPr>
                <w:szCs w:val="22"/>
                <w:lang w:val="en-GB"/>
              </w:rPr>
              <w:t>ACR50</w:t>
            </w:r>
          </w:p>
        </w:tc>
        <w:tc>
          <w:tcPr>
            <w:tcW w:w="1887" w:type="dxa"/>
            <w:tcBorders>
              <w:top w:val="nil"/>
              <w:bottom w:val="nil"/>
            </w:tcBorders>
          </w:tcPr>
          <w:p w14:paraId="7C3317EF" w14:textId="77777777" w:rsidR="008F369D" w:rsidRPr="00F638AF" w:rsidRDefault="00016F29" w:rsidP="008919D7">
            <w:pPr>
              <w:jc w:val="center"/>
              <w:rPr>
                <w:szCs w:val="22"/>
                <w:lang w:val="en-GB"/>
              </w:rPr>
            </w:pPr>
            <w:r w:rsidRPr="00F638AF">
              <w:rPr>
                <w:szCs w:val="22"/>
                <w:lang w:val="en-GB"/>
              </w:rPr>
              <w:t>11 (5%)</w:t>
            </w:r>
          </w:p>
        </w:tc>
        <w:tc>
          <w:tcPr>
            <w:tcW w:w="2082" w:type="dxa"/>
            <w:tcBorders>
              <w:top w:val="nil"/>
              <w:bottom w:val="nil"/>
            </w:tcBorders>
          </w:tcPr>
          <w:p w14:paraId="7C3317F0" w14:textId="77777777" w:rsidR="008F369D" w:rsidRPr="00F638AF" w:rsidRDefault="00016F29" w:rsidP="008919D7">
            <w:pPr>
              <w:jc w:val="center"/>
              <w:rPr>
                <w:szCs w:val="22"/>
                <w:lang w:val="en-GB"/>
              </w:rPr>
            </w:pPr>
            <w:r w:rsidRPr="00F638AF">
              <w:rPr>
                <w:szCs w:val="22"/>
                <w:lang w:val="en-GB"/>
              </w:rPr>
              <w:t>80 (27%)</w:t>
            </w:r>
            <w:r w:rsidRPr="00F638AF">
              <w:rPr>
                <w:szCs w:val="22"/>
                <w:vertAlign w:val="superscript"/>
                <w:lang w:val="en-GB"/>
              </w:rPr>
              <w:t>***</w:t>
            </w:r>
          </w:p>
        </w:tc>
      </w:tr>
      <w:tr w:rsidR="003A788B" w14:paraId="7C3317F6" w14:textId="77777777" w:rsidTr="008919D7">
        <w:tc>
          <w:tcPr>
            <w:tcW w:w="1588" w:type="dxa"/>
            <w:tcBorders>
              <w:top w:val="nil"/>
              <w:bottom w:val="single" w:sz="4" w:space="0" w:color="auto"/>
            </w:tcBorders>
          </w:tcPr>
          <w:p w14:paraId="7C3317F2" w14:textId="77777777" w:rsidR="008F369D" w:rsidRPr="00F638AF" w:rsidRDefault="008F369D" w:rsidP="008919D7">
            <w:pPr>
              <w:rPr>
                <w:szCs w:val="22"/>
                <w:lang w:val="en-GB"/>
              </w:rPr>
            </w:pPr>
          </w:p>
        </w:tc>
        <w:tc>
          <w:tcPr>
            <w:tcW w:w="2268" w:type="dxa"/>
            <w:tcBorders>
              <w:top w:val="nil"/>
              <w:bottom w:val="single" w:sz="4" w:space="0" w:color="auto"/>
            </w:tcBorders>
          </w:tcPr>
          <w:p w14:paraId="7C3317F3" w14:textId="77777777" w:rsidR="008F369D" w:rsidRPr="00F638AF" w:rsidRDefault="00016F29" w:rsidP="008919D7">
            <w:pPr>
              <w:jc w:val="center"/>
              <w:rPr>
                <w:szCs w:val="22"/>
                <w:lang w:val="en-GB"/>
              </w:rPr>
            </w:pPr>
            <w:r w:rsidRPr="00F638AF">
              <w:rPr>
                <w:szCs w:val="22"/>
                <w:lang w:val="en-GB"/>
              </w:rPr>
              <w:t>ACR70</w:t>
            </w:r>
          </w:p>
        </w:tc>
        <w:tc>
          <w:tcPr>
            <w:tcW w:w="1887" w:type="dxa"/>
            <w:tcBorders>
              <w:top w:val="nil"/>
              <w:bottom w:val="single" w:sz="4" w:space="0" w:color="auto"/>
            </w:tcBorders>
          </w:tcPr>
          <w:p w14:paraId="7C3317F4" w14:textId="77777777" w:rsidR="008F369D" w:rsidRPr="00F638AF" w:rsidRDefault="00016F29" w:rsidP="008919D7">
            <w:pPr>
              <w:jc w:val="center"/>
              <w:rPr>
                <w:szCs w:val="22"/>
                <w:lang w:val="en-GB"/>
              </w:rPr>
            </w:pPr>
            <w:r w:rsidRPr="00F638AF">
              <w:rPr>
                <w:szCs w:val="22"/>
                <w:lang w:val="en-GB"/>
              </w:rPr>
              <w:t>3 (1%)</w:t>
            </w:r>
          </w:p>
        </w:tc>
        <w:tc>
          <w:tcPr>
            <w:tcW w:w="2082" w:type="dxa"/>
            <w:tcBorders>
              <w:top w:val="nil"/>
              <w:bottom w:val="single" w:sz="4" w:space="0" w:color="auto"/>
            </w:tcBorders>
          </w:tcPr>
          <w:p w14:paraId="7C3317F5" w14:textId="77777777" w:rsidR="008F369D" w:rsidRPr="00F638AF" w:rsidRDefault="00016F29" w:rsidP="008919D7">
            <w:pPr>
              <w:jc w:val="center"/>
              <w:rPr>
                <w:szCs w:val="22"/>
                <w:lang w:val="en-GB"/>
              </w:rPr>
            </w:pPr>
            <w:r w:rsidRPr="00F638AF">
              <w:rPr>
                <w:szCs w:val="22"/>
                <w:lang w:val="en-GB"/>
              </w:rPr>
              <w:t>37 (12%)</w:t>
            </w:r>
            <w:r w:rsidRPr="00F638AF">
              <w:rPr>
                <w:szCs w:val="22"/>
                <w:vertAlign w:val="superscript"/>
                <w:lang w:val="en-GB"/>
              </w:rPr>
              <w:t>***</w:t>
            </w:r>
          </w:p>
        </w:tc>
      </w:tr>
      <w:tr w:rsidR="003A788B" w14:paraId="7C3317FB" w14:textId="77777777" w:rsidTr="008919D7">
        <w:tc>
          <w:tcPr>
            <w:tcW w:w="1588" w:type="dxa"/>
            <w:tcBorders>
              <w:top w:val="nil"/>
              <w:bottom w:val="single" w:sz="4" w:space="0" w:color="auto"/>
            </w:tcBorders>
          </w:tcPr>
          <w:p w14:paraId="7C3317F7" w14:textId="77777777" w:rsidR="008F369D" w:rsidRPr="00F638AF" w:rsidRDefault="008F369D" w:rsidP="008919D7">
            <w:pPr>
              <w:rPr>
                <w:szCs w:val="22"/>
                <w:lang w:val="en-GB"/>
              </w:rPr>
            </w:pPr>
          </w:p>
        </w:tc>
        <w:tc>
          <w:tcPr>
            <w:tcW w:w="2268" w:type="dxa"/>
            <w:tcBorders>
              <w:top w:val="nil"/>
              <w:bottom w:val="single" w:sz="4" w:space="0" w:color="auto"/>
            </w:tcBorders>
          </w:tcPr>
          <w:p w14:paraId="7C3317F8" w14:textId="77777777" w:rsidR="008F369D" w:rsidRPr="00F638AF" w:rsidRDefault="00016F29" w:rsidP="008919D7">
            <w:pPr>
              <w:jc w:val="center"/>
              <w:rPr>
                <w:szCs w:val="22"/>
                <w:lang w:val="en-GB"/>
              </w:rPr>
            </w:pPr>
            <w:r w:rsidRPr="00F638AF">
              <w:rPr>
                <w:szCs w:val="22"/>
                <w:lang w:val="en-GB"/>
              </w:rPr>
              <w:t>EULAR Response (Good/Moderate)</w:t>
            </w:r>
          </w:p>
        </w:tc>
        <w:tc>
          <w:tcPr>
            <w:tcW w:w="1887" w:type="dxa"/>
            <w:tcBorders>
              <w:top w:val="nil"/>
              <w:bottom w:val="single" w:sz="4" w:space="0" w:color="auto"/>
            </w:tcBorders>
          </w:tcPr>
          <w:p w14:paraId="7C3317F9" w14:textId="77777777" w:rsidR="008F369D" w:rsidRPr="00F638AF" w:rsidRDefault="00016F29" w:rsidP="008919D7">
            <w:pPr>
              <w:jc w:val="center"/>
              <w:rPr>
                <w:szCs w:val="22"/>
                <w:lang w:val="en-GB"/>
              </w:rPr>
            </w:pPr>
            <w:r w:rsidRPr="00F638AF">
              <w:rPr>
                <w:szCs w:val="22"/>
                <w:lang w:val="en-GB"/>
              </w:rPr>
              <w:t>44 (22%)</w:t>
            </w:r>
          </w:p>
        </w:tc>
        <w:tc>
          <w:tcPr>
            <w:tcW w:w="2082" w:type="dxa"/>
            <w:tcBorders>
              <w:top w:val="nil"/>
              <w:bottom w:val="single" w:sz="4" w:space="0" w:color="auto"/>
            </w:tcBorders>
          </w:tcPr>
          <w:p w14:paraId="7C3317FA" w14:textId="77777777" w:rsidR="008F369D" w:rsidRPr="00F638AF" w:rsidRDefault="00016F29" w:rsidP="008919D7">
            <w:pPr>
              <w:jc w:val="center"/>
              <w:rPr>
                <w:szCs w:val="22"/>
                <w:lang w:val="en-GB"/>
              </w:rPr>
            </w:pPr>
            <w:r w:rsidRPr="00F638AF">
              <w:rPr>
                <w:szCs w:val="22"/>
                <w:lang w:val="en-GB"/>
              </w:rPr>
              <w:t>193 (65%)</w:t>
            </w:r>
            <w:r w:rsidRPr="00F638AF">
              <w:rPr>
                <w:szCs w:val="22"/>
                <w:vertAlign w:val="superscript"/>
                <w:lang w:val="en-GB"/>
              </w:rPr>
              <w:t>***</w:t>
            </w:r>
          </w:p>
        </w:tc>
      </w:tr>
      <w:tr w:rsidR="003A788B" w14:paraId="7C331800" w14:textId="77777777" w:rsidTr="008919D7">
        <w:tc>
          <w:tcPr>
            <w:tcW w:w="1588" w:type="dxa"/>
            <w:tcBorders>
              <w:top w:val="nil"/>
              <w:bottom w:val="single" w:sz="4" w:space="0" w:color="auto"/>
            </w:tcBorders>
          </w:tcPr>
          <w:p w14:paraId="7C3317FC" w14:textId="77777777" w:rsidR="008F369D" w:rsidRPr="00F638AF" w:rsidRDefault="008F369D" w:rsidP="008919D7">
            <w:pPr>
              <w:rPr>
                <w:szCs w:val="22"/>
                <w:lang w:val="en-GB"/>
              </w:rPr>
            </w:pPr>
          </w:p>
        </w:tc>
        <w:tc>
          <w:tcPr>
            <w:tcW w:w="2268" w:type="dxa"/>
            <w:tcBorders>
              <w:top w:val="nil"/>
              <w:bottom w:val="single" w:sz="4" w:space="0" w:color="auto"/>
            </w:tcBorders>
          </w:tcPr>
          <w:p w14:paraId="7C3317FD" w14:textId="77777777" w:rsidR="008F369D" w:rsidRPr="00F638AF" w:rsidRDefault="00016F29" w:rsidP="008919D7">
            <w:pPr>
              <w:jc w:val="center"/>
              <w:rPr>
                <w:szCs w:val="22"/>
                <w:lang w:val="en-GB"/>
              </w:rPr>
            </w:pPr>
            <w:r w:rsidRPr="00F638AF">
              <w:rPr>
                <w:szCs w:val="22"/>
                <w:lang w:val="en-GB"/>
              </w:rPr>
              <w:t xml:space="preserve">Mean </w:t>
            </w:r>
            <w:r w:rsidR="00B27003" w:rsidRPr="00F638AF">
              <w:rPr>
                <w:szCs w:val="22"/>
                <w:lang w:val="en-GB"/>
              </w:rPr>
              <w:t>c</w:t>
            </w:r>
            <w:r w:rsidRPr="00F638AF">
              <w:rPr>
                <w:szCs w:val="22"/>
                <w:lang w:val="en-GB"/>
              </w:rPr>
              <w:t>hange in DAS</w:t>
            </w:r>
          </w:p>
        </w:tc>
        <w:tc>
          <w:tcPr>
            <w:tcW w:w="1887" w:type="dxa"/>
            <w:tcBorders>
              <w:top w:val="nil"/>
              <w:bottom w:val="single" w:sz="4" w:space="0" w:color="auto"/>
            </w:tcBorders>
          </w:tcPr>
          <w:p w14:paraId="7C3317FE" w14:textId="77777777" w:rsidR="008F369D" w:rsidRPr="00F638AF" w:rsidRDefault="00016F29" w:rsidP="008919D7">
            <w:pPr>
              <w:jc w:val="center"/>
              <w:rPr>
                <w:szCs w:val="22"/>
                <w:lang w:val="en-GB"/>
              </w:rPr>
            </w:pPr>
            <w:r w:rsidRPr="00F638AF">
              <w:rPr>
                <w:rFonts w:ascii="Cambria Math" w:hAnsi="Cambria Math" w:cs="Cambria Math"/>
                <w:szCs w:val="22"/>
                <w:lang w:val="en-GB"/>
              </w:rPr>
              <w:noBreakHyphen/>
            </w:r>
            <w:r w:rsidRPr="00F638AF">
              <w:rPr>
                <w:szCs w:val="22"/>
                <w:lang w:val="en-GB"/>
              </w:rPr>
              <w:t>0.34</w:t>
            </w:r>
          </w:p>
        </w:tc>
        <w:tc>
          <w:tcPr>
            <w:tcW w:w="2082" w:type="dxa"/>
            <w:tcBorders>
              <w:top w:val="nil"/>
              <w:bottom w:val="single" w:sz="4" w:space="0" w:color="auto"/>
            </w:tcBorders>
          </w:tcPr>
          <w:p w14:paraId="7C3317FF" w14:textId="77777777" w:rsidR="008F369D" w:rsidRPr="00F638AF" w:rsidRDefault="00016F29" w:rsidP="008919D7">
            <w:pPr>
              <w:jc w:val="center"/>
              <w:rPr>
                <w:szCs w:val="22"/>
                <w:lang w:val="en-GB"/>
              </w:rPr>
            </w:pPr>
            <w:r w:rsidRPr="00F638AF">
              <w:rPr>
                <w:rFonts w:ascii="Cambria Math" w:hAnsi="Cambria Math" w:cs="Cambria Math"/>
                <w:szCs w:val="22"/>
                <w:lang w:val="en-GB"/>
              </w:rPr>
              <w:noBreakHyphen/>
            </w:r>
            <w:r w:rsidRPr="00F638AF">
              <w:rPr>
                <w:szCs w:val="22"/>
                <w:lang w:val="en-GB"/>
              </w:rPr>
              <w:t>1.83</w:t>
            </w:r>
            <w:r w:rsidRPr="00F638AF">
              <w:rPr>
                <w:szCs w:val="22"/>
                <w:vertAlign w:val="superscript"/>
                <w:lang w:val="en-GB"/>
              </w:rPr>
              <w:t>***</w:t>
            </w:r>
          </w:p>
        </w:tc>
      </w:tr>
    </w:tbl>
    <w:p w14:paraId="7C331801" w14:textId="77777777" w:rsidR="008F369D" w:rsidRPr="00F638AF" w:rsidRDefault="00016F29" w:rsidP="008F369D">
      <w:pPr>
        <w:rPr>
          <w:rFonts w:eastAsia="MS Mincho"/>
          <w:sz w:val="18"/>
          <w:lang w:val="en-GB" w:eastAsia="zh-CN" w:bidi="th-TH"/>
        </w:rPr>
      </w:pPr>
      <w:r w:rsidRPr="00F638AF">
        <w:rPr>
          <w:rFonts w:eastAsia="MS Mincho"/>
          <w:sz w:val="18"/>
          <w:lang w:val="en-GB" w:eastAsia="zh-CN" w:bidi="th-TH"/>
        </w:rPr>
        <w:t>† Outcome at 24 weeks</w:t>
      </w:r>
    </w:p>
    <w:p w14:paraId="7C331802" w14:textId="77777777" w:rsidR="008F369D" w:rsidRPr="00F638AF" w:rsidRDefault="00016F29" w:rsidP="008F369D">
      <w:pPr>
        <w:rPr>
          <w:szCs w:val="22"/>
          <w:lang w:val="en-GB"/>
        </w:rPr>
      </w:pPr>
      <w:r w:rsidRPr="00F638AF">
        <w:rPr>
          <w:rFonts w:eastAsia="MS Mincho"/>
          <w:sz w:val="18"/>
          <w:lang w:val="en-GB" w:eastAsia="zh-CN" w:bidi="th-TH"/>
        </w:rPr>
        <w:t>Significant difference from placebo + MTX at the primary timepoint: ***p ≤ 0.0001</w:t>
      </w:r>
    </w:p>
    <w:p w14:paraId="7C331803" w14:textId="77777777" w:rsidR="008F369D" w:rsidRPr="00F638AF" w:rsidRDefault="008F369D" w:rsidP="008F369D">
      <w:pPr>
        <w:rPr>
          <w:szCs w:val="22"/>
          <w:lang w:val="en-GB"/>
        </w:rPr>
      </w:pPr>
    </w:p>
    <w:p w14:paraId="7C331804" w14:textId="77777777" w:rsidR="008F369D" w:rsidRPr="00F638AF" w:rsidRDefault="00016F29" w:rsidP="008F369D">
      <w:pPr>
        <w:rPr>
          <w:szCs w:val="22"/>
          <w:lang w:val="en-GB"/>
        </w:rPr>
      </w:pPr>
      <w:r w:rsidRPr="00F638AF">
        <w:rPr>
          <w:szCs w:val="22"/>
          <w:lang w:val="en-GB"/>
        </w:rPr>
        <w:t xml:space="preserve">Patients treated with MabThera in combination with methotrexate had a significantly greater reduction in disease activity score (DAS28) than patients treated with methotrexate alone (Table </w:t>
      </w:r>
      <w:r w:rsidR="00F1525D" w:rsidRPr="00F638AF">
        <w:rPr>
          <w:szCs w:val="22"/>
          <w:lang w:val="en-GB"/>
        </w:rPr>
        <w:t>15</w:t>
      </w:r>
      <w:r w:rsidRPr="00F638AF">
        <w:rPr>
          <w:szCs w:val="22"/>
          <w:lang w:val="en-GB"/>
        </w:rPr>
        <w:t>). Similarly, a good to moderate European League Against Rheumatism (EULAR) response was achieved by</w:t>
      </w:r>
      <w:r w:rsidRPr="008C78AA">
        <w:rPr>
          <w:szCs w:val="22"/>
          <w:lang w:val="en-GB"/>
        </w:rPr>
        <w:t xml:space="preserve"> significantly more MabThera treated </w:t>
      </w:r>
      <w:r w:rsidRPr="00F638AF">
        <w:rPr>
          <w:szCs w:val="22"/>
          <w:lang w:val="en-GB"/>
        </w:rPr>
        <w:t>patients treated with MabThera and methotrexate compared to patients treated with methotrexate alone (Table </w:t>
      </w:r>
      <w:r w:rsidR="00113B0C" w:rsidRPr="00F638AF">
        <w:rPr>
          <w:szCs w:val="22"/>
          <w:lang w:val="en-GB"/>
        </w:rPr>
        <w:t>15</w:t>
      </w:r>
      <w:r w:rsidRPr="00F638AF">
        <w:rPr>
          <w:szCs w:val="22"/>
          <w:lang w:val="en-GB"/>
        </w:rPr>
        <w:t>).</w:t>
      </w:r>
    </w:p>
    <w:p w14:paraId="7C331805" w14:textId="77777777" w:rsidR="008F369D" w:rsidRPr="00F638AF" w:rsidRDefault="008F369D" w:rsidP="008F369D">
      <w:pPr>
        <w:rPr>
          <w:i/>
          <w:szCs w:val="22"/>
          <w:lang w:val="en-GB"/>
        </w:rPr>
      </w:pPr>
    </w:p>
    <w:p w14:paraId="7C331806" w14:textId="77777777" w:rsidR="008F369D" w:rsidRPr="00F638AF" w:rsidRDefault="00016F29" w:rsidP="008F369D">
      <w:pPr>
        <w:keepNext/>
        <w:keepLines/>
        <w:outlineLvl w:val="0"/>
        <w:rPr>
          <w:i/>
          <w:szCs w:val="22"/>
          <w:lang w:val="en-GB"/>
        </w:rPr>
      </w:pPr>
      <w:r w:rsidRPr="00F638AF">
        <w:rPr>
          <w:i/>
          <w:szCs w:val="22"/>
          <w:lang w:val="en-GB"/>
        </w:rPr>
        <w:t>Radiographic response</w:t>
      </w:r>
    </w:p>
    <w:p w14:paraId="7C331807" w14:textId="77777777" w:rsidR="008F369D" w:rsidRPr="00F638AF" w:rsidRDefault="00016F29" w:rsidP="008F369D">
      <w:pPr>
        <w:keepNext/>
        <w:keepLines/>
        <w:rPr>
          <w:rFonts w:eastAsia="MS Mincho"/>
          <w:szCs w:val="22"/>
          <w:lang w:val="en-GB"/>
        </w:rPr>
      </w:pPr>
      <w:r w:rsidRPr="00F638AF">
        <w:rPr>
          <w:rFonts w:eastAsia="MS Mincho"/>
          <w:szCs w:val="22"/>
          <w:lang w:val="en-GB"/>
        </w:rPr>
        <w:t>Structural joint damage was assessed radiographically and expressed as change in modified Total Sharp Score (mTSS) and its components, the erosion score and joint space narrowing score.</w:t>
      </w:r>
    </w:p>
    <w:p w14:paraId="7C331808" w14:textId="77777777" w:rsidR="008F369D" w:rsidRPr="00F638AF" w:rsidRDefault="008F369D" w:rsidP="008F369D">
      <w:pPr>
        <w:rPr>
          <w:lang w:val="en-GB"/>
        </w:rPr>
      </w:pPr>
    </w:p>
    <w:p w14:paraId="7C331809" w14:textId="77777777" w:rsidR="008F369D" w:rsidRPr="00F638AF" w:rsidRDefault="00016F29" w:rsidP="008F369D">
      <w:pPr>
        <w:rPr>
          <w:lang w:val="en-GB"/>
        </w:rPr>
      </w:pPr>
      <w:r w:rsidRPr="00F638AF">
        <w:rPr>
          <w:lang w:val="en-GB"/>
        </w:rPr>
        <w:t>In Trial 1, conducted in patients with inadequate response or intolerance to one or more TNF inhibitor therapies, receiving MabThera in combination with methotrexate demonstrated significantly less radiographic progression than patients originally receiving methotrexate alone at 56 weeks. Of the patients originally receiving methotrexate alone, 81 % received MabThera either as rescue between weeks 16</w:t>
      </w:r>
      <w:r w:rsidR="000A6DDA" w:rsidRPr="00F638AF">
        <w:rPr>
          <w:lang w:val="en-GB"/>
        </w:rPr>
        <w:noBreakHyphen/>
      </w:r>
      <w:r w:rsidRPr="00F638AF">
        <w:rPr>
          <w:lang w:val="en-GB"/>
        </w:rPr>
        <w:t>24 or in the extension trial, before week 56. A higher proportion of patients receiving the original MabThera/MTX treatment also had no erosive progression over 56 weeks (Table </w:t>
      </w:r>
      <w:r w:rsidR="00F1525D" w:rsidRPr="00F638AF">
        <w:rPr>
          <w:lang w:val="en-GB"/>
        </w:rPr>
        <w:t>16</w:t>
      </w:r>
      <w:r w:rsidRPr="00F638AF">
        <w:rPr>
          <w:lang w:val="en-GB"/>
        </w:rPr>
        <w:t>).</w:t>
      </w:r>
    </w:p>
    <w:p w14:paraId="7C33180A" w14:textId="77777777" w:rsidR="008F369D" w:rsidRPr="00F638AF" w:rsidRDefault="008F369D" w:rsidP="008F369D">
      <w:pPr>
        <w:rPr>
          <w:i/>
          <w:szCs w:val="22"/>
          <w:lang w:val="en-GB"/>
        </w:rPr>
      </w:pPr>
    </w:p>
    <w:p w14:paraId="7C33180B" w14:textId="77777777" w:rsidR="008F369D" w:rsidRPr="00F638AF" w:rsidRDefault="00016F29" w:rsidP="008F369D">
      <w:pPr>
        <w:keepNext/>
        <w:ind w:left="1134" w:hanging="1134"/>
        <w:rPr>
          <w:b/>
          <w:bCs/>
          <w:szCs w:val="22"/>
          <w:lang w:val="en-GB"/>
        </w:rPr>
      </w:pPr>
      <w:r w:rsidRPr="00F638AF">
        <w:rPr>
          <w:b/>
          <w:bCs/>
          <w:szCs w:val="22"/>
          <w:lang w:val="en-GB"/>
        </w:rPr>
        <w:t>Table </w:t>
      </w:r>
      <w:r w:rsidR="00F1525D" w:rsidRPr="00F638AF">
        <w:rPr>
          <w:b/>
          <w:bCs/>
          <w:szCs w:val="22"/>
          <w:lang w:val="en-GB"/>
        </w:rPr>
        <w:t>16</w:t>
      </w:r>
      <w:r w:rsidRPr="00F638AF">
        <w:rPr>
          <w:b/>
          <w:bCs/>
          <w:szCs w:val="22"/>
          <w:lang w:val="en-GB"/>
        </w:rPr>
        <w:tab/>
        <w:t>Radiographic outcomes at 1 year (mITT population)</w:t>
      </w:r>
    </w:p>
    <w:tbl>
      <w:tblPr>
        <w:tblW w:w="0" w:type="auto"/>
        <w:tblBorders>
          <w:top w:val="single" w:sz="6" w:space="0" w:color="000000"/>
          <w:bottom w:val="single" w:sz="6" w:space="0" w:color="000000"/>
          <w:insideV w:val="single" w:sz="6" w:space="0" w:color="000000"/>
        </w:tblBorders>
        <w:tblLayout w:type="fixed"/>
        <w:tblLook w:val="0000" w:firstRow="0" w:lastRow="0" w:firstColumn="0" w:lastColumn="0" w:noHBand="0" w:noVBand="0"/>
      </w:tblPr>
      <w:tblGrid>
        <w:gridCol w:w="4644"/>
        <w:gridCol w:w="1843"/>
        <w:gridCol w:w="1985"/>
      </w:tblGrid>
      <w:tr w:rsidR="003A788B" w14:paraId="7C331812" w14:textId="77777777" w:rsidTr="008919D7">
        <w:tc>
          <w:tcPr>
            <w:tcW w:w="4644" w:type="dxa"/>
            <w:tcBorders>
              <w:top w:val="single" w:sz="6" w:space="0" w:color="000000"/>
              <w:left w:val="single" w:sz="4" w:space="0" w:color="auto"/>
              <w:bottom w:val="single" w:sz="6" w:space="0" w:color="000000"/>
              <w:right w:val="single" w:sz="6" w:space="0" w:color="000000"/>
            </w:tcBorders>
          </w:tcPr>
          <w:p w14:paraId="7C33180C" w14:textId="77777777" w:rsidR="008F369D" w:rsidRPr="00F638AF" w:rsidRDefault="008F369D" w:rsidP="008919D7">
            <w:pPr>
              <w:pStyle w:val="TextTi10"/>
              <w:keepNext/>
              <w:rPr>
                <w:b/>
                <w:sz w:val="22"/>
                <w:szCs w:val="22"/>
                <w:lang w:val="en-GB"/>
              </w:rPr>
            </w:pPr>
          </w:p>
        </w:tc>
        <w:tc>
          <w:tcPr>
            <w:tcW w:w="1843" w:type="dxa"/>
            <w:tcBorders>
              <w:top w:val="single" w:sz="6" w:space="0" w:color="000000"/>
              <w:left w:val="single" w:sz="6" w:space="0" w:color="000000"/>
              <w:bottom w:val="single" w:sz="6" w:space="0" w:color="000000"/>
              <w:right w:val="single" w:sz="6" w:space="0" w:color="000000"/>
            </w:tcBorders>
          </w:tcPr>
          <w:p w14:paraId="7C33180D" w14:textId="77777777" w:rsidR="008F369D" w:rsidRPr="00F638AF" w:rsidRDefault="00016F29" w:rsidP="008919D7">
            <w:pPr>
              <w:pStyle w:val="TextTi10"/>
              <w:keepNext/>
              <w:jc w:val="center"/>
              <w:rPr>
                <w:sz w:val="22"/>
                <w:szCs w:val="22"/>
                <w:lang w:val="en-GB"/>
              </w:rPr>
            </w:pPr>
            <w:r w:rsidRPr="00F638AF">
              <w:rPr>
                <w:sz w:val="22"/>
                <w:szCs w:val="22"/>
                <w:lang w:val="en-GB"/>
              </w:rPr>
              <w:t>Placebo+MTX</w:t>
            </w:r>
          </w:p>
          <w:p w14:paraId="7C33180E" w14:textId="77777777" w:rsidR="008F369D" w:rsidRPr="00F638AF" w:rsidRDefault="008F369D" w:rsidP="008919D7">
            <w:pPr>
              <w:pStyle w:val="TextTi10"/>
              <w:keepNext/>
              <w:jc w:val="center"/>
              <w:rPr>
                <w:sz w:val="22"/>
                <w:szCs w:val="22"/>
                <w:lang w:val="en-GB"/>
              </w:rPr>
            </w:pPr>
          </w:p>
        </w:tc>
        <w:tc>
          <w:tcPr>
            <w:tcW w:w="1985" w:type="dxa"/>
            <w:tcBorders>
              <w:top w:val="single" w:sz="6" w:space="0" w:color="000000"/>
              <w:left w:val="single" w:sz="6" w:space="0" w:color="000000"/>
              <w:bottom w:val="single" w:sz="6" w:space="0" w:color="000000"/>
              <w:right w:val="single" w:sz="6" w:space="0" w:color="000000"/>
            </w:tcBorders>
          </w:tcPr>
          <w:p w14:paraId="7C33180F" w14:textId="77777777" w:rsidR="008F369D" w:rsidRPr="00F638AF" w:rsidRDefault="00016F29" w:rsidP="008919D7">
            <w:pPr>
              <w:keepNext/>
              <w:autoSpaceDE w:val="0"/>
              <w:autoSpaceDN w:val="0"/>
              <w:adjustRightInd w:val="0"/>
              <w:jc w:val="center"/>
              <w:rPr>
                <w:szCs w:val="22"/>
                <w:lang w:val="en-GB"/>
              </w:rPr>
            </w:pPr>
            <w:r w:rsidRPr="00F638AF">
              <w:rPr>
                <w:szCs w:val="22"/>
                <w:lang w:val="en-GB"/>
              </w:rPr>
              <w:t>MabThera+MTX</w:t>
            </w:r>
          </w:p>
          <w:p w14:paraId="7C331810" w14:textId="77777777" w:rsidR="008F369D" w:rsidRPr="00C36AA7" w:rsidRDefault="00016F29" w:rsidP="008919D7">
            <w:pPr>
              <w:keepNext/>
              <w:autoSpaceDE w:val="0"/>
              <w:autoSpaceDN w:val="0"/>
              <w:adjustRightInd w:val="0"/>
              <w:jc w:val="center"/>
              <w:rPr>
                <w:szCs w:val="22"/>
                <w:lang w:val="en-GB"/>
              </w:rPr>
            </w:pPr>
            <w:r w:rsidRPr="00F638AF">
              <w:rPr>
                <w:szCs w:val="22"/>
                <w:lang w:val="en-GB"/>
              </w:rPr>
              <w:t>2 × 1000 mg</w:t>
            </w:r>
          </w:p>
          <w:p w14:paraId="7C331811" w14:textId="77777777" w:rsidR="008F369D" w:rsidRPr="00C36AA7" w:rsidRDefault="008F369D" w:rsidP="008919D7">
            <w:pPr>
              <w:pStyle w:val="TextTi10"/>
              <w:keepNext/>
              <w:jc w:val="center"/>
              <w:rPr>
                <w:sz w:val="22"/>
                <w:szCs w:val="22"/>
                <w:lang w:val="en-GB"/>
              </w:rPr>
            </w:pPr>
          </w:p>
        </w:tc>
      </w:tr>
      <w:tr w:rsidR="003A788B" w14:paraId="7C331816" w14:textId="77777777" w:rsidTr="008919D7">
        <w:tc>
          <w:tcPr>
            <w:tcW w:w="4644" w:type="dxa"/>
            <w:tcBorders>
              <w:top w:val="single" w:sz="6" w:space="0" w:color="000000"/>
              <w:left w:val="single" w:sz="4" w:space="0" w:color="auto"/>
              <w:bottom w:val="single" w:sz="6" w:space="0" w:color="000000"/>
              <w:right w:val="single" w:sz="6" w:space="0" w:color="000000"/>
            </w:tcBorders>
          </w:tcPr>
          <w:p w14:paraId="7C331813" w14:textId="77777777" w:rsidR="008F369D" w:rsidRPr="00C36AA7" w:rsidRDefault="00016F29" w:rsidP="008919D7">
            <w:pPr>
              <w:pStyle w:val="TextTi10"/>
              <w:keepNext/>
              <w:rPr>
                <w:sz w:val="22"/>
                <w:szCs w:val="22"/>
                <w:lang w:val="en-GB"/>
              </w:rPr>
            </w:pPr>
            <w:r>
              <w:rPr>
                <w:b/>
                <w:sz w:val="22"/>
                <w:szCs w:val="22"/>
                <w:lang w:val="en-GB"/>
              </w:rPr>
              <w:t>Trial</w:t>
            </w:r>
            <w:r w:rsidRPr="00C36AA7">
              <w:rPr>
                <w:b/>
                <w:sz w:val="22"/>
                <w:szCs w:val="22"/>
                <w:lang w:val="en-GB"/>
              </w:rPr>
              <w:t xml:space="preserve"> 1</w:t>
            </w:r>
          </w:p>
        </w:tc>
        <w:tc>
          <w:tcPr>
            <w:tcW w:w="1843" w:type="dxa"/>
            <w:tcBorders>
              <w:top w:val="single" w:sz="6" w:space="0" w:color="000000"/>
              <w:left w:val="single" w:sz="6" w:space="0" w:color="000000"/>
              <w:bottom w:val="single" w:sz="6" w:space="0" w:color="000000"/>
              <w:right w:val="single" w:sz="6" w:space="0" w:color="000000"/>
            </w:tcBorders>
          </w:tcPr>
          <w:p w14:paraId="7C331814" w14:textId="77777777" w:rsidR="008F369D" w:rsidRPr="00C36AA7" w:rsidRDefault="00016F29" w:rsidP="008919D7">
            <w:pPr>
              <w:pStyle w:val="TextTi10"/>
              <w:keepNext/>
              <w:jc w:val="center"/>
              <w:rPr>
                <w:sz w:val="22"/>
                <w:szCs w:val="22"/>
                <w:lang w:val="en-GB"/>
              </w:rPr>
            </w:pPr>
            <w:r w:rsidRPr="00C36AA7">
              <w:rPr>
                <w:sz w:val="22"/>
                <w:szCs w:val="22"/>
                <w:lang w:val="en-GB"/>
              </w:rPr>
              <w:t>(n = 184)</w:t>
            </w:r>
          </w:p>
        </w:tc>
        <w:tc>
          <w:tcPr>
            <w:tcW w:w="1985" w:type="dxa"/>
            <w:tcBorders>
              <w:top w:val="single" w:sz="6" w:space="0" w:color="000000"/>
              <w:left w:val="single" w:sz="6" w:space="0" w:color="000000"/>
              <w:bottom w:val="single" w:sz="6" w:space="0" w:color="000000"/>
              <w:right w:val="single" w:sz="6" w:space="0" w:color="000000"/>
            </w:tcBorders>
          </w:tcPr>
          <w:p w14:paraId="7C331815" w14:textId="77777777" w:rsidR="008F369D" w:rsidRPr="00C36AA7" w:rsidRDefault="00016F29" w:rsidP="008919D7">
            <w:pPr>
              <w:pStyle w:val="TextTi10"/>
              <w:keepNext/>
              <w:jc w:val="center"/>
              <w:rPr>
                <w:sz w:val="22"/>
                <w:szCs w:val="22"/>
                <w:lang w:val="en-GB"/>
              </w:rPr>
            </w:pPr>
            <w:r w:rsidRPr="00C36AA7">
              <w:rPr>
                <w:sz w:val="22"/>
                <w:szCs w:val="22"/>
                <w:lang w:val="en-GB"/>
              </w:rPr>
              <w:t>(n = 273)</w:t>
            </w:r>
          </w:p>
        </w:tc>
      </w:tr>
      <w:tr w:rsidR="003A788B" w14:paraId="7C33181A" w14:textId="77777777" w:rsidTr="008919D7">
        <w:tc>
          <w:tcPr>
            <w:tcW w:w="4644" w:type="dxa"/>
            <w:tcBorders>
              <w:top w:val="single" w:sz="6" w:space="0" w:color="000000"/>
              <w:left w:val="single" w:sz="4" w:space="0" w:color="auto"/>
              <w:bottom w:val="nil"/>
              <w:right w:val="single" w:sz="6" w:space="0" w:color="000000"/>
            </w:tcBorders>
          </w:tcPr>
          <w:p w14:paraId="7C331817" w14:textId="77777777" w:rsidR="008F369D" w:rsidRPr="00C36AA7" w:rsidRDefault="00016F29" w:rsidP="008919D7">
            <w:pPr>
              <w:pStyle w:val="TextTi10"/>
              <w:keepNext/>
              <w:rPr>
                <w:sz w:val="22"/>
                <w:szCs w:val="22"/>
                <w:lang w:val="en-GB"/>
              </w:rPr>
            </w:pPr>
            <w:r>
              <w:rPr>
                <w:sz w:val="22"/>
                <w:szCs w:val="22"/>
                <w:lang w:val="en-GB"/>
              </w:rPr>
              <w:t>Mean change from b</w:t>
            </w:r>
            <w:r w:rsidRPr="00C36AA7">
              <w:rPr>
                <w:sz w:val="22"/>
                <w:szCs w:val="22"/>
                <w:lang w:val="en-GB"/>
              </w:rPr>
              <w:t>aseline:</w:t>
            </w:r>
          </w:p>
        </w:tc>
        <w:tc>
          <w:tcPr>
            <w:tcW w:w="1843" w:type="dxa"/>
            <w:tcBorders>
              <w:top w:val="single" w:sz="6" w:space="0" w:color="000000"/>
              <w:left w:val="single" w:sz="6" w:space="0" w:color="000000"/>
              <w:bottom w:val="nil"/>
              <w:right w:val="single" w:sz="6" w:space="0" w:color="000000"/>
            </w:tcBorders>
          </w:tcPr>
          <w:p w14:paraId="7C331818" w14:textId="77777777" w:rsidR="008F369D" w:rsidRPr="00C36AA7" w:rsidRDefault="008F369D" w:rsidP="008919D7">
            <w:pPr>
              <w:pStyle w:val="TextTi10"/>
              <w:keepNext/>
              <w:jc w:val="center"/>
              <w:rPr>
                <w:sz w:val="22"/>
                <w:szCs w:val="22"/>
                <w:lang w:val="en-GB"/>
              </w:rPr>
            </w:pPr>
          </w:p>
        </w:tc>
        <w:tc>
          <w:tcPr>
            <w:tcW w:w="1985" w:type="dxa"/>
            <w:tcBorders>
              <w:top w:val="single" w:sz="6" w:space="0" w:color="000000"/>
              <w:left w:val="single" w:sz="6" w:space="0" w:color="000000"/>
              <w:bottom w:val="nil"/>
              <w:right w:val="single" w:sz="6" w:space="0" w:color="000000"/>
            </w:tcBorders>
          </w:tcPr>
          <w:p w14:paraId="7C331819" w14:textId="77777777" w:rsidR="008F369D" w:rsidRPr="00C36AA7" w:rsidRDefault="008F369D" w:rsidP="008919D7">
            <w:pPr>
              <w:pStyle w:val="TextTi10"/>
              <w:keepNext/>
              <w:jc w:val="center"/>
              <w:rPr>
                <w:sz w:val="22"/>
                <w:szCs w:val="22"/>
                <w:lang w:val="en-GB"/>
              </w:rPr>
            </w:pPr>
          </w:p>
        </w:tc>
      </w:tr>
      <w:tr w:rsidR="003A788B" w14:paraId="7C33181F" w14:textId="77777777" w:rsidTr="008919D7">
        <w:tc>
          <w:tcPr>
            <w:tcW w:w="4644" w:type="dxa"/>
            <w:tcBorders>
              <w:top w:val="nil"/>
              <w:left w:val="single" w:sz="4" w:space="0" w:color="auto"/>
              <w:bottom w:val="nil"/>
              <w:right w:val="single" w:sz="6" w:space="0" w:color="000000"/>
            </w:tcBorders>
          </w:tcPr>
          <w:p w14:paraId="7C33181B" w14:textId="77777777" w:rsidR="008F369D" w:rsidRPr="00C36AA7" w:rsidRDefault="00016F29" w:rsidP="008919D7">
            <w:pPr>
              <w:pStyle w:val="TextTi10"/>
              <w:keepNext/>
              <w:ind w:left="567"/>
              <w:rPr>
                <w:sz w:val="22"/>
                <w:szCs w:val="22"/>
                <w:lang w:val="en-GB"/>
              </w:rPr>
            </w:pPr>
            <w:r>
              <w:rPr>
                <w:sz w:val="22"/>
                <w:szCs w:val="22"/>
                <w:lang w:val="en-GB"/>
              </w:rPr>
              <w:t>Modified total s</w:t>
            </w:r>
            <w:r w:rsidRPr="00C36AA7">
              <w:rPr>
                <w:sz w:val="22"/>
                <w:szCs w:val="22"/>
                <w:lang w:val="en-GB"/>
              </w:rPr>
              <w:t>harp score</w:t>
            </w:r>
          </w:p>
        </w:tc>
        <w:tc>
          <w:tcPr>
            <w:tcW w:w="1843" w:type="dxa"/>
            <w:tcBorders>
              <w:top w:val="nil"/>
              <w:left w:val="single" w:sz="6" w:space="0" w:color="000000"/>
              <w:bottom w:val="nil"/>
              <w:right w:val="single" w:sz="6" w:space="0" w:color="000000"/>
            </w:tcBorders>
          </w:tcPr>
          <w:p w14:paraId="7C33181C" w14:textId="77777777" w:rsidR="008F369D" w:rsidRPr="00C36AA7" w:rsidRDefault="00016F29" w:rsidP="008919D7">
            <w:pPr>
              <w:pStyle w:val="TextTi10"/>
              <w:keepNext/>
              <w:jc w:val="center"/>
              <w:rPr>
                <w:sz w:val="22"/>
                <w:szCs w:val="22"/>
                <w:lang w:val="en-GB"/>
              </w:rPr>
            </w:pPr>
            <w:r w:rsidRPr="00C36AA7">
              <w:rPr>
                <w:sz w:val="22"/>
                <w:szCs w:val="22"/>
                <w:lang w:val="en-GB"/>
              </w:rPr>
              <w:t>2.30</w:t>
            </w:r>
          </w:p>
        </w:tc>
        <w:tc>
          <w:tcPr>
            <w:tcW w:w="1985" w:type="dxa"/>
            <w:tcBorders>
              <w:top w:val="nil"/>
              <w:left w:val="single" w:sz="6" w:space="0" w:color="000000"/>
              <w:bottom w:val="nil"/>
              <w:right w:val="single" w:sz="6" w:space="0" w:color="000000"/>
            </w:tcBorders>
          </w:tcPr>
          <w:p w14:paraId="7C33181D" w14:textId="77777777" w:rsidR="008F369D" w:rsidRPr="00C36AA7" w:rsidRDefault="00016F29" w:rsidP="008919D7">
            <w:pPr>
              <w:pStyle w:val="TextTi10"/>
              <w:keepNext/>
              <w:jc w:val="center"/>
              <w:rPr>
                <w:sz w:val="22"/>
                <w:szCs w:val="22"/>
                <w:lang w:val="en-GB"/>
              </w:rPr>
            </w:pPr>
            <w:r w:rsidRPr="00C36AA7">
              <w:rPr>
                <w:sz w:val="22"/>
                <w:szCs w:val="22"/>
                <w:lang w:val="en-GB"/>
              </w:rPr>
              <w:t>1.01</w:t>
            </w:r>
            <w:r w:rsidRPr="00C36AA7">
              <w:rPr>
                <w:sz w:val="22"/>
                <w:szCs w:val="22"/>
                <w:vertAlign w:val="superscript"/>
                <w:lang w:val="en-GB"/>
              </w:rPr>
              <w:t>*</w:t>
            </w:r>
          </w:p>
          <w:p w14:paraId="7C33181E" w14:textId="77777777" w:rsidR="008F369D" w:rsidRPr="00C36AA7" w:rsidRDefault="008F369D" w:rsidP="008919D7">
            <w:pPr>
              <w:pStyle w:val="TextTi10"/>
              <w:keepNext/>
              <w:jc w:val="center"/>
              <w:rPr>
                <w:sz w:val="22"/>
                <w:szCs w:val="22"/>
                <w:lang w:val="en-GB"/>
              </w:rPr>
            </w:pPr>
          </w:p>
        </w:tc>
      </w:tr>
      <w:tr w:rsidR="003A788B" w14:paraId="7C331824" w14:textId="77777777" w:rsidTr="008919D7">
        <w:tc>
          <w:tcPr>
            <w:tcW w:w="4644" w:type="dxa"/>
            <w:tcBorders>
              <w:top w:val="nil"/>
              <w:left w:val="single" w:sz="4" w:space="0" w:color="auto"/>
              <w:bottom w:val="nil"/>
              <w:right w:val="single" w:sz="6" w:space="0" w:color="000000"/>
            </w:tcBorders>
          </w:tcPr>
          <w:p w14:paraId="7C331820" w14:textId="77777777" w:rsidR="008F369D" w:rsidRPr="00C36AA7" w:rsidRDefault="00016F29" w:rsidP="008919D7">
            <w:pPr>
              <w:pStyle w:val="TextTi10"/>
              <w:keepNext/>
              <w:ind w:left="567"/>
              <w:rPr>
                <w:sz w:val="22"/>
                <w:szCs w:val="22"/>
                <w:lang w:val="en-GB"/>
              </w:rPr>
            </w:pPr>
            <w:r>
              <w:rPr>
                <w:sz w:val="22"/>
                <w:szCs w:val="22"/>
                <w:lang w:val="en-GB"/>
              </w:rPr>
              <w:t>Erosion s</w:t>
            </w:r>
            <w:r w:rsidRPr="00C36AA7">
              <w:rPr>
                <w:sz w:val="22"/>
                <w:szCs w:val="22"/>
                <w:lang w:val="en-GB"/>
              </w:rPr>
              <w:t>core</w:t>
            </w:r>
          </w:p>
        </w:tc>
        <w:tc>
          <w:tcPr>
            <w:tcW w:w="1843" w:type="dxa"/>
            <w:tcBorders>
              <w:top w:val="nil"/>
              <w:left w:val="single" w:sz="6" w:space="0" w:color="000000"/>
              <w:bottom w:val="nil"/>
              <w:right w:val="single" w:sz="6" w:space="0" w:color="000000"/>
            </w:tcBorders>
          </w:tcPr>
          <w:p w14:paraId="7C331821" w14:textId="77777777" w:rsidR="008F369D" w:rsidRPr="00C36AA7" w:rsidRDefault="00016F29" w:rsidP="008919D7">
            <w:pPr>
              <w:pStyle w:val="TextTi10"/>
              <w:keepNext/>
              <w:jc w:val="center"/>
              <w:rPr>
                <w:sz w:val="22"/>
                <w:szCs w:val="22"/>
                <w:lang w:val="en-GB"/>
              </w:rPr>
            </w:pPr>
            <w:r w:rsidRPr="00C36AA7">
              <w:rPr>
                <w:sz w:val="22"/>
                <w:szCs w:val="22"/>
                <w:lang w:val="en-GB"/>
              </w:rPr>
              <w:t>1.32</w:t>
            </w:r>
          </w:p>
        </w:tc>
        <w:tc>
          <w:tcPr>
            <w:tcW w:w="1985" w:type="dxa"/>
            <w:tcBorders>
              <w:top w:val="nil"/>
              <w:left w:val="single" w:sz="6" w:space="0" w:color="000000"/>
              <w:bottom w:val="nil"/>
              <w:right w:val="single" w:sz="6" w:space="0" w:color="000000"/>
            </w:tcBorders>
          </w:tcPr>
          <w:p w14:paraId="7C331822" w14:textId="77777777" w:rsidR="008F369D" w:rsidRPr="00C36AA7" w:rsidRDefault="00016F29" w:rsidP="008919D7">
            <w:pPr>
              <w:pStyle w:val="TextTi10"/>
              <w:keepNext/>
              <w:jc w:val="center"/>
              <w:rPr>
                <w:sz w:val="22"/>
                <w:szCs w:val="22"/>
                <w:lang w:val="en-GB"/>
              </w:rPr>
            </w:pPr>
            <w:r w:rsidRPr="00C36AA7">
              <w:rPr>
                <w:sz w:val="22"/>
                <w:szCs w:val="22"/>
                <w:lang w:val="en-GB"/>
              </w:rPr>
              <w:t>0.60</w:t>
            </w:r>
            <w:r w:rsidRPr="00C36AA7">
              <w:rPr>
                <w:sz w:val="22"/>
                <w:szCs w:val="22"/>
                <w:vertAlign w:val="superscript"/>
                <w:lang w:val="en-GB"/>
              </w:rPr>
              <w:t>*</w:t>
            </w:r>
          </w:p>
          <w:p w14:paraId="7C331823" w14:textId="77777777" w:rsidR="008F369D" w:rsidRPr="00C36AA7" w:rsidRDefault="008F369D" w:rsidP="008919D7">
            <w:pPr>
              <w:pStyle w:val="TextTi10"/>
              <w:keepNext/>
              <w:jc w:val="center"/>
              <w:rPr>
                <w:sz w:val="22"/>
                <w:szCs w:val="22"/>
                <w:lang w:val="en-GB"/>
              </w:rPr>
            </w:pPr>
          </w:p>
        </w:tc>
      </w:tr>
      <w:tr w:rsidR="003A788B" w14:paraId="7C331829" w14:textId="77777777" w:rsidTr="008919D7">
        <w:tc>
          <w:tcPr>
            <w:tcW w:w="4644" w:type="dxa"/>
            <w:tcBorders>
              <w:top w:val="nil"/>
              <w:left w:val="single" w:sz="4" w:space="0" w:color="auto"/>
              <w:bottom w:val="nil"/>
              <w:right w:val="single" w:sz="6" w:space="0" w:color="000000"/>
            </w:tcBorders>
          </w:tcPr>
          <w:p w14:paraId="7C331825" w14:textId="77777777" w:rsidR="008F369D" w:rsidRPr="00C36AA7" w:rsidRDefault="00016F29" w:rsidP="008919D7">
            <w:pPr>
              <w:pStyle w:val="TextTi10"/>
              <w:keepNext/>
              <w:ind w:left="567"/>
              <w:rPr>
                <w:sz w:val="22"/>
                <w:szCs w:val="22"/>
                <w:lang w:val="en-GB"/>
              </w:rPr>
            </w:pPr>
            <w:r>
              <w:rPr>
                <w:sz w:val="22"/>
                <w:szCs w:val="22"/>
                <w:lang w:val="en-GB"/>
              </w:rPr>
              <w:t>Joint s</w:t>
            </w:r>
            <w:r w:rsidRPr="00C36AA7">
              <w:rPr>
                <w:sz w:val="22"/>
                <w:szCs w:val="22"/>
                <w:lang w:val="en-GB"/>
              </w:rPr>
              <w:t>pace narrowing score</w:t>
            </w:r>
          </w:p>
        </w:tc>
        <w:tc>
          <w:tcPr>
            <w:tcW w:w="1843" w:type="dxa"/>
            <w:tcBorders>
              <w:top w:val="nil"/>
              <w:left w:val="single" w:sz="6" w:space="0" w:color="000000"/>
              <w:bottom w:val="nil"/>
              <w:right w:val="single" w:sz="6" w:space="0" w:color="000000"/>
            </w:tcBorders>
          </w:tcPr>
          <w:p w14:paraId="7C331826" w14:textId="77777777" w:rsidR="008F369D" w:rsidRPr="00C36AA7" w:rsidRDefault="00016F29" w:rsidP="008919D7">
            <w:pPr>
              <w:pStyle w:val="TextTi10"/>
              <w:keepNext/>
              <w:jc w:val="center"/>
              <w:rPr>
                <w:sz w:val="22"/>
                <w:szCs w:val="22"/>
                <w:lang w:val="en-GB"/>
              </w:rPr>
            </w:pPr>
            <w:r w:rsidRPr="00C36AA7">
              <w:rPr>
                <w:sz w:val="22"/>
                <w:szCs w:val="22"/>
                <w:lang w:val="en-GB"/>
              </w:rPr>
              <w:t>0.98</w:t>
            </w:r>
          </w:p>
        </w:tc>
        <w:tc>
          <w:tcPr>
            <w:tcW w:w="1985" w:type="dxa"/>
            <w:tcBorders>
              <w:top w:val="nil"/>
              <w:left w:val="single" w:sz="6" w:space="0" w:color="000000"/>
              <w:bottom w:val="nil"/>
              <w:right w:val="single" w:sz="6" w:space="0" w:color="000000"/>
            </w:tcBorders>
          </w:tcPr>
          <w:p w14:paraId="7C331827" w14:textId="77777777" w:rsidR="008F369D" w:rsidRPr="00C36AA7" w:rsidRDefault="00016F29" w:rsidP="008919D7">
            <w:pPr>
              <w:pStyle w:val="TextTi10"/>
              <w:keepNext/>
              <w:jc w:val="center"/>
              <w:rPr>
                <w:sz w:val="22"/>
                <w:szCs w:val="22"/>
                <w:lang w:val="en-GB"/>
              </w:rPr>
            </w:pPr>
            <w:r w:rsidRPr="00C36AA7">
              <w:rPr>
                <w:sz w:val="22"/>
                <w:szCs w:val="22"/>
                <w:lang w:val="en-GB"/>
              </w:rPr>
              <w:t>0.41</w:t>
            </w:r>
            <w:r w:rsidRPr="00C36AA7">
              <w:rPr>
                <w:sz w:val="22"/>
                <w:szCs w:val="22"/>
                <w:vertAlign w:val="superscript"/>
                <w:lang w:val="en-GB"/>
              </w:rPr>
              <w:t>**</w:t>
            </w:r>
          </w:p>
          <w:p w14:paraId="7C331828" w14:textId="77777777" w:rsidR="008F369D" w:rsidRPr="00C36AA7" w:rsidRDefault="008F369D" w:rsidP="008919D7">
            <w:pPr>
              <w:pStyle w:val="TextTi10"/>
              <w:keepNext/>
              <w:jc w:val="center"/>
              <w:rPr>
                <w:sz w:val="22"/>
                <w:szCs w:val="22"/>
                <w:lang w:val="en-GB"/>
              </w:rPr>
            </w:pPr>
          </w:p>
        </w:tc>
      </w:tr>
      <w:tr w:rsidR="003A788B" w14:paraId="7C33182D" w14:textId="77777777" w:rsidTr="008919D7">
        <w:tc>
          <w:tcPr>
            <w:tcW w:w="4644" w:type="dxa"/>
            <w:tcBorders>
              <w:top w:val="nil"/>
              <w:left w:val="single" w:sz="4" w:space="0" w:color="auto"/>
              <w:bottom w:val="nil"/>
              <w:right w:val="single" w:sz="6" w:space="0" w:color="000000"/>
            </w:tcBorders>
          </w:tcPr>
          <w:p w14:paraId="7C33182A" w14:textId="77777777" w:rsidR="008F369D" w:rsidRPr="00F332AF" w:rsidRDefault="00016F29" w:rsidP="008919D7">
            <w:pPr>
              <w:pStyle w:val="TextTi10"/>
              <w:keepNext/>
              <w:rPr>
                <w:sz w:val="22"/>
                <w:szCs w:val="22"/>
                <w:lang w:val="en-GB"/>
              </w:rPr>
            </w:pPr>
            <w:r w:rsidRPr="00F332AF">
              <w:rPr>
                <w:sz w:val="22"/>
                <w:szCs w:val="22"/>
                <w:lang w:val="en-GB"/>
              </w:rPr>
              <w:t>Proportion of patients with no radiographic change</w:t>
            </w:r>
          </w:p>
        </w:tc>
        <w:tc>
          <w:tcPr>
            <w:tcW w:w="1843" w:type="dxa"/>
            <w:tcBorders>
              <w:top w:val="nil"/>
              <w:left w:val="single" w:sz="6" w:space="0" w:color="000000"/>
              <w:bottom w:val="nil"/>
              <w:right w:val="single" w:sz="6" w:space="0" w:color="000000"/>
            </w:tcBorders>
          </w:tcPr>
          <w:p w14:paraId="7C33182B" w14:textId="77777777" w:rsidR="008F369D" w:rsidRPr="00C36AA7" w:rsidRDefault="00016F29" w:rsidP="008919D7">
            <w:pPr>
              <w:pStyle w:val="TextTi10"/>
              <w:keepNext/>
              <w:jc w:val="center"/>
              <w:rPr>
                <w:sz w:val="22"/>
                <w:szCs w:val="22"/>
                <w:lang w:val="en-GB"/>
              </w:rPr>
            </w:pPr>
            <w:r w:rsidRPr="00C36AA7">
              <w:rPr>
                <w:sz w:val="22"/>
                <w:szCs w:val="22"/>
                <w:lang w:val="en-GB"/>
              </w:rPr>
              <w:t>46%</w:t>
            </w:r>
          </w:p>
        </w:tc>
        <w:tc>
          <w:tcPr>
            <w:tcW w:w="1985" w:type="dxa"/>
            <w:tcBorders>
              <w:top w:val="nil"/>
              <w:left w:val="single" w:sz="6" w:space="0" w:color="000000"/>
              <w:bottom w:val="nil"/>
              <w:right w:val="single" w:sz="6" w:space="0" w:color="000000"/>
            </w:tcBorders>
          </w:tcPr>
          <w:p w14:paraId="7C33182C" w14:textId="77777777" w:rsidR="008F369D" w:rsidRPr="00C36AA7" w:rsidRDefault="00016F29" w:rsidP="008919D7">
            <w:pPr>
              <w:pStyle w:val="TextTi10"/>
              <w:keepNext/>
              <w:jc w:val="center"/>
              <w:rPr>
                <w:sz w:val="22"/>
                <w:szCs w:val="22"/>
                <w:lang w:val="en-GB"/>
              </w:rPr>
            </w:pPr>
            <w:r w:rsidRPr="00C36AA7">
              <w:rPr>
                <w:sz w:val="22"/>
                <w:szCs w:val="22"/>
                <w:lang w:val="en-GB"/>
              </w:rPr>
              <w:t>53%, NS</w:t>
            </w:r>
          </w:p>
        </w:tc>
      </w:tr>
      <w:tr w:rsidR="003A788B" w14:paraId="7C331832" w14:textId="77777777" w:rsidTr="008919D7">
        <w:tc>
          <w:tcPr>
            <w:tcW w:w="4644" w:type="dxa"/>
            <w:tcBorders>
              <w:top w:val="nil"/>
              <w:left w:val="single" w:sz="4" w:space="0" w:color="auto"/>
              <w:bottom w:val="single" w:sz="6" w:space="0" w:color="000000"/>
              <w:right w:val="single" w:sz="6" w:space="0" w:color="000000"/>
            </w:tcBorders>
          </w:tcPr>
          <w:p w14:paraId="7C33182E" w14:textId="77777777" w:rsidR="008F369D" w:rsidRPr="00525A55" w:rsidRDefault="00016F29" w:rsidP="008919D7">
            <w:pPr>
              <w:pStyle w:val="TextTi10"/>
              <w:keepNext/>
              <w:rPr>
                <w:sz w:val="22"/>
                <w:szCs w:val="22"/>
                <w:lang w:val="en-GB"/>
              </w:rPr>
            </w:pPr>
            <w:r w:rsidRPr="00F332AF">
              <w:rPr>
                <w:sz w:val="22"/>
                <w:szCs w:val="22"/>
                <w:lang w:val="en-GB"/>
              </w:rPr>
              <w:t>Proportion of patients with no erosive change</w:t>
            </w:r>
            <w:r w:rsidRPr="00525A55">
              <w:rPr>
                <w:sz w:val="22"/>
                <w:szCs w:val="22"/>
                <w:lang w:val="en-GB"/>
              </w:rPr>
              <w:t xml:space="preserve"> </w:t>
            </w:r>
          </w:p>
        </w:tc>
        <w:tc>
          <w:tcPr>
            <w:tcW w:w="1843" w:type="dxa"/>
            <w:tcBorders>
              <w:top w:val="nil"/>
              <w:left w:val="single" w:sz="6" w:space="0" w:color="000000"/>
              <w:bottom w:val="single" w:sz="6" w:space="0" w:color="000000"/>
              <w:right w:val="single" w:sz="6" w:space="0" w:color="000000"/>
            </w:tcBorders>
          </w:tcPr>
          <w:p w14:paraId="7C33182F" w14:textId="77777777" w:rsidR="008F369D" w:rsidRPr="00C36AA7" w:rsidRDefault="00016F29" w:rsidP="008919D7">
            <w:pPr>
              <w:pStyle w:val="TextTi10"/>
              <w:keepNext/>
              <w:jc w:val="center"/>
              <w:rPr>
                <w:sz w:val="22"/>
                <w:szCs w:val="22"/>
                <w:lang w:val="en-GB"/>
              </w:rPr>
            </w:pPr>
            <w:r w:rsidRPr="00C36AA7">
              <w:rPr>
                <w:sz w:val="22"/>
                <w:szCs w:val="22"/>
                <w:lang w:val="en-GB"/>
              </w:rPr>
              <w:t>52%</w:t>
            </w:r>
          </w:p>
        </w:tc>
        <w:tc>
          <w:tcPr>
            <w:tcW w:w="1985" w:type="dxa"/>
            <w:tcBorders>
              <w:top w:val="nil"/>
              <w:left w:val="single" w:sz="6" w:space="0" w:color="000000"/>
              <w:bottom w:val="single" w:sz="6" w:space="0" w:color="000000"/>
              <w:right w:val="single" w:sz="6" w:space="0" w:color="000000"/>
            </w:tcBorders>
          </w:tcPr>
          <w:p w14:paraId="7C331830" w14:textId="77777777" w:rsidR="008F369D" w:rsidRPr="00C36AA7" w:rsidRDefault="00016F29" w:rsidP="008919D7">
            <w:pPr>
              <w:pStyle w:val="TextTi10"/>
              <w:keepNext/>
              <w:jc w:val="center"/>
              <w:rPr>
                <w:sz w:val="22"/>
                <w:szCs w:val="22"/>
                <w:lang w:val="en-GB"/>
              </w:rPr>
            </w:pPr>
            <w:r w:rsidRPr="00C36AA7">
              <w:rPr>
                <w:sz w:val="22"/>
                <w:szCs w:val="22"/>
                <w:lang w:val="en-GB"/>
              </w:rPr>
              <w:t>60%, NS</w:t>
            </w:r>
          </w:p>
          <w:p w14:paraId="7C331831" w14:textId="77777777" w:rsidR="008F369D" w:rsidRPr="00C36AA7" w:rsidRDefault="008F369D" w:rsidP="008919D7">
            <w:pPr>
              <w:pStyle w:val="TextTi10"/>
              <w:keepNext/>
              <w:jc w:val="center"/>
              <w:rPr>
                <w:sz w:val="22"/>
                <w:szCs w:val="22"/>
                <w:lang w:val="en-GB"/>
              </w:rPr>
            </w:pPr>
          </w:p>
        </w:tc>
      </w:tr>
    </w:tbl>
    <w:p w14:paraId="7C331833" w14:textId="77777777" w:rsidR="008F369D" w:rsidRPr="00C36AA7" w:rsidRDefault="00016F29" w:rsidP="008F369D">
      <w:pPr>
        <w:rPr>
          <w:sz w:val="18"/>
          <w:szCs w:val="18"/>
          <w:lang w:val="en-GB"/>
        </w:rPr>
      </w:pPr>
      <w:r w:rsidRPr="00C36AA7">
        <w:rPr>
          <w:sz w:val="18"/>
          <w:szCs w:val="18"/>
          <w:lang w:val="en-GB"/>
        </w:rPr>
        <w:t>150 patients originally randomi</w:t>
      </w:r>
      <w:r>
        <w:rPr>
          <w:sz w:val="18"/>
          <w:szCs w:val="18"/>
          <w:lang w:val="en-GB"/>
        </w:rPr>
        <w:t>s</w:t>
      </w:r>
      <w:r w:rsidRPr="00C36AA7">
        <w:rPr>
          <w:sz w:val="18"/>
          <w:szCs w:val="18"/>
          <w:lang w:val="en-GB"/>
        </w:rPr>
        <w:t xml:space="preserve">ed to placebo + MTX in </w:t>
      </w:r>
      <w:r>
        <w:rPr>
          <w:sz w:val="18"/>
          <w:szCs w:val="18"/>
          <w:lang w:val="en-GB"/>
        </w:rPr>
        <w:t>Trial</w:t>
      </w:r>
      <w:r w:rsidRPr="00C36AA7">
        <w:rPr>
          <w:sz w:val="18"/>
          <w:szCs w:val="18"/>
          <w:lang w:val="en-GB"/>
        </w:rPr>
        <w:t xml:space="preserve"> 1 received at least one course of RTX + MTX by one year</w:t>
      </w:r>
    </w:p>
    <w:p w14:paraId="7C331834" w14:textId="77777777" w:rsidR="008F369D" w:rsidRPr="0058456D" w:rsidRDefault="00016F29" w:rsidP="008F369D">
      <w:pPr>
        <w:rPr>
          <w:sz w:val="18"/>
          <w:szCs w:val="18"/>
          <w:lang w:val="it-IT"/>
        </w:rPr>
      </w:pPr>
      <w:r w:rsidRPr="0058456D">
        <w:rPr>
          <w:sz w:val="18"/>
          <w:szCs w:val="18"/>
          <w:lang w:val="it-IT"/>
        </w:rPr>
        <w:t xml:space="preserve">* p &lt;0.05, ** p &lt; 0.001. Abbreviation: NS, non significant </w:t>
      </w:r>
    </w:p>
    <w:p w14:paraId="7C331835" w14:textId="77777777" w:rsidR="008F369D" w:rsidRPr="0058456D" w:rsidRDefault="008F369D" w:rsidP="008F369D">
      <w:pPr>
        <w:outlineLvl w:val="0"/>
        <w:rPr>
          <w:i/>
          <w:szCs w:val="22"/>
          <w:lang w:val="it-IT"/>
        </w:rPr>
      </w:pPr>
    </w:p>
    <w:p w14:paraId="7C331836" w14:textId="77777777" w:rsidR="008F369D" w:rsidRPr="00C36AA7" w:rsidRDefault="00016F29" w:rsidP="008F369D">
      <w:pPr>
        <w:rPr>
          <w:lang w:val="en-GB"/>
        </w:rPr>
      </w:pPr>
      <w:r w:rsidRPr="00C36AA7">
        <w:rPr>
          <w:lang w:val="en-GB"/>
        </w:rPr>
        <w:t xml:space="preserve">Inhibition of the rate of progressive joint damage was also observed long term. Radiographic analysis at 2 years in </w:t>
      </w:r>
      <w:r>
        <w:rPr>
          <w:lang w:val="en-GB"/>
        </w:rPr>
        <w:t>Trial</w:t>
      </w:r>
      <w:r w:rsidRPr="00C36AA7">
        <w:rPr>
          <w:lang w:val="en-GB"/>
        </w:rPr>
        <w:t xml:space="preserve"> 1 demonstrated significantly reduced progression of structural joint damage in patients receiving MabThera in combination with </w:t>
      </w:r>
      <w:r w:rsidRPr="00C36AA7">
        <w:rPr>
          <w:rStyle w:val="TextTi12Char"/>
          <w:rFonts w:eastAsia="MS Mincho"/>
          <w:sz w:val="22"/>
          <w:szCs w:val="22"/>
          <w:lang w:val="en-GB"/>
        </w:rPr>
        <w:t>methotrexate</w:t>
      </w:r>
      <w:r w:rsidRPr="00C36AA7">
        <w:rPr>
          <w:lang w:val="en-GB"/>
        </w:rPr>
        <w:t xml:space="preserve"> compared to </w:t>
      </w:r>
      <w:r w:rsidRPr="00C36AA7">
        <w:rPr>
          <w:rStyle w:val="TextTi12Char"/>
          <w:rFonts w:eastAsia="MS Mincho"/>
          <w:sz w:val="22"/>
          <w:szCs w:val="22"/>
          <w:lang w:val="en-GB"/>
        </w:rPr>
        <w:t>methotrexate</w:t>
      </w:r>
      <w:r w:rsidRPr="00C36AA7">
        <w:rPr>
          <w:lang w:val="en-GB"/>
        </w:rPr>
        <w:t xml:space="preserve"> alone as well as a significantly higher proportion of patients with no progression of joint damage over the 2</w:t>
      </w:r>
      <w:r w:rsidR="0081572D">
        <w:rPr>
          <w:lang w:val="en-GB"/>
        </w:rPr>
        <w:t>-</w:t>
      </w:r>
      <w:r w:rsidRPr="00C36AA7">
        <w:rPr>
          <w:lang w:val="en-GB"/>
        </w:rPr>
        <w:t>year period.</w:t>
      </w:r>
    </w:p>
    <w:p w14:paraId="7C331837" w14:textId="77777777" w:rsidR="008F369D" w:rsidRPr="00C36AA7" w:rsidRDefault="008F369D" w:rsidP="008F369D">
      <w:pPr>
        <w:rPr>
          <w:lang w:val="en-GB"/>
        </w:rPr>
      </w:pPr>
    </w:p>
    <w:p w14:paraId="7C331838" w14:textId="77777777" w:rsidR="008F369D" w:rsidRPr="00F638AF" w:rsidRDefault="00016F29" w:rsidP="008F369D">
      <w:pPr>
        <w:outlineLvl w:val="0"/>
        <w:rPr>
          <w:i/>
          <w:szCs w:val="22"/>
          <w:lang w:val="en-GB"/>
        </w:rPr>
      </w:pPr>
      <w:r w:rsidRPr="00F638AF">
        <w:rPr>
          <w:i/>
          <w:szCs w:val="22"/>
          <w:lang w:val="en-GB"/>
        </w:rPr>
        <w:t>Physical function and quality of life outcomes</w:t>
      </w:r>
    </w:p>
    <w:p w14:paraId="7C331839" w14:textId="77777777" w:rsidR="008F369D" w:rsidRPr="00F638AF" w:rsidRDefault="00016F29" w:rsidP="008F369D">
      <w:pPr>
        <w:rPr>
          <w:szCs w:val="22"/>
          <w:lang w:val="en-GB"/>
        </w:rPr>
      </w:pPr>
      <w:r w:rsidRPr="00F638AF">
        <w:rPr>
          <w:szCs w:val="22"/>
          <w:lang w:val="en-GB"/>
        </w:rPr>
        <w:t>Significant reductions in disability index (HAQ</w:t>
      </w:r>
      <w:r w:rsidR="000A6DDA" w:rsidRPr="00F638AF">
        <w:rPr>
          <w:szCs w:val="22"/>
          <w:lang w:val="en-GB"/>
        </w:rPr>
        <w:noBreakHyphen/>
      </w:r>
      <w:r w:rsidRPr="00F638AF">
        <w:rPr>
          <w:szCs w:val="22"/>
          <w:lang w:val="en-GB"/>
        </w:rPr>
        <w:t>DI) and fatigue (FACIT</w:t>
      </w:r>
      <w:r w:rsidR="000A6DDA" w:rsidRPr="00F638AF">
        <w:rPr>
          <w:szCs w:val="22"/>
          <w:lang w:val="en-GB"/>
        </w:rPr>
        <w:noBreakHyphen/>
      </w:r>
      <w:r w:rsidRPr="00F638AF">
        <w:rPr>
          <w:szCs w:val="22"/>
          <w:lang w:val="en-GB"/>
        </w:rPr>
        <w:t>Fatigue) scores were observed in patients treated with MabThera compared to patients treated with methotrexate alone. The proportions of MabThera treated patients showing a minimal clinically important difference (MCID) in HAQ</w:t>
      </w:r>
      <w:r w:rsidR="000A6DDA" w:rsidRPr="00F638AF">
        <w:rPr>
          <w:szCs w:val="22"/>
          <w:lang w:val="en-GB"/>
        </w:rPr>
        <w:noBreakHyphen/>
      </w:r>
      <w:r w:rsidRPr="00F638AF">
        <w:rPr>
          <w:szCs w:val="22"/>
          <w:lang w:val="en-GB"/>
        </w:rPr>
        <w:t xml:space="preserve">DI (defined as an individual total score decrease of &gt;0.22) was also higher than among patients receiving methotrexate alone (Table </w:t>
      </w:r>
      <w:r w:rsidR="00F1525D" w:rsidRPr="00F638AF">
        <w:rPr>
          <w:szCs w:val="22"/>
          <w:lang w:val="en-GB"/>
        </w:rPr>
        <w:t>17</w:t>
      </w:r>
      <w:r w:rsidRPr="00F638AF">
        <w:rPr>
          <w:szCs w:val="22"/>
          <w:lang w:val="en-GB"/>
        </w:rPr>
        <w:t>).</w:t>
      </w:r>
    </w:p>
    <w:p w14:paraId="7C33183A" w14:textId="77777777" w:rsidR="008F369D" w:rsidRPr="00F638AF" w:rsidRDefault="008F369D" w:rsidP="008F369D">
      <w:pPr>
        <w:rPr>
          <w:szCs w:val="22"/>
          <w:lang w:val="en-GB"/>
        </w:rPr>
      </w:pPr>
    </w:p>
    <w:p w14:paraId="7C33183B" w14:textId="77777777" w:rsidR="008F369D" w:rsidRPr="00F638AF" w:rsidRDefault="00016F29" w:rsidP="008F369D">
      <w:pPr>
        <w:rPr>
          <w:szCs w:val="22"/>
          <w:lang w:val="en-GB"/>
        </w:rPr>
      </w:pPr>
      <w:r w:rsidRPr="00F638AF">
        <w:rPr>
          <w:szCs w:val="22"/>
          <w:lang w:val="en-GB"/>
        </w:rPr>
        <w:t>Significant improvement in health</w:t>
      </w:r>
      <w:r w:rsidR="00B36AC6">
        <w:rPr>
          <w:szCs w:val="22"/>
          <w:lang w:val="en-GB"/>
        </w:rPr>
        <w:t>-</w:t>
      </w:r>
      <w:r w:rsidRPr="00F638AF">
        <w:rPr>
          <w:szCs w:val="22"/>
          <w:lang w:val="en-GB"/>
        </w:rPr>
        <w:t>related quality of life was also demonstrated with significant improvement in both the physical health score (PHS) and mental health score (MHS) of the SF</w:t>
      </w:r>
      <w:r w:rsidR="000A6DDA" w:rsidRPr="00F638AF">
        <w:rPr>
          <w:szCs w:val="22"/>
          <w:lang w:val="en-GB"/>
        </w:rPr>
        <w:noBreakHyphen/>
      </w:r>
      <w:r w:rsidRPr="00F638AF">
        <w:rPr>
          <w:szCs w:val="22"/>
          <w:lang w:val="en-GB"/>
        </w:rPr>
        <w:t xml:space="preserve">36. Further, a significantly higher proportion of patients achieved MCIDs for these scores (Table </w:t>
      </w:r>
      <w:r w:rsidR="00F1525D" w:rsidRPr="00F638AF">
        <w:rPr>
          <w:szCs w:val="22"/>
          <w:lang w:val="en-GB"/>
        </w:rPr>
        <w:t>17</w:t>
      </w:r>
      <w:r w:rsidRPr="00F638AF">
        <w:rPr>
          <w:szCs w:val="22"/>
          <w:lang w:val="en-GB"/>
        </w:rPr>
        <w:t>).</w:t>
      </w:r>
    </w:p>
    <w:p w14:paraId="7C33183C" w14:textId="77777777" w:rsidR="008F369D" w:rsidRPr="00F638AF" w:rsidRDefault="008F369D" w:rsidP="008F369D">
      <w:pPr>
        <w:rPr>
          <w:szCs w:val="22"/>
          <w:lang w:val="en-GB"/>
        </w:rPr>
      </w:pPr>
    </w:p>
    <w:p w14:paraId="7C33183D" w14:textId="77777777" w:rsidR="008F369D" w:rsidRPr="00F638AF" w:rsidRDefault="00016F29" w:rsidP="008F369D">
      <w:pPr>
        <w:keepNext/>
        <w:keepLines/>
        <w:rPr>
          <w:rFonts w:ascii="TimesNewRomanPSMT" w:eastAsia="MS Mincho" w:hAnsi="TimesNewRomanPSMT" w:cs="TimesNewRomanPSMT"/>
          <w:sz w:val="20"/>
          <w:lang w:val="en-GB" w:eastAsia="zh-CN" w:bidi="th-TH"/>
        </w:rPr>
      </w:pPr>
      <w:r w:rsidRPr="00F638AF">
        <w:rPr>
          <w:b/>
          <w:bCs/>
          <w:szCs w:val="22"/>
          <w:lang w:val="en-GB"/>
        </w:rPr>
        <w:t>Table </w:t>
      </w:r>
      <w:r w:rsidR="00F1525D" w:rsidRPr="00F638AF">
        <w:rPr>
          <w:b/>
          <w:bCs/>
          <w:szCs w:val="22"/>
          <w:lang w:val="en-GB"/>
        </w:rPr>
        <w:t>17</w:t>
      </w:r>
      <w:r w:rsidRPr="00F638AF">
        <w:rPr>
          <w:b/>
          <w:bCs/>
          <w:szCs w:val="22"/>
          <w:lang w:val="en-GB"/>
        </w:rPr>
        <w:tab/>
        <w:t xml:space="preserve">Physical </w:t>
      </w:r>
      <w:r w:rsidR="00804F32">
        <w:rPr>
          <w:b/>
          <w:bCs/>
          <w:szCs w:val="22"/>
          <w:lang w:val="en-GB"/>
        </w:rPr>
        <w:t>f</w:t>
      </w:r>
      <w:r w:rsidRPr="00F638AF">
        <w:rPr>
          <w:b/>
          <w:bCs/>
          <w:szCs w:val="22"/>
          <w:lang w:val="en-GB"/>
        </w:rPr>
        <w:t xml:space="preserve">unction and </w:t>
      </w:r>
      <w:r w:rsidR="00804F32">
        <w:rPr>
          <w:b/>
          <w:bCs/>
          <w:szCs w:val="22"/>
          <w:lang w:val="en-GB"/>
        </w:rPr>
        <w:t>q</w:t>
      </w:r>
      <w:r w:rsidRPr="00F638AF">
        <w:rPr>
          <w:b/>
          <w:bCs/>
          <w:szCs w:val="22"/>
          <w:lang w:val="en-GB"/>
        </w:rPr>
        <w:t xml:space="preserve">uality of </w:t>
      </w:r>
      <w:r w:rsidR="00804F32">
        <w:rPr>
          <w:b/>
          <w:bCs/>
          <w:szCs w:val="22"/>
          <w:lang w:val="en-GB"/>
        </w:rPr>
        <w:t>l</w:t>
      </w:r>
      <w:r w:rsidRPr="00F638AF">
        <w:rPr>
          <w:b/>
          <w:bCs/>
          <w:szCs w:val="22"/>
          <w:lang w:val="en-GB"/>
        </w:rPr>
        <w:t>ife outcomes at week 24 in Trial 1</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02"/>
        <w:gridCol w:w="1738"/>
        <w:gridCol w:w="1862"/>
      </w:tblGrid>
      <w:tr w:rsidR="003A788B" w14:paraId="7C331842" w14:textId="77777777" w:rsidTr="008919D7">
        <w:tc>
          <w:tcPr>
            <w:tcW w:w="2902" w:type="dxa"/>
          </w:tcPr>
          <w:p w14:paraId="7C33183E" w14:textId="77777777" w:rsidR="008F369D" w:rsidRPr="00F638AF" w:rsidRDefault="00016F29" w:rsidP="008919D7">
            <w:pPr>
              <w:keepNext/>
              <w:keepLines/>
              <w:jc w:val="center"/>
              <w:rPr>
                <w:szCs w:val="22"/>
                <w:lang w:val="en-GB"/>
              </w:rPr>
            </w:pPr>
            <w:r w:rsidRPr="00F638AF">
              <w:rPr>
                <w:szCs w:val="22"/>
                <w:lang w:val="en-GB"/>
              </w:rPr>
              <w:t>Outcome†</w:t>
            </w:r>
          </w:p>
        </w:tc>
        <w:tc>
          <w:tcPr>
            <w:tcW w:w="1738" w:type="dxa"/>
          </w:tcPr>
          <w:p w14:paraId="7C33183F" w14:textId="77777777" w:rsidR="008F369D" w:rsidRPr="00F638AF" w:rsidRDefault="00016F29" w:rsidP="008919D7">
            <w:pPr>
              <w:keepNext/>
              <w:keepLines/>
              <w:jc w:val="center"/>
              <w:rPr>
                <w:szCs w:val="22"/>
                <w:lang w:val="en-GB"/>
              </w:rPr>
            </w:pPr>
            <w:r w:rsidRPr="00F638AF">
              <w:rPr>
                <w:szCs w:val="22"/>
                <w:lang w:val="en-GB"/>
              </w:rPr>
              <w:t>Placebo+MTX</w:t>
            </w:r>
          </w:p>
        </w:tc>
        <w:tc>
          <w:tcPr>
            <w:tcW w:w="1862" w:type="dxa"/>
          </w:tcPr>
          <w:p w14:paraId="7C331840" w14:textId="77777777" w:rsidR="008F369D" w:rsidRPr="00F638AF" w:rsidRDefault="00016F29" w:rsidP="008919D7">
            <w:pPr>
              <w:keepNext/>
              <w:keepLines/>
              <w:jc w:val="center"/>
              <w:rPr>
                <w:szCs w:val="22"/>
                <w:lang w:val="en-GB"/>
              </w:rPr>
            </w:pPr>
            <w:r w:rsidRPr="00F638AF">
              <w:rPr>
                <w:szCs w:val="22"/>
                <w:lang w:val="en-GB"/>
              </w:rPr>
              <w:t>MabThera+MTX</w:t>
            </w:r>
          </w:p>
          <w:p w14:paraId="7C331841" w14:textId="77777777" w:rsidR="008F369D" w:rsidRPr="00F638AF" w:rsidRDefault="00016F29" w:rsidP="008919D7">
            <w:pPr>
              <w:keepNext/>
              <w:keepLines/>
              <w:jc w:val="center"/>
              <w:rPr>
                <w:i/>
                <w:szCs w:val="22"/>
                <w:lang w:val="en-GB"/>
              </w:rPr>
            </w:pPr>
            <w:r w:rsidRPr="00F638AF">
              <w:rPr>
                <w:i/>
                <w:szCs w:val="22"/>
                <w:lang w:val="en-GB"/>
              </w:rPr>
              <w:t>(2 x 1000 mg)</w:t>
            </w:r>
          </w:p>
        </w:tc>
      </w:tr>
      <w:tr w:rsidR="003A788B" w14:paraId="7C33184C" w14:textId="77777777" w:rsidTr="008919D7">
        <w:tc>
          <w:tcPr>
            <w:tcW w:w="2902" w:type="dxa"/>
            <w:tcBorders>
              <w:bottom w:val="nil"/>
            </w:tcBorders>
          </w:tcPr>
          <w:p w14:paraId="7C331843" w14:textId="77777777" w:rsidR="008F369D" w:rsidRPr="00F638AF" w:rsidRDefault="008F369D" w:rsidP="008919D7">
            <w:pPr>
              <w:keepNext/>
              <w:keepLines/>
              <w:rPr>
                <w:szCs w:val="22"/>
                <w:lang w:val="en-GB"/>
              </w:rPr>
            </w:pPr>
          </w:p>
          <w:p w14:paraId="7C331844" w14:textId="77777777" w:rsidR="008F369D" w:rsidRPr="00F638AF" w:rsidRDefault="008F369D" w:rsidP="008919D7">
            <w:pPr>
              <w:keepNext/>
              <w:keepLines/>
              <w:rPr>
                <w:szCs w:val="22"/>
                <w:lang w:val="en-GB"/>
              </w:rPr>
            </w:pPr>
          </w:p>
          <w:p w14:paraId="7C331845" w14:textId="77777777" w:rsidR="008F369D" w:rsidRPr="00F638AF" w:rsidRDefault="00016F29" w:rsidP="008919D7">
            <w:pPr>
              <w:keepNext/>
              <w:keepLines/>
              <w:rPr>
                <w:szCs w:val="22"/>
                <w:lang w:val="en-GB"/>
              </w:rPr>
            </w:pPr>
            <w:r w:rsidRPr="00F638AF">
              <w:rPr>
                <w:szCs w:val="22"/>
                <w:lang w:val="en-GB"/>
              </w:rPr>
              <w:t>Mean change in HAQ</w:t>
            </w:r>
            <w:r w:rsidR="000A6DDA" w:rsidRPr="00F638AF">
              <w:rPr>
                <w:rFonts w:ascii="Cambria Math" w:hAnsi="Cambria Math" w:cs="Cambria Math"/>
                <w:szCs w:val="22"/>
                <w:lang w:val="en-GB"/>
              </w:rPr>
              <w:noBreakHyphen/>
            </w:r>
            <w:r w:rsidRPr="00F638AF">
              <w:rPr>
                <w:szCs w:val="22"/>
                <w:lang w:val="en-GB"/>
              </w:rPr>
              <w:t>DI</w:t>
            </w:r>
          </w:p>
        </w:tc>
        <w:tc>
          <w:tcPr>
            <w:tcW w:w="1738" w:type="dxa"/>
            <w:tcBorders>
              <w:bottom w:val="nil"/>
            </w:tcBorders>
          </w:tcPr>
          <w:p w14:paraId="7C331846" w14:textId="77777777" w:rsidR="008F369D" w:rsidRPr="00F638AF" w:rsidRDefault="00016F29" w:rsidP="008919D7">
            <w:pPr>
              <w:keepNext/>
              <w:keepLines/>
              <w:jc w:val="center"/>
              <w:rPr>
                <w:szCs w:val="22"/>
                <w:lang w:val="en-GB"/>
              </w:rPr>
            </w:pPr>
            <w:r w:rsidRPr="00F638AF">
              <w:rPr>
                <w:szCs w:val="22"/>
                <w:lang w:val="en-GB"/>
              </w:rPr>
              <w:t>n=201</w:t>
            </w:r>
          </w:p>
          <w:p w14:paraId="7C331847" w14:textId="77777777" w:rsidR="008F369D" w:rsidRPr="00F638AF" w:rsidRDefault="008F369D" w:rsidP="008919D7">
            <w:pPr>
              <w:keepNext/>
              <w:keepLines/>
              <w:jc w:val="center"/>
              <w:rPr>
                <w:szCs w:val="22"/>
                <w:lang w:val="en-GB"/>
              </w:rPr>
            </w:pPr>
          </w:p>
          <w:p w14:paraId="7C331848" w14:textId="77777777" w:rsidR="008F369D" w:rsidRPr="00F638AF" w:rsidRDefault="00016F29" w:rsidP="008919D7">
            <w:pPr>
              <w:keepNext/>
              <w:keepLines/>
              <w:jc w:val="center"/>
              <w:rPr>
                <w:szCs w:val="22"/>
                <w:lang w:val="en-GB"/>
              </w:rPr>
            </w:pPr>
            <w:r w:rsidRPr="00F638AF">
              <w:rPr>
                <w:szCs w:val="22"/>
                <w:lang w:val="en-GB"/>
              </w:rPr>
              <w:t>0.1</w:t>
            </w:r>
          </w:p>
        </w:tc>
        <w:tc>
          <w:tcPr>
            <w:tcW w:w="1862" w:type="dxa"/>
            <w:tcBorders>
              <w:bottom w:val="nil"/>
            </w:tcBorders>
          </w:tcPr>
          <w:p w14:paraId="7C331849" w14:textId="77777777" w:rsidR="008F369D" w:rsidRPr="00F638AF" w:rsidRDefault="00016F29" w:rsidP="008919D7">
            <w:pPr>
              <w:keepNext/>
              <w:keepLines/>
              <w:jc w:val="center"/>
              <w:rPr>
                <w:szCs w:val="22"/>
                <w:lang w:val="en-GB"/>
              </w:rPr>
            </w:pPr>
            <w:r w:rsidRPr="00F638AF">
              <w:rPr>
                <w:szCs w:val="22"/>
                <w:lang w:val="en-GB"/>
              </w:rPr>
              <w:t>n=298</w:t>
            </w:r>
          </w:p>
          <w:p w14:paraId="7C33184A" w14:textId="77777777" w:rsidR="008F369D" w:rsidRPr="00F638AF" w:rsidRDefault="008F369D" w:rsidP="008919D7">
            <w:pPr>
              <w:keepNext/>
              <w:keepLines/>
              <w:jc w:val="center"/>
              <w:rPr>
                <w:szCs w:val="22"/>
                <w:lang w:val="en-GB"/>
              </w:rPr>
            </w:pPr>
          </w:p>
          <w:p w14:paraId="7C33184B" w14:textId="77777777" w:rsidR="008F369D" w:rsidRPr="00C36AA7" w:rsidRDefault="00016F29" w:rsidP="008919D7">
            <w:pPr>
              <w:keepNext/>
              <w:keepLines/>
              <w:jc w:val="center"/>
              <w:rPr>
                <w:szCs w:val="22"/>
                <w:lang w:val="en-GB"/>
              </w:rPr>
            </w:pPr>
            <w:r w:rsidRPr="00F638AF">
              <w:rPr>
                <w:rFonts w:ascii="Cambria Math" w:hAnsi="Cambria Math" w:cs="Cambria Math"/>
                <w:szCs w:val="22"/>
                <w:lang w:val="en-GB"/>
              </w:rPr>
              <w:noBreakHyphen/>
            </w:r>
            <w:r w:rsidRPr="00F638AF">
              <w:rPr>
                <w:szCs w:val="22"/>
                <w:lang w:val="en-GB"/>
              </w:rPr>
              <w:t>0.4</w:t>
            </w:r>
            <w:r w:rsidRPr="00F638AF">
              <w:rPr>
                <w:szCs w:val="22"/>
                <w:vertAlign w:val="superscript"/>
                <w:lang w:val="en-GB"/>
              </w:rPr>
              <w:t>***</w:t>
            </w:r>
          </w:p>
        </w:tc>
      </w:tr>
      <w:tr w:rsidR="003A788B" w14:paraId="7C331850" w14:textId="77777777" w:rsidTr="008919D7">
        <w:tc>
          <w:tcPr>
            <w:tcW w:w="2902" w:type="dxa"/>
            <w:tcBorders>
              <w:top w:val="nil"/>
              <w:bottom w:val="nil"/>
            </w:tcBorders>
          </w:tcPr>
          <w:p w14:paraId="7C33184D" w14:textId="77777777" w:rsidR="008F369D" w:rsidRPr="00C36AA7" w:rsidRDefault="00016F29" w:rsidP="008919D7">
            <w:pPr>
              <w:keepNext/>
              <w:keepLines/>
              <w:rPr>
                <w:szCs w:val="22"/>
                <w:lang w:val="en-GB"/>
              </w:rPr>
            </w:pPr>
            <w:r w:rsidRPr="00C36AA7">
              <w:rPr>
                <w:szCs w:val="22"/>
                <w:lang w:val="en-GB"/>
              </w:rPr>
              <w:t>% HAQ</w:t>
            </w:r>
            <w:r w:rsidR="000A6DDA">
              <w:rPr>
                <w:rFonts w:ascii="Cambria Math" w:hAnsi="Cambria Math" w:cs="Cambria Math"/>
                <w:szCs w:val="22"/>
                <w:lang w:val="en-GB"/>
              </w:rPr>
              <w:noBreakHyphen/>
            </w:r>
            <w:r w:rsidRPr="00C36AA7">
              <w:rPr>
                <w:szCs w:val="22"/>
                <w:lang w:val="en-GB"/>
              </w:rPr>
              <w:t>DI MCID</w:t>
            </w:r>
          </w:p>
        </w:tc>
        <w:tc>
          <w:tcPr>
            <w:tcW w:w="1738" w:type="dxa"/>
            <w:tcBorders>
              <w:top w:val="nil"/>
              <w:bottom w:val="nil"/>
            </w:tcBorders>
          </w:tcPr>
          <w:p w14:paraId="7C33184E" w14:textId="77777777" w:rsidR="008F369D" w:rsidRPr="00C36AA7" w:rsidRDefault="00016F29" w:rsidP="008919D7">
            <w:pPr>
              <w:keepNext/>
              <w:keepLines/>
              <w:jc w:val="center"/>
              <w:rPr>
                <w:szCs w:val="22"/>
                <w:lang w:val="en-GB"/>
              </w:rPr>
            </w:pPr>
            <w:r w:rsidRPr="00C36AA7">
              <w:rPr>
                <w:szCs w:val="22"/>
                <w:lang w:val="en-GB"/>
              </w:rPr>
              <w:t>20%</w:t>
            </w:r>
          </w:p>
        </w:tc>
        <w:tc>
          <w:tcPr>
            <w:tcW w:w="1862" w:type="dxa"/>
            <w:tcBorders>
              <w:top w:val="nil"/>
              <w:bottom w:val="nil"/>
            </w:tcBorders>
          </w:tcPr>
          <w:p w14:paraId="7C33184F" w14:textId="77777777" w:rsidR="008F369D" w:rsidRPr="00C36AA7" w:rsidRDefault="00016F29" w:rsidP="008919D7">
            <w:pPr>
              <w:keepNext/>
              <w:keepLines/>
              <w:jc w:val="center"/>
              <w:rPr>
                <w:szCs w:val="22"/>
                <w:lang w:val="en-GB"/>
              </w:rPr>
            </w:pPr>
            <w:r w:rsidRPr="00C36AA7">
              <w:rPr>
                <w:szCs w:val="22"/>
                <w:lang w:val="en-GB"/>
              </w:rPr>
              <w:t>51%</w:t>
            </w:r>
          </w:p>
        </w:tc>
      </w:tr>
      <w:tr w:rsidR="003A788B" w14:paraId="7C331854" w14:textId="77777777" w:rsidTr="008919D7">
        <w:tc>
          <w:tcPr>
            <w:tcW w:w="2902" w:type="dxa"/>
            <w:tcBorders>
              <w:top w:val="nil"/>
              <w:bottom w:val="nil"/>
            </w:tcBorders>
          </w:tcPr>
          <w:p w14:paraId="7C331851" w14:textId="77777777" w:rsidR="008F369D" w:rsidRPr="00C36AA7" w:rsidRDefault="00016F29" w:rsidP="008919D7">
            <w:pPr>
              <w:keepNext/>
              <w:keepLines/>
              <w:rPr>
                <w:szCs w:val="22"/>
                <w:lang w:val="en-GB"/>
              </w:rPr>
            </w:pPr>
            <w:r w:rsidRPr="00C36AA7">
              <w:rPr>
                <w:szCs w:val="22"/>
                <w:lang w:val="en-GB"/>
              </w:rPr>
              <w:t>Mean change in FACIT</w:t>
            </w:r>
            <w:r w:rsidR="000A6DDA">
              <w:rPr>
                <w:rFonts w:ascii="Cambria Math" w:hAnsi="Cambria Math" w:cs="Cambria Math"/>
                <w:szCs w:val="22"/>
                <w:lang w:val="en-GB"/>
              </w:rPr>
              <w:noBreakHyphen/>
            </w:r>
            <w:r w:rsidRPr="00C36AA7">
              <w:rPr>
                <w:szCs w:val="22"/>
                <w:lang w:val="en-GB"/>
              </w:rPr>
              <w:t>T</w:t>
            </w:r>
          </w:p>
        </w:tc>
        <w:tc>
          <w:tcPr>
            <w:tcW w:w="1738" w:type="dxa"/>
            <w:tcBorders>
              <w:top w:val="nil"/>
              <w:bottom w:val="nil"/>
            </w:tcBorders>
          </w:tcPr>
          <w:p w14:paraId="7C331852" w14:textId="77777777" w:rsidR="008F369D" w:rsidRPr="00C36AA7" w:rsidRDefault="00016F29" w:rsidP="008919D7">
            <w:pPr>
              <w:keepNext/>
              <w:keepLines/>
              <w:jc w:val="center"/>
              <w:rPr>
                <w:szCs w:val="22"/>
                <w:lang w:val="en-GB"/>
              </w:rPr>
            </w:pPr>
            <w:r>
              <w:rPr>
                <w:rFonts w:ascii="Cambria Math" w:hAnsi="Cambria Math" w:cs="Cambria Math"/>
                <w:szCs w:val="22"/>
                <w:lang w:val="en-GB"/>
              </w:rPr>
              <w:noBreakHyphen/>
            </w:r>
            <w:r w:rsidRPr="00C36AA7">
              <w:rPr>
                <w:szCs w:val="22"/>
                <w:lang w:val="en-GB"/>
              </w:rPr>
              <w:t>0.5</w:t>
            </w:r>
          </w:p>
        </w:tc>
        <w:tc>
          <w:tcPr>
            <w:tcW w:w="1862" w:type="dxa"/>
            <w:tcBorders>
              <w:top w:val="nil"/>
              <w:bottom w:val="nil"/>
            </w:tcBorders>
          </w:tcPr>
          <w:p w14:paraId="7C331853" w14:textId="77777777" w:rsidR="008F369D" w:rsidRPr="00C36AA7" w:rsidRDefault="00016F29" w:rsidP="008919D7">
            <w:pPr>
              <w:keepNext/>
              <w:keepLines/>
              <w:jc w:val="center"/>
              <w:rPr>
                <w:szCs w:val="22"/>
                <w:lang w:val="en-GB"/>
              </w:rPr>
            </w:pPr>
            <w:r>
              <w:rPr>
                <w:rFonts w:ascii="Cambria Math" w:hAnsi="Cambria Math" w:cs="Cambria Math"/>
                <w:szCs w:val="22"/>
                <w:lang w:val="en-GB"/>
              </w:rPr>
              <w:noBreakHyphen/>
            </w:r>
            <w:r w:rsidRPr="00C36AA7">
              <w:rPr>
                <w:szCs w:val="22"/>
                <w:lang w:val="en-GB"/>
              </w:rPr>
              <w:t>9.1</w:t>
            </w:r>
            <w:r w:rsidRPr="00C36AA7">
              <w:rPr>
                <w:szCs w:val="22"/>
                <w:vertAlign w:val="superscript"/>
                <w:lang w:val="en-GB"/>
              </w:rPr>
              <w:t>***</w:t>
            </w:r>
          </w:p>
        </w:tc>
      </w:tr>
      <w:tr w:rsidR="003A788B" w14:paraId="7C33185E" w14:textId="77777777" w:rsidTr="008919D7">
        <w:tc>
          <w:tcPr>
            <w:tcW w:w="2902" w:type="dxa"/>
            <w:tcBorders>
              <w:top w:val="nil"/>
              <w:bottom w:val="nil"/>
            </w:tcBorders>
          </w:tcPr>
          <w:p w14:paraId="7C331855" w14:textId="77777777" w:rsidR="008F369D" w:rsidRPr="00C36AA7" w:rsidRDefault="008F369D" w:rsidP="008919D7">
            <w:pPr>
              <w:keepNext/>
              <w:keepLines/>
              <w:rPr>
                <w:szCs w:val="22"/>
                <w:lang w:val="en-GB"/>
              </w:rPr>
            </w:pPr>
          </w:p>
          <w:p w14:paraId="7C331856" w14:textId="77777777" w:rsidR="008F369D" w:rsidRPr="00C36AA7" w:rsidRDefault="008F369D" w:rsidP="008919D7">
            <w:pPr>
              <w:keepNext/>
              <w:keepLines/>
              <w:rPr>
                <w:szCs w:val="22"/>
                <w:lang w:val="en-GB"/>
              </w:rPr>
            </w:pPr>
          </w:p>
          <w:p w14:paraId="7C331857" w14:textId="77777777" w:rsidR="008F369D" w:rsidRPr="00C36AA7" w:rsidRDefault="00016F29" w:rsidP="008D1102">
            <w:pPr>
              <w:keepNext/>
              <w:keepLines/>
              <w:rPr>
                <w:szCs w:val="22"/>
                <w:lang w:val="en-GB"/>
              </w:rPr>
            </w:pPr>
            <w:r w:rsidRPr="00C36AA7">
              <w:rPr>
                <w:szCs w:val="22"/>
                <w:lang w:val="en-GB"/>
              </w:rPr>
              <w:t xml:space="preserve">Mean </w:t>
            </w:r>
            <w:r w:rsidR="00FC6974">
              <w:rPr>
                <w:szCs w:val="22"/>
                <w:lang w:val="en-GB"/>
              </w:rPr>
              <w:t>C</w:t>
            </w:r>
            <w:r w:rsidRPr="00C36AA7">
              <w:rPr>
                <w:szCs w:val="22"/>
                <w:lang w:val="en-GB"/>
              </w:rPr>
              <w:t>hange in SF</w:t>
            </w:r>
            <w:r w:rsidR="000A6DDA">
              <w:rPr>
                <w:rFonts w:ascii="Cambria Math" w:hAnsi="Cambria Math" w:cs="Cambria Math"/>
                <w:szCs w:val="22"/>
                <w:lang w:val="en-GB"/>
              </w:rPr>
              <w:noBreakHyphen/>
            </w:r>
            <w:r w:rsidRPr="00C36AA7">
              <w:rPr>
                <w:szCs w:val="22"/>
                <w:lang w:val="en-GB"/>
              </w:rPr>
              <w:t>36 PHS</w:t>
            </w:r>
          </w:p>
        </w:tc>
        <w:tc>
          <w:tcPr>
            <w:tcW w:w="1738" w:type="dxa"/>
            <w:tcBorders>
              <w:top w:val="nil"/>
              <w:bottom w:val="nil"/>
            </w:tcBorders>
          </w:tcPr>
          <w:p w14:paraId="7C331858" w14:textId="77777777" w:rsidR="008F369D" w:rsidRPr="00C36AA7" w:rsidRDefault="00016F29" w:rsidP="008919D7">
            <w:pPr>
              <w:keepNext/>
              <w:keepLines/>
              <w:jc w:val="center"/>
              <w:rPr>
                <w:szCs w:val="22"/>
                <w:lang w:val="en-GB"/>
              </w:rPr>
            </w:pPr>
            <w:r w:rsidRPr="00C36AA7">
              <w:rPr>
                <w:szCs w:val="22"/>
                <w:lang w:val="en-GB"/>
              </w:rPr>
              <w:t>n=197</w:t>
            </w:r>
          </w:p>
          <w:p w14:paraId="7C331859" w14:textId="77777777" w:rsidR="008F369D" w:rsidRPr="00C36AA7" w:rsidRDefault="008F369D" w:rsidP="008919D7">
            <w:pPr>
              <w:keepNext/>
              <w:keepLines/>
              <w:jc w:val="center"/>
              <w:rPr>
                <w:szCs w:val="22"/>
                <w:lang w:val="en-GB"/>
              </w:rPr>
            </w:pPr>
          </w:p>
          <w:p w14:paraId="7C33185A" w14:textId="77777777" w:rsidR="008F369D" w:rsidRPr="00C36AA7" w:rsidRDefault="00016F29" w:rsidP="008919D7">
            <w:pPr>
              <w:keepNext/>
              <w:keepLines/>
              <w:jc w:val="center"/>
              <w:rPr>
                <w:szCs w:val="22"/>
                <w:lang w:val="en-GB"/>
              </w:rPr>
            </w:pPr>
            <w:r w:rsidRPr="00C36AA7">
              <w:rPr>
                <w:szCs w:val="22"/>
                <w:lang w:val="en-GB"/>
              </w:rPr>
              <w:t>0.9</w:t>
            </w:r>
          </w:p>
        </w:tc>
        <w:tc>
          <w:tcPr>
            <w:tcW w:w="1862" w:type="dxa"/>
            <w:tcBorders>
              <w:top w:val="nil"/>
              <w:bottom w:val="nil"/>
            </w:tcBorders>
          </w:tcPr>
          <w:p w14:paraId="7C33185B" w14:textId="77777777" w:rsidR="008F369D" w:rsidRPr="00C36AA7" w:rsidRDefault="00016F29" w:rsidP="008919D7">
            <w:pPr>
              <w:keepNext/>
              <w:keepLines/>
              <w:jc w:val="center"/>
              <w:rPr>
                <w:szCs w:val="22"/>
                <w:lang w:val="en-GB"/>
              </w:rPr>
            </w:pPr>
            <w:r w:rsidRPr="00C36AA7">
              <w:rPr>
                <w:szCs w:val="22"/>
                <w:lang w:val="en-GB"/>
              </w:rPr>
              <w:t>n=294</w:t>
            </w:r>
          </w:p>
          <w:p w14:paraId="7C33185C" w14:textId="77777777" w:rsidR="008F369D" w:rsidRPr="00C36AA7" w:rsidRDefault="008F369D" w:rsidP="008919D7">
            <w:pPr>
              <w:keepNext/>
              <w:keepLines/>
              <w:jc w:val="center"/>
              <w:rPr>
                <w:szCs w:val="22"/>
                <w:lang w:val="en-GB"/>
              </w:rPr>
            </w:pPr>
          </w:p>
          <w:p w14:paraId="7C33185D" w14:textId="77777777" w:rsidR="008F369D" w:rsidRPr="00C36AA7" w:rsidRDefault="00016F29" w:rsidP="008919D7">
            <w:pPr>
              <w:keepNext/>
              <w:keepLines/>
              <w:jc w:val="center"/>
              <w:rPr>
                <w:szCs w:val="22"/>
                <w:lang w:val="en-GB"/>
              </w:rPr>
            </w:pPr>
            <w:r w:rsidRPr="00C36AA7">
              <w:rPr>
                <w:szCs w:val="22"/>
                <w:lang w:val="en-GB"/>
              </w:rPr>
              <w:t>5.8</w:t>
            </w:r>
            <w:r w:rsidRPr="00C36AA7">
              <w:rPr>
                <w:szCs w:val="22"/>
                <w:vertAlign w:val="superscript"/>
                <w:lang w:val="en-GB"/>
              </w:rPr>
              <w:t>***</w:t>
            </w:r>
          </w:p>
        </w:tc>
      </w:tr>
      <w:tr w:rsidR="003A788B" w14:paraId="7C331862" w14:textId="77777777" w:rsidTr="008919D7">
        <w:tc>
          <w:tcPr>
            <w:tcW w:w="2902" w:type="dxa"/>
            <w:tcBorders>
              <w:top w:val="nil"/>
              <w:bottom w:val="nil"/>
            </w:tcBorders>
          </w:tcPr>
          <w:p w14:paraId="7C33185F" w14:textId="77777777" w:rsidR="008F369D" w:rsidRPr="00C36AA7" w:rsidRDefault="00016F29" w:rsidP="008919D7">
            <w:pPr>
              <w:keepNext/>
              <w:keepLines/>
              <w:rPr>
                <w:szCs w:val="22"/>
                <w:lang w:val="en-GB"/>
              </w:rPr>
            </w:pPr>
            <w:r w:rsidRPr="00C36AA7">
              <w:rPr>
                <w:szCs w:val="22"/>
                <w:lang w:val="en-GB"/>
              </w:rPr>
              <w:t>% SF</w:t>
            </w:r>
            <w:r w:rsidR="000A6DDA">
              <w:rPr>
                <w:rFonts w:ascii="Cambria Math" w:hAnsi="Cambria Math" w:cs="Cambria Math"/>
                <w:szCs w:val="22"/>
                <w:lang w:val="en-GB"/>
              </w:rPr>
              <w:noBreakHyphen/>
            </w:r>
            <w:r w:rsidRPr="00C36AA7">
              <w:rPr>
                <w:szCs w:val="22"/>
                <w:lang w:val="en-GB"/>
              </w:rPr>
              <w:t>36 PHS MCID</w:t>
            </w:r>
          </w:p>
        </w:tc>
        <w:tc>
          <w:tcPr>
            <w:tcW w:w="1738" w:type="dxa"/>
            <w:tcBorders>
              <w:top w:val="nil"/>
              <w:bottom w:val="nil"/>
            </w:tcBorders>
          </w:tcPr>
          <w:p w14:paraId="7C331860" w14:textId="77777777" w:rsidR="008F369D" w:rsidRPr="00C36AA7" w:rsidRDefault="00016F29" w:rsidP="008919D7">
            <w:pPr>
              <w:keepNext/>
              <w:keepLines/>
              <w:jc w:val="center"/>
              <w:rPr>
                <w:szCs w:val="22"/>
                <w:lang w:val="en-GB"/>
              </w:rPr>
            </w:pPr>
            <w:r w:rsidRPr="00C36AA7">
              <w:rPr>
                <w:szCs w:val="22"/>
                <w:lang w:val="en-GB"/>
              </w:rPr>
              <w:t>13%</w:t>
            </w:r>
          </w:p>
        </w:tc>
        <w:tc>
          <w:tcPr>
            <w:tcW w:w="1862" w:type="dxa"/>
            <w:tcBorders>
              <w:top w:val="nil"/>
              <w:bottom w:val="nil"/>
            </w:tcBorders>
          </w:tcPr>
          <w:p w14:paraId="7C331861" w14:textId="77777777" w:rsidR="008F369D" w:rsidRPr="00C36AA7" w:rsidRDefault="00016F29" w:rsidP="008919D7">
            <w:pPr>
              <w:keepNext/>
              <w:keepLines/>
              <w:jc w:val="center"/>
              <w:rPr>
                <w:szCs w:val="22"/>
                <w:lang w:val="en-GB"/>
              </w:rPr>
            </w:pPr>
            <w:r w:rsidRPr="00C36AA7">
              <w:rPr>
                <w:szCs w:val="22"/>
                <w:lang w:val="en-GB"/>
              </w:rPr>
              <w:t>48%</w:t>
            </w:r>
            <w:r w:rsidRPr="00C36AA7">
              <w:rPr>
                <w:szCs w:val="22"/>
                <w:vertAlign w:val="superscript"/>
                <w:lang w:val="en-GB"/>
              </w:rPr>
              <w:t>***</w:t>
            </w:r>
          </w:p>
        </w:tc>
      </w:tr>
      <w:tr w:rsidR="003A788B" w14:paraId="7C331866" w14:textId="77777777" w:rsidTr="008919D7">
        <w:tc>
          <w:tcPr>
            <w:tcW w:w="2902" w:type="dxa"/>
            <w:tcBorders>
              <w:top w:val="nil"/>
              <w:bottom w:val="nil"/>
            </w:tcBorders>
          </w:tcPr>
          <w:p w14:paraId="7C331863" w14:textId="77777777" w:rsidR="008F369D" w:rsidRPr="00C36AA7" w:rsidRDefault="00016F29" w:rsidP="008D1102">
            <w:pPr>
              <w:keepNext/>
              <w:keepLines/>
              <w:rPr>
                <w:szCs w:val="22"/>
                <w:lang w:val="en-GB"/>
              </w:rPr>
            </w:pPr>
            <w:r w:rsidRPr="00C36AA7">
              <w:rPr>
                <w:szCs w:val="22"/>
                <w:lang w:val="en-GB"/>
              </w:rPr>
              <w:t xml:space="preserve">Mean </w:t>
            </w:r>
            <w:r w:rsidR="00FC6974">
              <w:rPr>
                <w:szCs w:val="22"/>
                <w:lang w:val="en-GB"/>
              </w:rPr>
              <w:t>c</w:t>
            </w:r>
            <w:r w:rsidRPr="00C36AA7">
              <w:rPr>
                <w:szCs w:val="22"/>
                <w:lang w:val="en-GB"/>
              </w:rPr>
              <w:t>hange in SF</w:t>
            </w:r>
            <w:r w:rsidR="000A6DDA">
              <w:rPr>
                <w:rFonts w:ascii="Cambria Math" w:hAnsi="Cambria Math" w:cs="Cambria Math"/>
                <w:szCs w:val="22"/>
                <w:lang w:val="en-GB"/>
              </w:rPr>
              <w:noBreakHyphen/>
            </w:r>
            <w:r w:rsidRPr="00C36AA7">
              <w:rPr>
                <w:szCs w:val="22"/>
                <w:lang w:val="en-GB"/>
              </w:rPr>
              <w:t>36 MHS</w:t>
            </w:r>
          </w:p>
        </w:tc>
        <w:tc>
          <w:tcPr>
            <w:tcW w:w="1738" w:type="dxa"/>
            <w:tcBorders>
              <w:top w:val="nil"/>
              <w:bottom w:val="nil"/>
            </w:tcBorders>
          </w:tcPr>
          <w:p w14:paraId="7C331864" w14:textId="77777777" w:rsidR="008F369D" w:rsidRPr="00C36AA7" w:rsidRDefault="00016F29" w:rsidP="008919D7">
            <w:pPr>
              <w:keepNext/>
              <w:keepLines/>
              <w:jc w:val="center"/>
              <w:rPr>
                <w:szCs w:val="22"/>
                <w:lang w:val="en-GB"/>
              </w:rPr>
            </w:pPr>
            <w:r w:rsidRPr="00C36AA7">
              <w:rPr>
                <w:szCs w:val="22"/>
                <w:lang w:val="en-GB"/>
              </w:rPr>
              <w:t>1.3</w:t>
            </w:r>
          </w:p>
        </w:tc>
        <w:tc>
          <w:tcPr>
            <w:tcW w:w="1862" w:type="dxa"/>
            <w:tcBorders>
              <w:top w:val="nil"/>
              <w:bottom w:val="nil"/>
            </w:tcBorders>
          </w:tcPr>
          <w:p w14:paraId="7C331865" w14:textId="77777777" w:rsidR="008F369D" w:rsidRPr="00C36AA7" w:rsidRDefault="00016F29" w:rsidP="008919D7">
            <w:pPr>
              <w:keepNext/>
              <w:keepLines/>
              <w:jc w:val="center"/>
              <w:rPr>
                <w:szCs w:val="22"/>
                <w:lang w:val="en-GB"/>
              </w:rPr>
            </w:pPr>
            <w:r w:rsidRPr="00C36AA7">
              <w:rPr>
                <w:szCs w:val="22"/>
                <w:lang w:val="en-GB"/>
              </w:rPr>
              <w:t>4.7</w:t>
            </w:r>
            <w:r w:rsidRPr="00C36AA7">
              <w:rPr>
                <w:szCs w:val="22"/>
                <w:vertAlign w:val="superscript"/>
                <w:lang w:val="en-GB"/>
              </w:rPr>
              <w:t>**</w:t>
            </w:r>
          </w:p>
        </w:tc>
      </w:tr>
      <w:tr w:rsidR="003A788B" w14:paraId="7C33186A" w14:textId="77777777" w:rsidTr="008919D7">
        <w:tc>
          <w:tcPr>
            <w:tcW w:w="2902" w:type="dxa"/>
            <w:tcBorders>
              <w:top w:val="nil"/>
              <w:bottom w:val="single" w:sz="4" w:space="0" w:color="auto"/>
            </w:tcBorders>
          </w:tcPr>
          <w:p w14:paraId="7C331867" w14:textId="77777777" w:rsidR="008F369D" w:rsidRPr="00C36AA7" w:rsidRDefault="00016F29" w:rsidP="008919D7">
            <w:pPr>
              <w:keepNext/>
              <w:keepLines/>
              <w:rPr>
                <w:szCs w:val="22"/>
                <w:lang w:val="en-GB"/>
              </w:rPr>
            </w:pPr>
            <w:r w:rsidRPr="00C36AA7">
              <w:rPr>
                <w:szCs w:val="22"/>
                <w:lang w:val="en-GB"/>
              </w:rPr>
              <w:t>% SF</w:t>
            </w:r>
            <w:r w:rsidR="000A6DDA">
              <w:rPr>
                <w:rFonts w:ascii="Cambria Math" w:hAnsi="Cambria Math" w:cs="Cambria Math"/>
                <w:szCs w:val="22"/>
                <w:lang w:val="en-GB"/>
              </w:rPr>
              <w:noBreakHyphen/>
            </w:r>
            <w:r w:rsidRPr="00C36AA7">
              <w:rPr>
                <w:szCs w:val="22"/>
                <w:lang w:val="en-GB"/>
              </w:rPr>
              <w:t>36 MHS MCID</w:t>
            </w:r>
          </w:p>
        </w:tc>
        <w:tc>
          <w:tcPr>
            <w:tcW w:w="1738" w:type="dxa"/>
            <w:tcBorders>
              <w:top w:val="nil"/>
              <w:bottom w:val="single" w:sz="4" w:space="0" w:color="auto"/>
            </w:tcBorders>
          </w:tcPr>
          <w:p w14:paraId="7C331868" w14:textId="77777777" w:rsidR="008F369D" w:rsidRPr="00C36AA7" w:rsidRDefault="00016F29" w:rsidP="008919D7">
            <w:pPr>
              <w:keepNext/>
              <w:keepLines/>
              <w:jc w:val="center"/>
              <w:rPr>
                <w:szCs w:val="22"/>
                <w:lang w:val="en-GB"/>
              </w:rPr>
            </w:pPr>
            <w:r w:rsidRPr="00C36AA7">
              <w:rPr>
                <w:szCs w:val="22"/>
                <w:lang w:val="en-GB"/>
              </w:rPr>
              <w:t>20%</w:t>
            </w:r>
          </w:p>
        </w:tc>
        <w:tc>
          <w:tcPr>
            <w:tcW w:w="1862" w:type="dxa"/>
            <w:tcBorders>
              <w:top w:val="nil"/>
              <w:bottom w:val="single" w:sz="4" w:space="0" w:color="auto"/>
            </w:tcBorders>
          </w:tcPr>
          <w:p w14:paraId="7C331869" w14:textId="77777777" w:rsidR="008F369D" w:rsidRPr="00C36AA7" w:rsidRDefault="00016F29" w:rsidP="008919D7">
            <w:pPr>
              <w:keepNext/>
              <w:keepLines/>
              <w:jc w:val="center"/>
              <w:rPr>
                <w:szCs w:val="22"/>
                <w:lang w:val="en-GB"/>
              </w:rPr>
            </w:pPr>
            <w:r w:rsidRPr="00C36AA7">
              <w:rPr>
                <w:szCs w:val="22"/>
                <w:lang w:val="en-GB"/>
              </w:rPr>
              <w:t>38%</w:t>
            </w:r>
            <w:r w:rsidRPr="00C36AA7">
              <w:rPr>
                <w:szCs w:val="22"/>
                <w:vertAlign w:val="superscript"/>
                <w:lang w:val="en-GB"/>
              </w:rPr>
              <w:t>*</w:t>
            </w:r>
          </w:p>
        </w:tc>
      </w:tr>
    </w:tbl>
    <w:p w14:paraId="7C33186B" w14:textId="77777777" w:rsidR="008F369D" w:rsidRPr="006A4D12" w:rsidRDefault="00016F29" w:rsidP="008F369D">
      <w:pPr>
        <w:rPr>
          <w:rFonts w:ascii="TimesNewRomanPSMT" w:eastAsia="MS Mincho" w:hAnsi="TimesNewRomanPSMT" w:cs="TimesNewRomanPSMT"/>
          <w:sz w:val="18"/>
          <w:szCs w:val="18"/>
          <w:lang w:val="en-GB" w:eastAsia="zh-CN" w:bidi="th-TH"/>
        </w:rPr>
      </w:pPr>
      <w:r w:rsidRPr="006A4D12">
        <w:rPr>
          <w:rFonts w:ascii="TimesNewRomanPSMT" w:eastAsia="MS Mincho" w:hAnsi="TimesNewRomanPSMT" w:cs="TimesNewRomanPSMT"/>
          <w:sz w:val="18"/>
          <w:szCs w:val="18"/>
          <w:lang w:val="en-GB" w:eastAsia="zh-CN" w:bidi="th-TH"/>
        </w:rPr>
        <w:t>† Outcome at 24 weeks</w:t>
      </w:r>
    </w:p>
    <w:p w14:paraId="7C33186C" w14:textId="77777777" w:rsidR="008F369D" w:rsidRPr="006A4D12" w:rsidRDefault="00016F29" w:rsidP="008F369D">
      <w:pPr>
        <w:rPr>
          <w:rFonts w:eastAsia="MS Mincho"/>
          <w:sz w:val="18"/>
          <w:szCs w:val="18"/>
          <w:lang w:val="en-GB" w:eastAsia="zh-CN" w:bidi="th-TH"/>
        </w:rPr>
      </w:pPr>
      <w:r w:rsidRPr="006A4D12">
        <w:rPr>
          <w:rFonts w:eastAsia="MS Mincho"/>
          <w:sz w:val="18"/>
          <w:szCs w:val="18"/>
          <w:lang w:val="en-GB" w:eastAsia="zh-CN" w:bidi="th-TH"/>
        </w:rPr>
        <w:t>Significant difference from placebo at the primary time point: * p &lt; 0.05, **p &lt; 0.001 ***p ≤ 0.0001</w:t>
      </w:r>
    </w:p>
    <w:p w14:paraId="7C33186D" w14:textId="77777777" w:rsidR="008F369D" w:rsidRPr="00FB412B" w:rsidRDefault="00016F29" w:rsidP="008F369D">
      <w:pPr>
        <w:rPr>
          <w:sz w:val="18"/>
          <w:szCs w:val="18"/>
          <w:lang w:val="en-GB"/>
        </w:rPr>
      </w:pPr>
      <w:r w:rsidRPr="00FB412B">
        <w:rPr>
          <w:rFonts w:eastAsia="MS Mincho"/>
          <w:sz w:val="18"/>
          <w:szCs w:val="18"/>
          <w:lang w:val="en-GB" w:eastAsia="zh-CN" w:bidi="th-TH"/>
        </w:rPr>
        <w:t>MCID HAQ</w:t>
      </w:r>
      <w:r w:rsidR="000A6DDA" w:rsidRPr="00FB412B">
        <w:rPr>
          <w:rFonts w:eastAsia="MS Mincho"/>
          <w:sz w:val="18"/>
          <w:szCs w:val="18"/>
          <w:lang w:val="en-GB" w:eastAsia="zh-CN" w:bidi="th-TH"/>
        </w:rPr>
        <w:noBreakHyphen/>
      </w:r>
      <w:r w:rsidRPr="00FB412B">
        <w:rPr>
          <w:rFonts w:eastAsia="MS Mincho"/>
          <w:sz w:val="18"/>
          <w:szCs w:val="18"/>
          <w:lang w:val="en-GB" w:eastAsia="zh-CN" w:bidi="th-TH"/>
        </w:rPr>
        <w:t>DI ≥0.22, MCID SF</w:t>
      </w:r>
      <w:r w:rsidR="000A6DDA" w:rsidRPr="00FB412B">
        <w:rPr>
          <w:rFonts w:eastAsia="MS Mincho"/>
          <w:sz w:val="18"/>
          <w:szCs w:val="18"/>
          <w:lang w:val="en-GB" w:eastAsia="zh-CN" w:bidi="th-TH"/>
        </w:rPr>
        <w:noBreakHyphen/>
      </w:r>
      <w:r w:rsidRPr="00FB412B">
        <w:rPr>
          <w:rFonts w:eastAsia="MS Mincho"/>
          <w:sz w:val="18"/>
          <w:szCs w:val="18"/>
          <w:lang w:val="en-GB" w:eastAsia="zh-CN" w:bidi="th-TH"/>
        </w:rPr>
        <w:t>36 PHS &gt;5.42, MCID SF</w:t>
      </w:r>
      <w:r w:rsidR="000A6DDA" w:rsidRPr="00FB412B">
        <w:rPr>
          <w:rFonts w:eastAsia="MS Mincho"/>
          <w:sz w:val="18"/>
          <w:szCs w:val="18"/>
          <w:lang w:val="en-GB" w:eastAsia="zh-CN" w:bidi="th-TH"/>
        </w:rPr>
        <w:noBreakHyphen/>
      </w:r>
      <w:r w:rsidRPr="00FB412B">
        <w:rPr>
          <w:rFonts w:eastAsia="MS Mincho"/>
          <w:sz w:val="18"/>
          <w:szCs w:val="18"/>
          <w:lang w:val="en-GB" w:eastAsia="zh-CN" w:bidi="th-TH"/>
        </w:rPr>
        <w:t>36 MHS &gt;6.33</w:t>
      </w:r>
    </w:p>
    <w:p w14:paraId="7C33186E" w14:textId="77777777" w:rsidR="008F369D" w:rsidRPr="00C36AA7" w:rsidRDefault="008F369D" w:rsidP="008F369D">
      <w:pPr>
        <w:ind w:left="1134" w:hanging="1134"/>
        <w:rPr>
          <w:bCs/>
          <w:szCs w:val="22"/>
          <w:lang w:val="en-GB"/>
        </w:rPr>
      </w:pPr>
    </w:p>
    <w:p w14:paraId="7C33186F" w14:textId="77777777" w:rsidR="008F369D" w:rsidRPr="009646D5" w:rsidRDefault="00016F29" w:rsidP="008F369D">
      <w:pPr>
        <w:keepNext/>
        <w:keepLines/>
        <w:rPr>
          <w:i/>
          <w:szCs w:val="22"/>
          <w:lang w:val="en-GB"/>
        </w:rPr>
      </w:pPr>
      <w:r w:rsidRPr="009646D5">
        <w:rPr>
          <w:i/>
          <w:szCs w:val="22"/>
          <w:lang w:val="en-GB"/>
        </w:rPr>
        <w:t>Efficacy in autoantibody (RF and or anti</w:t>
      </w:r>
      <w:r w:rsidR="000A6DDA" w:rsidRPr="009646D5">
        <w:rPr>
          <w:i/>
          <w:szCs w:val="22"/>
          <w:lang w:val="en-GB"/>
        </w:rPr>
        <w:noBreakHyphen/>
      </w:r>
      <w:r w:rsidRPr="009646D5">
        <w:rPr>
          <w:i/>
          <w:szCs w:val="22"/>
          <w:lang w:val="en-GB"/>
        </w:rPr>
        <w:t xml:space="preserve">CCP) seropositive patients </w:t>
      </w:r>
    </w:p>
    <w:p w14:paraId="7C331870" w14:textId="77777777" w:rsidR="008F369D" w:rsidRPr="00C36AA7" w:rsidRDefault="00016F29" w:rsidP="008F369D">
      <w:pPr>
        <w:rPr>
          <w:snapToGrid w:val="0"/>
          <w:szCs w:val="22"/>
          <w:lang w:val="en-GB"/>
        </w:rPr>
      </w:pPr>
      <w:r w:rsidRPr="00CC5D59">
        <w:rPr>
          <w:rStyle w:val="Emphasis"/>
          <w:i w:val="0"/>
          <w:szCs w:val="22"/>
          <w:lang w:val="en-GB"/>
        </w:rPr>
        <w:t>Patients seropositive to Rheumatoid Factor (RF) and/or anti</w:t>
      </w:r>
      <w:r w:rsidR="000A6DDA" w:rsidRPr="00CC5D59">
        <w:rPr>
          <w:rStyle w:val="Emphasis"/>
          <w:i w:val="0"/>
          <w:szCs w:val="22"/>
          <w:lang w:val="en-GB"/>
        </w:rPr>
        <w:noBreakHyphen/>
      </w:r>
      <w:r w:rsidRPr="00CC5D59">
        <w:rPr>
          <w:rStyle w:val="Emphasis"/>
          <w:i w:val="0"/>
          <w:szCs w:val="22"/>
          <w:lang w:val="en-GB"/>
        </w:rPr>
        <w:t xml:space="preserve"> Cyclic Citrullinated Peptide (anti</w:t>
      </w:r>
      <w:r w:rsidR="000A6DDA" w:rsidRPr="00CC5D59">
        <w:rPr>
          <w:rStyle w:val="Emphasis"/>
          <w:i w:val="0"/>
          <w:szCs w:val="22"/>
          <w:lang w:val="en-GB"/>
        </w:rPr>
        <w:noBreakHyphen/>
      </w:r>
      <w:r w:rsidRPr="00CC5D59">
        <w:rPr>
          <w:rStyle w:val="Emphasis"/>
          <w:i w:val="0"/>
          <w:szCs w:val="22"/>
          <w:lang w:val="en-GB"/>
        </w:rPr>
        <w:t>CCP) wh</w:t>
      </w:r>
      <w:r w:rsidRPr="00C36AA7">
        <w:rPr>
          <w:rStyle w:val="Emphasis"/>
          <w:i w:val="0"/>
          <w:szCs w:val="22"/>
          <w:lang w:val="en-GB"/>
        </w:rPr>
        <w:t xml:space="preserve">o were treated with MabThera in combination with </w:t>
      </w:r>
      <w:r w:rsidRPr="00C36AA7">
        <w:rPr>
          <w:rStyle w:val="Emphasis"/>
          <w:i w:val="0"/>
          <w:lang w:val="en-GB"/>
        </w:rPr>
        <w:t>methotrexate</w:t>
      </w:r>
      <w:r w:rsidRPr="00C36AA7">
        <w:rPr>
          <w:rStyle w:val="Emphasis"/>
          <w:i w:val="0"/>
          <w:szCs w:val="22"/>
          <w:lang w:val="en-GB"/>
        </w:rPr>
        <w:t xml:space="preserve"> showed an enhanced response compared to patients negative to both.</w:t>
      </w:r>
    </w:p>
    <w:p w14:paraId="7C331871" w14:textId="77777777" w:rsidR="008F369D" w:rsidRPr="00C36AA7" w:rsidRDefault="008F369D" w:rsidP="008F369D">
      <w:pPr>
        <w:rPr>
          <w:b/>
          <w:szCs w:val="22"/>
          <w:lang w:val="en-GB"/>
        </w:rPr>
      </w:pPr>
    </w:p>
    <w:p w14:paraId="7C331872" w14:textId="77777777" w:rsidR="008F369D" w:rsidRPr="00F638AF" w:rsidRDefault="00016F29" w:rsidP="008F369D">
      <w:pPr>
        <w:rPr>
          <w:lang w:val="en-GB"/>
        </w:rPr>
      </w:pPr>
      <w:r w:rsidRPr="004A54CE">
        <w:rPr>
          <w:lang w:val="en-GB"/>
        </w:rPr>
        <w:t xml:space="preserve">Efficacy outcomes in MabThera treated patients were analysed based on autoantibody status prior to commencing treatment. At Week 24, patients who </w:t>
      </w:r>
      <w:r w:rsidRPr="00F638AF">
        <w:rPr>
          <w:lang w:val="en-GB"/>
        </w:rPr>
        <w:t>were seropositive to RF and/or anti</w:t>
      </w:r>
      <w:r w:rsidR="000A6DDA" w:rsidRPr="00F638AF">
        <w:rPr>
          <w:lang w:val="en-GB"/>
        </w:rPr>
        <w:noBreakHyphen/>
      </w:r>
      <w:r w:rsidRPr="00F638AF">
        <w:rPr>
          <w:lang w:val="en-GB"/>
        </w:rPr>
        <w:t xml:space="preserve">CCP at baseline had a significantly increased probability of achieving ACR20 and 50 responses compared to seronegative patients (p=0.0312 and p=0.0096) (Table </w:t>
      </w:r>
      <w:r w:rsidR="00F1525D" w:rsidRPr="00F638AF">
        <w:rPr>
          <w:lang w:val="en-GB"/>
        </w:rPr>
        <w:t>18</w:t>
      </w:r>
      <w:r w:rsidRPr="00F638AF">
        <w:rPr>
          <w:lang w:val="en-GB"/>
        </w:rPr>
        <w:t>). These findings were replicated at Week 48, where autoantibody seropositivity also significantly increased the probability of achieving ACR70. At week 48 seropositive patients were 2</w:t>
      </w:r>
      <w:r w:rsidR="000A6DDA" w:rsidRPr="00F638AF">
        <w:rPr>
          <w:lang w:val="en-GB"/>
        </w:rPr>
        <w:noBreakHyphen/>
      </w:r>
      <w:r w:rsidRPr="00F638AF">
        <w:rPr>
          <w:lang w:val="en-GB"/>
        </w:rPr>
        <w:t>3 times more likely to achieve ACR responses compared to seronegative patients. Seropositive patients also had a significantly greater decrease in DAS28</w:t>
      </w:r>
      <w:r w:rsidR="000A6DDA" w:rsidRPr="00F638AF">
        <w:rPr>
          <w:lang w:val="en-GB"/>
        </w:rPr>
        <w:noBreakHyphen/>
      </w:r>
      <w:r w:rsidRPr="00F638AF">
        <w:rPr>
          <w:lang w:val="en-GB"/>
        </w:rPr>
        <w:t>ESR compared to seronegative patients (Figure 1).</w:t>
      </w:r>
    </w:p>
    <w:p w14:paraId="7C331873" w14:textId="77777777" w:rsidR="008F369D" w:rsidRPr="00F638AF" w:rsidRDefault="008F369D" w:rsidP="008F369D">
      <w:pPr>
        <w:rPr>
          <w:szCs w:val="22"/>
          <w:lang w:val="en-GB"/>
        </w:rPr>
      </w:pPr>
    </w:p>
    <w:p w14:paraId="7C331874" w14:textId="77777777" w:rsidR="008F369D" w:rsidRPr="00C36AA7" w:rsidRDefault="00016F29" w:rsidP="008F369D">
      <w:pPr>
        <w:keepNext/>
        <w:keepLines/>
        <w:ind w:left="1134" w:hanging="1134"/>
        <w:rPr>
          <w:b/>
          <w:szCs w:val="22"/>
          <w:lang w:val="en-GB"/>
        </w:rPr>
      </w:pPr>
      <w:r w:rsidRPr="00F638AF">
        <w:rPr>
          <w:b/>
          <w:szCs w:val="22"/>
          <w:lang w:val="en-GB"/>
        </w:rPr>
        <w:t xml:space="preserve">Table </w:t>
      </w:r>
      <w:r w:rsidR="00F1525D" w:rsidRPr="00F638AF">
        <w:rPr>
          <w:b/>
          <w:szCs w:val="22"/>
          <w:lang w:val="en-GB"/>
        </w:rPr>
        <w:t>18</w:t>
      </w:r>
      <w:r w:rsidRPr="00F638AF">
        <w:rPr>
          <w:b/>
          <w:szCs w:val="22"/>
          <w:lang w:val="en-GB"/>
        </w:rPr>
        <w:tab/>
        <w:t>Summary of efficacy by baseline autoantibody status</w:t>
      </w:r>
    </w:p>
    <w:tbl>
      <w:tblPr>
        <w:tblW w:w="84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40"/>
        <w:gridCol w:w="1445"/>
        <w:gridCol w:w="1445"/>
        <w:gridCol w:w="1445"/>
        <w:gridCol w:w="1446"/>
      </w:tblGrid>
      <w:tr w:rsidR="003A788B" w14:paraId="7C331878" w14:textId="77777777" w:rsidTr="008919D7">
        <w:tc>
          <w:tcPr>
            <w:tcW w:w="2640" w:type="dxa"/>
          </w:tcPr>
          <w:p w14:paraId="7C331875" w14:textId="77777777" w:rsidR="008F369D" w:rsidRPr="00C36AA7" w:rsidRDefault="008F369D" w:rsidP="008919D7">
            <w:pPr>
              <w:pStyle w:val="TableText10"/>
              <w:keepNext/>
              <w:keepLines/>
              <w:rPr>
                <w:sz w:val="22"/>
                <w:szCs w:val="22"/>
                <w:lang w:val="en-GB"/>
              </w:rPr>
            </w:pPr>
          </w:p>
        </w:tc>
        <w:tc>
          <w:tcPr>
            <w:tcW w:w="2890" w:type="dxa"/>
            <w:gridSpan w:val="2"/>
          </w:tcPr>
          <w:p w14:paraId="7C331876" w14:textId="77777777" w:rsidR="008F369D" w:rsidRPr="00C36AA7" w:rsidRDefault="00016F29" w:rsidP="008919D7">
            <w:pPr>
              <w:pStyle w:val="TableText10"/>
              <w:keepNext/>
              <w:keepLines/>
              <w:jc w:val="center"/>
              <w:rPr>
                <w:b/>
                <w:sz w:val="22"/>
                <w:szCs w:val="22"/>
                <w:lang w:val="en-GB"/>
              </w:rPr>
            </w:pPr>
            <w:r w:rsidRPr="00C36AA7">
              <w:rPr>
                <w:b/>
                <w:sz w:val="22"/>
                <w:szCs w:val="22"/>
                <w:lang w:val="en-GB"/>
              </w:rPr>
              <w:t>Week 24</w:t>
            </w:r>
          </w:p>
        </w:tc>
        <w:tc>
          <w:tcPr>
            <w:tcW w:w="2891" w:type="dxa"/>
            <w:gridSpan w:val="2"/>
          </w:tcPr>
          <w:p w14:paraId="7C331877" w14:textId="77777777" w:rsidR="008F369D" w:rsidRPr="00C36AA7" w:rsidRDefault="00016F29" w:rsidP="008919D7">
            <w:pPr>
              <w:pStyle w:val="TableText10"/>
              <w:keepNext/>
              <w:keepLines/>
              <w:jc w:val="center"/>
              <w:rPr>
                <w:b/>
                <w:sz w:val="22"/>
                <w:szCs w:val="22"/>
                <w:lang w:val="en-GB"/>
              </w:rPr>
            </w:pPr>
            <w:r w:rsidRPr="00C36AA7">
              <w:rPr>
                <w:b/>
                <w:sz w:val="22"/>
                <w:szCs w:val="22"/>
                <w:lang w:val="en-GB"/>
              </w:rPr>
              <w:t>Week 48</w:t>
            </w:r>
          </w:p>
        </w:tc>
      </w:tr>
      <w:tr w:rsidR="003A788B" w14:paraId="7C331882" w14:textId="77777777" w:rsidTr="008919D7">
        <w:tc>
          <w:tcPr>
            <w:tcW w:w="2640" w:type="dxa"/>
          </w:tcPr>
          <w:p w14:paraId="7C331879" w14:textId="77777777" w:rsidR="008F369D" w:rsidRPr="00C36AA7" w:rsidRDefault="008F369D" w:rsidP="008919D7">
            <w:pPr>
              <w:pStyle w:val="TableText10"/>
              <w:keepNext/>
              <w:keepLines/>
              <w:rPr>
                <w:b/>
                <w:sz w:val="22"/>
                <w:szCs w:val="22"/>
                <w:lang w:val="en-GB"/>
              </w:rPr>
            </w:pPr>
          </w:p>
        </w:tc>
        <w:tc>
          <w:tcPr>
            <w:tcW w:w="1445" w:type="dxa"/>
          </w:tcPr>
          <w:p w14:paraId="7C33187A" w14:textId="77777777" w:rsidR="008F369D" w:rsidRPr="00C36AA7" w:rsidRDefault="00016F29" w:rsidP="008919D7">
            <w:pPr>
              <w:pStyle w:val="TableText10"/>
              <w:keepNext/>
              <w:keepLines/>
              <w:jc w:val="center"/>
              <w:rPr>
                <w:b/>
                <w:sz w:val="22"/>
                <w:szCs w:val="22"/>
                <w:lang w:val="en-GB"/>
              </w:rPr>
            </w:pPr>
            <w:r w:rsidRPr="00C36AA7">
              <w:rPr>
                <w:b/>
                <w:sz w:val="22"/>
                <w:szCs w:val="22"/>
                <w:lang w:val="en-GB"/>
              </w:rPr>
              <w:t>Seropositive</w:t>
            </w:r>
          </w:p>
          <w:p w14:paraId="7C33187B" w14:textId="77777777" w:rsidR="008F369D" w:rsidRPr="00C36AA7" w:rsidRDefault="00016F29" w:rsidP="008919D7">
            <w:pPr>
              <w:pStyle w:val="TableText10"/>
              <w:keepNext/>
              <w:keepLines/>
              <w:jc w:val="center"/>
              <w:rPr>
                <w:b/>
                <w:sz w:val="22"/>
                <w:szCs w:val="22"/>
                <w:lang w:val="en-GB"/>
              </w:rPr>
            </w:pPr>
            <w:r w:rsidRPr="00C36AA7">
              <w:rPr>
                <w:b/>
                <w:sz w:val="22"/>
                <w:szCs w:val="22"/>
                <w:lang w:val="en-GB"/>
              </w:rPr>
              <w:t>(n=514)</w:t>
            </w:r>
          </w:p>
        </w:tc>
        <w:tc>
          <w:tcPr>
            <w:tcW w:w="1445" w:type="dxa"/>
          </w:tcPr>
          <w:p w14:paraId="7C33187C" w14:textId="77777777" w:rsidR="008F369D" w:rsidRPr="00C36AA7" w:rsidRDefault="00016F29" w:rsidP="008919D7">
            <w:pPr>
              <w:pStyle w:val="TableText10"/>
              <w:keepNext/>
              <w:keepLines/>
              <w:jc w:val="center"/>
              <w:rPr>
                <w:b/>
                <w:sz w:val="22"/>
                <w:szCs w:val="22"/>
                <w:lang w:val="en-GB"/>
              </w:rPr>
            </w:pPr>
            <w:r w:rsidRPr="00C36AA7">
              <w:rPr>
                <w:b/>
                <w:sz w:val="22"/>
                <w:szCs w:val="22"/>
                <w:lang w:val="en-GB"/>
              </w:rPr>
              <w:t>Seronegative</w:t>
            </w:r>
          </w:p>
          <w:p w14:paraId="7C33187D" w14:textId="77777777" w:rsidR="008F369D" w:rsidRPr="00C36AA7" w:rsidRDefault="00016F29" w:rsidP="008919D7">
            <w:pPr>
              <w:pStyle w:val="TableText10"/>
              <w:keepNext/>
              <w:keepLines/>
              <w:jc w:val="center"/>
              <w:rPr>
                <w:b/>
                <w:sz w:val="22"/>
                <w:szCs w:val="22"/>
                <w:lang w:val="en-GB"/>
              </w:rPr>
            </w:pPr>
            <w:r w:rsidRPr="00C36AA7">
              <w:rPr>
                <w:b/>
                <w:sz w:val="22"/>
                <w:szCs w:val="22"/>
                <w:lang w:val="en-GB"/>
              </w:rPr>
              <w:t>(n=106)</w:t>
            </w:r>
          </w:p>
        </w:tc>
        <w:tc>
          <w:tcPr>
            <w:tcW w:w="1445" w:type="dxa"/>
          </w:tcPr>
          <w:p w14:paraId="7C33187E" w14:textId="77777777" w:rsidR="008F369D" w:rsidRPr="00C36AA7" w:rsidRDefault="00016F29" w:rsidP="008919D7">
            <w:pPr>
              <w:pStyle w:val="TableText10"/>
              <w:keepNext/>
              <w:keepLines/>
              <w:jc w:val="center"/>
              <w:rPr>
                <w:b/>
                <w:sz w:val="22"/>
                <w:szCs w:val="22"/>
                <w:lang w:val="en-GB"/>
              </w:rPr>
            </w:pPr>
            <w:r w:rsidRPr="00C36AA7">
              <w:rPr>
                <w:b/>
                <w:sz w:val="22"/>
                <w:szCs w:val="22"/>
                <w:lang w:val="en-GB"/>
              </w:rPr>
              <w:t>Seropositive</w:t>
            </w:r>
          </w:p>
          <w:p w14:paraId="7C33187F" w14:textId="77777777" w:rsidR="008F369D" w:rsidRPr="00C36AA7" w:rsidRDefault="00016F29" w:rsidP="008919D7">
            <w:pPr>
              <w:pStyle w:val="TableText10"/>
              <w:keepNext/>
              <w:keepLines/>
              <w:jc w:val="center"/>
              <w:rPr>
                <w:b/>
                <w:sz w:val="22"/>
                <w:szCs w:val="22"/>
                <w:lang w:val="en-GB"/>
              </w:rPr>
            </w:pPr>
            <w:r w:rsidRPr="00C36AA7">
              <w:rPr>
                <w:b/>
                <w:sz w:val="22"/>
                <w:szCs w:val="22"/>
                <w:lang w:val="en-GB"/>
              </w:rPr>
              <w:t>(n=506)</w:t>
            </w:r>
          </w:p>
        </w:tc>
        <w:tc>
          <w:tcPr>
            <w:tcW w:w="1446" w:type="dxa"/>
          </w:tcPr>
          <w:p w14:paraId="7C331880" w14:textId="77777777" w:rsidR="008F369D" w:rsidRPr="00C36AA7" w:rsidRDefault="00016F29" w:rsidP="008919D7">
            <w:pPr>
              <w:pStyle w:val="TableText10"/>
              <w:keepNext/>
              <w:keepLines/>
              <w:jc w:val="center"/>
              <w:rPr>
                <w:b/>
                <w:sz w:val="22"/>
                <w:szCs w:val="22"/>
                <w:lang w:val="en-GB"/>
              </w:rPr>
            </w:pPr>
            <w:r w:rsidRPr="00C36AA7">
              <w:rPr>
                <w:b/>
                <w:sz w:val="22"/>
                <w:szCs w:val="22"/>
                <w:lang w:val="en-GB"/>
              </w:rPr>
              <w:t>Seronegative</w:t>
            </w:r>
          </w:p>
          <w:p w14:paraId="7C331881" w14:textId="77777777" w:rsidR="008F369D" w:rsidRPr="00C36AA7" w:rsidRDefault="00016F29" w:rsidP="008919D7">
            <w:pPr>
              <w:pStyle w:val="TableText10"/>
              <w:keepNext/>
              <w:keepLines/>
              <w:jc w:val="center"/>
              <w:rPr>
                <w:b/>
                <w:sz w:val="22"/>
                <w:szCs w:val="22"/>
                <w:lang w:val="en-GB"/>
              </w:rPr>
            </w:pPr>
            <w:r w:rsidRPr="00C36AA7">
              <w:rPr>
                <w:b/>
                <w:sz w:val="22"/>
                <w:szCs w:val="22"/>
                <w:lang w:val="en-GB"/>
              </w:rPr>
              <w:t>(n=101)</w:t>
            </w:r>
          </w:p>
        </w:tc>
      </w:tr>
      <w:tr w:rsidR="003A788B" w14:paraId="7C331888" w14:textId="77777777" w:rsidTr="008919D7">
        <w:tc>
          <w:tcPr>
            <w:tcW w:w="2640" w:type="dxa"/>
          </w:tcPr>
          <w:p w14:paraId="7C331883" w14:textId="77777777" w:rsidR="008F369D" w:rsidRPr="00C36AA7" w:rsidRDefault="00016F29" w:rsidP="008919D7">
            <w:pPr>
              <w:pStyle w:val="TableText10"/>
              <w:keepNext/>
              <w:keepLines/>
              <w:rPr>
                <w:sz w:val="22"/>
                <w:szCs w:val="22"/>
                <w:lang w:val="en-GB"/>
              </w:rPr>
            </w:pPr>
            <w:r w:rsidRPr="00C36AA7">
              <w:rPr>
                <w:sz w:val="22"/>
                <w:szCs w:val="22"/>
                <w:lang w:val="en-GB"/>
              </w:rPr>
              <w:t>ACR20 (%)</w:t>
            </w:r>
          </w:p>
        </w:tc>
        <w:tc>
          <w:tcPr>
            <w:tcW w:w="1445" w:type="dxa"/>
          </w:tcPr>
          <w:p w14:paraId="7C331884" w14:textId="77777777" w:rsidR="008F369D" w:rsidRPr="00C36AA7" w:rsidRDefault="00016F29" w:rsidP="008919D7">
            <w:pPr>
              <w:pStyle w:val="TableText10"/>
              <w:keepNext/>
              <w:keepLines/>
              <w:jc w:val="center"/>
              <w:rPr>
                <w:sz w:val="22"/>
                <w:szCs w:val="22"/>
                <w:lang w:val="en-GB"/>
              </w:rPr>
            </w:pPr>
            <w:r w:rsidRPr="00C36AA7">
              <w:rPr>
                <w:sz w:val="22"/>
                <w:szCs w:val="22"/>
                <w:lang w:val="en-GB"/>
              </w:rPr>
              <w:t>62.3*</w:t>
            </w:r>
          </w:p>
        </w:tc>
        <w:tc>
          <w:tcPr>
            <w:tcW w:w="1445" w:type="dxa"/>
          </w:tcPr>
          <w:p w14:paraId="7C331885" w14:textId="77777777" w:rsidR="008F369D" w:rsidRPr="00C36AA7" w:rsidRDefault="00016F29" w:rsidP="008919D7">
            <w:pPr>
              <w:pStyle w:val="TableText10"/>
              <w:keepNext/>
              <w:keepLines/>
              <w:jc w:val="center"/>
              <w:rPr>
                <w:sz w:val="22"/>
                <w:szCs w:val="22"/>
                <w:lang w:val="en-GB"/>
              </w:rPr>
            </w:pPr>
            <w:r w:rsidRPr="00C36AA7">
              <w:rPr>
                <w:sz w:val="22"/>
                <w:szCs w:val="22"/>
                <w:lang w:val="en-GB"/>
              </w:rPr>
              <w:t>50.9</w:t>
            </w:r>
          </w:p>
        </w:tc>
        <w:tc>
          <w:tcPr>
            <w:tcW w:w="1445" w:type="dxa"/>
          </w:tcPr>
          <w:p w14:paraId="7C331886" w14:textId="77777777" w:rsidR="008F369D" w:rsidRPr="00C36AA7" w:rsidRDefault="00016F29" w:rsidP="008919D7">
            <w:pPr>
              <w:pStyle w:val="TableText10"/>
              <w:keepNext/>
              <w:keepLines/>
              <w:jc w:val="center"/>
              <w:rPr>
                <w:sz w:val="22"/>
                <w:szCs w:val="22"/>
                <w:lang w:val="en-GB"/>
              </w:rPr>
            </w:pPr>
            <w:r w:rsidRPr="00C36AA7">
              <w:rPr>
                <w:sz w:val="22"/>
                <w:szCs w:val="22"/>
                <w:lang w:val="en-GB"/>
              </w:rPr>
              <w:t>71. 1*</w:t>
            </w:r>
          </w:p>
        </w:tc>
        <w:tc>
          <w:tcPr>
            <w:tcW w:w="1446" w:type="dxa"/>
          </w:tcPr>
          <w:p w14:paraId="7C331887" w14:textId="77777777" w:rsidR="008F369D" w:rsidRPr="00C36AA7" w:rsidRDefault="00016F29" w:rsidP="008919D7">
            <w:pPr>
              <w:pStyle w:val="TableText10"/>
              <w:keepNext/>
              <w:keepLines/>
              <w:jc w:val="center"/>
              <w:rPr>
                <w:sz w:val="22"/>
                <w:szCs w:val="22"/>
                <w:lang w:val="en-GB"/>
              </w:rPr>
            </w:pPr>
            <w:r w:rsidRPr="00C36AA7">
              <w:rPr>
                <w:sz w:val="22"/>
                <w:szCs w:val="22"/>
                <w:lang w:val="en-GB"/>
              </w:rPr>
              <w:t>51.5</w:t>
            </w:r>
          </w:p>
        </w:tc>
      </w:tr>
      <w:tr w:rsidR="003A788B" w14:paraId="7C33188E" w14:textId="77777777" w:rsidTr="008919D7">
        <w:tc>
          <w:tcPr>
            <w:tcW w:w="2640" w:type="dxa"/>
          </w:tcPr>
          <w:p w14:paraId="7C331889" w14:textId="77777777" w:rsidR="008F369D" w:rsidRPr="00C36AA7" w:rsidRDefault="00016F29" w:rsidP="008919D7">
            <w:pPr>
              <w:pStyle w:val="TableText10"/>
              <w:keepNext/>
              <w:keepLines/>
              <w:rPr>
                <w:sz w:val="22"/>
                <w:szCs w:val="22"/>
                <w:lang w:val="en-GB"/>
              </w:rPr>
            </w:pPr>
            <w:r w:rsidRPr="00C36AA7">
              <w:rPr>
                <w:sz w:val="22"/>
                <w:szCs w:val="22"/>
                <w:lang w:val="en-GB"/>
              </w:rPr>
              <w:t>ACR50 (%)</w:t>
            </w:r>
          </w:p>
        </w:tc>
        <w:tc>
          <w:tcPr>
            <w:tcW w:w="1445" w:type="dxa"/>
          </w:tcPr>
          <w:p w14:paraId="7C33188A" w14:textId="77777777" w:rsidR="008F369D" w:rsidRPr="00C36AA7" w:rsidRDefault="00016F29" w:rsidP="008919D7">
            <w:pPr>
              <w:pStyle w:val="TableText10"/>
              <w:keepNext/>
              <w:keepLines/>
              <w:jc w:val="center"/>
              <w:rPr>
                <w:sz w:val="22"/>
                <w:szCs w:val="22"/>
                <w:lang w:val="en-GB"/>
              </w:rPr>
            </w:pPr>
            <w:r w:rsidRPr="00C36AA7">
              <w:rPr>
                <w:sz w:val="22"/>
                <w:szCs w:val="22"/>
                <w:lang w:val="en-GB"/>
              </w:rPr>
              <w:t>32.7*</w:t>
            </w:r>
          </w:p>
        </w:tc>
        <w:tc>
          <w:tcPr>
            <w:tcW w:w="1445" w:type="dxa"/>
          </w:tcPr>
          <w:p w14:paraId="7C33188B" w14:textId="77777777" w:rsidR="008F369D" w:rsidRPr="00C36AA7" w:rsidRDefault="00016F29" w:rsidP="008919D7">
            <w:pPr>
              <w:pStyle w:val="TableText10"/>
              <w:keepNext/>
              <w:keepLines/>
              <w:jc w:val="center"/>
              <w:rPr>
                <w:sz w:val="22"/>
                <w:szCs w:val="22"/>
                <w:lang w:val="en-GB"/>
              </w:rPr>
            </w:pPr>
            <w:r w:rsidRPr="00C36AA7">
              <w:rPr>
                <w:sz w:val="22"/>
                <w:szCs w:val="22"/>
                <w:lang w:val="en-GB"/>
              </w:rPr>
              <w:t>19.8</w:t>
            </w:r>
          </w:p>
        </w:tc>
        <w:tc>
          <w:tcPr>
            <w:tcW w:w="1445" w:type="dxa"/>
          </w:tcPr>
          <w:p w14:paraId="7C33188C" w14:textId="77777777" w:rsidR="008F369D" w:rsidRPr="00C36AA7" w:rsidRDefault="00016F29" w:rsidP="008919D7">
            <w:pPr>
              <w:pStyle w:val="TableText10"/>
              <w:keepNext/>
              <w:keepLines/>
              <w:jc w:val="center"/>
              <w:rPr>
                <w:sz w:val="22"/>
                <w:szCs w:val="22"/>
                <w:lang w:val="en-GB"/>
              </w:rPr>
            </w:pPr>
            <w:r w:rsidRPr="00C36AA7">
              <w:rPr>
                <w:sz w:val="22"/>
                <w:szCs w:val="22"/>
                <w:lang w:val="en-GB"/>
              </w:rPr>
              <w:t>44.9**</w:t>
            </w:r>
          </w:p>
        </w:tc>
        <w:tc>
          <w:tcPr>
            <w:tcW w:w="1446" w:type="dxa"/>
          </w:tcPr>
          <w:p w14:paraId="7C33188D" w14:textId="77777777" w:rsidR="008F369D" w:rsidRPr="00C36AA7" w:rsidRDefault="00016F29" w:rsidP="008919D7">
            <w:pPr>
              <w:pStyle w:val="TableText10"/>
              <w:keepNext/>
              <w:keepLines/>
              <w:jc w:val="center"/>
              <w:rPr>
                <w:sz w:val="22"/>
                <w:szCs w:val="22"/>
                <w:lang w:val="en-GB"/>
              </w:rPr>
            </w:pPr>
            <w:r w:rsidRPr="00C36AA7">
              <w:rPr>
                <w:sz w:val="22"/>
                <w:szCs w:val="22"/>
                <w:lang w:val="en-GB"/>
              </w:rPr>
              <w:t>22.8</w:t>
            </w:r>
          </w:p>
        </w:tc>
      </w:tr>
      <w:tr w:rsidR="003A788B" w14:paraId="7C331894" w14:textId="77777777" w:rsidTr="008919D7">
        <w:tc>
          <w:tcPr>
            <w:tcW w:w="2640" w:type="dxa"/>
          </w:tcPr>
          <w:p w14:paraId="7C33188F" w14:textId="77777777" w:rsidR="008F369D" w:rsidRPr="00C36AA7" w:rsidRDefault="00016F29" w:rsidP="008919D7">
            <w:pPr>
              <w:pStyle w:val="TableText10"/>
              <w:keepNext/>
              <w:keepLines/>
              <w:rPr>
                <w:sz w:val="22"/>
                <w:szCs w:val="22"/>
                <w:lang w:val="en-GB"/>
              </w:rPr>
            </w:pPr>
            <w:r w:rsidRPr="00C36AA7">
              <w:rPr>
                <w:sz w:val="22"/>
                <w:szCs w:val="22"/>
                <w:lang w:val="en-GB"/>
              </w:rPr>
              <w:t>ACR70 (%)</w:t>
            </w:r>
          </w:p>
        </w:tc>
        <w:tc>
          <w:tcPr>
            <w:tcW w:w="1445" w:type="dxa"/>
          </w:tcPr>
          <w:p w14:paraId="7C331890" w14:textId="77777777" w:rsidR="008F369D" w:rsidRPr="00C36AA7" w:rsidRDefault="00016F29" w:rsidP="008919D7">
            <w:pPr>
              <w:pStyle w:val="TableText10"/>
              <w:keepNext/>
              <w:keepLines/>
              <w:jc w:val="center"/>
              <w:rPr>
                <w:sz w:val="22"/>
                <w:szCs w:val="22"/>
                <w:lang w:val="en-GB"/>
              </w:rPr>
            </w:pPr>
            <w:r w:rsidRPr="00C36AA7">
              <w:rPr>
                <w:sz w:val="22"/>
                <w:szCs w:val="22"/>
                <w:lang w:val="en-GB"/>
              </w:rPr>
              <w:t>12.1</w:t>
            </w:r>
          </w:p>
        </w:tc>
        <w:tc>
          <w:tcPr>
            <w:tcW w:w="1445" w:type="dxa"/>
          </w:tcPr>
          <w:p w14:paraId="7C331891" w14:textId="77777777" w:rsidR="008F369D" w:rsidRPr="00C36AA7" w:rsidRDefault="00016F29" w:rsidP="008919D7">
            <w:pPr>
              <w:pStyle w:val="TableText10"/>
              <w:keepNext/>
              <w:keepLines/>
              <w:jc w:val="center"/>
              <w:rPr>
                <w:sz w:val="22"/>
                <w:szCs w:val="22"/>
                <w:lang w:val="en-GB"/>
              </w:rPr>
            </w:pPr>
            <w:r w:rsidRPr="00C36AA7">
              <w:rPr>
                <w:sz w:val="22"/>
                <w:szCs w:val="22"/>
                <w:lang w:val="en-GB"/>
              </w:rPr>
              <w:t>5.7</w:t>
            </w:r>
          </w:p>
        </w:tc>
        <w:tc>
          <w:tcPr>
            <w:tcW w:w="1445" w:type="dxa"/>
          </w:tcPr>
          <w:p w14:paraId="7C331892" w14:textId="77777777" w:rsidR="008F369D" w:rsidRPr="00C36AA7" w:rsidRDefault="00016F29" w:rsidP="008919D7">
            <w:pPr>
              <w:pStyle w:val="TableText10"/>
              <w:keepNext/>
              <w:keepLines/>
              <w:jc w:val="center"/>
              <w:rPr>
                <w:sz w:val="22"/>
                <w:szCs w:val="22"/>
                <w:lang w:val="en-GB"/>
              </w:rPr>
            </w:pPr>
            <w:r w:rsidRPr="00C36AA7">
              <w:rPr>
                <w:sz w:val="22"/>
                <w:szCs w:val="22"/>
                <w:lang w:val="en-GB"/>
              </w:rPr>
              <w:t>20.9*</w:t>
            </w:r>
          </w:p>
        </w:tc>
        <w:tc>
          <w:tcPr>
            <w:tcW w:w="1446" w:type="dxa"/>
          </w:tcPr>
          <w:p w14:paraId="7C331893" w14:textId="77777777" w:rsidR="008F369D" w:rsidRPr="00C36AA7" w:rsidRDefault="00016F29" w:rsidP="008919D7">
            <w:pPr>
              <w:pStyle w:val="TableText10"/>
              <w:keepNext/>
              <w:keepLines/>
              <w:jc w:val="center"/>
              <w:rPr>
                <w:sz w:val="22"/>
                <w:szCs w:val="22"/>
                <w:lang w:val="en-GB"/>
              </w:rPr>
            </w:pPr>
            <w:r w:rsidRPr="00C36AA7">
              <w:rPr>
                <w:sz w:val="22"/>
                <w:szCs w:val="22"/>
                <w:lang w:val="en-GB"/>
              </w:rPr>
              <w:t>6.9</w:t>
            </w:r>
          </w:p>
        </w:tc>
      </w:tr>
      <w:tr w:rsidR="003A788B" w14:paraId="7C33189A" w14:textId="77777777" w:rsidTr="008919D7">
        <w:tc>
          <w:tcPr>
            <w:tcW w:w="2640" w:type="dxa"/>
          </w:tcPr>
          <w:p w14:paraId="7C331895" w14:textId="77777777" w:rsidR="008F369D" w:rsidRPr="00C36AA7" w:rsidRDefault="00016F29" w:rsidP="00FC6974">
            <w:pPr>
              <w:pStyle w:val="TableText10"/>
              <w:keepNext/>
              <w:keepLines/>
              <w:rPr>
                <w:sz w:val="22"/>
                <w:szCs w:val="22"/>
                <w:lang w:val="en-GB"/>
              </w:rPr>
            </w:pPr>
            <w:r>
              <w:rPr>
                <w:sz w:val="22"/>
                <w:szCs w:val="22"/>
                <w:lang w:val="en-GB"/>
              </w:rPr>
              <w:t xml:space="preserve">EULAR </w:t>
            </w:r>
            <w:r w:rsidR="00FC6974">
              <w:rPr>
                <w:sz w:val="22"/>
                <w:szCs w:val="22"/>
                <w:lang w:val="en-GB"/>
              </w:rPr>
              <w:t>r</w:t>
            </w:r>
            <w:r w:rsidRPr="00C36AA7">
              <w:rPr>
                <w:sz w:val="22"/>
                <w:szCs w:val="22"/>
                <w:lang w:val="en-GB"/>
              </w:rPr>
              <w:t>esponse (%)</w:t>
            </w:r>
          </w:p>
        </w:tc>
        <w:tc>
          <w:tcPr>
            <w:tcW w:w="1445" w:type="dxa"/>
          </w:tcPr>
          <w:p w14:paraId="7C331896" w14:textId="77777777" w:rsidR="008F369D" w:rsidRPr="00C36AA7" w:rsidRDefault="00016F29" w:rsidP="008919D7">
            <w:pPr>
              <w:pStyle w:val="TableText10"/>
              <w:keepNext/>
              <w:keepLines/>
              <w:jc w:val="center"/>
              <w:rPr>
                <w:sz w:val="22"/>
                <w:szCs w:val="22"/>
                <w:lang w:val="en-GB"/>
              </w:rPr>
            </w:pPr>
            <w:r w:rsidRPr="00C36AA7">
              <w:rPr>
                <w:sz w:val="22"/>
                <w:szCs w:val="22"/>
                <w:lang w:val="en-GB"/>
              </w:rPr>
              <w:t>74.8*</w:t>
            </w:r>
          </w:p>
        </w:tc>
        <w:tc>
          <w:tcPr>
            <w:tcW w:w="1445" w:type="dxa"/>
          </w:tcPr>
          <w:p w14:paraId="7C331897" w14:textId="77777777" w:rsidR="008F369D" w:rsidRPr="00C36AA7" w:rsidRDefault="00016F29" w:rsidP="008919D7">
            <w:pPr>
              <w:pStyle w:val="TableText10"/>
              <w:keepNext/>
              <w:keepLines/>
              <w:jc w:val="center"/>
              <w:rPr>
                <w:sz w:val="22"/>
                <w:szCs w:val="22"/>
                <w:lang w:val="en-GB"/>
              </w:rPr>
            </w:pPr>
            <w:r w:rsidRPr="00C36AA7">
              <w:rPr>
                <w:sz w:val="22"/>
                <w:szCs w:val="22"/>
                <w:lang w:val="en-GB"/>
              </w:rPr>
              <w:t>62.9</w:t>
            </w:r>
          </w:p>
        </w:tc>
        <w:tc>
          <w:tcPr>
            <w:tcW w:w="1445" w:type="dxa"/>
          </w:tcPr>
          <w:p w14:paraId="7C331898" w14:textId="77777777" w:rsidR="008F369D" w:rsidRPr="00C36AA7" w:rsidRDefault="00016F29" w:rsidP="008919D7">
            <w:pPr>
              <w:pStyle w:val="TableText10"/>
              <w:keepNext/>
              <w:keepLines/>
              <w:jc w:val="center"/>
              <w:rPr>
                <w:sz w:val="22"/>
                <w:szCs w:val="22"/>
                <w:lang w:val="en-GB"/>
              </w:rPr>
            </w:pPr>
            <w:r w:rsidRPr="00C36AA7">
              <w:rPr>
                <w:sz w:val="22"/>
                <w:szCs w:val="22"/>
                <w:lang w:val="en-GB"/>
              </w:rPr>
              <w:t>84.3*</w:t>
            </w:r>
          </w:p>
        </w:tc>
        <w:tc>
          <w:tcPr>
            <w:tcW w:w="1446" w:type="dxa"/>
          </w:tcPr>
          <w:p w14:paraId="7C331899" w14:textId="77777777" w:rsidR="008F369D" w:rsidRPr="00C36AA7" w:rsidRDefault="00016F29" w:rsidP="008919D7">
            <w:pPr>
              <w:pStyle w:val="TableText10"/>
              <w:keepNext/>
              <w:keepLines/>
              <w:jc w:val="center"/>
              <w:rPr>
                <w:sz w:val="22"/>
                <w:szCs w:val="22"/>
                <w:lang w:val="en-GB"/>
              </w:rPr>
            </w:pPr>
            <w:r w:rsidRPr="00C36AA7">
              <w:rPr>
                <w:sz w:val="22"/>
                <w:szCs w:val="22"/>
                <w:lang w:val="en-GB"/>
              </w:rPr>
              <w:t>72.3</w:t>
            </w:r>
          </w:p>
        </w:tc>
      </w:tr>
      <w:tr w:rsidR="003A788B" w14:paraId="7C3318A0" w14:textId="77777777" w:rsidTr="008919D7">
        <w:tc>
          <w:tcPr>
            <w:tcW w:w="2640" w:type="dxa"/>
          </w:tcPr>
          <w:p w14:paraId="7C33189B" w14:textId="77777777" w:rsidR="008F369D" w:rsidRPr="00C36AA7" w:rsidRDefault="00016F29" w:rsidP="008919D7">
            <w:pPr>
              <w:pStyle w:val="TableText10"/>
              <w:keepNext/>
              <w:keepLines/>
              <w:rPr>
                <w:sz w:val="22"/>
                <w:szCs w:val="22"/>
                <w:lang w:val="en-GB"/>
              </w:rPr>
            </w:pPr>
            <w:r w:rsidRPr="00C36AA7">
              <w:rPr>
                <w:sz w:val="22"/>
                <w:szCs w:val="22"/>
                <w:lang w:val="en-GB"/>
              </w:rPr>
              <w:t>Mean change DAS28</w:t>
            </w:r>
            <w:r w:rsidR="000A6DDA">
              <w:rPr>
                <w:rFonts w:ascii="Cambria Math" w:hAnsi="Cambria Math" w:cs="Cambria Math"/>
                <w:sz w:val="22"/>
                <w:szCs w:val="22"/>
                <w:lang w:val="en-GB"/>
              </w:rPr>
              <w:noBreakHyphen/>
            </w:r>
            <w:r w:rsidRPr="00C36AA7">
              <w:rPr>
                <w:sz w:val="22"/>
                <w:szCs w:val="22"/>
                <w:lang w:val="en-GB"/>
              </w:rPr>
              <w:t>ESR</w:t>
            </w:r>
          </w:p>
        </w:tc>
        <w:tc>
          <w:tcPr>
            <w:tcW w:w="1445" w:type="dxa"/>
          </w:tcPr>
          <w:p w14:paraId="7C33189C" w14:textId="77777777" w:rsidR="008F369D" w:rsidRPr="00C36AA7" w:rsidRDefault="00016F29" w:rsidP="008919D7">
            <w:pPr>
              <w:pStyle w:val="TableText10"/>
              <w:keepNext/>
              <w:keepLines/>
              <w:jc w:val="center"/>
              <w:rPr>
                <w:sz w:val="22"/>
                <w:szCs w:val="22"/>
                <w:lang w:val="en-GB"/>
              </w:rPr>
            </w:pPr>
            <w:r>
              <w:rPr>
                <w:rFonts w:ascii="Cambria Math" w:hAnsi="Cambria Math" w:cs="Cambria Math"/>
                <w:sz w:val="22"/>
                <w:szCs w:val="22"/>
                <w:lang w:val="en-GB"/>
              </w:rPr>
              <w:noBreakHyphen/>
            </w:r>
            <w:r w:rsidRPr="00C36AA7">
              <w:rPr>
                <w:sz w:val="22"/>
                <w:szCs w:val="22"/>
                <w:lang w:val="en-GB"/>
              </w:rPr>
              <w:t>1.97**</w:t>
            </w:r>
          </w:p>
        </w:tc>
        <w:tc>
          <w:tcPr>
            <w:tcW w:w="1445" w:type="dxa"/>
          </w:tcPr>
          <w:p w14:paraId="7C33189D" w14:textId="77777777" w:rsidR="008F369D" w:rsidRPr="00C36AA7" w:rsidRDefault="00016F29" w:rsidP="008919D7">
            <w:pPr>
              <w:pStyle w:val="TableText10"/>
              <w:keepNext/>
              <w:keepLines/>
              <w:jc w:val="center"/>
              <w:rPr>
                <w:sz w:val="22"/>
                <w:szCs w:val="22"/>
                <w:lang w:val="en-GB"/>
              </w:rPr>
            </w:pPr>
            <w:r>
              <w:rPr>
                <w:rFonts w:ascii="Cambria Math" w:hAnsi="Cambria Math" w:cs="Cambria Math"/>
                <w:sz w:val="22"/>
                <w:szCs w:val="22"/>
                <w:lang w:val="en-GB"/>
              </w:rPr>
              <w:noBreakHyphen/>
            </w:r>
            <w:r w:rsidRPr="00C36AA7">
              <w:rPr>
                <w:sz w:val="22"/>
                <w:szCs w:val="22"/>
                <w:lang w:val="en-GB"/>
              </w:rPr>
              <w:t>1.50</w:t>
            </w:r>
          </w:p>
        </w:tc>
        <w:tc>
          <w:tcPr>
            <w:tcW w:w="1445" w:type="dxa"/>
          </w:tcPr>
          <w:p w14:paraId="7C33189E" w14:textId="77777777" w:rsidR="008F369D" w:rsidRPr="00C36AA7" w:rsidRDefault="00016F29" w:rsidP="008919D7">
            <w:pPr>
              <w:pStyle w:val="TableText10"/>
              <w:keepNext/>
              <w:keepLines/>
              <w:jc w:val="center"/>
              <w:rPr>
                <w:sz w:val="22"/>
                <w:szCs w:val="22"/>
                <w:lang w:val="en-GB"/>
              </w:rPr>
            </w:pPr>
            <w:r>
              <w:rPr>
                <w:rFonts w:ascii="Cambria Math" w:hAnsi="Cambria Math" w:cs="Cambria Math"/>
                <w:sz w:val="22"/>
                <w:szCs w:val="22"/>
                <w:lang w:val="en-GB"/>
              </w:rPr>
              <w:noBreakHyphen/>
            </w:r>
            <w:r w:rsidRPr="00C36AA7">
              <w:rPr>
                <w:sz w:val="22"/>
                <w:szCs w:val="22"/>
                <w:lang w:val="en-GB"/>
              </w:rPr>
              <w:t>2.48***</w:t>
            </w:r>
          </w:p>
        </w:tc>
        <w:tc>
          <w:tcPr>
            <w:tcW w:w="1446" w:type="dxa"/>
          </w:tcPr>
          <w:p w14:paraId="7C33189F" w14:textId="77777777" w:rsidR="008F369D" w:rsidRPr="00C36AA7" w:rsidRDefault="00016F29" w:rsidP="008919D7">
            <w:pPr>
              <w:pStyle w:val="TableText10"/>
              <w:keepNext/>
              <w:keepLines/>
              <w:jc w:val="center"/>
              <w:rPr>
                <w:sz w:val="22"/>
                <w:szCs w:val="22"/>
                <w:lang w:val="en-GB"/>
              </w:rPr>
            </w:pPr>
            <w:r>
              <w:rPr>
                <w:rFonts w:ascii="Cambria Math" w:hAnsi="Cambria Math" w:cs="Cambria Math"/>
                <w:sz w:val="22"/>
                <w:szCs w:val="22"/>
                <w:lang w:val="en-GB"/>
              </w:rPr>
              <w:noBreakHyphen/>
            </w:r>
            <w:r w:rsidRPr="00C36AA7">
              <w:rPr>
                <w:sz w:val="22"/>
                <w:szCs w:val="22"/>
                <w:lang w:val="en-GB"/>
              </w:rPr>
              <w:t>1.72</w:t>
            </w:r>
          </w:p>
        </w:tc>
      </w:tr>
    </w:tbl>
    <w:p w14:paraId="7C3318A1" w14:textId="77777777" w:rsidR="008F369D" w:rsidRPr="00C36AA7" w:rsidRDefault="00016F29" w:rsidP="008F369D">
      <w:pPr>
        <w:keepNext/>
        <w:keepLines/>
        <w:rPr>
          <w:sz w:val="18"/>
          <w:szCs w:val="18"/>
          <w:lang w:val="en-GB"/>
        </w:rPr>
      </w:pPr>
      <w:r w:rsidRPr="00C36AA7">
        <w:rPr>
          <w:sz w:val="18"/>
          <w:szCs w:val="18"/>
          <w:lang w:val="en-GB"/>
        </w:rPr>
        <w:t xml:space="preserve">Significance levels were defined as </w:t>
      </w:r>
      <w:r w:rsidRPr="00F332AF">
        <w:rPr>
          <w:i/>
          <w:sz w:val="18"/>
          <w:szCs w:val="18"/>
          <w:lang w:val="en-GB"/>
        </w:rPr>
        <w:t>* p&lt;0.05, **p&lt;0.001, ***p&lt;0.0001.</w:t>
      </w:r>
    </w:p>
    <w:p w14:paraId="7C3318A2" w14:textId="77777777" w:rsidR="008F369D" w:rsidRPr="00C36AA7" w:rsidRDefault="008F369D" w:rsidP="008F369D">
      <w:pPr>
        <w:rPr>
          <w:i/>
          <w:szCs w:val="22"/>
          <w:lang w:val="en-GB"/>
        </w:rPr>
      </w:pPr>
    </w:p>
    <w:p w14:paraId="7C3318A3" w14:textId="77777777" w:rsidR="008F369D" w:rsidRPr="00DC778C" w:rsidRDefault="00016F29" w:rsidP="008F369D">
      <w:pPr>
        <w:keepNext/>
        <w:keepLines/>
        <w:ind w:left="1134" w:hanging="1134"/>
        <w:rPr>
          <w:b/>
          <w:bCs/>
          <w:iCs/>
          <w:szCs w:val="22"/>
          <w:lang w:val="en-GB"/>
        </w:rPr>
      </w:pPr>
      <w:r w:rsidRPr="00DC778C">
        <w:rPr>
          <w:b/>
          <w:bCs/>
          <w:iCs/>
          <w:szCs w:val="22"/>
          <w:lang w:val="en-GB"/>
        </w:rPr>
        <w:t>Figure 1</w:t>
      </w:r>
      <w:r w:rsidRPr="00DC778C">
        <w:rPr>
          <w:b/>
          <w:bCs/>
          <w:iCs/>
          <w:lang w:val="en-GB"/>
        </w:rPr>
        <w:t>:</w:t>
      </w:r>
      <w:r w:rsidRPr="00DC778C">
        <w:rPr>
          <w:b/>
          <w:bCs/>
          <w:iCs/>
          <w:lang w:val="en-GB"/>
        </w:rPr>
        <w:tab/>
        <w:t>Change from baseline of DAS28</w:t>
      </w:r>
      <w:r w:rsidR="000A6DDA" w:rsidRPr="00DC778C">
        <w:rPr>
          <w:b/>
          <w:bCs/>
          <w:iCs/>
          <w:lang w:val="en-GB"/>
        </w:rPr>
        <w:noBreakHyphen/>
      </w:r>
      <w:r w:rsidRPr="00DC778C">
        <w:rPr>
          <w:b/>
          <w:bCs/>
          <w:iCs/>
          <w:lang w:val="en-GB"/>
        </w:rPr>
        <w:t>ESR by baseline autoantibody status</w:t>
      </w:r>
    </w:p>
    <w:p w14:paraId="7C3318A4" w14:textId="77777777" w:rsidR="008F369D" w:rsidRPr="00C36AA7" w:rsidRDefault="00016F29" w:rsidP="008F369D">
      <w:pPr>
        <w:rPr>
          <w:i/>
          <w:szCs w:val="22"/>
          <w:lang w:val="en-GB"/>
        </w:rPr>
      </w:pPr>
      <w:r w:rsidRPr="00DD38F9">
        <w:rPr>
          <w:noProof/>
          <w:lang w:eastAsia="en-US"/>
        </w:rPr>
        <w:drawing>
          <wp:inline distT="0" distB="0" distL="0" distR="0" wp14:anchorId="7C332B15" wp14:editId="7C332B16">
            <wp:extent cx="5111750" cy="345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8793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111750" cy="3454400"/>
                    </a:xfrm>
                    <a:prstGeom prst="rect">
                      <a:avLst/>
                    </a:prstGeom>
                    <a:noFill/>
                    <a:ln>
                      <a:noFill/>
                    </a:ln>
                  </pic:spPr>
                </pic:pic>
              </a:graphicData>
            </a:graphic>
          </wp:inline>
        </w:drawing>
      </w:r>
    </w:p>
    <w:p w14:paraId="7C3318A5" w14:textId="77777777" w:rsidR="008F369D" w:rsidRPr="00C36AA7" w:rsidRDefault="008F369D" w:rsidP="008F369D">
      <w:pPr>
        <w:rPr>
          <w:i/>
          <w:szCs w:val="22"/>
          <w:lang w:val="en-GB"/>
        </w:rPr>
      </w:pPr>
    </w:p>
    <w:p w14:paraId="7C3318A6" w14:textId="77777777" w:rsidR="008F369D" w:rsidRPr="00DC778C" w:rsidRDefault="00016F29" w:rsidP="008F369D">
      <w:pPr>
        <w:outlineLvl w:val="0"/>
        <w:rPr>
          <w:i/>
          <w:szCs w:val="22"/>
          <w:lang w:val="en-GB"/>
        </w:rPr>
      </w:pPr>
      <w:r w:rsidRPr="00DC778C">
        <w:rPr>
          <w:i/>
          <w:szCs w:val="22"/>
          <w:lang w:val="en-GB"/>
        </w:rPr>
        <w:t>Long</w:t>
      </w:r>
      <w:r w:rsidR="000A6DDA" w:rsidRPr="00DC778C">
        <w:rPr>
          <w:i/>
          <w:szCs w:val="22"/>
          <w:lang w:val="en-GB"/>
        </w:rPr>
        <w:noBreakHyphen/>
      </w:r>
      <w:r w:rsidRPr="00DC778C">
        <w:rPr>
          <w:i/>
          <w:szCs w:val="22"/>
          <w:lang w:val="en-GB"/>
        </w:rPr>
        <w:t>term efficacy with multiple course therapy</w:t>
      </w:r>
    </w:p>
    <w:p w14:paraId="7C3318A7" w14:textId="77777777" w:rsidR="008F369D" w:rsidRPr="008A4C1B" w:rsidRDefault="00016F29" w:rsidP="008F369D">
      <w:pPr>
        <w:rPr>
          <w:szCs w:val="22"/>
          <w:lang w:val="en-GB"/>
        </w:rPr>
      </w:pPr>
      <w:r w:rsidRPr="008A4C1B">
        <w:rPr>
          <w:szCs w:val="22"/>
          <w:lang w:val="en-GB"/>
        </w:rPr>
        <w:t xml:space="preserve">Treatment with MabThera in combination with </w:t>
      </w:r>
      <w:r w:rsidRPr="008A4C1B">
        <w:rPr>
          <w:rStyle w:val="TextTi12Char"/>
          <w:rFonts w:eastAsia="MS Mincho"/>
          <w:sz w:val="22"/>
          <w:szCs w:val="22"/>
          <w:lang w:val="en-GB"/>
        </w:rPr>
        <w:t>methotrexate</w:t>
      </w:r>
      <w:r w:rsidRPr="008A4C1B">
        <w:rPr>
          <w:szCs w:val="22"/>
          <w:lang w:val="en-GB"/>
        </w:rPr>
        <w:t xml:space="preserve"> over multiple courses resulted in sustained improvements in the clinical signs and symptoms of RA, as indicated by ACR, DAS28</w:t>
      </w:r>
      <w:r w:rsidR="000A6DDA" w:rsidRPr="008A4C1B">
        <w:rPr>
          <w:szCs w:val="22"/>
          <w:lang w:val="en-GB"/>
        </w:rPr>
        <w:noBreakHyphen/>
      </w:r>
      <w:r w:rsidRPr="008A4C1B">
        <w:rPr>
          <w:szCs w:val="22"/>
          <w:lang w:val="en-GB"/>
        </w:rPr>
        <w:t>ESR and EULAR responses which was evident in all patient populations studied (Figure 2). Sustained improvement in physical function as indicated by the HAQ</w:t>
      </w:r>
      <w:r w:rsidR="000A6DDA" w:rsidRPr="008A4C1B">
        <w:rPr>
          <w:szCs w:val="22"/>
          <w:lang w:val="en-GB"/>
        </w:rPr>
        <w:noBreakHyphen/>
      </w:r>
      <w:r w:rsidRPr="008A4C1B">
        <w:rPr>
          <w:szCs w:val="22"/>
          <w:lang w:val="en-GB"/>
        </w:rPr>
        <w:t>DI score and the proportion of patients achieving MCID for HAQ</w:t>
      </w:r>
      <w:r w:rsidR="000A6DDA" w:rsidRPr="008A4C1B">
        <w:rPr>
          <w:szCs w:val="22"/>
          <w:lang w:val="en-GB"/>
        </w:rPr>
        <w:noBreakHyphen/>
      </w:r>
      <w:r w:rsidRPr="008A4C1B">
        <w:rPr>
          <w:szCs w:val="22"/>
          <w:lang w:val="en-GB"/>
        </w:rPr>
        <w:t>DI were observed.</w:t>
      </w:r>
    </w:p>
    <w:p w14:paraId="7C3318A8" w14:textId="77777777" w:rsidR="008F369D" w:rsidRPr="00C36AA7" w:rsidRDefault="008F369D" w:rsidP="008F369D">
      <w:pPr>
        <w:rPr>
          <w:szCs w:val="22"/>
          <w:lang w:val="en-GB"/>
        </w:rPr>
      </w:pPr>
    </w:p>
    <w:p w14:paraId="7C3318A9" w14:textId="77777777" w:rsidR="008F369D" w:rsidRPr="00E2709A" w:rsidRDefault="00016F29" w:rsidP="008F369D">
      <w:pPr>
        <w:keepNext/>
        <w:keepLines/>
        <w:ind w:left="1134" w:hanging="1134"/>
        <w:rPr>
          <w:b/>
          <w:szCs w:val="22"/>
          <w:lang w:val="en-GB"/>
        </w:rPr>
      </w:pPr>
      <w:r w:rsidRPr="00E2709A">
        <w:rPr>
          <w:b/>
          <w:szCs w:val="22"/>
          <w:lang w:val="en-GB"/>
        </w:rPr>
        <w:t xml:space="preserve">Figure 2: </w:t>
      </w:r>
      <w:r w:rsidRPr="00E2709A">
        <w:rPr>
          <w:b/>
          <w:szCs w:val="22"/>
          <w:lang w:val="en-GB"/>
        </w:rPr>
        <w:tab/>
        <w:t>ACR responses for 4 treatment courses (24 weeks after each course (within patient, within visit) in patients with an inadequate response to TNF</w:t>
      </w:r>
      <w:r w:rsidR="000A6DDA" w:rsidRPr="00E2709A">
        <w:rPr>
          <w:b/>
          <w:szCs w:val="22"/>
          <w:lang w:val="en-GB"/>
        </w:rPr>
        <w:noBreakHyphen/>
      </w:r>
      <w:r w:rsidRPr="00E2709A">
        <w:rPr>
          <w:b/>
          <w:szCs w:val="22"/>
          <w:lang w:val="en-GB"/>
        </w:rPr>
        <w:t>inhibitors (n=146)</w:t>
      </w:r>
    </w:p>
    <w:p w14:paraId="7C3318AA" w14:textId="77777777" w:rsidR="008F369D" w:rsidRPr="00C36AA7" w:rsidRDefault="00016F29" w:rsidP="008F369D">
      <w:pPr>
        <w:keepNext/>
        <w:keepLines/>
        <w:rPr>
          <w:szCs w:val="22"/>
          <w:lang w:val="en-GB"/>
        </w:rPr>
      </w:pPr>
      <w:r w:rsidRPr="00AB0348">
        <w:rPr>
          <w:noProof/>
          <w:szCs w:val="22"/>
          <w:lang w:eastAsia="en-US"/>
        </w:rPr>
        <w:drawing>
          <wp:inline distT="0" distB="0" distL="0" distR="0" wp14:anchorId="7C332B17" wp14:editId="7C332B18">
            <wp:extent cx="3105150" cy="2120900"/>
            <wp:effectExtent l="0" t="0" r="0" b="0"/>
            <wp:docPr id="2" name="Object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C3318AB" w14:textId="77777777" w:rsidR="008F369D" w:rsidRPr="00C36AA7" w:rsidRDefault="008F369D" w:rsidP="008F369D">
      <w:pPr>
        <w:spacing w:line="240" w:lineRule="atLeast"/>
        <w:rPr>
          <w:szCs w:val="22"/>
          <w:lang w:val="en-GB"/>
        </w:rPr>
      </w:pPr>
    </w:p>
    <w:p w14:paraId="7C3318AC" w14:textId="77777777" w:rsidR="008F369D" w:rsidRDefault="00016F29" w:rsidP="008F369D">
      <w:pPr>
        <w:outlineLvl w:val="0"/>
        <w:rPr>
          <w:i/>
          <w:szCs w:val="22"/>
          <w:u w:val="single"/>
          <w:lang w:val="en-GB"/>
        </w:rPr>
      </w:pPr>
      <w:r w:rsidRPr="00864B3A">
        <w:rPr>
          <w:i/>
          <w:szCs w:val="22"/>
          <w:u w:val="single"/>
          <w:lang w:val="en-GB"/>
        </w:rPr>
        <w:t>Clinical laboratory finding</w:t>
      </w:r>
      <w:r w:rsidR="004B1C5A">
        <w:rPr>
          <w:i/>
          <w:szCs w:val="22"/>
          <w:u w:val="single"/>
          <w:lang w:val="en-GB"/>
        </w:rPr>
        <w:t>s</w:t>
      </w:r>
    </w:p>
    <w:p w14:paraId="7C3318AD" w14:textId="77777777" w:rsidR="008F369D" w:rsidRPr="00864B3A" w:rsidRDefault="008F369D" w:rsidP="008F369D">
      <w:pPr>
        <w:outlineLvl w:val="0"/>
        <w:rPr>
          <w:i/>
          <w:szCs w:val="22"/>
          <w:u w:val="single"/>
          <w:lang w:val="en-GB"/>
        </w:rPr>
      </w:pPr>
    </w:p>
    <w:p w14:paraId="7C3318AE" w14:textId="77777777" w:rsidR="008F369D" w:rsidRPr="00C36AA7" w:rsidRDefault="00016F29" w:rsidP="008F369D">
      <w:pPr>
        <w:rPr>
          <w:szCs w:val="22"/>
          <w:lang w:val="en-GB"/>
        </w:rPr>
      </w:pPr>
      <w:r w:rsidRPr="00C36AA7">
        <w:rPr>
          <w:szCs w:val="22"/>
          <w:lang w:val="en-GB"/>
        </w:rPr>
        <w:t xml:space="preserve">A total of 392/3095 (12.7%) patients with rheumatoid arthritis tested positive for </w:t>
      </w:r>
      <w:r w:rsidR="00DC6A79">
        <w:rPr>
          <w:szCs w:val="22"/>
          <w:lang w:val="en-GB"/>
        </w:rPr>
        <w:t>ADA</w:t>
      </w:r>
      <w:r w:rsidRPr="00C36AA7">
        <w:rPr>
          <w:szCs w:val="22"/>
          <w:lang w:val="en-GB"/>
        </w:rPr>
        <w:t xml:space="preserve">in clinical studies following therapy with MabThera. The emergence of </w:t>
      </w:r>
      <w:r w:rsidR="00DC6A79">
        <w:rPr>
          <w:szCs w:val="22"/>
          <w:lang w:val="en-GB"/>
        </w:rPr>
        <w:t>ADA</w:t>
      </w:r>
      <w:r w:rsidRPr="00C36AA7">
        <w:rPr>
          <w:szCs w:val="22"/>
          <w:lang w:val="en-GB"/>
        </w:rPr>
        <w:t xml:space="preserve">was not associated with clinical deterioration or with an increased risk of reactions to subsequent infusions in the majority of patients. The presence of </w:t>
      </w:r>
      <w:r w:rsidR="00DC6A79">
        <w:rPr>
          <w:szCs w:val="22"/>
          <w:lang w:val="en-GB"/>
        </w:rPr>
        <w:t>ADA</w:t>
      </w:r>
      <w:r w:rsidR="00DC6A79" w:rsidRPr="00C36AA7">
        <w:rPr>
          <w:szCs w:val="22"/>
          <w:lang w:val="en-GB"/>
        </w:rPr>
        <w:t xml:space="preserve"> </w:t>
      </w:r>
      <w:r w:rsidRPr="00C36AA7">
        <w:rPr>
          <w:szCs w:val="22"/>
          <w:lang w:val="en-GB"/>
        </w:rPr>
        <w:t xml:space="preserve">may be associated with worsening of infusion or allergic reactions after the second infusion of subsequent courses. </w:t>
      </w:r>
    </w:p>
    <w:p w14:paraId="7C3318AF" w14:textId="77777777" w:rsidR="008F369D" w:rsidRPr="00C36AA7" w:rsidRDefault="008F369D" w:rsidP="008F369D">
      <w:pPr>
        <w:rPr>
          <w:szCs w:val="22"/>
          <w:lang w:val="en-GB"/>
        </w:rPr>
      </w:pPr>
    </w:p>
    <w:p w14:paraId="7C3318B0" w14:textId="77777777" w:rsidR="008F369D" w:rsidRDefault="00016F29" w:rsidP="008F369D">
      <w:pPr>
        <w:keepNext/>
        <w:rPr>
          <w:i/>
          <w:szCs w:val="22"/>
          <w:u w:val="single"/>
          <w:lang w:val="en-GB"/>
        </w:rPr>
      </w:pPr>
      <w:r w:rsidRPr="00864B3A">
        <w:rPr>
          <w:i/>
          <w:szCs w:val="22"/>
          <w:u w:val="single"/>
          <w:lang w:val="en-GB"/>
        </w:rPr>
        <w:t>Paediatric population</w:t>
      </w:r>
    </w:p>
    <w:p w14:paraId="7C3318B1" w14:textId="77777777" w:rsidR="008F369D" w:rsidRPr="00864B3A" w:rsidRDefault="008F369D" w:rsidP="008F369D">
      <w:pPr>
        <w:keepNext/>
        <w:rPr>
          <w:i/>
          <w:szCs w:val="22"/>
          <w:u w:val="single"/>
          <w:lang w:val="en-GB"/>
        </w:rPr>
      </w:pPr>
    </w:p>
    <w:p w14:paraId="7C3318B2" w14:textId="77777777" w:rsidR="008F369D" w:rsidRPr="00C36AA7" w:rsidRDefault="00016F29" w:rsidP="008F369D">
      <w:pPr>
        <w:keepNext/>
        <w:rPr>
          <w:szCs w:val="22"/>
          <w:lang w:val="en-GB"/>
        </w:rPr>
      </w:pPr>
      <w:r w:rsidRPr="00C36AA7">
        <w:rPr>
          <w:szCs w:val="22"/>
          <w:lang w:val="en-GB"/>
        </w:rPr>
        <w:t>The European Medicines Agency has waived the obligation to submit the results of studies with MabThera in all subsets of the paediatric population with autoimmune arthritis. See Section 4.2 for information on paediatric use.</w:t>
      </w:r>
    </w:p>
    <w:p w14:paraId="7C3318B3" w14:textId="77777777" w:rsidR="008F369D" w:rsidRPr="00C36AA7" w:rsidRDefault="008F369D" w:rsidP="008F369D">
      <w:pPr>
        <w:keepNext/>
        <w:rPr>
          <w:szCs w:val="22"/>
          <w:lang w:val="en-GB"/>
        </w:rPr>
      </w:pPr>
    </w:p>
    <w:p w14:paraId="7C3318B4" w14:textId="77777777" w:rsidR="008F369D" w:rsidRPr="00C36AA7" w:rsidRDefault="00016F29" w:rsidP="00474194">
      <w:pPr>
        <w:keepNext/>
        <w:keepLines/>
        <w:spacing w:line="276" w:lineRule="auto"/>
        <w:outlineLvl w:val="0"/>
        <w:rPr>
          <w:rFonts w:eastAsia="Times"/>
          <w:szCs w:val="22"/>
          <w:u w:val="single"/>
          <w:lang w:val="en-GB" w:eastAsia="en-US"/>
        </w:rPr>
      </w:pPr>
      <w:r>
        <w:rPr>
          <w:rFonts w:eastAsia="Times"/>
          <w:szCs w:val="22"/>
          <w:u w:val="single"/>
          <w:lang w:val="en-GB" w:eastAsia="en-US"/>
        </w:rPr>
        <w:t>Clinical e</w:t>
      </w:r>
      <w:r w:rsidRPr="00C36AA7">
        <w:rPr>
          <w:rFonts w:eastAsia="Times"/>
          <w:szCs w:val="22"/>
          <w:u w:val="single"/>
          <w:lang w:val="en-GB" w:eastAsia="en-US"/>
        </w:rPr>
        <w:t xml:space="preserve">xperience in </w:t>
      </w:r>
      <w:r>
        <w:rPr>
          <w:rFonts w:eastAsia="Times"/>
          <w:szCs w:val="22"/>
          <w:u w:val="single"/>
          <w:lang w:val="en-GB" w:eastAsia="en-US"/>
        </w:rPr>
        <w:t>g</w:t>
      </w:r>
      <w:r w:rsidRPr="00C36AA7">
        <w:rPr>
          <w:rFonts w:eastAsia="Times"/>
          <w:szCs w:val="22"/>
          <w:u w:val="single"/>
          <w:lang w:val="en-GB" w:eastAsia="en-US"/>
        </w:rPr>
        <w:t xml:space="preserve">ranulomatosis with polyangiitis </w:t>
      </w:r>
      <w:r w:rsidR="00B27003">
        <w:rPr>
          <w:rFonts w:eastAsia="Times"/>
          <w:szCs w:val="22"/>
          <w:u w:val="single"/>
          <w:lang w:val="en-GB" w:eastAsia="en-US"/>
        </w:rPr>
        <w:t xml:space="preserve">(GPA) </w:t>
      </w:r>
      <w:r w:rsidRPr="00C36AA7">
        <w:rPr>
          <w:rFonts w:eastAsia="Times"/>
          <w:szCs w:val="22"/>
          <w:u w:val="single"/>
          <w:lang w:val="en-GB" w:eastAsia="en-US"/>
        </w:rPr>
        <w:t xml:space="preserve">and </w:t>
      </w:r>
      <w:r>
        <w:rPr>
          <w:rFonts w:eastAsia="Times"/>
          <w:szCs w:val="22"/>
          <w:u w:val="single"/>
          <w:lang w:val="en-GB" w:eastAsia="en-US"/>
        </w:rPr>
        <w:t>m</w:t>
      </w:r>
      <w:r w:rsidRPr="00C36AA7">
        <w:rPr>
          <w:rFonts w:eastAsia="Times"/>
          <w:szCs w:val="22"/>
          <w:u w:val="single"/>
          <w:lang w:val="en-GB" w:eastAsia="en-US"/>
        </w:rPr>
        <w:t>icroscopic polyangiitis</w:t>
      </w:r>
      <w:r w:rsidR="00B27003">
        <w:rPr>
          <w:rFonts w:eastAsia="Times"/>
          <w:szCs w:val="22"/>
          <w:u w:val="single"/>
          <w:lang w:val="en-GB" w:eastAsia="en-US"/>
        </w:rPr>
        <w:t xml:space="preserve"> (MPA)</w:t>
      </w:r>
    </w:p>
    <w:p w14:paraId="7C3318B5" w14:textId="77777777" w:rsidR="00026E7C" w:rsidRPr="00C36AA7" w:rsidRDefault="00026E7C" w:rsidP="00026E7C">
      <w:pPr>
        <w:keepNext/>
        <w:keepLines/>
        <w:spacing w:line="276" w:lineRule="auto"/>
        <w:outlineLvl w:val="0"/>
        <w:rPr>
          <w:rFonts w:eastAsia="Times"/>
          <w:szCs w:val="22"/>
          <w:u w:val="single"/>
          <w:lang w:val="en-GB" w:eastAsia="en-US"/>
        </w:rPr>
      </w:pPr>
    </w:p>
    <w:p w14:paraId="7C3318B6" w14:textId="77777777" w:rsidR="00AB2B61" w:rsidRPr="002A00AD" w:rsidRDefault="00016F29" w:rsidP="008F369D">
      <w:pPr>
        <w:rPr>
          <w:i/>
          <w:szCs w:val="22"/>
          <w:u w:val="single"/>
          <w:lang w:val="en-GB"/>
        </w:rPr>
      </w:pPr>
      <w:r>
        <w:rPr>
          <w:i/>
          <w:szCs w:val="22"/>
          <w:u w:val="single"/>
          <w:lang w:val="en-GB"/>
        </w:rPr>
        <w:t>Adult i</w:t>
      </w:r>
      <w:r w:rsidRPr="002A00AD">
        <w:rPr>
          <w:i/>
          <w:szCs w:val="22"/>
          <w:u w:val="single"/>
          <w:lang w:val="en-GB"/>
        </w:rPr>
        <w:t>nduction of remission</w:t>
      </w:r>
    </w:p>
    <w:p w14:paraId="7C3318B7" w14:textId="77777777" w:rsidR="008F369D" w:rsidRPr="004065ED" w:rsidRDefault="00016F29" w:rsidP="008F369D">
      <w:pPr>
        <w:rPr>
          <w:szCs w:val="22"/>
          <w:lang w:val="en-GB"/>
        </w:rPr>
      </w:pPr>
      <w:r>
        <w:rPr>
          <w:szCs w:val="22"/>
          <w:lang w:val="en-GB"/>
        </w:rPr>
        <w:t>In GPA/MPA Study 1, a</w:t>
      </w:r>
      <w:r w:rsidRPr="004065ED">
        <w:rPr>
          <w:szCs w:val="22"/>
          <w:lang w:val="en-GB"/>
        </w:rPr>
        <w:t xml:space="preserve"> total of 197 patients aged 15 years or older with severe active </w:t>
      </w:r>
      <w:r w:rsidR="00196A3D">
        <w:rPr>
          <w:szCs w:val="22"/>
          <w:lang w:val="en-GB"/>
        </w:rPr>
        <w:t>GPA</w:t>
      </w:r>
      <w:r w:rsidRPr="004065ED">
        <w:rPr>
          <w:szCs w:val="22"/>
          <w:lang w:val="en-GB"/>
        </w:rPr>
        <w:t xml:space="preserve"> (75%) and </w:t>
      </w:r>
      <w:r w:rsidR="00196A3D">
        <w:rPr>
          <w:szCs w:val="22"/>
          <w:lang w:val="en-GB"/>
        </w:rPr>
        <w:t>MPA</w:t>
      </w:r>
      <w:r w:rsidRPr="004065ED">
        <w:rPr>
          <w:szCs w:val="22"/>
          <w:lang w:val="en-GB"/>
        </w:rPr>
        <w:t xml:space="preserve"> (24%) were enrolled and treated in an active</w:t>
      </w:r>
      <w:r w:rsidR="000A6DDA" w:rsidRPr="004065ED">
        <w:rPr>
          <w:szCs w:val="22"/>
          <w:lang w:val="en-GB"/>
        </w:rPr>
        <w:noBreakHyphen/>
      </w:r>
      <w:r w:rsidRPr="004065ED">
        <w:rPr>
          <w:szCs w:val="22"/>
          <w:lang w:val="en-GB"/>
        </w:rPr>
        <w:t>comparator, randomised, double</w:t>
      </w:r>
      <w:r w:rsidR="000A6DDA" w:rsidRPr="004065ED">
        <w:rPr>
          <w:szCs w:val="22"/>
          <w:lang w:val="en-GB"/>
        </w:rPr>
        <w:noBreakHyphen/>
      </w:r>
      <w:r w:rsidRPr="004065ED">
        <w:rPr>
          <w:szCs w:val="22"/>
          <w:lang w:val="en-GB"/>
        </w:rPr>
        <w:t>blind, multicenter, non</w:t>
      </w:r>
      <w:r w:rsidR="000A6DDA" w:rsidRPr="004065ED">
        <w:rPr>
          <w:szCs w:val="22"/>
          <w:lang w:val="en-GB"/>
        </w:rPr>
        <w:noBreakHyphen/>
      </w:r>
      <w:r w:rsidRPr="004065ED">
        <w:rPr>
          <w:szCs w:val="22"/>
          <w:lang w:val="en-GB"/>
        </w:rPr>
        <w:t>inferiority trial.</w:t>
      </w:r>
    </w:p>
    <w:p w14:paraId="7C3318B8" w14:textId="77777777" w:rsidR="008F369D" w:rsidRPr="004065ED" w:rsidRDefault="008F369D" w:rsidP="008F369D">
      <w:pPr>
        <w:rPr>
          <w:szCs w:val="22"/>
          <w:lang w:val="en-GB"/>
        </w:rPr>
      </w:pPr>
    </w:p>
    <w:p w14:paraId="7C3318B9" w14:textId="77777777" w:rsidR="008F369D" w:rsidRPr="004065ED" w:rsidRDefault="00016F29" w:rsidP="008F369D">
      <w:pPr>
        <w:rPr>
          <w:szCs w:val="22"/>
          <w:lang w:val="en-GB"/>
        </w:rPr>
      </w:pPr>
      <w:r w:rsidRPr="004065ED">
        <w:rPr>
          <w:szCs w:val="22"/>
          <w:lang w:val="en-GB"/>
        </w:rPr>
        <w:t>Patients were randomised in a 1:1 ratio to receive either oral cyclophosphamide daily (</w:t>
      </w:r>
      <w:r w:rsidR="007830E0" w:rsidRPr="004065ED">
        <w:rPr>
          <w:szCs w:val="22"/>
          <w:lang w:val="en-GB"/>
        </w:rPr>
        <w:t>2</w:t>
      </w:r>
      <w:r w:rsidR="00F947F8">
        <w:rPr>
          <w:szCs w:val="22"/>
          <w:lang w:val="en-GB"/>
        </w:rPr>
        <w:t> </w:t>
      </w:r>
      <w:r w:rsidR="007830E0" w:rsidRPr="004065ED">
        <w:rPr>
          <w:szCs w:val="22"/>
          <w:lang w:val="en-GB"/>
        </w:rPr>
        <w:t>mg</w:t>
      </w:r>
      <w:r w:rsidRPr="004065ED">
        <w:rPr>
          <w:szCs w:val="22"/>
          <w:lang w:val="en-GB"/>
        </w:rPr>
        <w:t>/kg/day) for 3</w:t>
      </w:r>
      <w:r w:rsidR="000A6DDA" w:rsidRPr="004065ED">
        <w:rPr>
          <w:szCs w:val="22"/>
          <w:lang w:val="en-GB"/>
        </w:rPr>
        <w:noBreakHyphen/>
      </w:r>
      <w:r w:rsidRPr="004065ED">
        <w:rPr>
          <w:szCs w:val="22"/>
          <w:lang w:val="en-GB"/>
        </w:rPr>
        <w:t>6 months or MabThera (375</w:t>
      </w:r>
      <w:r w:rsidR="00F947F8">
        <w:rPr>
          <w:szCs w:val="22"/>
          <w:lang w:val="en-GB"/>
        </w:rPr>
        <w:t> </w:t>
      </w:r>
      <w:r w:rsidRPr="004065ED">
        <w:rPr>
          <w:szCs w:val="22"/>
          <w:lang w:val="en-GB"/>
        </w:rPr>
        <w:t>mg/m</w:t>
      </w:r>
      <w:r w:rsidRPr="004065ED">
        <w:rPr>
          <w:szCs w:val="22"/>
          <w:vertAlign w:val="superscript"/>
          <w:lang w:val="en-GB"/>
        </w:rPr>
        <w:t>2</w:t>
      </w:r>
      <w:r w:rsidRPr="004065ED">
        <w:rPr>
          <w:szCs w:val="22"/>
          <w:lang w:val="en-GB"/>
        </w:rPr>
        <w:t>) once weekly for 4 weeks. All patients in the</w:t>
      </w:r>
      <w:r w:rsidRPr="00C36AA7">
        <w:rPr>
          <w:szCs w:val="22"/>
          <w:lang w:val="en-GB"/>
        </w:rPr>
        <w:t xml:space="preserve"> </w:t>
      </w:r>
      <w:r w:rsidRPr="004065ED">
        <w:rPr>
          <w:szCs w:val="22"/>
          <w:lang w:val="en-GB"/>
        </w:rPr>
        <w:t>cyclophosphamide arm received azathioprine maintenance therapy in during follow</w:t>
      </w:r>
      <w:r w:rsidR="000A6DDA" w:rsidRPr="004065ED">
        <w:rPr>
          <w:szCs w:val="22"/>
          <w:lang w:val="en-GB"/>
        </w:rPr>
        <w:noBreakHyphen/>
      </w:r>
      <w:r w:rsidRPr="004065ED">
        <w:rPr>
          <w:szCs w:val="22"/>
          <w:lang w:val="en-GB"/>
        </w:rPr>
        <w:t xml:space="preserve">up. Patients in both arms received </w:t>
      </w:r>
      <w:r w:rsidR="007830E0" w:rsidRPr="004065ED">
        <w:rPr>
          <w:szCs w:val="22"/>
          <w:lang w:val="en-GB"/>
        </w:rPr>
        <w:t>1000</w:t>
      </w:r>
      <w:r w:rsidR="00F947F8">
        <w:rPr>
          <w:szCs w:val="22"/>
          <w:lang w:val="en-GB"/>
        </w:rPr>
        <w:t> </w:t>
      </w:r>
      <w:r w:rsidR="007830E0" w:rsidRPr="004065ED">
        <w:rPr>
          <w:szCs w:val="22"/>
          <w:lang w:val="en-GB"/>
        </w:rPr>
        <w:t>mg</w:t>
      </w:r>
      <w:r w:rsidRPr="004065ED">
        <w:rPr>
          <w:szCs w:val="22"/>
          <w:lang w:val="en-GB"/>
        </w:rPr>
        <w:t xml:space="preserve"> of pulse intravenous (IV) methylprednisolone (or another equivalent</w:t>
      </w:r>
      <w:r w:rsidR="000A6DDA" w:rsidRPr="004065ED">
        <w:rPr>
          <w:szCs w:val="22"/>
          <w:lang w:val="en-GB"/>
        </w:rPr>
        <w:noBreakHyphen/>
      </w:r>
      <w:r w:rsidRPr="004065ED">
        <w:rPr>
          <w:szCs w:val="22"/>
          <w:lang w:val="en-GB"/>
        </w:rPr>
        <w:t>dose glucocorticoid) per day for 1 to 3 days, followed by oral prednisone (1</w:t>
      </w:r>
      <w:r w:rsidR="00F947F8">
        <w:rPr>
          <w:szCs w:val="22"/>
          <w:lang w:val="en-GB"/>
        </w:rPr>
        <w:t> </w:t>
      </w:r>
      <w:r w:rsidRPr="004065ED">
        <w:rPr>
          <w:szCs w:val="22"/>
          <w:lang w:val="en-GB"/>
        </w:rPr>
        <w:t>mg/kg/day, not exceeding 80</w:t>
      </w:r>
      <w:r w:rsidR="00F947F8">
        <w:rPr>
          <w:szCs w:val="22"/>
          <w:lang w:val="en-GB"/>
        </w:rPr>
        <w:t> </w:t>
      </w:r>
      <w:r w:rsidRPr="004065ED">
        <w:rPr>
          <w:szCs w:val="22"/>
          <w:lang w:val="en-GB"/>
        </w:rPr>
        <w:t xml:space="preserve">mg/day).  Prednisone tapering was to be completed by 6 months from the start of trial treatment.  </w:t>
      </w:r>
    </w:p>
    <w:p w14:paraId="7C3318BA" w14:textId="77777777" w:rsidR="008F369D" w:rsidRPr="00C36AA7" w:rsidRDefault="008F369D" w:rsidP="008F369D">
      <w:pPr>
        <w:rPr>
          <w:szCs w:val="22"/>
          <w:lang w:val="en-GB"/>
        </w:rPr>
      </w:pPr>
    </w:p>
    <w:p w14:paraId="7C3318BB" w14:textId="77777777" w:rsidR="008F369D" w:rsidRPr="00F638AF" w:rsidRDefault="00016F29" w:rsidP="008F369D">
      <w:pPr>
        <w:rPr>
          <w:szCs w:val="22"/>
          <w:lang w:val="en-GB"/>
        </w:rPr>
      </w:pPr>
      <w:r w:rsidRPr="00037E4E">
        <w:rPr>
          <w:szCs w:val="22"/>
          <w:lang w:val="en-GB"/>
        </w:rPr>
        <w:t>The primary outcome measure was achievement of complete remission at 6 months defined as a Birmingham Vasculitis Activity Score for Wegener’s granulomatosis (BVAS/WG) of 0, and off glucocorticoid therapy. The prespecified non</w:t>
      </w:r>
      <w:r w:rsidR="000A6DDA" w:rsidRPr="00037E4E">
        <w:rPr>
          <w:szCs w:val="22"/>
          <w:lang w:val="en-GB"/>
        </w:rPr>
        <w:noBreakHyphen/>
      </w:r>
      <w:r w:rsidRPr="00037E4E">
        <w:rPr>
          <w:szCs w:val="22"/>
          <w:lang w:val="en-GB"/>
        </w:rPr>
        <w:t xml:space="preserve">inferiority margin for the treatment difference was 20%. The </w:t>
      </w:r>
      <w:r w:rsidRPr="00F638AF">
        <w:rPr>
          <w:szCs w:val="22"/>
          <w:lang w:val="en-GB"/>
        </w:rPr>
        <w:t>trial demonstrated non</w:t>
      </w:r>
      <w:r w:rsidR="000A6DDA" w:rsidRPr="00F638AF">
        <w:rPr>
          <w:szCs w:val="22"/>
          <w:lang w:val="en-GB"/>
        </w:rPr>
        <w:noBreakHyphen/>
      </w:r>
      <w:r w:rsidRPr="00F638AF">
        <w:rPr>
          <w:szCs w:val="22"/>
          <w:lang w:val="en-GB"/>
        </w:rPr>
        <w:t xml:space="preserve">inferiority of MabThera to cyclophosphamide for complete remission (CR) at 6 months (Table </w:t>
      </w:r>
      <w:r w:rsidR="00DF5BD8" w:rsidRPr="00F638AF">
        <w:rPr>
          <w:szCs w:val="22"/>
          <w:lang w:val="en-GB"/>
        </w:rPr>
        <w:t>19</w:t>
      </w:r>
      <w:r w:rsidRPr="00F638AF">
        <w:rPr>
          <w:szCs w:val="22"/>
          <w:lang w:val="en-GB"/>
        </w:rPr>
        <w:t>).</w:t>
      </w:r>
    </w:p>
    <w:p w14:paraId="7C3318BC" w14:textId="77777777" w:rsidR="008F369D" w:rsidRPr="00F638AF" w:rsidRDefault="008F369D" w:rsidP="008F369D">
      <w:pPr>
        <w:rPr>
          <w:szCs w:val="22"/>
          <w:lang w:val="en-GB"/>
        </w:rPr>
      </w:pPr>
    </w:p>
    <w:p w14:paraId="7C3318BD" w14:textId="77777777" w:rsidR="008F369D" w:rsidRPr="00F638AF" w:rsidRDefault="00016F29" w:rsidP="008F369D">
      <w:pPr>
        <w:rPr>
          <w:szCs w:val="22"/>
          <w:lang w:val="en-GB"/>
        </w:rPr>
      </w:pPr>
      <w:r w:rsidRPr="00F638AF">
        <w:rPr>
          <w:szCs w:val="22"/>
          <w:lang w:val="en-GB"/>
        </w:rPr>
        <w:t xml:space="preserve">Efficacy was observed both for patients with newly diagnosed disease and for patients with relapsing disease (Table </w:t>
      </w:r>
      <w:r w:rsidR="00DF5BD8" w:rsidRPr="00F638AF">
        <w:rPr>
          <w:szCs w:val="22"/>
          <w:lang w:val="en-GB"/>
        </w:rPr>
        <w:t>20</w:t>
      </w:r>
      <w:r w:rsidRPr="00F638AF">
        <w:rPr>
          <w:szCs w:val="22"/>
          <w:lang w:val="en-GB"/>
        </w:rPr>
        <w:t>).</w:t>
      </w:r>
    </w:p>
    <w:p w14:paraId="7C3318BE" w14:textId="77777777" w:rsidR="008F369D" w:rsidRPr="00F638AF" w:rsidRDefault="008F369D" w:rsidP="008F369D">
      <w:pPr>
        <w:rPr>
          <w:lang w:val="en-GB"/>
        </w:rPr>
      </w:pPr>
    </w:p>
    <w:p w14:paraId="7C3318BF" w14:textId="77777777" w:rsidR="008F369D" w:rsidRPr="00E06A78" w:rsidRDefault="00016F29" w:rsidP="008F369D">
      <w:pPr>
        <w:keepNext/>
        <w:keepLines/>
        <w:ind w:left="1134" w:hanging="1134"/>
        <w:rPr>
          <w:rFonts w:ascii="Minion" w:eastAsia="Calibri" w:hAnsi="Minion"/>
          <w:b/>
          <w:lang w:val="en-GB"/>
        </w:rPr>
      </w:pPr>
      <w:bookmarkStart w:id="9" w:name="_Ref272402327"/>
      <w:r w:rsidRPr="00F638AF">
        <w:rPr>
          <w:rFonts w:ascii="Minion" w:eastAsia="Calibri" w:hAnsi="Minion"/>
          <w:b/>
          <w:szCs w:val="22"/>
          <w:lang w:val="en-GB" w:eastAsia="en-US"/>
        </w:rPr>
        <w:t>Table </w:t>
      </w:r>
      <w:bookmarkEnd w:id="9"/>
      <w:r w:rsidR="003B2031" w:rsidRPr="00F638AF">
        <w:rPr>
          <w:rFonts w:ascii="Minion" w:eastAsia="Calibri" w:hAnsi="Minion"/>
          <w:b/>
          <w:szCs w:val="22"/>
          <w:lang w:val="en-GB" w:eastAsia="en-US"/>
        </w:rPr>
        <w:t>19</w:t>
      </w:r>
      <w:r w:rsidR="00FC6974" w:rsidRPr="00E06A78">
        <w:rPr>
          <w:rFonts w:ascii="Minion" w:eastAsia="Calibri" w:hAnsi="Minion"/>
          <w:b/>
          <w:lang w:val="en-GB"/>
        </w:rPr>
        <w:tab/>
        <w:t>Percentage of</w:t>
      </w:r>
      <w:r w:rsidR="00FC6974" w:rsidRPr="00F638AF">
        <w:rPr>
          <w:rFonts w:ascii="Minion" w:eastAsia="Calibri" w:hAnsi="Minion"/>
          <w:b/>
          <w:szCs w:val="22"/>
          <w:lang w:val="en-GB" w:eastAsia="en-US"/>
        </w:rPr>
        <w:t xml:space="preserve"> </w:t>
      </w:r>
      <w:r w:rsidR="00196A3D" w:rsidRPr="00F638AF">
        <w:rPr>
          <w:rFonts w:ascii="Minion" w:eastAsia="Calibri" w:hAnsi="Minion"/>
          <w:b/>
          <w:szCs w:val="22"/>
          <w:lang w:val="en-GB" w:eastAsia="en-US"/>
        </w:rPr>
        <w:t>adult</w:t>
      </w:r>
      <w:r w:rsidR="00196A3D" w:rsidRPr="00E06A78">
        <w:rPr>
          <w:rFonts w:ascii="Minion" w:eastAsia="Calibri" w:hAnsi="Minion"/>
          <w:b/>
          <w:lang w:val="en-GB"/>
        </w:rPr>
        <w:t xml:space="preserve"> </w:t>
      </w:r>
      <w:r w:rsidR="00FC6974" w:rsidRPr="00E06A78">
        <w:rPr>
          <w:rFonts w:ascii="Minion" w:eastAsia="Calibri" w:hAnsi="Minion"/>
          <w:b/>
          <w:lang w:val="en-GB"/>
        </w:rPr>
        <w:t xml:space="preserve">patients who </w:t>
      </w:r>
      <w:r w:rsidR="0058456D" w:rsidRPr="00E06A78">
        <w:rPr>
          <w:rFonts w:ascii="Minion" w:eastAsia="Calibri" w:hAnsi="Minion"/>
          <w:b/>
          <w:lang w:val="en-GB"/>
        </w:rPr>
        <w:t>a</w:t>
      </w:r>
      <w:r w:rsidR="00FC6974" w:rsidRPr="00E06A78">
        <w:rPr>
          <w:rFonts w:ascii="Minion" w:eastAsia="Calibri" w:hAnsi="Minion"/>
          <w:b/>
          <w:lang w:val="en-GB"/>
        </w:rPr>
        <w:t>chieved complete remission at 6 m</w:t>
      </w:r>
      <w:r w:rsidRPr="00E06A78">
        <w:rPr>
          <w:rFonts w:ascii="Minion" w:eastAsia="Calibri" w:hAnsi="Minion"/>
          <w:b/>
          <w:lang w:val="en-GB"/>
        </w:rPr>
        <w:t>onths (Intent</w:t>
      </w:r>
      <w:r w:rsidR="000A6DDA" w:rsidRPr="00E06A78">
        <w:rPr>
          <w:rFonts w:ascii="Minion" w:eastAsia="Calibri" w:hAnsi="Minion"/>
          <w:b/>
          <w:lang w:val="en-GB"/>
        </w:rPr>
        <w:noBreakHyphen/>
      </w:r>
      <w:r w:rsidRPr="00E06A78">
        <w:rPr>
          <w:rFonts w:ascii="Minion" w:eastAsia="Calibri" w:hAnsi="Minion"/>
          <w:b/>
          <w:lang w:val="en-GB"/>
        </w:rPr>
        <w:t>to</w:t>
      </w:r>
      <w:r w:rsidR="000A6DDA" w:rsidRPr="00E06A78">
        <w:rPr>
          <w:rFonts w:ascii="Minion" w:eastAsia="Calibri" w:hAnsi="Minion"/>
          <w:b/>
          <w:lang w:val="en-GB"/>
        </w:rPr>
        <w:noBreakHyphen/>
      </w:r>
      <w:r w:rsidR="00FC6974" w:rsidRPr="00E06A78">
        <w:rPr>
          <w:rFonts w:ascii="Minion" w:eastAsia="Calibri" w:hAnsi="Minion"/>
          <w:b/>
          <w:lang w:val="en-GB"/>
        </w:rPr>
        <w:t>treat p</w:t>
      </w:r>
      <w:r w:rsidRPr="00E06A78">
        <w:rPr>
          <w:rFonts w:ascii="Minion" w:eastAsia="Calibri" w:hAnsi="Minion"/>
          <w:b/>
          <w:lang w:val="en-GB"/>
        </w:rPr>
        <w:t xml:space="preserve">opulation*) </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1738"/>
        <w:gridCol w:w="2237"/>
        <w:gridCol w:w="3303"/>
      </w:tblGrid>
      <w:tr w:rsidR="003A788B" w14:paraId="7C3318C6" w14:textId="77777777" w:rsidTr="008919D7">
        <w:tc>
          <w:tcPr>
            <w:tcW w:w="1655" w:type="dxa"/>
            <w:shd w:val="clear" w:color="auto" w:fill="auto"/>
          </w:tcPr>
          <w:p w14:paraId="7C3318C0" w14:textId="77777777" w:rsidR="008F369D" w:rsidRPr="00F638AF" w:rsidRDefault="008F369D" w:rsidP="008919D7">
            <w:pPr>
              <w:keepNext/>
              <w:keepLines/>
              <w:outlineLvl w:val="0"/>
              <w:rPr>
                <w:rFonts w:eastAsia="Times"/>
                <w:szCs w:val="22"/>
                <w:u w:val="single"/>
                <w:lang w:val="en-GB" w:eastAsia="en-US"/>
              </w:rPr>
            </w:pPr>
          </w:p>
        </w:tc>
        <w:tc>
          <w:tcPr>
            <w:tcW w:w="2112" w:type="dxa"/>
            <w:shd w:val="clear" w:color="auto" w:fill="auto"/>
          </w:tcPr>
          <w:p w14:paraId="7C3318C1" w14:textId="77777777" w:rsidR="008F369D" w:rsidRPr="00F638AF" w:rsidRDefault="00016F29" w:rsidP="008919D7">
            <w:pPr>
              <w:keepNext/>
              <w:keepLines/>
              <w:jc w:val="center"/>
              <w:outlineLvl w:val="0"/>
              <w:rPr>
                <w:rFonts w:eastAsia="Times"/>
                <w:szCs w:val="22"/>
                <w:u w:val="single"/>
                <w:lang w:val="en-GB" w:eastAsia="en-US"/>
              </w:rPr>
            </w:pPr>
            <w:r w:rsidRPr="00F638AF">
              <w:rPr>
                <w:rFonts w:eastAsia="Calibri"/>
                <w:b/>
                <w:szCs w:val="22"/>
                <w:lang w:val="en-GB" w:eastAsia="en-US"/>
              </w:rPr>
              <w:t xml:space="preserve">MabThera </w:t>
            </w:r>
            <w:r w:rsidRPr="00F638AF">
              <w:rPr>
                <w:rFonts w:eastAsia="Calibri"/>
                <w:b/>
                <w:szCs w:val="22"/>
                <w:lang w:val="en-GB" w:eastAsia="en-US"/>
              </w:rPr>
              <w:br/>
              <w:t>(n </w:t>
            </w:r>
            <w:r w:rsidRPr="00E06A78">
              <w:rPr>
                <w:rFonts w:ascii="Symbol" w:eastAsia="Calibri" w:hAnsi="Symbol"/>
                <w:b/>
                <w:lang w:val="en-GB"/>
              </w:rPr>
              <w:sym w:font="Symbol" w:char="F03D"/>
            </w:r>
            <w:r w:rsidRPr="00F638AF">
              <w:rPr>
                <w:rFonts w:eastAsia="Calibri"/>
                <w:b/>
                <w:szCs w:val="22"/>
                <w:lang w:val="en-GB" w:eastAsia="en-US"/>
              </w:rPr>
              <w:t> 99)</w:t>
            </w:r>
          </w:p>
        </w:tc>
        <w:tc>
          <w:tcPr>
            <w:tcW w:w="2402" w:type="dxa"/>
            <w:shd w:val="clear" w:color="auto" w:fill="auto"/>
          </w:tcPr>
          <w:p w14:paraId="7C3318C2" w14:textId="77777777" w:rsidR="008F369D" w:rsidRPr="00F638AF" w:rsidRDefault="00016F29" w:rsidP="008919D7">
            <w:pPr>
              <w:keepNext/>
              <w:jc w:val="center"/>
              <w:rPr>
                <w:rFonts w:eastAsia="Times"/>
                <w:szCs w:val="22"/>
                <w:u w:val="single"/>
                <w:lang w:val="en-GB"/>
              </w:rPr>
            </w:pPr>
            <w:r w:rsidRPr="00F638AF">
              <w:rPr>
                <w:b/>
                <w:szCs w:val="22"/>
                <w:lang w:val="en-GB"/>
              </w:rPr>
              <w:t xml:space="preserve">Cyclophosphamide </w:t>
            </w:r>
            <w:r w:rsidRPr="00F638AF">
              <w:rPr>
                <w:b/>
                <w:szCs w:val="22"/>
                <w:lang w:val="en-GB"/>
              </w:rPr>
              <w:br/>
              <w:t>(n </w:t>
            </w:r>
            <w:r w:rsidRPr="00E06A78">
              <w:rPr>
                <w:rFonts w:ascii="Symbol" w:hAnsi="Symbol"/>
                <w:b/>
                <w:lang w:val="en-GB"/>
              </w:rPr>
              <w:sym w:font="Symbol" w:char="F03D"/>
            </w:r>
            <w:r w:rsidRPr="00F638AF">
              <w:rPr>
                <w:b/>
                <w:szCs w:val="22"/>
                <w:lang w:val="en-GB"/>
              </w:rPr>
              <w:t> 98)</w:t>
            </w:r>
          </w:p>
        </w:tc>
        <w:tc>
          <w:tcPr>
            <w:tcW w:w="2507" w:type="dxa"/>
            <w:shd w:val="clear" w:color="auto" w:fill="auto"/>
          </w:tcPr>
          <w:p w14:paraId="7C3318C3" w14:textId="77777777" w:rsidR="008F369D" w:rsidRPr="00F638AF" w:rsidRDefault="00016F29" w:rsidP="008919D7">
            <w:pPr>
              <w:keepNext/>
              <w:jc w:val="center"/>
              <w:rPr>
                <w:b/>
                <w:szCs w:val="22"/>
                <w:lang w:val="en-GB"/>
              </w:rPr>
            </w:pPr>
            <w:r w:rsidRPr="00F638AF">
              <w:rPr>
                <w:b/>
                <w:szCs w:val="22"/>
                <w:lang w:val="en-GB"/>
              </w:rPr>
              <w:t>Treatment Difference</w:t>
            </w:r>
          </w:p>
          <w:p w14:paraId="7C3318C4" w14:textId="77777777" w:rsidR="008F369D" w:rsidRPr="00D22B39" w:rsidRDefault="00016F29" w:rsidP="008919D7">
            <w:pPr>
              <w:keepNext/>
              <w:jc w:val="center"/>
              <w:rPr>
                <w:b/>
                <w:szCs w:val="22"/>
                <w:lang w:val="en-GB"/>
              </w:rPr>
            </w:pPr>
            <w:r w:rsidRPr="00F638AF">
              <w:rPr>
                <w:b/>
                <w:szCs w:val="22"/>
                <w:lang w:val="en-GB"/>
              </w:rPr>
              <w:t>(MabThera</w:t>
            </w:r>
            <w:r w:rsidR="000A6DDA" w:rsidRPr="00F638AF">
              <w:rPr>
                <w:b/>
                <w:szCs w:val="22"/>
                <w:lang w:val="en-GB"/>
              </w:rPr>
              <w:noBreakHyphen/>
            </w:r>
            <w:r w:rsidRPr="00F638AF">
              <w:rPr>
                <w:b/>
                <w:szCs w:val="22"/>
                <w:lang w:val="en-GB"/>
              </w:rPr>
              <w:t xml:space="preserve"> Cyclophosphamide)</w:t>
            </w:r>
          </w:p>
          <w:p w14:paraId="7C3318C5" w14:textId="77777777" w:rsidR="008F369D" w:rsidRPr="00D22B39" w:rsidRDefault="008F369D" w:rsidP="008919D7">
            <w:pPr>
              <w:keepNext/>
              <w:keepLines/>
              <w:jc w:val="center"/>
              <w:outlineLvl w:val="0"/>
              <w:rPr>
                <w:rFonts w:eastAsia="Times"/>
                <w:szCs w:val="22"/>
                <w:u w:val="single"/>
                <w:lang w:val="en-GB" w:eastAsia="en-US"/>
              </w:rPr>
            </w:pPr>
          </w:p>
        </w:tc>
      </w:tr>
      <w:tr w:rsidR="003A788B" w14:paraId="7C3318D3" w14:textId="77777777" w:rsidTr="008919D7">
        <w:tc>
          <w:tcPr>
            <w:tcW w:w="1655" w:type="dxa"/>
            <w:shd w:val="clear" w:color="auto" w:fill="auto"/>
          </w:tcPr>
          <w:p w14:paraId="7C3318C7" w14:textId="77777777" w:rsidR="008F369D" w:rsidRPr="008C428A" w:rsidRDefault="008F369D" w:rsidP="008919D7">
            <w:pPr>
              <w:keepNext/>
              <w:keepLines/>
              <w:outlineLvl w:val="0"/>
              <w:rPr>
                <w:rFonts w:eastAsia="MS PGothic"/>
                <w:szCs w:val="22"/>
                <w:lang w:val="en-GB" w:eastAsia="en-US"/>
              </w:rPr>
            </w:pPr>
          </w:p>
          <w:p w14:paraId="7C3318C8" w14:textId="77777777" w:rsidR="008F369D" w:rsidRPr="008C428A" w:rsidRDefault="00016F29" w:rsidP="008919D7">
            <w:pPr>
              <w:keepNext/>
              <w:keepLines/>
              <w:outlineLvl w:val="0"/>
              <w:rPr>
                <w:rFonts w:eastAsia="Times"/>
                <w:szCs w:val="22"/>
                <w:u w:val="single"/>
                <w:lang w:val="en-GB" w:eastAsia="en-US"/>
              </w:rPr>
            </w:pPr>
            <w:r w:rsidRPr="008C428A">
              <w:rPr>
                <w:rFonts w:eastAsia="MS PGothic"/>
                <w:szCs w:val="22"/>
                <w:lang w:val="en-GB" w:eastAsia="en-US"/>
              </w:rPr>
              <w:t>Rate</w:t>
            </w:r>
          </w:p>
        </w:tc>
        <w:tc>
          <w:tcPr>
            <w:tcW w:w="2112" w:type="dxa"/>
            <w:shd w:val="clear" w:color="auto" w:fill="auto"/>
          </w:tcPr>
          <w:p w14:paraId="7C3318C9" w14:textId="77777777" w:rsidR="008F369D" w:rsidRPr="008C428A" w:rsidRDefault="008F369D" w:rsidP="008919D7">
            <w:pPr>
              <w:keepNext/>
              <w:keepLines/>
              <w:jc w:val="center"/>
              <w:outlineLvl w:val="0"/>
              <w:rPr>
                <w:rFonts w:eastAsia="Calibri"/>
                <w:szCs w:val="22"/>
                <w:lang w:val="en-GB" w:eastAsia="en-US"/>
              </w:rPr>
            </w:pPr>
          </w:p>
          <w:p w14:paraId="7C3318CA" w14:textId="77777777" w:rsidR="008F369D" w:rsidRPr="008C428A" w:rsidRDefault="00016F29" w:rsidP="008919D7">
            <w:pPr>
              <w:keepNext/>
              <w:keepLines/>
              <w:jc w:val="center"/>
              <w:outlineLvl w:val="0"/>
              <w:rPr>
                <w:rFonts w:eastAsia="Calibri"/>
                <w:szCs w:val="22"/>
                <w:lang w:val="en-GB" w:eastAsia="en-US"/>
              </w:rPr>
            </w:pPr>
            <w:r w:rsidRPr="008C428A">
              <w:rPr>
                <w:rFonts w:eastAsia="Calibri"/>
                <w:szCs w:val="22"/>
                <w:lang w:val="en-GB" w:eastAsia="en-US"/>
              </w:rPr>
              <w:t>63.6%</w:t>
            </w:r>
          </w:p>
          <w:p w14:paraId="7C3318CB" w14:textId="77777777" w:rsidR="008F369D" w:rsidRPr="008C428A" w:rsidRDefault="008F369D" w:rsidP="008919D7">
            <w:pPr>
              <w:keepNext/>
              <w:keepLines/>
              <w:jc w:val="center"/>
              <w:outlineLvl w:val="0"/>
              <w:rPr>
                <w:rFonts w:eastAsia="Times"/>
                <w:szCs w:val="22"/>
                <w:u w:val="single"/>
                <w:lang w:val="en-GB" w:eastAsia="en-US"/>
              </w:rPr>
            </w:pPr>
          </w:p>
        </w:tc>
        <w:tc>
          <w:tcPr>
            <w:tcW w:w="2402" w:type="dxa"/>
            <w:shd w:val="clear" w:color="auto" w:fill="auto"/>
          </w:tcPr>
          <w:p w14:paraId="7C3318CC" w14:textId="77777777" w:rsidR="008F369D" w:rsidRPr="008C428A" w:rsidRDefault="008F369D" w:rsidP="008919D7">
            <w:pPr>
              <w:keepNext/>
              <w:keepLines/>
              <w:jc w:val="center"/>
              <w:outlineLvl w:val="0"/>
              <w:rPr>
                <w:rFonts w:eastAsia="Calibri"/>
                <w:szCs w:val="22"/>
                <w:lang w:val="en-GB" w:eastAsia="en-US"/>
              </w:rPr>
            </w:pPr>
          </w:p>
          <w:p w14:paraId="7C3318CD" w14:textId="77777777" w:rsidR="008F369D" w:rsidRPr="008C428A" w:rsidRDefault="00016F29" w:rsidP="008919D7">
            <w:pPr>
              <w:keepNext/>
              <w:keepLines/>
              <w:jc w:val="center"/>
              <w:outlineLvl w:val="0"/>
              <w:rPr>
                <w:rFonts w:eastAsia="Calibri"/>
                <w:szCs w:val="22"/>
                <w:lang w:val="en-GB" w:eastAsia="en-US"/>
              </w:rPr>
            </w:pPr>
            <w:r w:rsidRPr="008C428A">
              <w:rPr>
                <w:rFonts w:eastAsia="Calibri"/>
                <w:szCs w:val="22"/>
                <w:lang w:val="en-GB" w:eastAsia="en-US"/>
              </w:rPr>
              <w:t>53.1%</w:t>
            </w:r>
          </w:p>
          <w:p w14:paraId="7C3318CE" w14:textId="77777777" w:rsidR="008F369D" w:rsidRPr="008C428A" w:rsidRDefault="008F369D" w:rsidP="008919D7">
            <w:pPr>
              <w:keepNext/>
              <w:keepLines/>
              <w:jc w:val="center"/>
              <w:outlineLvl w:val="0"/>
              <w:rPr>
                <w:rFonts w:eastAsia="Times"/>
                <w:szCs w:val="22"/>
                <w:u w:val="single"/>
                <w:lang w:val="en-GB" w:eastAsia="en-US"/>
              </w:rPr>
            </w:pPr>
          </w:p>
        </w:tc>
        <w:tc>
          <w:tcPr>
            <w:tcW w:w="2507" w:type="dxa"/>
            <w:shd w:val="clear" w:color="auto" w:fill="auto"/>
          </w:tcPr>
          <w:p w14:paraId="7C3318CF" w14:textId="77777777" w:rsidR="008F369D" w:rsidRPr="008C428A" w:rsidRDefault="008F369D" w:rsidP="008919D7">
            <w:pPr>
              <w:jc w:val="center"/>
              <w:rPr>
                <w:rFonts w:eastAsia="Calibri"/>
                <w:szCs w:val="22"/>
                <w:lang w:val="en-GB" w:eastAsia="en-US"/>
              </w:rPr>
            </w:pPr>
          </w:p>
          <w:p w14:paraId="7C3318D0" w14:textId="77777777" w:rsidR="008F369D" w:rsidRPr="008C428A" w:rsidRDefault="00016F29" w:rsidP="008919D7">
            <w:pPr>
              <w:keepNext/>
              <w:keepLines/>
              <w:jc w:val="center"/>
              <w:outlineLvl w:val="0"/>
              <w:rPr>
                <w:rFonts w:eastAsia="Calibri"/>
                <w:szCs w:val="22"/>
                <w:vertAlign w:val="superscript"/>
                <w:lang w:val="en-GB" w:eastAsia="en-US"/>
              </w:rPr>
            </w:pPr>
            <w:r w:rsidRPr="008C428A">
              <w:rPr>
                <w:rFonts w:eastAsia="Calibri"/>
                <w:szCs w:val="22"/>
                <w:lang w:val="en-GB" w:eastAsia="en-US"/>
              </w:rPr>
              <w:t>10.6%</w:t>
            </w:r>
            <w:r w:rsidRPr="008C428A">
              <w:rPr>
                <w:rFonts w:eastAsia="Calibri"/>
                <w:szCs w:val="22"/>
                <w:lang w:val="en-GB" w:eastAsia="en-US"/>
              </w:rPr>
              <w:br/>
            </w:r>
            <w:r w:rsidRPr="008C428A">
              <w:rPr>
                <w:rFonts w:eastAsia="MS PGothic"/>
                <w:szCs w:val="22"/>
                <w:lang w:val="en-GB" w:eastAsia="en-US"/>
              </w:rPr>
              <w:t>95.1%</w:t>
            </w:r>
            <w:r w:rsidRPr="008C428A">
              <w:rPr>
                <w:rFonts w:eastAsia="MS PGothic"/>
                <w:szCs w:val="22"/>
                <w:vertAlign w:val="superscript"/>
                <w:lang w:val="en-GB" w:eastAsia="en-US"/>
              </w:rPr>
              <w:t>b</w:t>
            </w:r>
            <w:r w:rsidRPr="008C428A">
              <w:rPr>
                <w:rFonts w:eastAsia="MS PGothic"/>
                <w:szCs w:val="22"/>
                <w:lang w:val="en-GB" w:eastAsia="en-US"/>
              </w:rPr>
              <w:t xml:space="preserve"> CI</w:t>
            </w:r>
            <w:r w:rsidRPr="008C428A">
              <w:rPr>
                <w:rFonts w:eastAsia="MS PGothic"/>
                <w:szCs w:val="22"/>
                <w:lang w:val="en-GB" w:eastAsia="en-US"/>
              </w:rPr>
              <w:br/>
            </w:r>
            <w:r w:rsidRPr="008C428A">
              <w:rPr>
                <w:rFonts w:eastAsia="Calibri"/>
                <w:szCs w:val="22"/>
                <w:lang w:val="en-GB" w:eastAsia="en-US"/>
              </w:rPr>
              <w:t xml:space="preserve"> (</w:t>
            </w:r>
            <w:r w:rsidRPr="00E06A78">
              <w:rPr>
                <w:rFonts w:ascii="Symbol" w:eastAsia="Calibri" w:hAnsi="Symbol"/>
                <w:lang w:val="en-GB"/>
              </w:rPr>
              <w:sym w:font="Symbol" w:char="F02D"/>
            </w:r>
            <w:r w:rsidRPr="008C428A">
              <w:rPr>
                <w:rFonts w:eastAsia="Calibri"/>
                <w:szCs w:val="22"/>
                <w:lang w:val="en-GB" w:eastAsia="en-US"/>
              </w:rPr>
              <w:t>3.2%, 24.3%)</w:t>
            </w:r>
            <w:r w:rsidRPr="008C428A">
              <w:rPr>
                <w:rFonts w:eastAsia="Calibri"/>
                <w:szCs w:val="22"/>
                <w:vertAlign w:val="superscript"/>
                <w:lang w:val="en-GB" w:eastAsia="en-US"/>
              </w:rPr>
              <w:t xml:space="preserve"> a</w:t>
            </w:r>
          </w:p>
          <w:p w14:paraId="7C3318D1" w14:textId="77777777" w:rsidR="008F369D" w:rsidRPr="008C428A" w:rsidRDefault="008F369D" w:rsidP="008919D7">
            <w:pPr>
              <w:jc w:val="center"/>
              <w:rPr>
                <w:rFonts w:eastAsia="Calibri"/>
                <w:szCs w:val="22"/>
                <w:lang w:val="en-GB" w:eastAsia="en-US"/>
              </w:rPr>
            </w:pPr>
          </w:p>
          <w:p w14:paraId="7C3318D2" w14:textId="77777777" w:rsidR="008F369D" w:rsidRPr="008C428A" w:rsidRDefault="008F369D" w:rsidP="008919D7">
            <w:pPr>
              <w:keepNext/>
              <w:keepLines/>
              <w:jc w:val="center"/>
              <w:outlineLvl w:val="0"/>
              <w:rPr>
                <w:rFonts w:eastAsia="Times"/>
                <w:szCs w:val="22"/>
                <w:u w:val="single"/>
                <w:lang w:val="en-GB" w:eastAsia="en-US"/>
              </w:rPr>
            </w:pPr>
          </w:p>
        </w:tc>
      </w:tr>
      <w:tr w:rsidR="003A788B" w14:paraId="7C3318D8" w14:textId="77777777" w:rsidTr="008919D7">
        <w:tc>
          <w:tcPr>
            <w:tcW w:w="8676" w:type="dxa"/>
            <w:gridSpan w:val="4"/>
            <w:shd w:val="clear" w:color="auto" w:fill="auto"/>
          </w:tcPr>
          <w:p w14:paraId="7C3318D4" w14:textId="77777777" w:rsidR="008F369D" w:rsidRPr="00D22B39" w:rsidRDefault="00016F29" w:rsidP="008919D7">
            <w:pPr>
              <w:jc w:val="both"/>
              <w:rPr>
                <w:rFonts w:eastAsia="Calibri"/>
                <w:sz w:val="18"/>
                <w:szCs w:val="18"/>
                <w:lang w:val="en-GB" w:eastAsia="en-US"/>
              </w:rPr>
            </w:pPr>
            <w:r w:rsidRPr="00E06A78">
              <w:rPr>
                <w:rFonts w:ascii="Symbol" w:eastAsia="SimSun" w:hAnsi="Symbol"/>
                <w:sz w:val="18"/>
                <w:lang w:val="en-GB"/>
              </w:rPr>
              <w:sym w:font="Symbol" w:char="F02D"/>
            </w:r>
            <w:r w:rsidRPr="00D22B39">
              <w:rPr>
                <w:b/>
                <w:sz w:val="18"/>
                <w:szCs w:val="18"/>
                <w:lang w:val="en-GB"/>
              </w:rPr>
              <w:tab/>
            </w:r>
            <w:r w:rsidRPr="00D22B39">
              <w:rPr>
                <w:rFonts w:eastAsia="Calibri"/>
                <w:sz w:val="18"/>
                <w:szCs w:val="18"/>
                <w:lang w:val="en-GB" w:eastAsia="en-US"/>
              </w:rPr>
              <w:t>CI = confidence interval.</w:t>
            </w:r>
          </w:p>
          <w:p w14:paraId="7C3318D5" w14:textId="77777777" w:rsidR="008F369D" w:rsidRPr="00D22B39" w:rsidRDefault="00016F29" w:rsidP="008919D7">
            <w:pPr>
              <w:jc w:val="both"/>
              <w:rPr>
                <w:rFonts w:eastAsia="Calibri"/>
                <w:sz w:val="18"/>
                <w:szCs w:val="18"/>
                <w:lang w:val="en-GB" w:eastAsia="en-US"/>
              </w:rPr>
            </w:pPr>
            <w:r w:rsidRPr="00E06A78">
              <w:rPr>
                <w:rFonts w:ascii="Symbol" w:eastAsia="SimSun" w:hAnsi="Symbol"/>
                <w:sz w:val="18"/>
                <w:lang w:val="en-GB"/>
              </w:rPr>
              <w:sym w:font="Symbol" w:char="F02D"/>
            </w:r>
            <w:r w:rsidRPr="00D22B39">
              <w:rPr>
                <w:b/>
                <w:sz w:val="18"/>
                <w:szCs w:val="18"/>
                <w:lang w:val="en-GB"/>
              </w:rPr>
              <w:tab/>
            </w:r>
            <w:r w:rsidRPr="00D22B39">
              <w:rPr>
                <w:rFonts w:eastAsia="Calibri"/>
                <w:sz w:val="18"/>
                <w:szCs w:val="18"/>
                <w:lang w:val="en-GB" w:eastAsia="en-US"/>
              </w:rPr>
              <w:t>* Worst case imputation</w:t>
            </w:r>
          </w:p>
          <w:p w14:paraId="7C3318D6" w14:textId="77777777" w:rsidR="008F369D" w:rsidRPr="00D22B39" w:rsidRDefault="00016F29" w:rsidP="008919D7">
            <w:pPr>
              <w:tabs>
                <w:tab w:val="right" w:pos="144"/>
              </w:tabs>
              <w:ind w:left="216" w:hanging="216"/>
              <w:jc w:val="both"/>
              <w:rPr>
                <w:rFonts w:eastAsia="SimSun"/>
                <w:sz w:val="18"/>
                <w:szCs w:val="18"/>
                <w:lang w:val="en-GB" w:eastAsia="en-US"/>
              </w:rPr>
            </w:pPr>
            <w:r w:rsidRPr="00D22B39">
              <w:rPr>
                <w:rFonts w:eastAsia="SimSun"/>
                <w:sz w:val="18"/>
                <w:szCs w:val="18"/>
                <w:vertAlign w:val="superscript"/>
                <w:lang w:val="en-GB" w:eastAsia="en-US"/>
              </w:rPr>
              <w:t>a</w:t>
            </w:r>
            <w:r w:rsidRPr="00D22B39">
              <w:rPr>
                <w:rFonts w:eastAsia="SimSun"/>
                <w:sz w:val="18"/>
                <w:szCs w:val="18"/>
                <w:lang w:val="en-GB" w:eastAsia="en-US"/>
              </w:rPr>
              <w:t xml:space="preserve"> </w:t>
            </w:r>
            <w:r w:rsidRPr="00D22B39">
              <w:rPr>
                <w:rFonts w:eastAsia="SimSun"/>
                <w:sz w:val="18"/>
                <w:szCs w:val="18"/>
                <w:lang w:val="en-GB" w:eastAsia="en-US"/>
              </w:rPr>
              <w:tab/>
              <w:t>Non</w:t>
            </w:r>
            <w:r w:rsidR="000A6DDA" w:rsidRPr="00D22B39">
              <w:rPr>
                <w:rFonts w:eastAsia="SimSun"/>
                <w:sz w:val="18"/>
                <w:szCs w:val="18"/>
                <w:lang w:val="en-GB" w:eastAsia="en-US"/>
              </w:rPr>
              <w:noBreakHyphen/>
            </w:r>
            <w:r w:rsidRPr="00D22B39">
              <w:rPr>
                <w:rFonts w:eastAsia="SimSun"/>
                <w:sz w:val="18"/>
                <w:szCs w:val="18"/>
                <w:lang w:val="en-GB" w:eastAsia="en-US"/>
              </w:rPr>
              <w:t xml:space="preserve">inferiority was </w:t>
            </w:r>
            <w:r w:rsidRPr="00D22B39">
              <w:rPr>
                <w:rFonts w:eastAsia="MS Mincho"/>
                <w:sz w:val="18"/>
                <w:szCs w:val="18"/>
                <w:lang w:val="en-GB"/>
              </w:rPr>
              <w:t>demonstrated</w:t>
            </w:r>
            <w:r w:rsidRPr="00D22B39">
              <w:rPr>
                <w:rFonts w:eastAsia="SimSun"/>
                <w:sz w:val="18"/>
                <w:szCs w:val="18"/>
                <w:lang w:val="en-GB" w:eastAsia="en-US"/>
              </w:rPr>
              <w:t xml:space="preserve"> since the lower bound ( </w:t>
            </w:r>
            <w:r w:rsidRPr="00E06A78">
              <w:rPr>
                <w:rFonts w:ascii="Symbol" w:eastAsia="SimSun" w:hAnsi="Symbol"/>
                <w:sz w:val="18"/>
                <w:lang w:val="en-GB"/>
              </w:rPr>
              <w:sym w:font="Symbol" w:char="F02D"/>
            </w:r>
            <w:r w:rsidRPr="00D22B39">
              <w:rPr>
                <w:rFonts w:eastAsia="SimSun"/>
                <w:sz w:val="18"/>
                <w:szCs w:val="18"/>
                <w:lang w:val="en-GB" w:eastAsia="en-US"/>
              </w:rPr>
              <w:t> 3.2%) was higher than the pre</w:t>
            </w:r>
            <w:r w:rsidR="000A6DDA" w:rsidRPr="00D22B39">
              <w:rPr>
                <w:rFonts w:eastAsia="SimSun"/>
                <w:sz w:val="18"/>
                <w:szCs w:val="18"/>
                <w:lang w:val="en-GB" w:eastAsia="en-US"/>
              </w:rPr>
              <w:noBreakHyphen/>
            </w:r>
            <w:r w:rsidRPr="00D22B39">
              <w:rPr>
                <w:rFonts w:eastAsia="SimSun"/>
                <w:sz w:val="18"/>
                <w:szCs w:val="18"/>
                <w:lang w:val="en-GB" w:eastAsia="en-US"/>
              </w:rPr>
              <w:t>determined non</w:t>
            </w:r>
            <w:r w:rsidR="000A6DDA" w:rsidRPr="00D22B39">
              <w:rPr>
                <w:rFonts w:eastAsia="SimSun"/>
                <w:sz w:val="18"/>
                <w:szCs w:val="18"/>
                <w:lang w:val="en-GB" w:eastAsia="en-US"/>
              </w:rPr>
              <w:noBreakHyphen/>
            </w:r>
            <w:r w:rsidRPr="00D22B39">
              <w:rPr>
                <w:rFonts w:eastAsia="SimSun"/>
                <w:sz w:val="18"/>
                <w:szCs w:val="18"/>
                <w:lang w:val="en-GB" w:eastAsia="en-US"/>
              </w:rPr>
              <w:t>inferiority margin ( </w:t>
            </w:r>
            <w:r w:rsidRPr="00E06A78">
              <w:rPr>
                <w:rFonts w:ascii="Symbol" w:eastAsia="SimSun" w:hAnsi="Symbol"/>
                <w:sz w:val="18"/>
                <w:lang w:val="en-GB"/>
              </w:rPr>
              <w:sym w:font="Symbol" w:char="F02D"/>
            </w:r>
            <w:r w:rsidRPr="00D22B39">
              <w:rPr>
                <w:rFonts w:eastAsia="SimSun"/>
                <w:sz w:val="18"/>
                <w:szCs w:val="18"/>
                <w:lang w:val="en-GB" w:eastAsia="en-US"/>
              </w:rPr>
              <w:t> 20%).</w:t>
            </w:r>
          </w:p>
          <w:p w14:paraId="7C3318D7" w14:textId="77777777" w:rsidR="008F369D" w:rsidRPr="00D22B39" w:rsidRDefault="00016F29" w:rsidP="008919D7">
            <w:pPr>
              <w:spacing w:line="280" w:lineRule="atLeast"/>
              <w:jc w:val="both"/>
              <w:rPr>
                <w:sz w:val="18"/>
                <w:szCs w:val="18"/>
                <w:lang w:val="en-GB"/>
              </w:rPr>
            </w:pPr>
            <w:r w:rsidRPr="00D22B39">
              <w:rPr>
                <w:rFonts w:eastAsia="MS PGothic"/>
                <w:sz w:val="18"/>
                <w:szCs w:val="18"/>
                <w:vertAlign w:val="superscript"/>
                <w:lang w:val="en-GB"/>
              </w:rPr>
              <w:t>b</w:t>
            </w:r>
            <w:r w:rsidRPr="00D22B39">
              <w:rPr>
                <w:sz w:val="18"/>
                <w:szCs w:val="18"/>
                <w:lang w:val="en-GB"/>
              </w:rPr>
              <w:t xml:space="preserve"> The 95.1% confidence level reflects an additional 0.001 alpha to account for an interim efficacy analysis.</w:t>
            </w:r>
          </w:p>
        </w:tc>
      </w:tr>
    </w:tbl>
    <w:p w14:paraId="7C3318D9" w14:textId="77777777" w:rsidR="008F369D" w:rsidRPr="00454791" w:rsidRDefault="008F369D" w:rsidP="008F369D">
      <w:pPr>
        <w:rPr>
          <w:szCs w:val="22"/>
          <w:lang w:val="en-GB"/>
        </w:rPr>
      </w:pPr>
    </w:p>
    <w:p w14:paraId="7C3318DA" w14:textId="77777777" w:rsidR="008F369D" w:rsidRPr="00F638AF" w:rsidRDefault="00016F29" w:rsidP="008F369D">
      <w:pPr>
        <w:keepNext/>
        <w:keepLines/>
        <w:ind w:left="1134" w:hanging="1134"/>
        <w:rPr>
          <w:b/>
          <w:szCs w:val="22"/>
          <w:lang w:val="en-GB"/>
        </w:rPr>
      </w:pPr>
      <w:r w:rsidRPr="00F638AF">
        <w:rPr>
          <w:b/>
          <w:szCs w:val="22"/>
          <w:lang w:val="en-GB"/>
        </w:rPr>
        <w:t xml:space="preserve">Table </w:t>
      </w:r>
      <w:r w:rsidR="003B2031" w:rsidRPr="00F638AF">
        <w:rPr>
          <w:b/>
          <w:szCs w:val="22"/>
          <w:lang w:val="en-GB"/>
        </w:rPr>
        <w:t xml:space="preserve">20 </w:t>
      </w:r>
      <w:r w:rsidRPr="00F638AF">
        <w:rPr>
          <w:b/>
          <w:szCs w:val="22"/>
          <w:lang w:val="en-GB"/>
        </w:rPr>
        <w:tab/>
        <w:t>Complete remission at 6</w:t>
      </w:r>
      <w:r w:rsidR="000A6DDA" w:rsidRPr="00F638AF">
        <w:rPr>
          <w:b/>
          <w:szCs w:val="22"/>
          <w:lang w:val="en-GB"/>
        </w:rPr>
        <w:noBreakHyphen/>
      </w:r>
      <w:r w:rsidRPr="00F638AF">
        <w:rPr>
          <w:b/>
          <w:szCs w:val="22"/>
          <w:lang w:val="en-GB"/>
        </w:rPr>
        <w:t>months by disease status</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9"/>
        <w:gridCol w:w="2074"/>
        <w:gridCol w:w="2253"/>
        <w:gridCol w:w="2131"/>
      </w:tblGrid>
      <w:tr w:rsidR="003A788B" w14:paraId="7C3318DF" w14:textId="77777777" w:rsidTr="008919D7">
        <w:tc>
          <w:tcPr>
            <w:tcW w:w="2126" w:type="dxa"/>
            <w:tcBorders>
              <w:bottom w:val="single" w:sz="4" w:space="0" w:color="auto"/>
            </w:tcBorders>
            <w:shd w:val="clear" w:color="auto" w:fill="auto"/>
          </w:tcPr>
          <w:p w14:paraId="7C3318DB" w14:textId="77777777" w:rsidR="008F369D" w:rsidRPr="00F638AF" w:rsidRDefault="008F369D" w:rsidP="008919D7">
            <w:pPr>
              <w:keepNext/>
              <w:keepLines/>
              <w:autoSpaceDE w:val="0"/>
              <w:autoSpaceDN w:val="0"/>
              <w:adjustRightInd w:val="0"/>
              <w:jc w:val="center"/>
              <w:rPr>
                <w:rFonts w:eastAsia="Calibri"/>
                <w:b/>
                <w:iCs/>
                <w:szCs w:val="22"/>
                <w:lang w:val="en-GB" w:eastAsia="zh-TW"/>
              </w:rPr>
            </w:pPr>
          </w:p>
        </w:tc>
        <w:tc>
          <w:tcPr>
            <w:tcW w:w="2126" w:type="dxa"/>
            <w:tcBorders>
              <w:bottom w:val="single" w:sz="4" w:space="0" w:color="auto"/>
            </w:tcBorders>
            <w:shd w:val="clear" w:color="auto" w:fill="auto"/>
          </w:tcPr>
          <w:p w14:paraId="7C3318DC" w14:textId="77777777" w:rsidR="008F369D" w:rsidRPr="00F638AF" w:rsidRDefault="00016F29" w:rsidP="008919D7">
            <w:pPr>
              <w:keepNext/>
              <w:keepLines/>
              <w:autoSpaceDE w:val="0"/>
              <w:autoSpaceDN w:val="0"/>
              <w:adjustRightInd w:val="0"/>
              <w:jc w:val="center"/>
              <w:rPr>
                <w:rFonts w:eastAsia="Calibri"/>
                <w:b/>
                <w:iCs/>
                <w:szCs w:val="22"/>
                <w:lang w:val="en-GB" w:eastAsia="zh-TW"/>
              </w:rPr>
            </w:pPr>
            <w:r w:rsidRPr="00F638AF">
              <w:rPr>
                <w:rFonts w:eastAsia="Calibri"/>
                <w:b/>
                <w:iCs/>
                <w:szCs w:val="22"/>
                <w:lang w:val="en-GB" w:eastAsia="zh-TW"/>
              </w:rPr>
              <w:t>MabThera</w:t>
            </w:r>
          </w:p>
        </w:tc>
        <w:tc>
          <w:tcPr>
            <w:tcW w:w="2268" w:type="dxa"/>
            <w:tcBorders>
              <w:bottom w:val="single" w:sz="4" w:space="0" w:color="auto"/>
            </w:tcBorders>
            <w:shd w:val="clear" w:color="auto" w:fill="auto"/>
          </w:tcPr>
          <w:p w14:paraId="7C3318DD" w14:textId="77777777" w:rsidR="008F369D" w:rsidRPr="00F638AF" w:rsidRDefault="00016F29" w:rsidP="008919D7">
            <w:pPr>
              <w:keepNext/>
              <w:keepLines/>
              <w:autoSpaceDE w:val="0"/>
              <w:autoSpaceDN w:val="0"/>
              <w:adjustRightInd w:val="0"/>
              <w:jc w:val="center"/>
              <w:rPr>
                <w:rFonts w:eastAsia="Calibri"/>
                <w:b/>
                <w:iCs/>
                <w:szCs w:val="22"/>
                <w:lang w:val="en-GB" w:eastAsia="zh-TW"/>
              </w:rPr>
            </w:pPr>
            <w:r w:rsidRPr="00F638AF">
              <w:rPr>
                <w:rFonts w:eastAsia="Calibri"/>
                <w:b/>
                <w:iCs/>
                <w:szCs w:val="22"/>
                <w:lang w:val="en-GB" w:eastAsia="zh-TW"/>
              </w:rPr>
              <w:t>Cyclophosphamide</w:t>
            </w:r>
          </w:p>
        </w:tc>
        <w:tc>
          <w:tcPr>
            <w:tcW w:w="2189" w:type="dxa"/>
            <w:tcBorders>
              <w:bottom w:val="single" w:sz="4" w:space="0" w:color="auto"/>
            </w:tcBorders>
            <w:shd w:val="clear" w:color="auto" w:fill="auto"/>
          </w:tcPr>
          <w:p w14:paraId="7C3318DE" w14:textId="77777777" w:rsidR="008F369D" w:rsidRPr="00F638AF" w:rsidRDefault="00016F29" w:rsidP="008919D7">
            <w:pPr>
              <w:keepNext/>
              <w:keepLines/>
              <w:autoSpaceDE w:val="0"/>
              <w:autoSpaceDN w:val="0"/>
              <w:adjustRightInd w:val="0"/>
              <w:jc w:val="center"/>
              <w:rPr>
                <w:rFonts w:eastAsia="Calibri"/>
                <w:b/>
                <w:iCs/>
                <w:szCs w:val="22"/>
                <w:lang w:val="en-GB" w:eastAsia="zh-TW"/>
              </w:rPr>
            </w:pPr>
            <w:r w:rsidRPr="00F638AF">
              <w:rPr>
                <w:rFonts w:eastAsia="Calibri"/>
                <w:b/>
                <w:iCs/>
                <w:szCs w:val="22"/>
                <w:lang w:val="en-GB" w:eastAsia="zh-TW"/>
              </w:rPr>
              <w:t>Difference (CI 95%)</w:t>
            </w:r>
          </w:p>
        </w:tc>
      </w:tr>
      <w:tr w:rsidR="003A788B" w14:paraId="7C3318E4" w14:textId="77777777" w:rsidTr="008919D7">
        <w:tc>
          <w:tcPr>
            <w:tcW w:w="2126" w:type="dxa"/>
            <w:tcBorders>
              <w:top w:val="single" w:sz="4" w:space="0" w:color="auto"/>
              <w:left w:val="single" w:sz="4" w:space="0" w:color="auto"/>
              <w:bottom w:val="nil"/>
              <w:right w:val="single" w:sz="4" w:space="0" w:color="auto"/>
            </w:tcBorders>
            <w:shd w:val="clear" w:color="auto" w:fill="auto"/>
          </w:tcPr>
          <w:p w14:paraId="7C3318E0" w14:textId="77777777" w:rsidR="008F369D" w:rsidRPr="00F638AF" w:rsidRDefault="00016F29" w:rsidP="008919D7">
            <w:pPr>
              <w:autoSpaceDE w:val="0"/>
              <w:autoSpaceDN w:val="0"/>
              <w:adjustRightInd w:val="0"/>
              <w:rPr>
                <w:rFonts w:eastAsia="Calibri"/>
                <w:b/>
                <w:iCs/>
                <w:szCs w:val="22"/>
                <w:lang w:val="en-GB" w:eastAsia="zh-TW"/>
              </w:rPr>
            </w:pPr>
            <w:r w:rsidRPr="00F638AF">
              <w:rPr>
                <w:rFonts w:eastAsia="Calibri"/>
                <w:b/>
                <w:iCs/>
                <w:szCs w:val="22"/>
                <w:lang w:val="en-GB" w:eastAsia="zh-TW"/>
              </w:rPr>
              <w:t>All patients</w:t>
            </w:r>
          </w:p>
        </w:tc>
        <w:tc>
          <w:tcPr>
            <w:tcW w:w="2126" w:type="dxa"/>
            <w:tcBorders>
              <w:top w:val="single" w:sz="4" w:space="0" w:color="auto"/>
              <w:left w:val="single" w:sz="4" w:space="0" w:color="auto"/>
              <w:bottom w:val="nil"/>
              <w:right w:val="single" w:sz="4" w:space="0" w:color="auto"/>
            </w:tcBorders>
            <w:shd w:val="clear" w:color="auto" w:fill="auto"/>
          </w:tcPr>
          <w:p w14:paraId="7C3318E1" w14:textId="77777777" w:rsidR="008F369D" w:rsidRPr="00F638AF" w:rsidRDefault="00016F29" w:rsidP="008919D7">
            <w:pPr>
              <w:autoSpaceDE w:val="0"/>
              <w:autoSpaceDN w:val="0"/>
              <w:adjustRightInd w:val="0"/>
              <w:jc w:val="center"/>
              <w:rPr>
                <w:rFonts w:eastAsia="Calibri"/>
                <w:iCs/>
                <w:szCs w:val="22"/>
                <w:lang w:val="en-GB" w:eastAsia="zh-TW"/>
              </w:rPr>
            </w:pPr>
            <w:r w:rsidRPr="00F638AF">
              <w:rPr>
                <w:rFonts w:eastAsia="Calibri"/>
                <w:iCs/>
                <w:szCs w:val="22"/>
                <w:lang w:val="en-GB" w:eastAsia="zh-TW"/>
              </w:rPr>
              <w:t>n=99</w:t>
            </w:r>
          </w:p>
        </w:tc>
        <w:tc>
          <w:tcPr>
            <w:tcW w:w="2268" w:type="dxa"/>
            <w:tcBorders>
              <w:top w:val="single" w:sz="4" w:space="0" w:color="auto"/>
              <w:left w:val="single" w:sz="4" w:space="0" w:color="auto"/>
              <w:bottom w:val="nil"/>
              <w:right w:val="single" w:sz="4" w:space="0" w:color="auto"/>
            </w:tcBorders>
            <w:shd w:val="clear" w:color="auto" w:fill="auto"/>
          </w:tcPr>
          <w:p w14:paraId="7C3318E2" w14:textId="77777777" w:rsidR="008F369D" w:rsidRPr="00F638AF" w:rsidRDefault="00016F29" w:rsidP="008919D7">
            <w:pPr>
              <w:autoSpaceDE w:val="0"/>
              <w:autoSpaceDN w:val="0"/>
              <w:adjustRightInd w:val="0"/>
              <w:jc w:val="center"/>
              <w:rPr>
                <w:rFonts w:eastAsia="Calibri"/>
                <w:iCs/>
                <w:szCs w:val="22"/>
                <w:lang w:val="en-GB" w:eastAsia="zh-TW"/>
              </w:rPr>
            </w:pPr>
            <w:r w:rsidRPr="00F638AF">
              <w:rPr>
                <w:rFonts w:eastAsia="Calibri"/>
                <w:iCs/>
                <w:szCs w:val="22"/>
                <w:lang w:val="en-GB" w:eastAsia="zh-TW"/>
              </w:rPr>
              <w:t>n=98</w:t>
            </w:r>
          </w:p>
        </w:tc>
        <w:tc>
          <w:tcPr>
            <w:tcW w:w="2189" w:type="dxa"/>
            <w:tcBorders>
              <w:top w:val="single" w:sz="4" w:space="0" w:color="auto"/>
              <w:left w:val="single" w:sz="4" w:space="0" w:color="auto"/>
              <w:bottom w:val="nil"/>
              <w:right w:val="single" w:sz="4" w:space="0" w:color="auto"/>
            </w:tcBorders>
            <w:shd w:val="clear" w:color="auto" w:fill="auto"/>
          </w:tcPr>
          <w:p w14:paraId="7C3318E3" w14:textId="77777777" w:rsidR="008F369D" w:rsidRPr="00F638AF" w:rsidRDefault="008F369D" w:rsidP="008919D7">
            <w:pPr>
              <w:autoSpaceDE w:val="0"/>
              <w:autoSpaceDN w:val="0"/>
              <w:adjustRightInd w:val="0"/>
              <w:rPr>
                <w:rFonts w:eastAsia="Calibri"/>
                <w:iCs/>
                <w:szCs w:val="22"/>
                <w:lang w:val="en-GB" w:eastAsia="zh-TW"/>
              </w:rPr>
            </w:pPr>
          </w:p>
        </w:tc>
      </w:tr>
      <w:tr w:rsidR="003A788B" w14:paraId="7C3318E9" w14:textId="77777777" w:rsidTr="008919D7">
        <w:tc>
          <w:tcPr>
            <w:tcW w:w="2126" w:type="dxa"/>
            <w:tcBorders>
              <w:top w:val="nil"/>
              <w:left w:val="single" w:sz="4" w:space="0" w:color="auto"/>
              <w:bottom w:val="nil"/>
              <w:right w:val="single" w:sz="4" w:space="0" w:color="auto"/>
            </w:tcBorders>
            <w:shd w:val="clear" w:color="auto" w:fill="auto"/>
          </w:tcPr>
          <w:p w14:paraId="7C3318E5" w14:textId="77777777" w:rsidR="008F369D" w:rsidRPr="00F638AF" w:rsidRDefault="00016F29" w:rsidP="008919D7">
            <w:pPr>
              <w:autoSpaceDE w:val="0"/>
              <w:autoSpaceDN w:val="0"/>
              <w:adjustRightInd w:val="0"/>
              <w:rPr>
                <w:rFonts w:eastAsia="Calibri"/>
                <w:b/>
                <w:iCs/>
                <w:szCs w:val="22"/>
                <w:lang w:val="en-GB" w:eastAsia="zh-TW"/>
              </w:rPr>
            </w:pPr>
            <w:r w:rsidRPr="00F638AF">
              <w:rPr>
                <w:rFonts w:eastAsia="Calibri"/>
                <w:b/>
                <w:iCs/>
                <w:szCs w:val="22"/>
                <w:lang w:val="en-GB" w:eastAsia="zh-TW"/>
              </w:rPr>
              <w:t>Newly diagnosed</w:t>
            </w:r>
          </w:p>
        </w:tc>
        <w:tc>
          <w:tcPr>
            <w:tcW w:w="2126" w:type="dxa"/>
            <w:tcBorders>
              <w:top w:val="nil"/>
              <w:left w:val="single" w:sz="4" w:space="0" w:color="auto"/>
              <w:bottom w:val="nil"/>
              <w:right w:val="single" w:sz="4" w:space="0" w:color="auto"/>
            </w:tcBorders>
            <w:shd w:val="clear" w:color="auto" w:fill="auto"/>
          </w:tcPr>
          <w:p w14:paraId="7C3318E6" w14:textId="77777777" w:rsidR="008F369D" w:rsidRPr="00F638AF" w:rsidRDefault="00016F29" w:rsidP="008919D7">
            <w:pPr>
              <w:autoSpaceDE w:val="0"/>
              <w:autoSpaceDN w:val="0"/>
              <w:adjustRightInd w:val="0"/>
              <w:jc w:val="center"/>
              <w:rPr>
                <w:rFonts w:eastAsia="Calibri"/>
                <w:iCs/>
                <w:szCs w:val="22"/>
                <w:lang w:val="en-GB" w:eastAsia="zh-TW"/>
              </w:rPr>
            </w:pPr>
            <w:r w:rsidRPr="00F638AF">
              <w:rPr>
                <w:rFonts w:eastAsia="Calibri"/>
                <w:iCs/>
                <w:szCs w:val="22"/>
                <w:lang w:val="en-GB" w:eastAsia="zh-TW"/>
              </w:rPr>
              <w:t>n=48</w:t>
            </w:r>
          </w:p>
        </w:tc>
        <w:tc>
          <w:tcPr>
            <w:tcW w:w="2268" w:type="dxa"/>
            <w:tcBorders>
              <w:top w:val="nil"/>
              <w:left w:val="single" w:sz="4" w:space="0" w:color="auto"/>
              <w:bottom w:val="nil"/>
              <w:right w:val="single" w:sz="4" w:space="0" w:color="auto"/>
            </w:tcBorders>
            <w:shd w:val="clear" w:color="auto" w:fill="auto"/>
          </w:tcPr>
          <w:p w14:paraId="7C3318E7" w14:textId="77777777" w:rsidR="008F369D" w:rsidRPr="00F638AF" w:rsidRDefault="00016F29" w:rsidP="008919D7">
            <w:pPr>
              <w:autoSpaceDE w:val="0"/>
              <w:autoSpaceDN w:val="0"/>
              <w:adjustRightInd w:val="0"/>
              <w:jc w:val="center"/>
              <w:rPr>
                <w:rFonts w:eastAsia="Calibri"/>
                <w:iCs/>
                <w:szCs w:val="22"/>
                <w:lang w:val="en-GB" w:eastAsia="zh-TW"/>
              </w:rPr>
            </w:pPr>
            <w:r w:rsidRPr="00F638AF">
              <w:rPr>
                <w:rFonts w:eastAsia="Calibri"/>
                <w:iCs/>
                <w:szCs w:val="22"/>
                <w:lang w:val="en-GB" w:eastAsia="zh-TW"/>
              </w:rPr>
              <w:t>n=48</w:t>
            </w:r>
          </w:p>
        </w:tc>
        <w:tc>
          <w:tcPr>
            <w:tcW w:w="2189" w:type="dxa"/>
            <w:tcBorders>
              <w:top w:val="nil"/>
              <w:left w:val="single" w:sz="4" w:space="0" w:color="auto"/>
              <w:bottom w:val="nil"/>
              <w:right w:val="single" w:sz="4" w:space="0" w:color="auto"/>
            </w:tcBorders>
            <w:shd w:val="clear" w:color="auto" w:fill="auto"/>
          </w:tcPr>
          <w:p w14:paraId="7C3318E8" w14:textId="77777777" w:rsidR="008F369D" w:rsidRPr="00F638AF" w:rsidRDefault="008F369D" w:rsidP="008919D7">
            <w:pPr>
              <w:autoSpaceDE w:val="0"/>
              <w:autoSpaceDN w:val="0"/>
              <w:adjustRightInd w:val="0"/>
              <w:rPr>
                <w:rFonts w:eastAsia="Calibri"/>
                <w:iCs/>
                <w:szCs w:val="22"/>
                <w:lang w:val="en-GB" w:eastAsia="zh-TW"/>
              </w:rPr>
            </w:pPr>
          </w:p>
        </w:tc>
      </w:tr>
      <w:tr w:rsidR="003A788B" w14:paraId="7C3318EE" w14:textId="77777777" w:rsidTr="008919D7">
        <w:tc>
          <w:tcPr>
            <w:tcW w:w="2126" w:type="dxa"/>
            <w:tcBorders>
              <w:top w:val="nil"/>
              <w:left w:val="single" w:sz="4" w:space="0" w:color="auto"/>
              <w:bottom w:val="single" w:sz="4" w:space="0" w:color="auto"/>
              <w:right w:val="single" w:sz="4" w:space="0" w:color="auto"/>
            </w:tcBorders>
            <w:shd w:val="clear" w:color="auto" w:fill="auto"/>
          </w:tcPr>
          <w:p w14:paraId="7C3318EA" w14:textId="77777777" w:rsidR="008F369D" w:rsidRPr="00F638AF" w:rsidRDefault="00016F29" w:rsidP="008919D7">
            <w:pPr>
              <w:autoSpaceDE w:val="0"/>
              <w:autoSpaceDN w:val="0"/>
              <w:adjustRightInd w:val="0"/>
              <w:rPr>
                <w:rFonts w:eastAsia="Calibri"/>
                <w:b/>
                <w:iCs/>
                <w:szCs w:val="22"/>
                <w:lang w:val="en-GB" w:eastAsia="zh-TW"/>
              </w:rPr>
            </w:pPr>
            <w:r w:rsidRPr="00F638AF">
              <w:rPr>
                <w:rFonts w:eastAsia="Calibri"/>
                <w:b/>
                <w:iCs/>
                <w:szCs w:val="22"/>
                <w:lang w:val="en-GB" w:eastAsia="zh-TW"/>
              </w:rPr>
              <w:t>Relapsing</w:t>
            </w:r>
          </w:p>
        </w:tc>
        <w:tc>
          <w:tcPr>
            <w:tcW w:w="2126" w:type="dxa"/>
            <w:tcBorders>
              <w:top w:val="nil"/>
              <w:left w:val="single" w:sz="4" w:space="0" w:color="auto"/>
              <w:bottom w:val="single" w:sz="4" w:space="0" w:color="auto"/>
              <w:right w:val="single" w:sz="4" w:space="0" w:color="auto"/>
            </w:tcBorders>
            <w:shd w:val="clear" w:color="auto" w:fill="auto"/>
          </w:tcPr>
          <w:p w14:paraId="7C3318EB" w14:textId="77777777" w:rsidR="008F369D" w:rsidRPr="00F638AF" w:rsidRDefault="00016F29" w:rsidP="008919D7">
            <w:pPr>
              <w:autoSpaceDE w:val="0"/>
              <w:autoSpaceDN w:val="0"/>
              <w:adjustRightInd w:val="0"/>
              <w:jc w:val="center"/>
              <w:rPr>
                <w:rFonts w:eastAsia="Calibri"/>
                <w:iCs/>
                <w:szCs w:val="22"/>
                <w:lang w:val="en-GB" w:eastAsia="zh-TW"/>
              </w:rPr>
            </w:pPr>
            <w:r w:rsidRPr="00F638AF">
              <w:rPr>
                <w:rFonts w:eastAsia="Calibri"/>
                <w:iCs/>
                <w:szCs w:val="22"/>
                <w:lang w:val="en-GB" w:eastAsia="zh-TW"/>
              </w:rPr>
              <w:t>n=51</w:t>
            </w:r>
          </w:p>
        </w:tc>
        <w:tc>
          <w:tcPr>
            <w:tcW w:w="2268" w:type="dxa"/>
            <w:tcBorders>
              <w:top w:val="nil"/>
              <w:left w:val="single" w:sz="4" w:space="0" w:color="auto"/>
              <w:bottom w:val="single" w:sz="4" w:space="0" w:color="auto"/>
              <w:right w:val="single" w:sz="4" w:space="0" w:color="auto"/>
            </w:tcBorders>
            <w:shd w:val="clear" w:color="auto" w:fill="auto"/>
          </w:tcPr>
          <w:p w14:paraId="7C3318EC" w14:textId="77777777" w:rsidR="008F369D" w:rsidRPr="00F638AF" w:rsidRDefault="00016F29" w:rsidP="008919D7">
            <w:pPr>
              <w:autoSpaceDE w:val="0"/>
              <w:autoSpaceDN w:val="0"/>
              <w:adjustRightInd w:val="0"/>
              <w:jc w:val="center"/>
              <w:rPr>
                <w:rFonts w:eastAsia="Calibri"/>
                <w:iCs/>
                <w:szCs w:val="22"/>
                <w:lang w:val="en-GB" w:eastAsia="zh-TW"/>
              </w:rPr>
            </w:pPr>
            <w:r w:rsidRPr="00F638AF">
              <w:rPr>
                <w:rFonts w:eastAsia="Calibri"/>
                <w:iCs/>
                <w:szCs w:val="22"/>
                <w:lang w:val="en-GB" w:eastAsia="zh-TW"/>
              </w:rPr>
              <w:t>n=50</w:t>
            </w:r>
          </w:p>
        </w:tc>
        <w:tc>
          <w:tcPr>
            <w:tcW w:w="2189" w:type="dxa"/>
            <w:tcBorders>
              <w:top w:val="nil"/>
              <w:left w:val="single" w:sz="4" w:space="0" w:color="auto"/>
              <w:bottom w:val="single" w:sz="4" w:space="0" w:color="auto"/>
              <w:right w:val="single" w:sz="4" w:space="0" w:color="auto"/>
            </w:tcBorders>
            <w:shd w:val="clear" w:color="auto" w:fill="auto"/>
          </w:tcPr>
          <w:p w14:paraId="7C3318ED" w14:textId="77777777" w:rsidR="008F369D" w:rsidRPr="00F638AF" w:rsidRDefault="008F369D" w:rsidP="008919D7">
            <w:pPr>
              <w:autoSpaceDE w:val="0"/>
              <w:autoSpaceDN w:val="0"/>
              <w:adjustRightInd w:val="0"/>
              <w:rPr>
                <w:rFonts w:eastAsia="Calibri"/>
                <w:iCs/>
                <w:szCs w:val="22"/>
                <w:lang w:val="en-GB" w:eastAsia="zh-TW"/>
              </w:rPr>
            </w:pPr>
          </w:p>
        </w:tc>
      </w:tr>
      <w:tr w:rsidR="003A788B" w14:paraId="7C3318F0" w14:textId="77777777" w:rsidTr="008919D7">
        <w:tc>
          <w:tcPr>
            <w:tcW w:w="8709" w:type="dxa"/>
            <w:gridSpan w:val="4"/>
            <w:tcBorders>
              <w:top w:val="single" w:sz="4" w:space="0" w:color="auto"/>
            </w:tcBorders>
            <w:shd w:val="clear" w:color="auto" w:fill="auto"/>
          </w:tcPr>
          <w:p w14:paraId="7C3318EF" w14:textId="77777777" w:rsidR="008F369D" w:rsidRPr="00F638AF" w:rsidRDefault="00016F29" w:rsidP="008919D7">
            <w:pPr>
              <w:autoSpaceDE w:val="0"/>
              <w:autoSpaceDN w:val="0"/>
              <w:adjustRightInd w:val="0"/>
              <w:rPr>
                <w:rFonts w:eastAsia="Calibri"/>
                <w:iCs/>
                <w:szCs w:val="22"/>
                <w:lang w:val="en-GB" w:eastAsia="zh-TW"/>
              </w:rPr>
            </w:pPr>
            <w:r w:rsidRPr="00F638AF">
              <w:rPr>
                <w:rFonts w:eastAsia="Calibri"/>
                <w:b/>
                <w:iCs/>
                <w:szCs w:val="22"/>
                <w:lang w:val="en-GB" w:eastAsia="zh-TW"/>
              </w:rPr>
              <w:t xml:space="preserve">Complete remission </w:t>
            </w:r>
          </w:p>
        </w:tc>
      </w:tr>
      <w:tr w:rsidR="003A788B" w14:paraId="7C3318F5" w14:textId="77777777" w:rsidTr="008919D7">
        <w:tc>
          <w:tcPr>
            <w:tcW w:w="2126" w:type="dxa"/>
            <w:shd w:val="clear" w:color="auto" w:fill="auto"/>
          </w:tcPr>
          <w:p w14:paraId="7C3318F1" w14:textId="77777777" w:rsidR="008F369D" w:rsidRPr="00F638AF" w:rsidRDefault="00016F29" w:rsidP="008919D7">
            <w:pPr>
              <w:autoSpaceDE w:val="0"/>
              <w:autoSpaceDN w:val="0"/>
              <w:adjustRightInd w:val="0"/>
              <w:rPr>
                <w:rFonts w:eastAsia="Calibri"/>
                <w:b/>
                <w:iCs/>
                <w:szCs w:val="22"/>
                <w:lang w:val="en-GB" w:eastAsia="zh-TW"/>
              </w:rPr>
            </w:pPr>
            <w:r w:rsidRPr="00F638AF">
              <w:rPr>
                <w:rFonts w:eastAsia="Calibri"/>
                <w:b/>
                <w:iCs/>
                <w:szCs w:val="22"/>
                <w:lang w:val="en-GB" w:eastAsia="zh-TW"/>
              </w:rPr>
              <w:t>All Patients</w:t>
            </w:r>
          </w:p>
        </w:tc>
        <w:tc>
          <w:tcPr>
            <w:tcW w:w="2126" w:type="dxa"/>
            <w:shd w:val="clear" w:color="auto" w:fill="auto"/>
          </w:tcPr>
          <w:p w14:paraId="7C3318F2" w14:textId="77777777" w:rsidR="008F369D" w:rsidRPr="00F638AF" w:rsidRDefault="00016F29" w:rsidP="008919D7">
            <w:pPr>
              <w:autoSpaceDE w:val="0"/>
              <w:autoSpaceDN w:val="0"/>
              <w:adjustRightInd w:val="0"/>
              <w:jc w:val="center"/>
              <w:rPr>
                <w:rFonts w:eastAsia="Calibri"/>
                <w:iCs/>
                <w:szCs w:val="22"/>
                <w:lang w:val="en-GB" w:eastAsia="zh-TW"/>
              </w:rPr>
            </w:pPr>
            <w:r w:rsidRPr="00F638AF">
              <w:rPr>
                <w:rFonts w:eastAsia="Calibri"/>
                <w:iCs/>
                <w:szCs w:val="22"/>
                <w:lang w:val="en-GB" w:eastAsia="zh-TW"/>
              </w:rPr>
              <w:t>63.6%</w:t>
            </w:r>
          </w:p>
        </w:tc>
        <w:tc>
          <w:tcPr>
            <w:tcW w:w="2268" w:type="dxa"/>
            <w:shd w:val="clear" w:color="auto" w:fill="auto"/>
          </w:tcPr>
          <w:p w14:paraId="7C3318F3" w14:textId="77777777" w:rsidR="008F369D" w:rsidRPr="00F638AF" w:rsidRDefault="00016F29" w:rsidP="008919D7">
            <w:pPr>
              <w:autoSpaceDE w:val="0"/>
              <w:autoSpaceDN w:val="0"/>
              <w:adjustRightInd w:val="0"/>
              <w:jc w:val="center"/>
              <w:rPr>
                <w:rFonts w:eastAsia="Calibri"/>
                <w:iCs/>
                <w:szCs w:val="22"/>
                <w:lang w:val="en-GB" w:eastAsia="zh-TW"/>
              </w:rPr>
            </w:pPr>
            <w:r w:rsidRPr="00F638AF">
              <w:rPr>
                <w:rFonts w:eastAsia="Calibri"/>
                <w:iCs/>
                <w:szCs w:val="22"/>
                <w:lang w:val="en-GB" w:eastAsia="zh-TW"/>
              </w:rPr>
              <w:t>53.1%</w:t>
            </w:r>
          </w:p>
        </w:tc>
        <w:tc>
          <w:tcPr>
            <w:tcW w:w="2189" w:type="dxa"/>
            <w:shd w:val="clear" w:color="auto" w:fill="auto"/>
          </w:tcPr>
          <w:p w14:paraId="7C3318F4" w14:textId="77777777" w:rsidR="008F369D" w:rsidRPr="00F638AF" w:rsidRDefault="00016F29" w:rsidP="008919D7">
            <w:pPr>
              <w:autoSpaceDE w:val="0"/>
              <w:autoSpaceDN w:val="0"/>
              <w:adjustRightInd w:val="0"/>
              <w:jc w:val="center"/>
              <w:rPr>
                <w:rFonts w:eastAsia="Calibri"/>
                <w:iCs/>
                <w:szCs w:val="22"/>
                <w:lang w:val="en-GB" w:eastAsia="zh-TW"/>
              </w:rPr>
            </w:pPr>
            <w:r w:rsidRPr="00F638AF">
              <w:rPr>
                <w:rFonts w:eastAsia="Calibri"/>
                <w:iCs/>
                <w:szCs w:val="22"/>
                <w:lang w:val="en-GB" w:eastAsia="zh-TW"/>
              </w:rPr>
              <w:t>10.6% (</w:t>
            </w:r>
            <w:r w:rsidR="000A6DDA" w:rsidRPr="00F638AF">
              <w:rPr>
                <w:rFonts w:ascii="Cambria Math" w:eastAsia="Calibri" w:hAnsi="Cambria Math" w:cs="Cambria Math"/>
                <w:iCs/>
                <w:szCs w:val="22"/>
                <w:lang w:val="en-GB" w:eastAsia="zh-TW"/>
              </w:rPr>
              <w:noBreakHyphen/>
            </w:r>
            <w:r w:rsidRPr="00F638AF">
              <w:rPr>
                <w:rFonts w:eastAsia="Calibri"/>
                <w:iCs/>
                <w:szCs w:val="22"/>
                <w:lang w:val="en-GB" w:eastAsia="zh-TW"/>
              </w:rPr>
              <w:t>3.2, 24.3)</w:t>
            </w:r>
          </w:p>
        </w:tc>
      </w:tr>
      <w:tr w:rsidR="003A788B" w14:paraId="7C3318FA" w14:textId="77777777" w:rsidTr="008919D7">
        <w:tc>
          <w:tcPr>
            <w:tcW w:w="2126" w:type="dxa"/>
            <w:shd w:val="clear" w:color="auto" w:fill="auto"/>
          </w:tcPr>
          <w:p w14:paraId="7C3318F6" w14:textId="77777777" w:rsidR="008F369D" w:rsidRPr="00F638AF" w:rsidRDefault="00016F29" w:rsidP="008919D7">
            <w:pPr>
              <w:autoSpaceDE w:val="0"/>
              <w:autoSpaceDN w:val="0"/>
              <w:adjustRightInd w:val="0"/>
              <w:rPr>
                <w:rFonts w:eastAsia="Calibri"/>
                <w:b/>
                <w:iCs/>
                <w:szCs w:val="22"/>
                <w:lang w:val="en-GB" w:eastAsia="zh-TW"/>
              </w:rPr>
            </w:pPr>
            <w:r w:rsidRPr="00F638AF">
              <w:rPr>
                <w:rFonts w:eastAsia="Calibri"/>
                <w:b/>
                <w:iCs/>
                <w:szCs w:val="22"/>
                <w:lang w:val="en-GB" w:eastAsia="zh-TW"/>
              </w:rPr>
              <w:t>Newly diagnosed</w:t>
            </w:r>
          </w:p>
        </w:tc>
        <w:tc>
          <w:tcPr>
            <w:tcW w:w="2126" w:type="dxa"/>
            <w:shd w:val="clear" w:color="auto" w:fill="auto"/>
          </w:tcPr>
          <w:p w14:paraId="7C3318F7" w14:textId="77777777" w:rsidR="008F369D" w:rsidRPr="00F638AF" w:rsidRDefault="00016F29" w:rsidP="008919D7">
            <w:pPr>
              <w:autoSpaceDE w:val="0"/>
              <w:autoSpaceDN w:val="0"/>
              <w:adjustRightInd w:val="0"/>
              <w:jc w:val="center"/>
              <w:rPr>
                <w:rFonts w:eastAsia="Calibri"/>
                <w:iCs/>
                <w:szCs w:val="22"/>
                <w:lang w:val="en-GB" w:eastAsia="zh-TW"/>
              </w:rPr>
            </w:pPr>
            <w:r w:rsidRPr="00F638AF">
              <w:rPr>
                <w:rFonts w:eastAsia="Calibri"/>
                <w:iCs/>
                <w:szCs w:val="22"/>
                <w:lang w:val="en-GB" w:eastAsia="zh-TW"/>
              </w:rPr>
              <w:t>60.4%</w:t>
            </w:r>
          </w:p>
        </w:tc>
        <w:tc>
          <w:tcPr>
            <w:tcW w:w="2268" w:type="dxa"/>
            <w:shd w:val="clear" w:color="auto" w:fill="auto"/>
          </w:tcPr>
          <w:p w14:paraId="7C3318F8" w14:textId="77777777" w:rsidR="008F369D" w:rsidRPr="00F638AF" w:rsidRDefault="00016F29" w:rsidP="008919D7">
            <w:pPr>
              <w:autoSpaceDE w:val="0"/>
              <w:autoSpaceDN w:val="0"/>
              <w:adjustRightInd w:val="0"/>
              <w:jc w:val="center"/>
              <w:rPr>
                <w:rFonts w:eastAsia="Calibri"/>
                <w:iCs/>
                <w:szCs w:val="22"/>
                <w:lang w:val="en-GB" w:eastAsia="zh-TW"/>
              </w:rPr>
            </w:pPr>
            <w:r w:rsidRPr="00F638AF">
              <w:rPr>
                <w:rFonts w:eastAsia="Calibri"/>
                <w:iCs/>
                <w:szCs w:val="22"/>
                <w:lang w:val="en-GB" w:eastAsia="zh-TW"/>
              </w:rPr>
              <w:t>64.6%</w:t>
            </w:r>
          </w:p>
        </w:tc>
        <w:tc>
          <w:tcPr>
            <w:tcW w:w="2189" w:type="dxa"/>
            <w:shd w:val="clear" w:color="auto" w:fill="auto"/>
          </w:tcPr>
          <w:p w14:paraId="7C3318F9" w14:textId="77777777" w:rsidR="008F369D" w:rsidRPr="00F638AF" w:rsidRDefault="00016F29" w:rsidP="008919D7">
            <w:pPr>
              <w:autoSpaceDE w:val="0"/>
              <w:autoSpaceDN w:val="0"/>
              <w:adjustRightInd w:val="0"/>
              <w:jc w:val="center"/>
              <w:rPr>
                <w:rFonts w:eastAsia="Calibri"/>
                <w:iCs/>
                <w:szCs w:val="22"/>
                <w:lang w:val="en-GB" w:eastAsia="zh-TW"/>
              </w:rPr>
            </w:pPr>
            <w:r w:rsidRPr="00F638AF">
              <w:rPr>
                <w:rFonts w:eastAsia="Calibri"/>
                <w:iCs/>
                <w:szCs w:val="22"/>
                <w:lang w:val="en-GB" w:eastAsia="zh-TW"/>
              </w:rPr>
              <w:t>− 4.2% (− 23.6, 15.3)</w:t>
            </w:r>
          </w:p>
        </w:tc>
      </w:tr>
      <w:tr w:rsidR="003A788B" w14:paraId="7C3318FF" w14:textId="77777777" w:rsidTr="008919D7">
        <w:tc>
          <w:tcPr>
            <w:tcW w:w="2126" w:type="dxa"/>
            <w:shd w:val="clear" w:color="auto" w:fill="auto"/>
          </w:tcPr>
          <w:p w14:paraId="7C3318FB" w14:textId="77777777" w:rsidR="008F369D" w:rsidRPr="00F638AF" w:rsidRDefault="00016F29" w:rsidP="008919D7">
            <w:pPr>
              <w:autoSpaceDE w:val="0"/>
              <w:autoSpaceDN w:val="0"/>
              <w:adjustRightInd w:val="0"/>
              <w:rPr>
                <w:rFonts w:eastAsia="Calibri"/>
                <w:b/>
                <w:iCs/>
                <w:szCs w:val="22"/>
                <w:lang w:val="en-GB" w:eastAsia="zh-TW"/>
              </w:rPr>
            </w:pPr>
            <w:r w:rsidRPr="00F638AF">
              <w:rPr>
                <w:rFonts w:eastAsia="Calibri"/>
                <w:b/>
                <w:iCs/>
                <w:szCs w:val="22"/>
                <w:lang w:val="en-GB" w:eastAsia="zh-TW"/>
              </w:rPr>
              <w:t>Relapsing</w:t>
            </w:r>
          </w:p>
        </w:tc>
        <w:tc>
          <w:tcPr>
            <w:tcW w:w="2126" w:type="dxa"/>
            <w:shd w:val="clear" w:color="auto" w:fill="auto"/>
          </w:tcPr>
          <w:p w14:paraId="7C3318FC" w14:textId="77777777" w:rsidR="008F369D" w:rsidRPr="00F638AF" w:rsidRDefault="00016F29" w:rsidP="008919D7">
            <w:pPr>
              <w:autoSpaceDE w:val="0"/>
              <w:autoSpaceDN w:val="0"/>
              <w:adjustRightInd w:val="0"/>
              <w:jc w:val="center"/>
              <w:rPr>
                <w:rFonts w:eastAsia="Calibri"/>
                <w:iCs/>
                <w:szCs w:val="22"/>
                <w:lang w:val="en-GB" w:eastAsia="zh-TW"/>
              </w:rPr>
            </w:pPr>
            <w:r w:rsidRPr="00F638AF">
              <w:rPr>
                <w:rFonts w:eastAsia="Calibri"/>
                <w:iCs/>
                <w:szCs w:val="22"/>
                <w:lang w:val="en-GB" w:eastAsia="zh-TW"/>
              </w:rPr>
              <w:t>66.7%</w:t>
            </w:r>
          </w:p>
        </w:tc>
        <w:tc>
          <w:tcPr>
            <w:tcW w:w="2268" w:type="dxa"/>
            <w:shd w:val="clear" w:color="auto" w:fill="auto"/>
          </w:tcPr>
          <w:p w14:paraId="7C3318FD" w14:textId="77777777" w:rsidR="008F369D" w:rsidRPr="00F638AF" w:rsidRDefault="00016F29" w:rsidP="008919D7">
            <w:pPr>
              <w:autoSpaceDE w:val="0"/>
              <w:autoSpaceDN w:val="0"/>
              <w:adjustRightInd w:val="0"/>
              <w:jc w:val="center"/>
              <w:rPr>
                <w:rFonts w:eastAsia="Calibri"/>
                <w:iCs/>
                <w:szCs w:val="22"/>
                <w:lang w:val="en-GB" w:eastAsia="zh-TW"/>
              </w:rPr>
            </w:pPr>
            <w:r w:rsidRPr="00F638AF">
              <w:rPr>
                <w:rFonts w:eastAsia="Calibri"/>
                <w:iCs/>
                <w:szCs w:val="22"/>
                <w:lang w:val="en-GB" w:eastAsia="zh-TW"/>
              </w:rPr>
              <w:t>42.0%</w:t>
            </w:r>
          </w:p>
        </w:tc>
        <w:tc>
          <w:tcPr>
            <w:tcW w:w="2189" w:type="dxa"/>
            <w:shd w:val="clear" w:color="auto" w:fill="auto"/>
          </w:tcPr>
          <w:p w14:paraId="7C3318FE" w14:textId="77777777" w:rsidR="008F369D" w:rsidRPr="00F638AF" w:rsidRDefault="00016F29" w:rsidP="008919D7">
            <w:pPr>
              <w:autoSpaceDE w:val="0"/>
              <w:autoSpaceDN w:val="0"/>
              <w:adjustRightInd w:val="0"/>
              <w:jc w:val="center"/>
              <w:rPr>
                <w:rFonts w:eastAsia="Calibri"/>
                <w:iCs/>
                <w:szCs w:val="22"/>
                <w:lang w:val="en-GB" w:eastAsia="zh-TW"/>
              </w:rPr>
            </w:pPr>
            <w:r w:rsidRPr="00F638AF">
              <w:rPr>
                <w:rFonts w:eastAsia="Calibri"/>
                <w:iCs/>
                <w:szCs w:val="22"/>
                <w:lang w:val="en-GB" w:eastAsia="zh-TW"/>
              </w:rPr>
              <w:t>24.7% (5.8, 43.6)</w:t>
            </w:r>
          </w:p>
        </w:tc>
      </w:tr>
    </w:tbl>
    <w:p w14:paraId="7C331900" w14:textId="77777777" w:rsidR="008F369D" w:rsidRPr="00F638AF" w:rsidRDefault="00016F29" w:rsidP="008F369D">
      <w:pPr>
        <w:rPr>
          <w:rFonts w:eastAsia="Calibri"/>
          <w:sz w:val="18"/>
          <w:szCs w:val="18"/>
          <w:lang w:val="en-GB" w:eastAsia="zh-TW"/>
        </w:rPr>
      </w:pPr>
      <w:r w:rsidRPr="00F638AF">
        <w:rPr>
          <w:rFonts w:eastAsia="Calibri"/>
          <w:sz w:val="18"/>
          <w:szCs w:val="18"/>
          <w:lang w:val="en-GB" w:eastAsia="zh-TW"/>
        </w:rPr>
        <w:t xml:space="preserve"> </w:t>
      </w:r>
      <w:r w:rsidRPr="00F638AF">
        <w:rPr>
          <w:rFonts w:eastAsia="Calibri"/>
          <w:sz w:val="18"/>
          <w:szCs w:val="18"/>
          <w:lang w:val="en-GB" w:eastAsia="zh-TW"/>
        </w:rPr>
        <w:tab/>
        <w:t>Worst case imputation is applied for patients with missing data</w:t>
      </w:r>
    </w:p>
    <w:p w14:paraId="7C331901" w14:textId="77777777" w:rsidR="008F369D" w:rsidRPr="00F638AF" w:rsidRDefault="008F369D" w:rsidP="008F369D">
      <w:pPr>
        <w:rPr>
          <w:rFonts w:eastAsia="Calibri"/>
          <w:lang w:val="en-GB" w:eastAsia="zh-TW"/>
        </w:rPr>
      </w:pPr>
    </w:p>
    <w:p w14:paraId="7C331902" w14:textId="77777777" w:rsidR="008F369D" w:rsidRPr="00F638AF" w:rsidRDefault="00016F29" w:rsidP="008F369D">
      <w:pPr>
        <w:autoSpaceDE w:val="0"/>
        <w:autoSpaceDN w:val="0"/>
        <w:adjustRightInd w:val="0"/>
        <w:rPr>
          <w:rFonts w:eastAsia="Calibri"/>
          <w:i/>
          <w:iCs/>
          <w:szCs w:val="22"/>
          <w:lang w:val="en-GB" w:eastAsia="zh-TW"/>
        </w:rPr>
      </w:pPr>
      <w:r w:rsidRPr="00F638AF">
        <w:rPr>
          <w:rFonts w:eastAsia="Calibri"/>
          <w:i/>
          <w:iCs/>
          <w:szCs w:val="22"/>
          <w:lang w:val="en-GB" w:eastAsia="zh-TW"/>
        </w:rPr>
        <w:t xml:space="preserve">Complete </w:t>
      </w:r>
      <w:r w:rsidR="00FC6974" w:rsidRPr="00F638AF">
        <w:rPr>
          <w:rFonts w:eastAsia="Calibri"/>
          <w:i/>
          <w:iCs/>
          <w:szCs w:val="22"/>
          <w:lang w:val="en-GB" w:eastAsia="zh-TW"/>
        </w:rPr>
        <w:t>r</w:t>
      </w:r>
      <w:r w:rsidRPr="00F638AF">
        <w:rPr>
          <w:rFonts w:eastAsia="Calibri"/>
          <w:i/>
          <w:iCs/>
          <w:szCs w:val="22"/>
          <w:lang w:val="en-GB" w:eastAsia="zh-TW"/>
        </w:rPr>
        <w:t>emission at 12 and 18 months</w:t>
      </w:r>
    </w:p>
    <w:p w14:paraId="7C331903" w14:textId="77777777" w:rsidR="008F369D" w:rsidRPr="00F638AF" w:rsidRDefault="00016F29" w:rsidP="008F369D">
      <w:pPr>
        <w:rPr>
          <w:szCs w:val="22"/>
          <w:lang w:val="en-GB"/>
        </w:rPr>
      </w:pPr>
      <w:r w:rsidRPr="00F638AF">
        <w:rPr>
          <w:szCs w:val="22"/>
          <w:lang w:val="en-GB"/>
        </w:rPr>
        <w:t>In the MabThera group, 48% of patients achieved CR at 12 months, and 39% of patients achieved CR at 18 months. In patients treated with cyclophosphamide (followed by azathioprine for maintenance of complete remission), 39% of patients achieved CR at 12 months, and 33% of patients achieved CR at 18 months. From month 12 to month 18, 8 relapses were observed in the MabThera group compared with four in the cyclophosphamide group.</w:t>
      </w:r>
    </w:p>
    <w:p w14:paraId="7C331904" w14:textId="77777777" w:rsidR="008F369D" w:rsidRPr="00F638AF" w:rsidRDefault="008F369D" w:rsidP="008F369D">
      <w:pPr>
        <w:rPr>
          <w:szCs w:val="22"/>
          <w:lang w:val="en-GB"/>
        </w:rPr>
      </w:pPr>
    </w:p>
    <w:p w14:paraId="7C331905" w14:textId="77777777" w:rsidR="008F369D" w:rsidRPr="00F638AF" w:rsidRDefault="00016F29" w:rsidP="00E06A78">
      <w:pPr>
        <w:rPr>
          <w:szCs w:val="22"/>
          <w:lang w:val="en-GB"/>
        </w:rPr>
      </w:pPr>
      <w:r w:rsidRPr="00F638AF">
        <w:rPr>
          <w:i/>
          <w:szCs w:val="22"/>
          <w:lang w:val="en-GB"/>
        </w:rPr>
        <w:t xml:space="preserve">Laboratory </w:t>
      </w:r>
      <w:r w:rsidR="00FC6974" w:rsidRPr="00F638AF">
        <w:rPr>
          <w:i/>
          <w:szCs w:val="22"/>
          <w:lang w:val="en-GB"/>
        </w:rPr>
        <w:t>e</w:t>
      </w:r>
      <w:r w:rsidRPr="00F638AF">
        <w:rPr>
          <w:i/>
          <w:szCs w:val="22"/>
          <w:lang w:val="en-GB"/>
        </w:rPr>
        <w:t>valuations</w:t>
      </w:r>
    </w:p>
    <w:p w14:paraId="7C331906" w14:textId="77777777" w:rsidR="00E27798" w:rsidRPr="00F638AF" w:rsidRDefault="00016F29" w:rsidP="008F369D">
      <w:pPr>
        <w:rPr>
          <w:szCs w:val="22"/>
          <w:lang w:val="en-GB"/>
        </w:rPr>
      </w:pPr>
      <w:r w:rsidRPr="00F638AF">
        <w:rPr>
          <w:szCs w:val="22"/>
          <w:lang w:val="en-GB"/>
        </w:rPr>
        <w:t>A total of 23/99 (23%) MabThera</w:t>
      </w:r>
      <w:r w:rsidR="000A6DDA" w:rsidRPr="00F638AF">
        <w:rPr>
          <w:szCs w:val="22"/>
          <w:lang w:val="en-GB"/>
        </w:rPr>
        <w:noBreakHyphen/>
      </w:r>
      <w:r w:rsidRPr="00F638AF">
        <w:rPr>
          <w:szCs w:val="22"/>
          <w:lang w:val="en-GB"/>
        </w:rPr>
        <w:t>treated patients</w:t>
      </w:r>
      <w:r w:rsidR="009A36CA" w:rsidRPr="00F638AF">
        <w:rPr>
          <w:szCs w:val="22"/>
          <w:lang w:val="en-GB"/>
        </w:rPr>
        <w:t xml:space="preserve"> </w:t>
      </w:r>
      <w:r w:rsidR="006832BA" w:rsidRPr="00F638AF">
        <w:rPr>
          <w:szCs w:val="22"/>
          <w:lang w:val="en-GB"/>
        </w:rPr>
        <w:t xml:space="preserve">from </w:t>
      </w:r>
      <w:r w:rsidRPr="00F638AF">
        <w:rPr>
          <w:szCs w:val="22"/>
          <w:lang w:val="en-GB"/>
        </w:rPr>
        <w:t>the</w:t>
      </w:r>
      <w:r w:rsidR="006832BA" w:rsidRPr="00F638AF">
        <w:rPr>
          <w:szCs w:val="22"/>
          <w:lang w:val="en-GB"/>
        </w:rPr>
        <w:t xml:space="preserve"> induction of remission</w:t>
      </w:r>
      <w:r w:rsidRPr="00F638AF">
        <w:rPr>
          <w:szCs w:val="22"/>
          <w:lang w:val="en-GB"/>
        </w:rPr>
        <w:t xml:space="preserve"> trial tested positive for </w:t>
      </w:r>
      <w:r w:rsidR="002A00AD" w:rsidRPr="00F638AF">
        <w:rPr>
          <w:szCs w:val="22"/>
          <w:lang w:val="en-GB"/>
        </w:rPr>
        <w:t xml:space="preserve">ADA </w:t>
      </w:r>
      <w:r w:rsidRPr="00F638AF">
        <w:rPr>
          <w:szCs w:val="22"/>
          <w:lang w:val="en-GB"/>
        </w:rPr>
        <w:t>by 18 months. None of the 99 MabThera</w:t>
      </w:r>
      <w:r w:rsidR="000A6DDA" w:rsidRPr="00F638AF">
        <w:rPr>
          <w:szCs w:val="22"/>
          <w:lang w:val="en-GB"/>
        </w:rPr>
        <w:noBreakHyphen/>
      </w:r>
      <w:r w:rsidRPr="00F638AF">
        <w:rPr>
          <w:szCs w:val="22"/>
          <w:lang w:val="en-GB"/>
        </w:rPr>
        <w:t xml:space="preserve">treated patients were </w:t>
      </w:r>
      <w:r w:rsidR="002A00AD" w:rsidRPr="00F638AF">
        <w:rPr>
          <w:szCs w:val="22"/>
          <w:lang w:val="en-GB"/>
        </w:rPr>
        <w:t xml:space="preserve">ADA </w:t>
      </w:r>
      <w:r w:rsidRPr="00F638AF">
        <w:rPr>
          <w:szCs w:val="22"/>
          <w:lang w:val="en-GB"/>
        </w:rPr>
        <w:t>positive at screening.</w:t>
      </w:r>
      <w:r w:rsidR="00153C08" w:rsidRPr="00F638AF">
        <w:rPr>
          <w:szCs w:val="22"/>
          <w:lang w:val="en-GB"/>
        </w:rPr>
        <w:t xml:space="preserve">  There was no apparent </w:t>
      </w:r>
      <w:r w:rsidR="00196A3D" w:rsidRPr="00F638AF">
        <w:rPr>
          <w:szCs w:val="22"/>
          <w:lang w:val="en-GB"/>
        </w:rPr>
        <w:t xml:space="preserve">trend or </w:t>
      </w:r>
      <w:r w:rsidR="00153C08" w:rsidRPr="00F638AF">
        <w:rPr>
          <w:szCs w:val="22"/>
          <w:lang w:val="en-GB"/>
        </w:rPr>
        <w:t xml:space="preserve">negative impact of the presence of ADA on safety or efficacy in the </w:t>
      </w:r>
      <w:r w:rsidR="006832BA" w:rsidRPr="00F638AF">
        <w:rPr>
          <w:szCs w:val="22"/>
          <w:lang w:val="en-GB"/>
        </w:rPr>
        <w:t xml:space="preserve">induction of remission </w:t>
      </w:r>
      <w:r w:rsidR="00153C08" w:rsidRPr="00F638AF">
        <w:rPr>
          <w:szCs w:val="22"/>
          <w:lang w:val="en-GB"/>
        </w:rPr>
        <w:t>trial.</w:t>
      </w:r>
    </w:p>
    <w:p w14:paraId="7C331907" w14:textId="77777777" w:rsidR="00E27798" w:rsidRPr="00F638AF" w:rsidRDefault="00E27798" w:rsidP="008F369D">
      <w:pPr>
        <w:rPr>
          <w:szCs w:val="22"/>
          <w:lang w:val="en-GB"/>
        </w:rPr>
      </w:pPr>
    </w:p>
    <w:p w14:paraId="7C331908" w14:textId="77777777" w:rsidR="002A00AD" w:rsidRPr="00F638AF" w:rsidRDefault="00016F29" w:rsidP="00E454FF">
      <w:pPr>
        <w:rPr>
          <w:i/>
          <w:szCs w:val="22"/>
          <w:u w:val="single"/>
          <w:lang w:val="en-GB"/>
        </w:rPr>
      </w:pPr>
      <w:r w:rsidRPr="00F638AF">
        <w:rPr>
          <w:i/>
          <w:szCs w:val="22"/>
          <w:u w:val="single"/>
          <w:lang w:val="en-GB"/>
        </w:rPr>
        <w:t xml:space="preserve">Adult maintenance treatment </w:t>
      </w:r>
    </w:p>
    <w:p w14:paraId="7C331909" w14:textId="77777777" w:rsidR="002A00AD" w:rsidRPr="00E06A78" w:rsidRDefault="00016F29" w:rsidP="00474194">
      <w:pPr>
        <w:tabs>
          <w:tab w:val="left" w:pos="0"/>
        </w:tabs>
        <w:spacing w:line="240" w:lineRule="atLeast"/>
        <w:ind w:firstLine="17"/>
        <w:jc w:val="both"/>
      </w:pPr>
      <w:r w:rsidRPr="00F638AF">
        <w:t xml:space="preserve">A total of 117 patients (88 with GPA, 24 with MPA, and 5 with renal-limited ANCA-associated vasculitis) in disease remission were randomized to receive azathioprine (59 patients) or MabThera (58 patients) in a prospective, multi-center, controlled, open-label study.  </w:t>
      </w:r>
      <w:r w:rsidR="009807E9" w:rsidRPr="00F638AF">
        <w:t>Included</w:t>
      </w:r>
      <w:r w:rsidRPr="00F638AF">
        <w:t xml:space="preserve"> patients were 21 </w:t>
      </w:r>
      <w:r w:rsidR="000B1826" w:rsidRPr="00F638AF">
        <w:t>to</w:t>
      </w:r>
      <w:r w:rsidRPr="00F638AF">
        <w:t xml:space="preserve"> 75 years of age and had newly diagnosed or relapsing disease in complete remission after combined treatment with glucocorticoids and pulse cyclophosphamide. </w:t>
      </w:r>
      <w:r w:rsidR="009807E9" w:rsidRPr="00F638AF">
        <w:t>The majority of p</w:t>
      </w:r>
      <w:r w:rsidRPr="00F638AF">
        <w:t>atients were ANCA-positive at diagnosis or during the course of their disease; had histologically confirmed necrotizing small-vessel vasculitis with a clinical phenotype of GPA</w:t>
      </w:r>
      <w:r w:rsidR="00196A3D" w:rsidRPr="00F638AF">
        <w:t xml:space="preserve"> or </w:t>
      </w:r>
      <w:r w:rsidRPr="00F638AF">
        <w:t>MPA, or renal limited ANCA-associated vasculitis; or both.</w:t>
      </w:r>
    </w:p>
    <w:p w14:paraId="7C33190A" w14:textId="77777777" w:rsidR="00AF3053" w:rsidRPr="00E06A78" w:rsidRDefault="00AF3053" w:rsidP="00E06A78">
      <w:pPr>
        <w:tabs>
          <w:tab w:val="left" w:pos="0"/>
        </w:tabs>
        <w:spacing w:line="240" w:lineRule="atLeast"/>
        <w:ind w:firstLine="17"/>
        <w:jc w:val="both"/>
      </w:pPr>
    </w:p>
    <w:p w14:paraId="7C33190B" w14:textId="77777777" w:rsidR="002A00AD" w:rsidRPr="00F638AF" w:rsidRDefault="00016F29" w:rsidP="00E06A78">
      <w:pPr>
        <w:tabs>
          <w:tab w:val="left" w:pos="0"/>
        </w:tabs>
        <w:spacing w:line="240" w:lineRule="atLeast"/>
        <w:ind w:firstLine="17"/>
        <w:jc w:val="both"/>
      </w:pPr>
      <w:r w:rsidRPr="00F638AF">
        <w:t xml:space="preserve">Remission-induction therapy included </w:t>
      </w:r>
      <w:r w:rsidR="006832BA" w:rsidRPr="00F638AF">
        <w:t>IV</w:t>
      </w:r>
      <w:r w:rsidRPr="00F638AF">
        <w:t xml:space="preserve"> prednisone, administered as per the investigator’s discretion, preceded in some patients by methylprednisolone pulses, and pulse cyclophosphamide until remission was attained after 4 to 6 months. At that time, and within a maximum of 1 month after the last cyclophosphamide pulse, patients were randomly assigned to receive either MabThera (two 500</w:t>
      </w:r>
      <w:r w:rsidR="00F947F8">
        <w:t> </w:t>
      </w:r>
      <w:r w:rsidRPr="00F638AF">
        <w:t xml:space="preserve">mg IV infusions separated by two weeks </w:t>
      </w:r>
      <w:r w:rsidR="00175ABF" w:rsidRPr="00F638AF">
        <w:t>(</w:t>
      </w:r>
      <w:r w:rsidRPr="00F638AF">
        <w:t>on Day 1 and Day 15</w:t>
      </w:r>
      <w:r w:rsidR="00175ABF" w:rsidRPr="00F638AF">
        <w:t>)</w:t>
      </w:r>
      <w:r w:rsidRPr="00F638AF">
        <w:t xml:space="preserve"> followed by 500</w:t>
      </w:r>
      <w:r w:rsidR="00F947F8">
        <w:t> </w:t>
      </w:r>
      <w:r w:rsidRPr="00F638AF">
        <w:t>mg IV every 6 months for 18 months</w:t>
      </w:r>
      <w:r w:rsidR="000E27A5" w:rsidRPr="00F638AF">
        <w:t>)</w:t>
      </w:r>
      <w:r w:rsidRPr="00F638AF">
        <w:t xml:space="preserve"> or azathioprine (administered orally at a dose of 2 mg/kg/day for 12 months, then 1.5 mg/kg/day for 6 months, and finally 1 mg/kg/day for 4 months (treatment discontinuation after these 22 months)</w:t>
      </w:r>
      <w:r w:rsidR="000E27A5" w:rsidRPr="00F638AF">
        <w:t>)</w:t>
      </w:r>
      <w:r w:rsidRPr="00F638AF">
        <w:t>. Prednisone treatment was tapered and then kept at a low dose (approximately 5</w:t>
      </w:r>
      <w:r w:rsidR="00F947F8">
        <w:t> </w:t>
      </w:r>
      <w:r w:rsidRPr="00F638AF">
        <w:t xml:space="preserve">mg per day) for at least 18 months after randomization. Prednisone dose tapering and the decision to stop prednisone treatment after month 18 were left at the investigator’s discretion. </w:t>
      </w:r>
    </w:p>
    <w:p w14:paraId="7C33190C" w14:textId="77777777" w:rsidR="00F947F8" w:rsidRPr="00AF458E" w:rsidRDefault="00F947F8" w:rsidP="00F947F8"/>
    <w:p w14:paraId="7C33190D" w14:textId="77777777" w:rsidR="002A00AD" w:rsidRPr="00F638AF" w:rsidRDefault="00016F29" w:rsidP="00474194">
      <w:r w:rsidRPr="00F638AF">
        <w:t xml:space="preserve">All patients were followed until month 28 (10 or 6 months, respectively, after the last </w:t>
      </w:r>
      <w:r w:rsidR="006832BA" w:rsidRPr="00F638AF">
        <w:t xml:space="preserve">MabThera </w:t>
      </w:r>
      <w:r w:rsidRPr="00F638AF">
        <w:t xml:space="preserve">infusion or azathioprine dose). </w:t>
      </w:r>
      <w:r w:rsidRPr="00F638AF">
        <w:rPr>
          <w:i/>
        </w:rPr>
        <w:t>Pneumocystis jirovecii</w:t>
      </w:r>
      <w:r w:rsidRPr="00F638AF">
        <w:t xml:space="preserve"> pneumonia prophylaxis was required for all patients with CD4+ T-lymphocyte counts less than 250 per cubic millimeter.</w:t>
      </w:r>
    </w:p>
    <w:p w14:paraId="7C33190E" w14:textId="77777777" w:rsidR="00F947F8" w:rsidRPr="00AF458E" w:rsidRDefault="00F947F8" w:rsidP="00F947F8"/>
    <w:p w14:paraId="7C33190F" w14:textId="77777777" w:rsidR="002A00AD" w:rsidRPr="00F638AF" w:rsidRDefault="00016F29" w:rsidP="00E454FF">
      <w:r w:rsidRPr="00F638AF">
        <w:t xml:space="preserve">The primary outcome measure was the rate of major relapse at month 28. </w:t>
      </w:r>
    </w:p>
    <w:p w14:paraId="7C331910" w14:textId="77777777" w:rsidR="00026E7C" w:rsidRPr="00AB2B61" w:rsidRDefault="00026E7C" w:rsidP="00F947F8"/>
    <w:p w14:paraId="7C331911" w14:textId="77777777" w:rsidR="002A00AD" w:rsidRPr="00F638AF" w:rsidRDefault="00016F29" w:rsidP="00E06A78">
      <w:pPr>
        <w:spacing w:line="240" w:lineRule="atLeast"/>
        <w:rPr>
          <w:i/>
        </w:rPr>
      </w:pPr>
      <w:r w:rsidRPr="00F638AF">
        <w:rPr>
          <w:i/>
        </w:rPr>
        <w:t>Results</w:t>
      </w:r>
    </w:p>
    <w:p w14:paraId="7C331912" w14:textId="77777777" w:rsidR="002A00AD" w:rsidRPr="00F638AF" w:rsidRDefault="00016F29" w:rsidP="00E454FF">
      <w:r w:rsidRPr="00F638AF">
        <w:t xml:space="preserve">At month 28, major relapse (defined by the reappearance of clinical and/or laboratory signs of vasculitis activity ([BVAS] &gt; 0) that could lead to organ failure or damage or could be life threatening) occurred in </w:t>
      </w:r>
      <w:r w:rsidR="004D3D0D" w:rsidRPr="00F638AF">
        <w:t>3</w:t>
      </w:r>
      <w:r w:rsidRPr="00F638AF">
        <w:t xml:space="preserve"> patients (5%) in the </w:t>
      </w:r>
      <w:r w:rsidRPr="00E06A78">
        <w:rPr>
          <w:u w:val="single"/>
        </w:rPr>
        <w:t>MabThera</w:t>
      </w:r>
      <w:r w:rsidRPr="00F638AF">
        <w:t xml:space="preserve"> group and 17 patients (29%) in the azathioprine group (p=0.0007). Minor relapses (not life threatening and not involving major organ damage) occurred in seven patients in the MabThera group (12%) and eight patients in the azathioprine group (14%). </w:t>
      </w:r>
    </w:p>
    <w:p w14:paraId="7C331913" w14:textId="77777777" w:rsidR="00026E7C" w:rsidRPr="00AB2B61" w:rsidRDefault="00026E7C" w:rsidP="00DB0DA9"/>
    <w:p w14:paraId="7C331914" w14:textId="77777777" w:rsidR="002A00AD" w:rsidRPr="00F638AF" w:rsidRDefault="00016F29" w:rsidP="00E06A78">
      <w:pPr>
        <w:spacing w:line="240" w:lineRule="atLeast"/>
      </w:pPr>
      <w:r w:rsidRPr="00F638AF">
        <w:t>The cumulative incidence rate curves showed that time to first major relapse was longer in patients with MabThera starting from month 2 and was maintained up to month 28 (Figure 3).</w:t>
      </w:r>
    </w:p>
    <w:p w14:paraId="7C331915" w14:textId="77777777" w:rsidR="00026E7C" w:rsidRDefault="00026E7C" w:rsidP="00026E7C">
      <w:pPr>
        <w:spacing w:line="240" w:lineRule="atLeast"/>
        <w:rPr>
          <w:b/>
        </w:rPr>
      </w:pPr>
    </w:p>
    <w:p w14:paraId="7C331916" w14:textId="77777777" w:rsidR="00AB2B61" w:rsidRPr="00F638AF" w:rsidRDefault="00016F29">
      <w:pPr>
        <w:spacing w:line="240" w:lineRule="atLeast"/>
        <w:rPr>
          <w:b/>
        </w:rPr>
      </w:pPr>
      <w:r w:rsidRPr="00F638AF">
        <w:rPr>
          <w:b/>
        </w:rPr>
        <w:t>Figure 3</w:t>
      </w:r>
      <w:r w:rsidR="006832BA" w:rsidRPr="00F638AF">
        <w:rPr>
          <w:b/>
        </w:rPr>
        <w:t>:</w:t>
      </w:r>
      <w:r w:rsidRPr="00F638AF">
        <w:rPr>
          <w:b/>
        </w:rPr>
        <w:t xml:space="preserve"> </w:t>
      </w:r>
      <w:r w:rsidRPr="00F638AF">
        <w:rPr>
          <w:b/>
        </w:rPr>
        <w:tab/>
        <w:t>Cumulative incidence over time of first major relapse</w:t>
      </w:r>
    </w:p>
    <w:p w14:paraId="7C331917" w14:textId="77777777" w:rsidR="00AB2B61" w:rsidRPr="00F638AF" w:rsidRDefault="00016F29" w:rsidP="00E06A78">
      <w:pPr>
        <w:pStyle w:val="TextTi12"/>
        <w:spacing w:after="0" w:line="240" w:lineRule="atLeast"/>
        <w:rPr>
          <w:sz w:val="22"/>
        </w:rPr>
      </w:pPr>
      <w:r w:rsidRPr="00F638AF">
        <w:rPr>
          <w:noProof/>
          <w:lang w:eastAsia="en-US"/>
        </w:rPr>
        <mc:AlternateContent>
          <mc:Choice Requires="wps">
            <w:drawing>
              <wp:anchor distT="0" distB="0" distL="114300" distR="114300" simplePos="0" relativeHeight="251660288" behindDoc="0" locked="0" layoutInCell="1" allowOverlap="1" wp14:anchorId="7C332B19" wp14:editId="7C332B1A">
                <wp:simplePos x="0" y="0"/>
                <wp:positionH relativeFrom="column">
                  <wp:posOffset>-660400</wp:posOffset>
                </wp:positionH>
                <wp:positionV relativeFrom="paragraph">
                  <wp:posOffset>1232535</wp:posOffset>
                </wp:positionV>
                <wp:extent cx="1577975" cy="421005"/>
                <wp:effectExtent l="0" t="0" r="0" b="0"/>
                <wp:wrapNone/>
                <wp:docPr id="9" name="Text Box 9"/>
                <wp:cNvGraphicFramePr/>
                <a:graphic xmlns:a="http://schemas.openxmlformats.org/drawingml/2006/main">
                  <a:graphicData uri="http://schemas.microsoft.com/office/word/2010/wordprocessingShape">
                    <wps:wsp>
                      <wps:cNvSpPr txBox="1"/>
                      <wps:spPr>
                        <a:xfrm rot="16200000">
                          <a:off x="0" y="0"/>
                          <a:ext cx="1577975" cy="421005"/>
                        </a:xfrm>
                        <a:prstGeom prst="rect">
                          <a:avLst/>
                        </a:prstGeom>
                        <a:noFill/>
                        <a:ln w="6350">
                          <a:noFill/>
                        </a:ln>
                      </wps:spPr>
                      <wps:txbx>
                        <w:txbxContent>
                          <w:p w14:paraId="7C332B23" w14:textId="77777777" w:rsidR="00E716AF" w:rsidRDefault="00E716AF" w:rsidP="00E454FF">
                            <w:pPr>
                              <w:jc w:val="center"/>
                            </w:pPr>
                            <w:r w:rsidRPr="00E454FF">
                              <w:rPr>
                                <w:sz w:val="16"/>
                                <w:szCs w:val="16"/>
                              </w:rPr>
                              <w:t>Percentage of Patients with First Major Relapse</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7C332B19" id="_x0000_t202" coordsize="21600,21600" o:spt="202" path="m,l,21600r21600,l21600,xe">
                <v:stroke joinstyle="miter"/>
                <v:path gradientshapeok="t" o:connecttype="rect"/>
              </v:shapetype>
              <v:shape id="Text Box 9" o:spid="_x0000_s1026" type="#_x0000_t202" style="position:absolute;left:0;text-align:left;margin-left:-52pt;margin-top:97.05pt;width:124.25pt;height:33.1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" filled="f" stroked="f" strokeweight=".5pt">
                <v:textbox>
                  <w:txbxContent>
                    <w:p w14:paraId="7C332B23" w14:textId="77777777" w:rsidR="00E716AF" w:rsidRDefault="00E716AF" w:rsidP="00E454FF">
                      <w:pPr>
                        <w:jc w:val="center"/>
                      </w:pPr>
                      <w:r w:rsidRPr="00E454FF">
                        <w:rPr>
                          <w:sz w:val="16"/>
                          <w:szCs w:val="16"/>
                        </w:rPr>
                        <w:t>Percentage of Patients with First Major Relapse</w:t>
                      </w:r>
                    </w:p>
                  </w:txbxContent>
                </v:textbox>
              </v:shape>
            </w:pict>
          </mc:Fallback>
        </mc:AlternateContent>
      </w:r>
      <w:r w:rsidR="0081145C" w:rsidRPr="00F638AF">
        <w:rPr>
          <w:sz w:val="22"/>
        </w:rPr>
        <w:t xml:space="preserve">     </w:t>
      </w:r>
      <w:r w:rsidRPr="00F638AF">
        <w:rPr>
          <w:noProof/>
          <w:lang w:eastAsia="en-US"/>
        </w:rPr>
        <w:drawing>
          <wp:inline distT="0" distB="0" distL="0" distR="0" wp14:anchorId="7C332B1B" wp14:editId="7C332B1C">
            <wp:extent cx="5486400" cy="295275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74448" name="Picture 4"/>
                    <pic:cNvPicPr>
                      <a:picLocks noChangeAspect="1" noChangeArrowheads="1"/>
                    </pic:cNvPicPr>
                  </pic:nvPicPr>
                  <pic:blipFill>
                    <a:blip r:embed="rId16" cstate="print">
                      <a:grayscl/>
                      <a:extLst>
                        <a:ext uri="{28A0092B-C50C-407E-A947-70E740481C1C}">
                          <a14:useLocalDpi xmlns:a14="http://schemas.microsoft.com/office/drawing/2010/main" val="0"/>
                        </a:ext>
                      </a:extLst>
                    </a:blip>
                    <a:srcRect l="7716" t="11346" r="3851" b="18199"/>
                    <a:stretch>
                      <a:fillRect/>
                    </a:stretch>
                  </pic:blipFill>
                  <pic:spPr bwMode="auto">
                    <a:xfrm>
                      <a:off x="0" y="0"/>
                      <a:ext cx="5486400" cy="2952750"/>
                    </a:xfrm>
                    <a:prstGeom prst="rect">
                      <a:avLst/>
                    </a:prstGeom>
                    <a:noFill/>
                    <a:ln>
                      <a:noFill/>
                    </a:ln>
                  </pic:spPr>
                </pic:pic>
              </a:graphicData>
            </a:graphic>
          </wp:inline>
        </w:drawing>
      </w:r>
    </w:p>
    <w:p w14:paraId="7C331918" w14:textId="77777777" w:rsidR="000733FA" w:rsidRPr="00F638AF" w:rsidRDefault="00016F29" w:rsidP="00007B86">
      <w:pPr>
        <w:rPr>
          <w:sz w:val="16"/>
          <w:szCs w:val="16"/>
        </w:rPr>
      </w:pPr>
      <w:r w:rsidRPr="00F638AF">
        <w:rPr>
          <w:noProof/>
          <w:lang w:eastAsia="en-US"/>
        </w:rPr>
        <mc:AlternateContent>
          <mc:Choice Requires="wps">
            <w:drawing>
              <wp:anchor distT="0" distB="0" distL="114300" distR="114300" simplePos="0" relativeHeight="251658240" behindDoc="0" locked="0" layoutInCell="1" allowOverlap="1" wp14:anchorId="7C332B1D" wp14:editId="7C332B1E">
                <wp:simplePos x="0" y="0"/>
                <wp:positionH relativeFrom="column">
                  <wp:posOffset>2190115</wp:posOffset>
                </wp:positionH>
                <wp:positionV relativeFrom="paragraph">
                  <wp:posOffset>6350</wp:posOffset>
                </wp:positionV>
                <wp:extent cx="1343025" cy="250825"/>
                <wp:effectExtent l="0" t="0" r="0" b="0"/>
                <wp:wrapNone/>
                <wp:docPr id="8" name="Text Box 8"/>
                <wp:cNvGraphicFramePr/>
                <a:graphic xmlns:a="http://schemas.openxmlformats.org/drawingml/2006/main">
                  <a:graphicData uri="http://schemas.microsoft.com/office/word/2010/wordprocessingShape">
                    <wps:wsp>
                      <wps:cNvSpPr txBox="1"/>
                      <wps:spPr>
                        <a:xfrm>
                          <a:off x="0" y="0"/>
                          <a:ext cx="1343025" cy="250825"/>
                        </a:xfrm>
                        <a:prstGeom prst="rect">
                          <a:avLst/>
                        </a:prstGeom>
                        <a:noFill/>
                        <a:ln w="6350">
                          <a:noFill/>
                        </a:ln>
                      </wps:spPr>
                      <wps:txbx>
                        <w:txbxContent>
                          <w:p w14:paraId="7C332B24" w14:textId="77777777" w:rsidR="00E716AF" w:rsidRDefault="00E716AF" w:rsidP="00E454FF">
                            <w:pPr>
                              <w:jc w:val="center"/>
                            </w:pPr>
                            <w:r w:rsidRPr="00E454FF">
                              <w:rPr>
                                <w:sz w:val="16"/>
                                <w:szCs w:val="16"/>
                              </w:rPr>
                              <w:t>Survival Time (Months)</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C332B1D" id="Text Box 8" o:spid="_x0000_s1027" type="#_x0000_t202" style="position:absolute;margin-left:172.45pt;margin-top:.5pt;width:105.75pt;height:1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" filled="f" stroked="f" strokeweight=".5pt">
                <v:textbox>
                  <w:txbxContent>
                    <w:p w14:paraId="7C332B24" w14:textId="77777777" w:rsidR="00E716AF" w:rsidRDefault="00E716AF" w:rsidP="00E454FF">
                      <w:pPr>
                        <w:jc w:val="center"/>
                      </w:pPr>
                      <w:r w:rsidRPr="00E454FF">
                        <w:rPr>
                          <w:sz w:val="16"/>
                          <w:szCs w:val="16"/>
                        </w:rPr>
                        <w:t>Survival Time (Months)</w:t>
                      </w:r>
                    </w:p>
                  </w:txbxContent>
                </v:textbox>
              </v:shape>
            </w:pict>
          </mc:Fallback>
        </mc:AlternateContent>
      </w:r>
    </w:p>
    <w:p w14:paraId="7C331919" w14:textId="77777777" w:rsidR="00007B86" w:rsidRPr="000502DC" w:rsidRDefault="00007B86" w:rsidP="00007B86">
      <w:pPr>
        <w:rPr>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2"/>
        <w:gridCol w:w="534"/>
        <w:gridCol w:w="534"/>
        <w:gridCol w:w="535"/>
        <w:gridCol w:w="534"/>
        <w:gridCol w:w="535"/>
        <w:gridCol w:w="535"/>
        <w:gridCol w:w="535"/>
        <w:gridCol w:w="535"/>
        <w:gridCol w:w="535"/>
        <w:gridCol w:w="535"/>
        <w:gridCol w:w="522"/>
        <w:gridCol w:w="551"/>
        <w:gridCol w:w="551"/>
        <w:gridCol w:w="519"/>
        <w:gridCol w:w="519"/>
      </w:tblGrid>
      <w:tr w:rsidR="003A788B" w14:paraId="7C33191B" w14:textId="77777777" w:rsidTr="00AB0348">
        <w:tc>
          <w:tcPr>
            <w:tcW w:w="9061" w:type="dxa"/>
            <w:gridSpan w:val="16"/>
            <w:shd w:val="clear" w:color="auto" w:fill="auto"/>
          </w:tcPr>
          <w:p w14:paraId="7C33191A" w14:textId="77777777" w:rsidR="00007B86" w:rsidRPr="00F638AF" w:rsidRDefault="00016F29" w:rsidP="000C3576">
            <w:pPr>
              <w:pStyle w:val="FootnoteText"/>
              <w:rPr>
                <w:sz w:val="16"/>
                <w:lang w:val="en-GB"/>
              </w:rPr>
            </w:pPr>
            <w:r w:rsidRPr="00F638AF">
              <w:rPr>
                <w:sz w:val="16"/>
                <w:lang w:val="en-GB"/>
              </w:rPr>
              <w:t>Number of Subjects with Major Relapse</w:t>
            </w:r>
          </w:p>
        </w:tc>
      </w:tr>
      <w:tr w:rsidR="003A788B" w14:paraId="7C33192C" w14:textId="77777777" w:rsidTr="00AB0348">
        <w:tc>
          <w:tcPr>
            <w:tcW w:w="1052" w:type="dxa"/>
            <w:shd w:val="clear" w:color="auto" w:fill="auto"/>
          </w:tcPr>
          <w:p w14:paraId="7C33191C" w14:textId="77777777" w:rsidR="00007B86" w:rsidRPr="00F638AF" w:rsidRDefault="00016F29" w:rsidP="000C3576">
            <w:pPr>
              <w:pStyle w:val="FootnoteText"/>
              <w:rPr>
                <w:sz w:val="16"/>
                <w:lang w:val="en-GB"/>
              </w:rPr>
            </w:pPr>
            <w:r w:rsidRPr="00F638AF">
              <w:rPr>
                <w:sz w:val="16"/>
                <w:lang w:val="en-GB"/>
              </w:rPr>
              <w:t>Azathioprine</w:t>
            </w:r>
          </w:p>
        </w:tc>
        <w:tc>
          <w:tcPr>
            <w:tcW w:w="534" w:type="dxa"/>
            <w:shd w:val="clear" w:color="auto" w:fill="auto"/>
          </w:tcPr>
          <w:p w14:paraId="7C33191D" w14:textId="77777777" w:rsidR="00007B86" w:rsidRPr="00F638AF" w:rsidRDefault="00016F29" w:rsidP="000C3576">
            <w:pPr>
              <w:pStyle w:val="FootnoteText"/>
              <w:rPr>
                <w:sz w:val="16"/>
                <w:lang w:val="en-GB"/>
              </w:rPr>
            </w:pPr>
            <w:r w:rsidRPr="00F638AF">
              <w:rPr>
                <w:sz w:val="16"/>
                <w:lang w:val="en-GB"/>
              </w:rPr>
              <w:t>0</w:t>
            </w:r>
          </w:p>
        </w:tc>
        <w:tc>
          <w:tcPr>
            <w:tcW w:w="534" w:type="dxa"/>
            <w:shd w:val="clear" w:color="auto" w:fill="auto"/>
          </w:tcPr>
          <w:p w14:paraId="7C33191E" w14:textId="77777777" w:rsidR="00007B86" w:rsidRPr="00F638AF" w:rsidRDefault="00016F29" w:rsidP="000C3576">
            <w:pPr>
              <w:pStyle w:val="FootnoteText"/>
              <w:rPr>
                <w:sz w:val="16"/>
                <w:lang w:val="en-GB"/>
              </w:rPr>
            </w:pPr>
            <w:r w:rsidRPr="00F638AF">
              <w:rPr>
                <w:sz w:val="16"/>
                <w:lang w:val="en-GB"/>
              </w:rPr>
              <w:t>0</w:t>
            </w:r>
          </w:p>
        </w:tc>
        <w:tc>
          <w:tcPr>
            <w:tcW w:w="535" w:type="dxa"/>
            <w:shd w:val="clear" w:color="auto" w:fill="auto"/>
          </w:tcPr>
          <w:p w14:paraId="7C33191F" w14:textId="77777777" w:rsidR="00007B86" w:rsidRPr="00F638AF" w:rsidRDefault="00016F29" w:rsidP="000C3576">
            <w:pPr>
              <w:pStyle w:val="FootnoteText"/>
              <w:rPr>
                <w:sz w:val="16"/>
                <w:lang w:val="en-GB"/>
              </w:rPr>
            </w:pPr>
            <w:r w:rsidRPr="00F638AF">
              <w:rPr>
                <w:sz w:val="16"/>
                <w:lang w:val="en-GB"/>
              </w:rPr>
              <w:t>3</w:t>
            </w:r>
          </w:p>
        </w:tc>
        <w:tc>
          <w:tcPr>
            <w:tcW w:w="534" w:type="dxa"/>
            <w:shd w:val="clear" w:color="auto" w:fill="auto"/>
          </w:tcPr>
          <w:p w14:paraId="7C331920" w14:textId="77777777" w:rsidR="00007B86" w:rsidRPr="00F638AF" w:rsidRDefault="00016F29" w:rsidP="000C3576">
            <w:pPr>
              <w:pStyle w:val="FootnoteText"/>
              <w:rPr>
                <w:sz w:val="16"/>
                <w:lang w:val="en-GB"/>
              </w:rPr>
            </w:pPr>
            <w:r w:rsidRPr="00F638AF">
              <w:rPr>
                <w:sz w:val="16"/>
                <w:lang w:val="en-GB"/>
              </w:rPr>
              <w:t>3</w:t>
            </w:r>
          </w:p>
        </w:tc>
        <w:tc>
          <w:tcPr>
            <w:tcW w:w="535" w:type="dxa"/>
            <w:shd w:val="clear" w:color="auto" w:fill="auto"/>
          </w:tcPr>
          <w:p w14:paraId="7C331921" w14:textId="77777777" w:rsidR="00007B86" w:rsidRPr="00F638AF" w:rsidRDefault="00016F29" w:rsidP="000C3576">
            <w:pPr>
              <w:pStyle w:val="FootnoteText"/>
              <w:rPr>
                <w:sz w:val="16"/>
                <w:lang w:val="en-GB"/>
              </w:rPr>
            </w:pPr>
            <w:r w:rsidRPr="00F638AF">
              <w:rPr>
                <w:sz w:val="16"/>
                <w:lang w:val="en-GB"/>
              </w:rPr>
              <w:t>5</w:t>
            </w:r>
          </w:p>
        </w:tc>
        <w:tc>
          <w:tcPr>
            <w:tcW w:w="535" w:type="dxa"/>
            <w:shd w:val="clear" w:color="auto" w:fill="auto"/>
          </w:tcPr>
          <w:p w14:paraId="7C331922" w14:textId="77777777" w:rsidR="00007B86" w:rsidRPr="00F638AF" w:rsidRDefault="00016F29" w:rsidP="000C3576">
            <w:pPr>
              <w:pStyle w:val="FootnoteText"/>
              <w:rPr>
                <w:sz w:val="16"/>
                <w:lang w:val="en-GB"/>
              </w:rPr>
            </w:pPr>
            <w:r w:rsidRPr="00F638AF">
              <w:rPr>
                <w:sz w:val="16"/>
                <w:lang w:val="en-GB"/>
              </w:rPr>
              <w:t>5</w:t>
            </w:r>
          </w:p>
        </w:tc>
        <w:tc>
          <w:tcPr>
            <w:tcW w:w="535" w:type="dxa"/>
            <w:shd w:val="clear" w:color="auto" w:fill="auto"/>
          </w:tcPr>
          <w:p w14:paraId="7C331923" w14:textId="77777777" w:rsidR="00007B86" w:rsidRPr="00F638AF" w:rsidRDefault="00016F29" w:rsidP="000C3576">
            <w:pPr>
              <w:pStyle w:val="FootnoteText"/>
              <w:rPr>
                <w:sz w:val="16"/>
                <w:lang w:val="en-GB"/>
              </w:rPr>
            </w:pPr>
            <w:r w:rsidRPr="00F638AF">
              <w:rPr>
                <w:sz w:val="16"/>
                <w:lang w:val="en-GB"/>
              </w:rPr>
              <w:t>8</w:t>
            </w:r>
          </w:p>
        </w:tc>
        <w:tc>
          <w:tcPr>
            <w:tcW w:w="535" w:type="dxa"/>
            <w:shd w:val="clear" w:color="auto" w:fill="auto"/>
          </w:tcPr>
          <w:p w14:paraId="7C331924" w14:textId="77777777" w:rsidR="00007B86" w:rsidRPr="00F638AF" w:rsidRDefault="00016F29" w:rsidP="000C3576">
            <w:pPr>
              <w:pStyle w:val="FootnoteText"/>
              <w:rPr>
                <w:sz w:val="16"/>
                <w:lang w:val="en-GB"/>
              </w:rPr>
            </w:pPr>
            <w:r w:rsidRPr="00F638AF">
              <w:rPr>
                <w:sz w:val="16"/>
                <w:lang w:val="en-GB"/>
              </w:rPr>
              <w:t>8</w:t>
            </w:r>
          </w:p>
        </w:tc>
        <w:tc>
          <w:tcPr>
            <w:tcW w:w="535" w:type="dxa"/>
            <w:shd w:val="clear" w:color="auto" w:fill="auto"/>
          </w:tcPr>
          <w:p w14:paraId="7C331925" w14:textId="77777777" w:rsidR="00007B86" w:rsidRPr="00F638AF" w:rsidRDefault="00016F29" w:rsidP="000C3576">
            <w:pPr>
              <w:pStyle w:val="FootnoteText"/>
              <w:rPr>
                <w:sz w:val="16"/>
                <w:lang w:val="en-GB"/>
              </w:rPr>
            </w:pPr>
            <w:r w:rsidRPr="00F638AF">
              <w:rPr>
                <w:sz w:val="16"/>
                <w:lang w:val="en-GB"/>
              </w:rPr>
              <w:t>9</w:t>
            </w:r>
          </w:p>
        </w:tc>
        <w:tc>
          <w:tcPr>
            <w:tcW w:w="535" w:type="dxa"/>
            <w:shd w:val="clear" w:color="auto" w:fill="auto"/>
          </w:tcPr>
          <w:p w14:paraId="7C331926" w14:textId="77777777" w:rsidR="00007B86" w:rsidRPr="00F638AF" w:rsidRDefault="00016F29" w:rsidP="000C3576">
            <w:pPr>
              <w:pStyle w:val="FootnoteText"/>
              <w:rPr>
                <w:sz w:val="16"/>
                <w:lang w:val="en-GB"/>
              </w:rPr>
            </w:pPr>
            <w:r w:rsidRPr="00F638AF">
              <w:rPr>
                <w:sz w:val="16"/>
                <w:lang w:val="en-GB"/>
              </w:rPr>
              <w:t>9</w:t>
            </w:r>
          </w:p>
        </w:tc>
        <w:tc>
          <w:tcPr>
            <w:tcW w:w="522" w:type="dxa"/>
            <w:shd w:val="clear" w:color="auto" w:fill="auto"/>
          </w:tcPr>
          <w:p w14:paraId="7C331927" w14:textId="77777777" w:rsidR="00007B86" w:rsidRPr="00F638AF" w:rsidRDefault="00016F29" w:rsidP="000C3576">
            <w:pPr>
              <w:pStyle w:val="FootnoteText"/>
              <w:rPr>
                <w:sz w:val="16"/>
                <w:lang w:val="en-GB"/>
              </w:rPr>
            </w:pPr>
            <w:r w:rsidRPr="00F638AF">
              <w:rPr>
                <w:sz w:val="16"/>
                <w:lang w:val="en-GB"/>
              </w:rPr>
              <w:t>9</w:t>
            </w:r>
          </w:p>
        </w:tc>
        <w:tc>
          <w:tcPr>
            <w:tcW w:w="551" w:type="dxa"/>
            <w:shd w:val="clear" w:color="auto" w:fill="auto"/>
          </w:tcPr>
          <w:p w14:paraId="7C331928" w14:textId="77777777" w:rsidR="00007B86" w:rsidRPr="00F638AF" w:rsidRDefault="00016F29" w:rsidP="000C3576">
            <w:pPr>
              <w:pStyle w:val="FootnoteText"/>
              <w:rPr>
                <w:sz w:val="16"/>
                <w:lang w:val="en-GB"/>
              </w:rPr>
            </w:pPr>
            <w:r w:rsidRPr="00F638AF">
              <w:rPr>
                <w:sz w:val="16"/>
                <w:lang w:val="en-GB"/>
              </w:rPr>
              <w:t>10</w:t>
            </w:r>
          </w:p>
        </w:tc>
        <w:tc>
          <w:tcPr>
            <w:tcW w:w="551" w:type="dxa"/>
            <w:shd w:val="clear" w:color="auto" w:fill="auto"/>
          </w:tcPr>
          <w:p w14:paraId="7C331929" w14:textId="77777777" w:rsidR="00007B86" w:rsidRPr="00F638AF" w:rsidRDefault="00016F29" w:rsidP="000C3576">
            <w:pPr>
              <w:pStyle w:val="FootnoteText"/>
              <w:rPr>
                <w:sz w:val="16"/>
                <w:lang w:val="en-GB"/>
              </w:rPr>
            </w:pPr>
            <w:r w:rsidRPr="00F638AF">
              <w:rPr>
                <w:sz w:val="16"/>
                <w:lang w:val="en-GB"/>
              </w:rPr>
              <w:t>13</w:t>
            </w:r>
          </w:p>
        </w:tc>
        <w:tc>
          <w:tcPr>
            <w:tcW w:w="519" w:type="dxa"/>
            <w:shd w:val="clear" w:color="auto" w:fill="auto"/>
          </w:tcPr>
          <w:p w14:paraId="7C33192A" w14:textId="77777777" w:rsidR="00007B86" w:rsidRPr="00F638AF" w:rsidRDefault="00016F29" w:rsidP="000C3576">
            <w:pPr>
              <w:pStyle w:val="FootnoteText"/>
              <w:rPr>
                <w:sz w:val="16"/>
                <w:lang w:val="en-GB"/>
              </w:rPr>
            </w:pPr>
            <w:r w:rsidRPr="00F638AF">
              <w:rPr>
                <w:sz w:val="16"/>
                <w:lang w:val="en-GB"/>
              </w:rPr>
              <w:t>15</w:t>
            </w:r>
          </w:p>
        </w:tc>
        <w:tc>
          <w:tcPr>
            <w:tcW w:w="519" w:type="dxa"/>
            <w:shd w:val="clear" w:color="auto" w:fill="auto"/>
          </w:tcPr>
          <w:p w14:paraId="7C33192B" w14:textId="77777777" w:rsidR="00007B86" w:rsidRPr="00F638AF" w:rsidRDefault="00016F29" w:rsidP="000C3576">
            <w:pPr>
              <w:pStyle w:val="FootnoteText"/>
              <w:rPr>
                <w:sz w:val="16"/>
                <w:lang w:val="en-GB"/>
              </w:rPr>
            </w:pPr>
            <w:r w:rsidRPr="00F638AF">
              <w:rPr>
                <w:sz w:val="16"/>
                <w:lang w:val="en-GB"/>
              </w:rPr>
              <w:t>17</w:t>
            </w:r>
          </w:p>
        </w:tc>
      </w:tr>
      <w:tr w:rsidR="003A788B" w14:paraId="7C33193D" w14:textId="77777777" w:rsidTr="00AB0348">
        <w:tc>
          <w:tcPr>
            <w:tcW w:w="1052" w:type="dxa"/>
            <w:shd w:val="clear" w:color="auto" w:fill="auto"/>
          </w:tcPr>
          <w:p w14:paraId="7C33192D" w14:textId="77777777" w:rsidR="00007B86" w:rsidRPr="00F638AF" w:rsidRDefault="00016F29" w:rsidP="000C3576">
            <w:pPr>
              <w:pStyle w:val="FootnoteText"/>
              <w:rPr>
                <w:sz w:val="16"/>
                <w:lang w:val="en-GB"/>
              </w:rPr>
            </w:pPr>
            <w:r w:rsidRPr="00F638AF">
              <w:rPr>
                <w:sz w:val="16"/>
                <w:lang w:val="en-GB"/>
              </w:rPr>
              <w:t>Rituximab</w:t>
            </w:r>
          </w:p>
        </w:tc>
        <w:tc>
          <w:tcPr>
            <w:tcW w:w="534" w:type="dxa"/>
            <w:shd w:val="clear" w:color="auto" w:fill="auto"/>
          </w:tcPr>
          <w:p w14:paraId="7C33192E" w14:textId="77777777" w:rsidR="00007B86" w:rsidRPr="00F638AF" w:rsidRDefault="00016F29" w:rsidP="000C3576">
            <w:pPr>
              <w:pStyle w:val="FootnoteText"/>
              <w:rPr>
                <w:sz w:val="16"/>
                <w:lang w:val="en-GB"/>
              </w:rPr>
            </w:pPr>
            <w:r w:rsidRPr="00F638AF">
              <w:rPr>
                <w:sz w:val="16"/>
                <w:lang w:val="en-GB"/>
              </w:rPr>
              <w:t>0</w:t>
            </w:r>
          </w:p>
        </w:tc>
        <w:tc>
          <w:tcPr>
            <w:tcW w:w="534" w:type="dxa"/>
            <w:shd w:val="clear" w:color="auto" w:fill="auto"/>
          </w:tcPr>
          <w:p w14:paraId="7C33192F" w14:textId="77777777" w:rsidR="00007B86" w:rsidRPr="00F638AF" w:rsidRDefault="00016F29" w:rsidP="000C3576">
            <w:pPr>
              <w:pStyle w:val="FootnoteText"/>
              <w:rPr>
                <w:sz w:val="16"/>
                <w:lang w:val="en-GB"/>
              </w:rPr>
            </w:pPr>
            <w:r w:rsidRPr="00F638AF">
              <w:rPr>
                <w:sz w:val="16"/>
                <w:lang w:val="en-GB"/>
              </w:rPr>
              <w:t>0</w:t>
            </w:r>
          </w:p>
        </w:tc>
        <w:tc>
          <w:tcPr>
            <w:tcW w:w="535" w:type="dxa"/>
            <w:shd w:val="clear" w:color="auto" w:fill="auto"/>
          </w:tcPr>
          <w:p w14:paraId="7C331930" w14:textId="77777777" w:rsidR="00007B86" w:rsidRPr="00F638AF" w:rsidRDefault="00016F29" w:rsidP="000C3576">
            <w:pPr>
              <w:pStyle w:val="FootnoteText"/>
              <w:rPr>
                <w:sz w:val="16"/>
                <w:lang w:val="en-GB"/>
              </w:rPr>
            </w:pPr>
            <w:r w:rsidRPr="00F638AF">
              <w:rPr>
                <w:sz w:val="16"/>
                <w:lang w:val="en-GB"/>
              </w:rPr>
              <w:t>0</w:t>
            </w:r>
          </w:p>
        </w:tc>
        <w:tc>
          <w:tcPr>
            <w:tcW w:w="534" w:type="dxa"/>
            <w:shd w:val="clear" w:color="auto" w:fill="auto"/>
          </w:tcPr>
          <w:p w14:paraId="7C331931" w14:textId="77777777" w:rsidR="00007B86" w:rsidRPr="00F638AF" w:rsidRDefault="00016F29" w:rsidP="000C3576">
            <w:pPr>
              <w:pStyle w:val="FootnoteText"/>
              <w:rPr>
                <w:sz w:val="16"/>
                <w:lang w:val="en-GB"/>
              </w:rPr>
            </w:pPr>
            <w:r w:rsidRPr="00F638AF">
              <w:rPr>
                <w:sz w:val="16"/>
                <w:lang w:val="en-GB"/>
              </w:rPr>
              <w:t>0</w:t>
            </w:r>
          </w:p>
        </w:tc>
        <w:tc>
          <w:tcPr>
            <w:tcW w:w="535" w:type="dxa"/>
            <w:shd w:val="clear" w:color="auto" w:fill="auto"/>
          </w:tcPr>
          <w:p w14:paraId="7C331932" w14:textId="77777777" w:rsidR="00007B86" w:rsidRPr="00F638AF" w:rsidRDefault="00016F29" w:rsidP="000C3576">
            <w:pPr>
              <w:pStyle w:val="FootnoteText"/>
              <w:rPr>
                <w:sz w:val="16"/>
                <w:lang w:val="en-GB"/>
              </w:rPr>
            </w:pPr>
            <w:r w:rsidRPr="00F638AF">
              <w:rPr>
                <w:sz w:val="16"/>
                <w:lang w:val="en-GB"/>
              </w:rPr>
              <w:t>1</w:t>
            </w:r>
          </w:p>
        </w:tc>
        <w:tc>
          <w:tcPr>
            <w:tcW w:w="535" w:type="dxa"/>
            <w:shd w:val="clear" w:color="auto" w:fill="auto"/>
          </w:tcPr>
          <w:p w14:paraId="7C331933" w14:textId="77777777" w:rsidR="00007B86" w:rsidRPr="00F638AF" w:rsidRDefault="00016F29" w:rsidP="000C3576">
            <w:pPr>
              <w:pStyle w:val="FootnoteText"/>
              <w:rPr>
                <w:sz w:val="16"/>
                <w:lang w:val="en-GB"/>
              </w:rPr>
            </w:pPr>
            <w:r w:rsidRPr="00F638AF">
              <w:rPr>
                <w:sz w:val="16"/>
                <w:lang w:val="en-GB"/>
              </w:rPr>
              <w:t>1</w:t>
            </w:r>
          </w:p>
        </w:tc>
        <w:tc>
          <w:tcPr>
            <w:tcW w:w="535" w:type="dxa"/>
            <w:shd w:val="clear" w:color="auto" w:fill="auto"/>
          </w:tcPr>
          <w:p w14:paraId="7C331934" w14:textId="77777777" w:rsidR="00007B86" w:rsidRPr="00F638AF" w:rsidRDefault="00016F29" w:rsidP="000C3576">
            <w:pPr>
              <w:pStyle w:val="FootnoteText"/>
              <w:rPr>
                <w:sz w:val="16"/>
                <w:lang w:val="en-GB"/>
              </w:rPr>
            </w:pPr>
            <w:r w:rsidRPr="00F638AF">
              <w:rPr>
                <w:sz w:val="16"/>
                <w:lang w:val="en-GB"/>
              </w:rPr>
              <w:t>1</w:t>
            </w:r>
          </w:p>
        </w:tc>
        <w:tc>
          <w:tcPr>
            <w:tcW w:w="535" w:type="dxa"/>
            <w:shd w:val="clear" w:color="auto" w:fill="auto"/>
          </w:tcPr>
          <w:p w14:paraId="7C331935" w14:textId="77777777" w:rsidR="00007B86" w:rsidRPr="00F638AF" w:rsidRDefault="00016F29" w:rsidP="000C3576">
            <w:pPr>
              <w:pStyle w:val="FootnoteText"/>
              <w:rPr>
                <w:sz w:val="16"/>
                <w:lang w:val="en-GB"/>
              </w:rPr>
            </w:pPr>
            <w:r w:rsidRPr="00F638AF">
              <w:rPr>
                <w:sz w:val="16"/>
                <w:lang w:val="en-GB"/>
              </w:rPr>
              <w:t>1</w:t>
            </w:r>
          </w:p>
        </w:tc>
        <w:tc>
          <w:tcPr>
            <w:tcW w:w="535" w:type="dxa"/>
            <w:shd w:val="clear" w:color="auto" w:fill="auto"/>
          </w:tcPr>
          <w:p w14:paraId="7C331936" w14:textId="77777777" w:rsidR="00007B86" w:rsidRPr="00F638AF" w:rsidRDefault="00016F29" w:rsidP="000C3576">
            <w:pPr>
              <w:pStyle w:val="FootnoteText"/>
              <w:rPr>
                <w:sz w:val="16"/>
                <w:lang w:val="en-GB"/>
              </w:rPr>
            </w:pPr>
            <w:r w:rsidRPr="00F638AF">
              <w:rPr>
                <w:sz w:val="16"/>
                <w:lang w:val="en-GB"/>
              </w:rPr>
              <w:t>1</w:t>
            </w:r>
          </w:p>
        </w:tc>
        <w:tc>
          <w:tcPr>
            <w:tcW w:w="535" w:type="dxa"/>
            <w:shd w:val="clear" w:color="auto" w:fill="auto"/>
          </w:tcPr>
          <w:p w14:paraId="7C331937" w14:textId="77777777" w:rsidR="00007B86" w:rsidRPr="00F638AF" w:rsidRDefault="00016F29" w:rsidP="000C3576">
            <w:pPr>
              <w:pStyle w:val="FootnoteText"/>
              <w:rPr>
                <w:sz w:val="16"/>
                <w:lang w:val="en-GB"/>
              </w:rPr>
            </w:pPr>
            <w:r w:rsidRPr="00F638AF">
              <w:rPr>
                <w:sz w:val="16"/>
                <w:lang w:val="en-GB"/>
              </w:rPr>
              <w:t>1</w:t>
            </w:r>
          </w:p>
        </w:tc>
        <w:tc>
          <w:tcPr>
            <w:tcW w:w="522" w:type="dxa"/>
            <w:shd w:val="clear" w:color="auto" w:fill="auto"/>
          </w:tcPr>
          <w:p w14:paraId="7C331938" w14:textId="77777777" w:rsidR="00007B86" w:rsidRPr="00F638AF" w:rsidRDefault="00016F29" w:rsidP="000C3576">
            <w:pPr>
              <w:pStyle w:val="FootnoteText"/>
              <w:rPr>
                <w:sz w:val="16"/>
                <w:lang w:val="en-GB"/>
              </w:rPr>
            </w:pPr>
            <w:r w:rsidRPr="00F638AF">
              <w:rPr>
                <w:sz w:val="16"/>
                <w:lang w:val="en-GB"/>
              </w:rPr>
              <w:t>1</w:t>
            </w:r>
          </w:p>
        </w:tc>
        <w:tc>
          <w:tcPr>
            <w:tcW w:w="551" w:type="dxa"/>
            <w:shd w:val="clear" w:color="auto" w:fill="auto"/>
          </w:tcPr>
          <w:p w14:paraId="7C331939" w14:textId="77777777" w:rsidR="00007B86" w:rsidRPr="00F638AF" w:rsidRDefault="00016F29" w:rsidP="000C3576">
            <w:pPr>
              <w:pStyle w:val="FootnoteText"/>
              <w:rPr>
                <w:sz w:val="16"/>
                <w:lang w:val="en-GB"/>
              </w:rPr>
            </w:pPr>
            <w:r w:rsidRPr="00F638AF">
              <w:rPr>
                <w:sz w:val="16"/>
                <w:lang w:val="en-GB"/>
              </w:rPr>
              <w:t>1</w:t>
            </w:r>
          </w:p>
        </w:tc>
        <w:tc>
          <w:tcPr>
            <w:tcW w:w="551" w:type="dxa"/>
            <w:shd w:val="clear" w:color="auto" w:fill="auto"/>
          </w:tcPr>
          <w:p w14:paraId="7C33193A" w14:textId="77777777" w:rsidR="00007B86" w:rsidRPr="00F638AF" w:rsidRDefault="00016F29" w:rsidP="000C3576">
            <w:pPr>
              <w:pStyle w:val="FootnoteText"/>
              <w:rPr>
                <w:sz w:val="16"/>
                <w:lang w:val="en-GB"/>
              </w:rPr>
            </w:pPr>
            <w:r w:rsidRPr="00F638AF">
              <w:rPr>
                <w:sz w:val="16"/>
                <w:lang w:val="en-GB"/>
              </w:rPr>
              <w:t>3</w:t>
            </w:r>
          </w:p>
        </w:tc>
        <w:tc>
          <w:tcPr>
            <w:tcW w:w="519" w:type="dxa"/>
            <w:shd w:val="clear" w:color="auto" w:fill="auto"/>
          </w:tcPr>
          <w:p w14:paraId="7C33193B" w14:textId="77777777" w:rsidR="00007B86" w:rsidRPr="00F638AF" w:rsidRDefault="00016F29" w:rsidP="000C3576">
            <w:pPr>
              <w:pStyle w:val="FootnoteText"/>
              <w:rPr>
                <w:sz w:val="16"/>
                <w:lang w:val="en-GB"/>
              </w:rPr>
            </w:pPr>
            <w:r w:rsidRPr="00F638AF">
              <w:rPr>
                <w:sz w:val="16"/>
                <w:lang w:val="en-GB"/>
              </w:rPr>
              <w:t>3</w:t>
            </w:r>
          </w:p>
        </w:tc>
        <w:tc>
          <w:tcPr>
            <w:tcW w:w="519" w:type="dxa"/>
            <w:shd w:val="clear" w:color="auto" w:fill="auto"/>
          </w:tcPr>
          <w:p w14:paraId="7C33193C" w14:textId="77777777" w:rsidR="00007B86" w:rsidRPr="00F638AF" w:rsidRDefault="00016F29" w:rsidP="000C3576">
            <w:pPr>
              <w:pStyle w:val="FootnoteText"/>
              <w:rPr>
                <w:sz w:val="16"/>
                <w:lang w:val="en-GB"/>
              </w:rPr>
            </w:pPr>
            <w:r w:rsidRPr="00F638AF">
              <w:rPr>
                <w:sz w:val="16"/>
                <w:lang w:val="en-GB"/>
              </w:rPr>
              <w:t>3</w:t>
            </w:r>
          </w:p>
        </w:tc>
      </w:tr>
      <w:tr w:rsidR="003A788B" w14:paraId="7C33193F" w14:textId="77777777" w:rsidTr="00AB0348">
        <w:tc>
          <w:tcPr>
            <w:tcW w:w="9061" w:type="dxa"/>
            <w:gridSpan w:val="16"/>
            <w:shd w:val="clear" w:color="auto" w:fill="auto"/>
          </w:tcPr>
          <w:p w14:paraId="7C33193E" w14:textId="77777777" w:rsidR="00007B86" w:rsidRPr="00F638AF" w:rsidRDefault="00016F29" w:rsidP="000C3576">
            <w:pPr>
              <w:pStyle w:val="FootnoteText"/>
              <w:rPr>
                <w:sz w:val="16"/>
                <w:lang w:val="en-GB"/>
              </w:rPr>
            </w:pPr>
            <w:r w:rsidRPr="00F638AF">
              <w:rPr>
                <w:sz w:val="16"/>
                <w:lang w:val="en-GB"/>
              </w:rPr>
              <w:t>Number of subjects at risk</w:t>
            </w:r>
          </w:p>
        </w:tc>
      </w:tr>
      <w:tr w:rsidR="003A788B" w14:paraId="7C331950" w14:textId="77777777" w:rsidTr="00AB0348">
        <w:tc>
          <w:tcPr>
            <w:tcW w:w="1052" w:type="dxa"/>
            <w:shd w:val="clear" w:color="auto" w:fill="auto"/>
          </w:tcPr>
          <w:p w14:paraId="7C331940" w14:textId="77777777" w:rsidR="00007B86" w:rsidRPr="00F638AF" w:rsidRDefault="00016F29" w:rsidP="000C3576">
            <w:pPr>
              <w:pStyle w:val="FootnoteText"/>
              <w:rPr>
                <w:sz w:val="16"/>
                <w:lang w:val="en-GB"/>
              </w:rPr>
            </w:pPr>
            <w:r w:rsidRPr="00F638AF">
              <w:rPr>
                <w:sz w:val="16"/>
                <w:lang w:val="en-GB"/>
              </w:rPr>
              <w:t>Azathioprine</w:t>
            </w:r>
          </w:p>
        </w:tc>
        <w:tc>
          <w:tcPr>
            <w:tcW w:w="534" w:type="dxa"/>
            <w:shd w:val="clear" w:color="auto" w:fill="auto"/>
          </w:tcPr>
          <w:p w14:paraId="7C331941" w14:textId="77777777" w:rsidR="00007B86" w:rsidRPr="00F638AF" w:rsidRDefault="00016F29" w:rsidP="000C3576">
            <w:pPr>
              <w:pStyle w:val="FootnoteText"/>
              <w:rPr>
                <w:sz w:val="16"/>
                <w:lang w:val="en-GB"/>
              </w:rPr>
            </w:pPr>
            <w:r w:rsidRPr="00F638AF">
              <w:rPr>
                <w:sz w:val="16"/>
                <w:lang w:val="en-GB"/>
              </w:rPr>
              <w:t>59</w:t>
            </w:r>
          </w:p>
        </w:tc>
        <w:tc>
          <w:tcPr>
            <w:tcW w:w="534" w:type="dxa"/>
            <w:shd w:val="clear" w:color="auto" w:fill="auto"/>
          </w:tcPr>
          <w:p w14:paraId="7C331942" w14:textId="77777777" w:rsidR="00007B86" w:rsidRPr="00F638AF" w:rsidRDefault="00016F29" w:rsidP="000C3576">
            <w:pPr>
              <w:pStyle w:val="FootnoteText"/>
              <w:rPr>
                <w:sz w:val="16"/>
                <w:lang w:val="en-GB"/>
              </w:rPr>
            </w:pPr>
            <w:r w:rsidRPr="00F638AF">
              <w:rPr>
                <w:sz w:val="16"/>
                <w:lang w:val="en-GB"/>
              </w:rPr>
              <w:t>56</w:t>
            </w:r>
          </w:p>
        </w:tc>
        <w:tc>
          <w:tcPr>
            <w:tcW w:w="535" w:type="dxa"/>
            <w:shd w:val="clear" w:color="auto" w:fill="auto"/>
          </w:tcPr>
          <w:p w14:paraId="7C331943" w14:textId="77777777" w:rsidR="00007B86" w:rsidRPr="00F638AF" w:rsidRDefault="00016F29" w:rsidP="000C3576">
            <w:pPr>
              <w:pStyle w:val="FootnoteText"/>
              <w:rPr>
                <w:sz w:val="16"/>
                <w:lang w:val="en-GB"/>
              </w:rPr>
            </w:pPr>
            <w:r w:rsidRPr="00F638AF">
              <w:rPr>
                <w:sz w:val="16"/>
                <w:lang w:val="en-GB"/>
              </w:rPr>
              <w:t>52</w:t>
            </w:r>
          </w:p>
        </w:tc>
        <w:tc>
          <w:tcPr>
            <w:tcW w:w="534" w:type="dxa"/>
            <w:shd w:val="clear" w:color="auto" w:fill="auto"/>
          </w:tcPr>
          <w:p w14:paraId="7C331944" w14:textId="77777777" w:rsidR="00007B86" w:rsidRPr="00F638AF" w:rsidRDefault="00016F29" w:rsidP="000C3576">
            <w:pPr>
              <w:pStyle w:val="FootnoteText"/>
              <w:rPr>
                <w:sz w:val="16"/>
                <w:lang w:val="en-GB"/>
              </w:rPr>
            </w:pPr>
            <w:r w:rsidRPr="00F638AF">
              <w:rPr>
                <w:sz w:val="16"/>
                <w:lang w:val="en-GB"/>
              </w:rPr>
              <w:t>50</w:t>
            </w:r>
          </w:p>
        </w:tc>
        <w:tc>
          <w:tcPr>
            <w:tcW w:w="535" w:type="dxa"/>
            <w:shd w:val="clear" w:color="auto" w:fill="auto"/>
          </w:tcPr>
          <w:p w14:paraId="7C331945" w14:textId="77777777" w:rsidR="00007B86" w:rsidRPr="00F638AF" w:rsidRDefault="00016F29" w:rsidP="000C3576">
            <w:pPr>
              <w:pStyle w:val="FootnoteText"/>
              <w:rPr>
                <w:sz w:val="16"/>
                <w:lang w:val="en-GB"/>
              </w:rPr>
            </w:pPr>
            <w:r w:rsidRPr="00F638AF">
              <w:rPr>
                <w:sz w:val="16"/>
                <w:lang w:val="en-GB"/>
              </w:rPr>
              <w:t>47</w:t>
            </w:r>
          </w:p>
        </w:tc>
        <w:tc>
          <w:tcPr>
            <w:tcW w:w="535" w:type="dxa"/>
            <w:shd w:val="clear" w:color="auto" w:fill="auto"/>
          </w:tcPr>
          <w:p w14:paraId="7C331946" w14:textId="77777777" w:rsidR="00007B86" w:rsidRPr="00F638AF" w:rsidRDefault="00016F29" w:rsidP="000C3576">
            <w:pPr>
              <w:pStyle w:val="FootnoteText"/>
              <w:rPr>
                <w:sz w:val="16"/>
                <w:lang w:val="en-GB"/>
              </w:rPr>
            </w:pPr>
            <w:r w:rsidRPr="00F638AF">
              <w:rPr>
                <w:sz w:val="16"/>
                <w:lang w:val="en-GB"/>
              </w:rPr>
              <w:t>47</w:t>
            </w:r>
          </w:p>
        </w:tc>
        <w:tc>
          <w:tcPr>
            <w:tcW w:w="535" w:type="dxa"/>
            <w:shd w:val="clear" w:color="auto" w:fill="auto"/>
          </w:tcPr>
          <w:p w14:paraId="7C331947" w14:textId="77777777" w:rsidR="00007B86" w:rsidRPr="00F638AF" w:rsidRDefault="00016F29" w:rsidP="000C3576">
            <w:pPr>
              <w:pStyle w:val="FootnoteText"/>
              <w:rPr>
                <w:sz w:val="16"/>
                <w:lang w:val="en-GB"/>
              </w:rPr>
            </w:pPr>
            <w:r w:rsidRPr="00F638AF">
              <w:rPr>
                <w:sz w:val="16"/>
                <w:lang w:val="en-GB"/>
              </w:rPr>
              <w:t>44</w:t>
            </w:r>
          </w:p>
        </w:tc>
        <w:tc>
          <w:tcPr>
            <w:tcW w:w="535" w:type="dxa"/>
            <w:shd w:val="clear" w:color="auto" w:fill="auto"/>
          </w:tcPr>
          <w:p w14:paraId="7C331948" w14:textId="77777777" w:rsidR="00007B86" w:rsidRPr="00F638AF" w:rsidRDefault="00016F29" w:rsidP="000C3576">
            <w:pPr>
              <w:pStyle w:val="FootnoteText"/>
              <w:rPr>
                <w:sz w:val="16"/>
                <w:lang w:val="en-GB"/>
              </w:rPr>
            </w:pPr>
            <w:r w:rsidRPr="00F638AF">
              <w:rPr>
                <w:sz w:val="16"/>
                <w:lang w:val="en-GB"/>
              </w:rPr>
              <w:t>44</w:t>
            </w:r>
          </w:p>
        </w:tc>
        <w:tc>
          <w:tcPr>
            <w:tcW w:w="535" w:type="dxa"/>
            <w:shd w:val="clear" w:color="auto" w:fill="auto"/>
          </w:tcPr>
          <w:p w14:paraId="7C331949" w14:textId="77777777" w:rsidR="00007B86" w:rsidRPr="00F638AF" w:rsidRDefault="00016F29" w:rsidP="000C3576">
            <w:pPr>
              <w:pStyle w:val="FootnoteText"/>
              <w:rPr>
                <w:sz w:val="16"/>
                <w:lang w:val="en-GB"/>
              </w:rPr>
            </w:pPr>
            <w:r w:rsidRPr="00F638AF">
              <w:rPr>
                <w:sz w:val="16"/>
                <w:lang w:val="en-GB"/>
              </w:rPr>
              <w:t>42</w:t>
            </w:r>
          </w:p>
        </w:tc>
        <w:tc>
          <w:tcPr>
            <w:tcW w:w="535" w:type="dxa"/>
            <w:shd w:val="clear" w:color="auto" w:fill="auto"/>
          </w:tcPr>
          <w:p w14:paraId="7C33194A" w14:textId="77777777" w:rsidR="00007B86" w:rsidRPr="00F638AF" w:rsidRDefault="00016F29" w:rsidP="000C3576">
            <w:pPr>
              <w:pStyle w:val="FootnoteText"/>
              <w:rPr>
                <w:sz w:val="16"/>
                <w:lang w:val="en-GB"/>
              </w:rPr>
            </w:pPr>
            <w:r w:rsidRPr="00F638AF">
              <w:rPr>
                <w:sz w:val="16"/>
                <w:lang w:val="en-GB"/>
              </w:rPr>
              <w:t>41</w:t>
            </w:r>
          </w:p>
        </w:tc>
        <w:tc>
          <w:tcPr>
            <w:tcW w:w="522" w:type="dxa"/>
            <w:shd w:val="clear" w:color="auto" w:fill="auto"/>
          </w:tcPr>
          <w:p w14:paraId="7C33194B" w14:textId="77777777" w:rsidR="00007B86" w:rsidRPr="00F638AF" w:rsidRDefault="00016F29" w:rsidP="000C3576">
            <w:pPr>
              <w:pStyle w:val="FootnoteText"/>
              <w:rPr>
                <w:sz w:val="16"/>
                <w:lang w:val="en-GB"/>
              </w:rPr>
            </w:pPr>
            <w:r w:rsidRPr="00F638AF">
              <w:rPr>
                <w:sz w:val="16"/>
                <w:lang w:val="en-GB"/>
              </w:rPr>
              <w:t>40</w:t>
            </w:r>
          </w:p>
        </w:tc>
        <w:tc>
          <w:tcPr>
            <w:tcW w:w="551" w:type="dxa"/>
            <w:shd w:val="clear" w:color="auto" w:fill="auto"/>
          </w:tcPr>
          <w:p w14:paraId="7C33194C" w14:textId="77777777" w:rsidR="00007B86" w:rsidRPr="00F638AF" w:rsidRDefault="00016F29" w:rsidP="000C3576">
            <w:pPr>
              <w:pStyle w:val="FootnoteText"/>
              <w:rPr>
                <w:sz w:val="16"/>
                <w:lang w:val="en-GB"/>
              </w:rPr>
            </w:pPr>
            <w:r w:rsidRPr="00F638AF">
              <w:rPr>
                <w:sz w:val="16"/>
                <w:lang w:val="en-GB"/>
              </w:rPr>
              <w:t>39</w:t>
            </w:r>
          </w:p>
        </w:tc>
        <w:tc>
          <w:tcPr>
            <w:tcW w:w="551" w:type="dxa"/>
            <w:shd w:val="clear" w:color="auto" w:fill="auto"/>
          </w:tcPr>
          <w:p w14:paraId="7C33194D" w14:textId="77777777" w:rsidR="00007B86" w:rsidRPr="00F638AF" w:rsidRDefault="00016F29" w:rsidP="000C3576">
            <w:pPr>
              <w:pStyle w:val="FootnoteText"/>
              <w:rPr>
                <w:sz w:val="16"/>
                <w:lang w:val="en-GB"/>
              </w:rPr>
            </w:pPr>
            <w:r w:rsidRPr="00F638AF">
              <w:rPr>
                <w:sz w:val="16"/>
                <w:lang w:val="en-GB"/>
              </w:rPr>
              <w:t>36</w:t>
            </w:r>
          </w:p>
        </w:tc>
        <w:tc>
          <w:tcPr>
            <w:tcW w:w="519" w:type="dxa"/>
            <w:shd w:val="clear" w:color="auto" w:fill="auto"/>
          </w:tcPr>
          <w:p w14:paraId="7C33194E" w14:textId="77777777" w:rsidR="00007B86" w:rsidRPr="00F638AF" w:rsidRDefault="00016F29" w:rsidP="000C3576">
            <w:pPr>
              <w:pStyle w:val="FootnoteText"/>
              <w:rPr>
                <w:sz w:val="16"/>
                <w:lang w:val="en-GB"/>
              </w:rPr>
            </w:pPr>
            <w:r w:rsidRPr="00F638AF">
              <w:rPr>
                <w:sz w:val="16"/>
                <w:lang w:val="en-GB"/>
              </w:rPr>
              <w:t>34</w:t>
            </w:r>
          </w:p>
        </w:tc>
        <w:tc>
          <w:tcPr>
            <w:tcW w:w="519" w:type="dxa"/>
            <w:shd w:val="clear" w:color="auto" w:fill="auto"/>
          </w:tcPr>
          <w:p w14:paraId="7C33194F" w14:textId="77777777" w:rsidR="00007B86" w:rsidRPr="00F638AF" w:rsidRDefault="00016F29" w:rsidP="000C3576">
            <w:pPr>
              <w:pStyle w:val="FootnoteText"/>
              <w:rPr>
                <w:sz w:val="16"/>
                <w:lang w:val="en-GB"/>
              </w:rPr>
            </w:pPr>
            <w:r w:rsidRPr="00F638AF">
              <w:rPr>
                <w:sz w:val="16"/>
                <w:lang w:val="en-GB"/>
              </w:rPr>
              <w:t>0</w:t>
            </w:r>
          </w:p>
        </w:tc>
      </w:tr>
      <w:tr w:rsidR="003A788B" w14:paraId="7C331961" w14:textId="77777777" w:rsidTr="00AB0348">
        <w:tc>
          <w:tcPr>
            <w:tcW w:w="1052" w:type="dxa"/>
            <w:shd w:val="clear" w:color="auto" w:fill="auto"/>
          </w:tcPr>
          <w:p w14:paraId="7C331951" w14:textId="77777777" w:rsidR="00007B86" w:rsidRPr="00F638AF" w:rsidRDefault="00016F29" w:rsidP="000C3576">
            <w:pPr>
              <w:pStyle w:val="FootnoteText"/>
              <w:rPr>
                <w:sz w:val="16"/>
                <w:lang w:val="en-GB"/>
              </w:rPr>
            </w:pPr>
            <w:r w:rsidRPr="00F638AF">
              <w:rPr>
                <w:sz w:val="16"/>
                <w:lang w:val="en-GB"/>
              </w:rPr>
              <w:t>Rituximab</w:t>
            </w:r>
          </w:p>
        </w:tc>
        <w:tc>
          <w:tcPr>
            <w:tcW w:w="534" w:type="dxa"/>
            <w:shd w:val="clear" w:color="auto" w:fill="auto"/>
          </w:tcPr>
          <w:p w14:paraId="7C331952" w14:textId="77777777" w:rsidR="00007B86" w:rsidRPr="00F638AF" w:rsidRDefault="00016F29" w:rsidP="000C3576">
            <w:pPr>
              <w:pStyle w:val="FootnoteText"/>
              <w:rPr>
                <w:sz w:val="16"/>
                <w:lang w:val="en-GB"/>
              </w:rPr>
            </w:pPr>
            <w:r w:rsidRPr="00F638AF">
              <w:rPr>
                <w:sz w:val="16"/>
                <w:lang w:val="en-GB"/>
              </w:rPr>
              <w:t>58</w:t>
            </w:r>
          </w:p>
        </w:tc>
        <w:tc>
          <w:tcPr>
            <w:tcW w:w="534" w:type="dxa"/>
            <w:shd w:val="clear" w:color="auto" w:fill="auto"/>
          </w:tcPr>
          <w:p w14:paraId="7C331953" w14:textId="77777777" w:rsidR="00007B86" w:rsidRPr="00F638AF" w:rsidRDefault="00016F29" w:rsidP="000C3576">
            <w:pPr>
              <w:pStyle w:val="FootnoteText"/>
              <w:rPr>
                <w:sz w:val="16"/>
                <w:lang w:val="en-GB"/>
              </w:rPr>
            </w:pPr>
            <w:r w:rsidRPr="00F638AF">
              <w:rPr>
                <w:sz w:val="16"/>
                <w:lang w:val="en-GB"/>
              </w:rPr>
              <w:t>56</w:t>
            </w:r>
          </w:p>
        </w:tc>
        <w:tc>
          <w:tcPr>
            <w:tcW w:w="535" w:type="dxa"/>
            <w:shd w:val="clear" w:color="auto" w:fill="auto"/>
          </w:tcPr>
          <w:p w14:paraId="7C331954" w14:textId="77777777" w:rsidR="00007B86" w:rsidRPr="00F638AF" w:rsidRDefault="00016F29" w:rsidP="000C3576">
            <w:pPr>
              <w:pStyle w:val="FootnoteText"/>
              <w:rPr>
                <w:sz w:val="16"/>
                <w:lang w:val="en-GB"/>
              </w:rPr>
            </w:pPr>
            <w:r w:rsidRPr="00F638AF">
              <w:rPr>
                <w:sz w:val="16"/>
                <w:lang w:val="en-GB"/>
              </w:rPr>
              <w:t>56</w:t>
            </w:r>
          </w:p>
        </w:tc>
        <w:tc>
          <w:tcPr>
            <w:tcW w:w="534" w:type="dxa"/>
            <w:shd w:val="clear" w:color="auto" w:fill="auto"/>
          </w:tcPr>
          <w:p w14:paraId="7C331955" w14:textId="77777777" w:rsidR="00007B86" w:rsidRPr="00F638AF" w:rsidRDefault="00016F29" w:rsidP="000C3576">
            <w:pPr>
              <w:pStyle w:val="FootnoteText"/>
              <w:rPr>
                <w:sz w:val="16"/>
                <w:lang w:val="en-GB"/>
              </w:rPr>
            </w:pPr>
            <w:r w:rsidRPr="00F638AF">
              <w:rPr>
                <w:sz w:val="16"/>
                <w:lang w:val="en-GB"/>
              </w:rPr>
              <w:t>56</w:t>
            </w:r>
          </w:p>
        </w:tc>
        <w:tc>
          <w:tcPr>
            <w:tcW w:w="535" w:type="dxa"/>
            <w:shd w:val="clear" w:color="auto" w:fill="auto"/>
          </w:tcPr>
          <w:p w14:paraId="7C331956" w14:textId="77777777" w:rsidR="00007B86" w:rsidRPr="00F638AF" w:rsidRDefault="00016F29" w:rsidP="000C3576">
            <w:pPr>
              <w:pStyle w:val="FootnoteText"/>
              <w:rPr>
                <w:sz w:val="16"/>
                <w:lang w:val="en-GB"/>
              </w:rPr>
            </w:pPr>
            <w:r w:rsidRPr="00F638AF">
              <w:rPr>
                <w:sz w:val="16"/>
                <w:lang w:val="en-GB"/>
              </w:rPr>
              <w:t>55</w:t>
            </w:r>
          </w:p>
        </w:tc>
        <w:tc>
          <w:tcPr>
            <w:tcW w:w="535" w:type="dxa"/>
            <w:shd w:val="clear" w:color="auto" w:fill="auto"/>
          </w:tcPr>
          <w:p w14:paraId="7C331957" w14:textId="77777777" w:rsidR="00007B86" w:rsidRPr="00F638AF" w:rsidRDefault="00016F29" w:rsidP="000C3576">
            <w:pPr>
              <w:pStyle w:val="FootnoteText"/>
              <w:rPr>
                <w:sz w:val="16"/>
                <w:lang w:val="en-GB"/>
              </w:rPr>
            </w:pPr>
            <w:r w:rsidRPr="00F638AF">
              <w:rPr>
                <w:sz w:val="16"/>
                <w:lang w:val="en-GB"/>
              </w:rPr>
              <w:t>54</w:t>
            </w:r>
          </w:p>
        </w:tc>
        <w:tc>
          <w:tcPr>
            <w:tcW w:w="535" w:type="dxa"/>
            <w:shd w:val="clear" w:color="auto" w:fill="auto"/>
          </w:tcPr>
          <w:p w14:paraId="7C331958" w14:textId="77777777" w:rsidR="00007B86" w:rsidRPr="00F638AF" w:rsidRDefault="00016F29" w:rsidP="000C3576">
            <w:pPr>
              <w:pStyle w:val="FootnoteText"/>
              <w:rPr>
                <w:sz w:val="16"/>
                <w:lang w:val="en-GB"/>
              </w:rPr>
            </w:pPr>
            <w:r w:rsidRPr="00F638AF">
              <w:rPr>
                <w:sz w:val="16"/>
                <w:lang w:val="en-GB"/>
              </w:rPr>
              <w:t>54</w:t>
            </w:r>
          </w:p>
        </w:tc>
        <w:tc>
          <w:tcPr>
            <w:tcW w:w="535" w:type="dxa"/>
            <w:shd w:val="clear" w:color="auto" w:fill="auto"/>
          </w:tcPr>
          <w:p w14:paraId="7C331959" w14:textId="77777777" w:rsidR="00007B86" w:rsidRPr="00F638AF" w:rsidRDefault="00016F29" w:rsidP="000C3576">
            <w:pPr>
              <w:pStyle w:val="FootnoteText"/>
              <w:rPr>
                <w:sz w:val="16"/>
                <w:lang w:val="en-GB"/>
              </w:rPr>
            </w:pPr>
            <w:r w:rsidRPr="00F638AF">
              <w:rPr>
                <w:sz w:val="16"/>
                <w:lang w:val="en-GB"/>
              </w:rPr>
              <w:t>54</w:t>
            </w:r>
          </w:p>
        </w:tc>
        <w:tc>
          <w:tcPr>
            <w:tcW w:w="535" w:type="dxa"/>
            <w:shd w:val="clear" w:color="auto" w:fill="auto"/>
          </w:tcPr>
          <w:p w14:paraId="7C33195A" w14:textId="77777777" w:rsidR="00007B86" w:rsidRPr="00F638AF" w:rsidRDefault="00016F29" w:rsidP="000C3576">
            <w:pPr>
              <w:pStyle w:val="FootnoteText"/>
              <w:rPr>
                <w:sz w:val="16"/>
                <w:lang w:val="en-GB"/>
              </w:rPr>
            </w:pPr>
            <w:r w:rsidRPr="00F638AF">
              <w:rPr>
                <w:sz w:val="16"/>
                <w:lang w:val="en-GB"/>
              </w:rPr>
              <w:t>54</w:t>
            </w:r>
          </w:p>
        </w:tc>
        <w:tc>
          <w:tcPr>
            <w:tcW w:w="535" w:type="dxa"/>
            <w:shd w:val="clear" w:color="auto" w:fill="auto"/>
          </w:tcPr>
          <w:p w14:paraId="7C33195B" w14:textId="77777777" w:rsidR="00007B86" w:rsidRPr="00F638AF" w:rsidRDefault="00016F29" w:rsidP="000C3576">
            <w:pPr>
              <w:pStyle w:val="FootnoteText"/>
              <w:rPr>
                <w:sz w:val="16"/>
                <w:lang w:val="en-GB"/>
              </w:rPr>
            </w:pPr>
            <w:r w:rsidRPr="00F638AF">
              <w:rPr>
                <w:sz w:val="16"/>
                <w:lang w:val="en-GB"/>
              </w:rPr>
              <w:t>54</w:t>
            </w:r>
          </w:p>
        </w:tc>
        <w:tc>
          <w:tcPr>
            <w:tcW w:w="522" w:type="dxa"/>
            <w:shd w:val="clear" w:color="auto" w:fill="auto"/>
          </w:tcPr>
          <w:p w14:paraId="7C33195C" w14:textId="77777777" w:rsidR="00007B86" w:rsidRPr="00F638AF" w:rsidRDefault="00016F29" w:rsidP="000C3576">
            <w:pPr>
              <w:pStyle w:val="FootnoteText"/>
              <w:rPr>
                <w:sz w:val="16"/>
                <w:lang w:val="en-GB"/>
              </w:rPr>
            </w:pPr>
            <w:r w:rsidRPr="00F638AF">
              <w:rPr>
                <w:sz w:val="16"/>
                <w:lang w:val="en-GB"/>
              </w:rPr>
              <w:t>54</w:t>
            </w:r>
          </w:p>
        </w:tc>
        <w:tc>
          <w:tcPr>
            <w:tcW w:w="551" w:type="dxa"/>
            <w:shd w:val="clear" w:color="auto" w:fill="auto"/>
          </w:tcPr>
          <w:p w14:paraId="7C33195D" w14:textId="77777777" w:rsidR="00007B86" w:rsidRPr="00F638AF" w:rsidRDefault="00016F29" w:rsidP="000C3576">
            <w:pPr>
              <w:pStyle w:val="FootnoteText"/>
              <w:rPr>
                <w:sz w:val="16"/>
                <w:lang w:val="en-GB"/>
              </w:rPr>
            </w:pPr>
            <w:r w:rsidRPr="00F638AF">
              <w:rPr>
                <w:sz w:val="16"/>
                <w:lang w:val="en-GB"/>
              </w:rPr>
              <w:t>54</w:t>
            </w:r>
          </w:p>
        </w:tc>
        <w:tc>
          <w:tcPr>
            <w:tcW w:w="551" w:type="dxa"/>
            <w:shd w:val="clear" w:color="auto" w:fill="auto"/>
          </w:tcPr>
          <w:p w14:paraId="7C33195E" w14:textId="77777777" w:rsidR="00007B86" w:rsidRPr="00F638AF" w:rsidRDefault="00016F29" w:rsidP="000C3576">
            <w:pPr>
              <w:pStyle w:val="FootnoteText"/>
              <w:rPr>
                <w:sz w:val="16"/>
                <w:lang w:val="en-GB"/>
              </w:rPr>
            </w:pPr>
            <w:r w:rsidRPr="00F638AF">
              <w:rPr>
                <w:sz w:val="16"/>
                <w:lang w:val="en-GB"/>
              </w:rPr>
              <w:t>52</w:t>
            </w:r>
          </w:p>
        </w:tc>
        <w:tc>
          <w:tcPr>
            <w:tcW w:w="519" w:type="dxa"/>
            <w:shd w:val="clear" w:color="auto" w:fill="auto"/>
          </w:tcPr>
          <w:p w14:paraId="7C33195F" w14:textId="77777777" w:rsidR="00007B86" w:rsidRPr="00F638AF" w:rsidRDefault="00016F29" w:rsidP="000C3576">
            <w:pPr>
              <w:pStyle w:val="FootnoteText"/>
              <w:rPr>
                <w:sz w:val="16"/>
                <w:lang w:val="en-GB"/>
              </w:rPr>
            </w:pPr>
            <w:r w:rsidRPr="00F638AF">
              <w:rPr>
                <w:sz w:val="16"/>
                <w:lang w:val="en-GB"/>
              </w:rPr>
              <w:t>50</w:t>
            </w:r>
          </w:p>
        </w:tc>
        <w:tc>
          <w:tcPr>
            <w:tcW w:w="519" w:type="dxa"/>
            <w:shd w:val="clear" w:color="auto" w:fill="auto"/>
          </w:tcPr>
          <w:p w14:paraId="7C331960" w14:textId="77777777" w:rsidR="00007B86" w:rsidRPr="00F638AF" w:rsidRDefault="00016F29" w:rsidP="000C3576">
            <w:pPr>
              <w:pStyle w:val="FootnoteText"/>
              <w:rPr>
                <w:sz w:val="16"/>
                <w:lang w:val="en-GB"/>
              </w:rPr>
            </w:pPr>
            <w:r w:rsidRPr="00F638AF">
              <w:rPr>
                <w:sz w:val="16"/>
                <w:lang w:val="en-GB"/>
              </w:rPr>
              <w:t>0</w:t>
            </w:r>
          </w:p>
        </w:tc>
      </w:tr>
    </w:tbl>
    <w:p w14:paraId="7C331962" w14:textId="77777777" w:rsidR="00AB2B61" w:rsidRPr="00F638AF" w:rsidRDefault="00016F29" w:rsidP="00E454FF">
      <w:pPr>
        <w:rPr>
          <w:sz w:val="16"/>
          <w:szCs w:val="16"/>
          <w:lang w:val="en-GB"/>
        </w:rPr>
      </w:pPr>
      <w:r w:rsidRPr="00F638AF">
        <w:rPr>
          <w:sz w:val="16"/>
          <w:szCs w:val="16"/>
          <w:lang w:val="en-GB"/>
        </w:rPr>
        <w:t xml:space="preserve">Note: </w:t>
      </w:r>
      <w:r w:rsidR="00174C00" w:rsidRPr="00F638AF">
        <w:rPr>
          <w:sz w:val="16"/>
          <w:szCs w:val="16"/>
          <w:lang w:val="en-GB"/>
        </w:rPr>
        <w:t>Patients were censored at m</w:t>
      </w:r>
      <w:r w:rsidR="002A00AD" w:rsidRPr="00F638AF">
        <w:rPr>
          <w:sz w:val="16"/>
          <w:szCs w:val="16"/>
          <w:lang w:val="en-GB"/>
        </w:rPr>
        <w:t xml:space="preserve">onth 28 if they had no event.   </w:t>
      </w:r>
    </w:p>
    <w:p w14:paraId="7C331963" w14:textId="77777777" w:rsidR="00AB2B61" w:rsidRPr="00F638AF" w:rsidRDefault="00AB2B61" w:rsidP="008F369D">
      <w:pPr>
        <w:rPr>
          <w:szCs w:val="22"/>
          <w:lang w:val="en-GB"/>
        </w:rPr>
      </w:pPr>
    </w:p>
    <w:p w14:paraId="7C331964" w14:textId="77777777" w:rsidR="002A00AD" w:rsidRPr="00F638AF" w:rsidRDefault="00016F29" w:rsidP="00E06A78">
      <w:pPr>
        <w:widowControl w:val="0"/>
        <w:jc w:val="both"/>
        <w:rPr>
          <w:szCs w:val="22"/>
          <w:lang w:val="en-GB"/>
        </w:rPr>
      </w:pPr>
      <w:r w:rsidRPr="00F638AF">
        <w:rPr>
          <w:i/>
          <w:szCs w:val="22"/>
          <w:lang w:val="en-GB"/>
        </w:rPr>
        <w:t>Laboratory evaluations</w:t>
      </w:r>
    </w:p>
    <w:p w14:paraId="7C331965" w14:textId="77777777" w:rsidR="0018038B" w:rsidRPr="00474194" w:rsidRDefault="00016F29" w:rsidP="00E06A78">
      <w:pPr>
        <w:widowControl w:val="0"/>
        <w:rPr>
          <w:color w:val="000000"/>
          <w:shd w:val="clear" w:color="auto" w:fill="FFFFFF"/>
        </w:rPr>
      </w:pPr>
      <w:r w:rsidRPr="00F638AF">
        <w:rPr>
          <w:color w:val="000000"/>
          <w:shd w:val="clear" w:color="auto" w:fill="FFFFFF"/>
        </w:rPr>
        <w:t>A total of 6/34 (18%) of MabThera treated patients from the maintenance therapy clinical trial developed ADA. There was no apparent trend or negative impact of the presence of ADA on safety or efficacy in the maintenance therapy clinical trial.</w:t>
      </w:r>
      <w:r w:rsidR="007830E0" w:rsidRPr="002A00AD">
        <w:rPr>
          <w:color w:val="000000"/>
          <w:shd w:val="clear" w:color="auto" w:fill="FFFFFF"/>
        </w:rPr>
        <w:t xml:space="preserve"> </w:t>
      </w:r>
    </w:p>
    <w:p w14:paraId="7C331966" w14:textId="77777777" w:rsidR="0018038B" w:rsidRPr="00F638AF" w:rsidRDefault="0018038B" w:rsidP="00E06A78">
      <w:pPr>
        <w:widowControl w:val="0"/>
        <w:rPr>
          <w:color w:val="000000"/>
          <w:shd w:val="clear" w:color="auto" w:fill="FFFFFF"/>
        </w:rPr>
      </w:pPr>
    </w:p>
    <w:p w14:paraId="7C331967" w14:textId="77777777" w:rsidR="00F6554A" w:rsidRPr="00F638AF" w:rsidRDefault="00016F29" w:rsidP="00E06A78">
      <w:pPr>
        <w:keepNext/>
        <w:keepLines/>
        <w:rPr>
          <w:i/>
          <w:szCs w:val="22"/>
          <w:u w:val="single"/>
          <w:lang w:val="en-GB"/>
        </w:rPr>
      </w:pPr>
      <w:r w:rsidRPr="00F638AF">
        <w:rPr>
          <w:i/>
          <w:szCs w:val="22"/>
          <w:u w:val="single"/>
          <w:lang w:val="en-GB"/>
        </w:rPr>
        <w:t>Paediatric population</w:t>
      </w:r>
    </w:p>
    <w:p w14:paraId="7C331968" w14:textId="77777777" w:rsidR="00F6554A" w:rsidRPr="00F638AF" w:rsidRDefault="00F6554A" w:rsidP="00E06A78">
      <w:pPr>
        <w:keepNext/>
        <w:keepLines/>
        <w:rPr>
          <w:i/>
          <w:szCs w:val="22"/>
          <w:u w:val="single"/>
          <w:lang w:val="en-GB"/>
        </w:rPr>
      </w:pPr>
    </w:p>
    <w:p w14:paraId="7C331969" w14:textId="77777777" w:rsidR="00F6554A" w:rsidRPr="00F638AF" w:rsidRDefault="00016F29" w:rsidP="00E06A78">
      <w:pPr>
        <w:keepNext/>
        <w:keepLines/>
        <w:rPr>
          <w:i/>
          <w:snapToGrid w:val="0"/>
          <w:szCs w:val="22"/>
          <w:u w:val="single"/>
          <w:lang w:val="en-GB"/>
        </w:rPr>
      </w:pPr>
      <w:r w:rsidRPr="00F638AF">
        <w:rPr>
          <w:i/>
          <w:snapToGrid w:val="0"/>
          <w:szCs w:val="22"/>
          <w:u w:val="single"/>
          <w:lang w:val="en-GB"/>
        </w:rPr>
        <w:t>Granulomatosis with polyangiitis (GPA) and microscopic polyangiitis (MPA)</w:t>
      </w:r>
    </w:p>
    <w:p w14:paraId="7C33196A" w14:textId="77777777" w:rsidR="00F6554A" w:rsidRPr="00F638AF" w:rsidRDefault="00F6554A" w:rsidP="00E06A78">
      <w:pPr>
        <w:keepNext/>
        <w:keepLines/>
        <w:rPr>
          <w:i/>
          <w:snapToGrid w:val="0"/>
          <w:szCs w:val="22"/>
          <w:u w:val="single"/>
          <w:lang w:val="en-GB"/>
        </w:rPr>
      </w:pPr>
    </w:p>
    <w:p w14:paraId="7C33196B" w14:textId="77777777" w:rsidR="00F6554A" w:rsidRPr="00F638AF" w:rsidRDefault="00016F29" w:rsidP="00F6554A">
      <w:pPr>
        <w:keepNext/>
        <w:keepLines/>
        <w:rPr>
          <w:rFonts w:eastAsia="MS Mincho"/>
          <w:lang w:eastAsia="en-US"/>
        </w:rPr>
      </w:pPr>
      <w:r w:rsidRPr="00F638AF">
        <w:rPr>
          <w:rFonts w:eastAsia="MS Mincho"/>
          <w:lang w:eastAsia="en-US"/>
        </w:rPr>
        <w:t xml:space="preserve">Study WA25615 (PePRS) was a multicenter, open-label, single-arm, uncontrolled study in 25 paediatric patients (≥ 2 to &lt; 18 years old) with </w:t>
      </w:r>
      <w:r w:rsidR="001917D5" w:rsidRPr="00F638AF">
        <w:rPr>
          <w:rFonts w:eastAsia="MS Mincho"/>
          <w:lang w:eastAsia="en-US"/>
        </w:rPr>
        <w:t xml:space="preserve">severe, </w:t>
      </w:r>
      <w:r w:rsidRPr="00F638AF">
        <w:rPr>
          <w:rFonts w:eastAsia="MS Mincho"/>
          <w:lang w:eastAsia="en-US"/>
        </w:rPr>
        <w:t>active GPA or MPA.  The median age of patients in the study was: 14 years (range: 6-17 years) and the majority of patients (20/25 [80%]) were female.  A total of 19 patients (76%) had GPA and 6 patients (24%) had MPA at baseline.  Eighteen patients (72%) had newly diagnosed disease upon study entry (13 patients with GPA and 5 patients with MPA) and 7 patients had relapsing disease (6 patients with GPA and 1 patient with MPA).</w:t>
      </w:r>
    </w:p>
    <w:p w14:paraId="7C33196C" w14:textId="77777777" w:rsidR="00F6554A" w:rsidRPr="00F638AF" w:rsidRDefault="00F6554A" w:rsidP="00F6554A">
      <w:pPr>
        <w:keepNext/>
        <w:keepLines/>
        <w:rPr>
          <w:rFonts w:eastAsia="MS Mincho"/>
          <w:lang w:eastAsia="en-US"/>
        </w:rPr>
      </w:pPr>
    </w:p>
    <w:p w14:paraId="7C33196D" w14:textId="77777777" w:rsidR="00F6554A" w:rsidRPr="00F638AF" w:rsidRDefault="00016F29" w:rsidP="00F6554A">
      <w:pPr>
        <w:keepNext/>
        <w:keepLines/>
        <w:rPr>
          <w:rFonts w:eastAsia="MS Mincho"/>
          <w:lang w:eastAsia="en-US"/>
        </w:rPr>
      </w:pPr>
      <w:r w:rsidRPr="00F638AF">
        <w:rPr>
          <w:rFonts w:eastAsia="MS Mincho"/>
          <w:lang w:eastAsia="en-US"/>
        </w:rPr>
        <w:t xml:space="preserve">The study design consisted of an initial 6-month remission induction phase, </w:t>
      </w:r>
      <w:r w:rsidR="000C3EA7" w:rsidRPr="00F638AF">
        <w:rPr>
          <w:rFonts w:eastAsia="MS Mincho"/>
          <w:lang w:eastAsia="en-US"/>
        </w:rPr>
        <w:t>with</w:t>
      </w:r>
      <w:r w:rsidRPr="00F638AF">
        <w:rPr>
          <w:rFonts w:eastAsia="MS Mincho"/>
          <w:lang w:eastAsia="en-US"/>
        </w:rPr>
        <w:t xml:space="preserve"> a minimum 18-month follow-up</w:t>
      </w:r>
      <w:r w:rsidR="00B87DB6" w:rsidRPr="00F638AF">
        <w:rPr>
          <w:rFonts w:eastAsia="MS Mincho"/>
          <w:lang w:eastAsia="en-US"/>
        </w:rPr>
        <w:t>,</w:t>
      </w:r>
      <w:r w:rsidRPr="00F638AF">
        <w:rPr>
          <w:rFonts w:eastAsia="MS Mincho"/>
          <w:lang w:eastAsia="en-US"/>
        </w:rPr>
        <w:t xml:space="preserve"> up to a maximum of 54 months (4.5 years)</w:t>
      </w:r>
      <w:r w:rsidR="00B87DB6" w:rsidRPr="00F638AF">
        <w:rPr>
          <w:rFonts w:eastAsia="MS Mincho"/>
          <w:lang w:eastAsia="en-US"/>
        </w:rPr>
        <w:t xml:space="preserve"> overall</w:t>
      </w:r>
      <w:r w:rsidRPr="00F638AF">
        <w:rPr>
          <w:rFonts w:eastAsia="MS Mincho"/>
          <w:lang w:eastAsia="en-US"/>
        </w:rPr>
        <w:t xml:space="preserve">.  Patients were to receive a minimum of 3 doses of IV methylprednisolone (30 mg/kg/day, not exceeding 1 g/day) prior to the first MabThera IV infusion. If clinically indicated, additional daily doses (up to three), of IV methylprednisolone could be given. The remission induction regimen consisted of four once weekly IV infusions of MabThera at a dose of 375 mg/m2 BSA, on study days 1, 8, 15 and 22 in combination with oral prednisolone or prednisone at 1 mg/kg/day (max 60 mg/day) tapered to 0.2 mg/kg/day minimum (max 10 mg/day) by </w:t>
      </w:r>
      <w:r w:rsidR="002559D6" w:rsidRPr="00F638AF">
        <w:rPr>
          <w:rFonts w:eastAsia="MS Mincho"/>
          <w:lang w:eastAsia="en-US"/>
        </w:rPr>
        <w:t>M</w:t>
      </w:r>
      <w:r w:rsidRPr="00F638AF">
        <w:rPr>
          <w:rFonts w:eastAsia="MS Mincho"/>
          <w:lang w:eastAsia="en-US"/>
        </w:rPr>
        <w:t>onth 6.  After the remission induction phase, patients could, at the discretion of the investigator,</w:t>
      </w:r>
      <w:r w:rsidR="00C17D03" w:rsidRPr="00F638AF">
        <w:rPr>
          <w:rFonts w:eastAsia="MS Mincho"/>
          <w:lang w:eastAsia="en-US"/>
        </w:rPr>
        <w:t xml:space="preserve"> </w:t>
      </w:r>
      <w:r w:rsidRPr="00F638AF">
        <w:rPr>
          <w:rFonts w:eastAsia="MS Mincho"/>
          <w:lang w:eastAsia="en-US"/>
        </w:rPr>
        <w:t xml:space="preserve">receive subsequent MabThera infusions on or after </w:t>
      </w:r>
      <w:r w:rsidR="002559D6" w:rsidRPr="00F638AF">
        <w:rPr>
          <w:rFonts w:eastAsia="MS Mincho"/>
          <w:lang w:eastAsia="en-US"/>
        </w:rPr>
        <w:t>M</w:t>
      </w:r>
      <w:r w:rsidRPr="00F638AF">
        <w:rPr>
          <w:rFonts w:eastAsia="MS Mincho"/>
          <w:lang w:eastAsia="en-US"/>
        </w:rPr>
        <w:t>onth 6 to maintain PVAS remission and control disease activity</w:t>
      </w:r>
      <w:r w:rsidRPr="00F638AF">
        <w:rPr>
          <w:rFonts w:eastAsia="MS Mincho"/>
        </w:rPr>
        <w:t xml:space="preserve"> </w:t>
      </w:r>
      <w:r w:rsidRPr="00F638AF">
        <w:t>(</w:t>
      </w:r>
      <w:r w:rsidRPr="00F638AF">
        <w:rPr>
          <w:rFonts w:eastAsia="MS Mincho"/>
          <w:lang w:eastAsia="en-US"/>
        </w:rPr>
        <w:t>including progressive disease or flare) or to achieve first remission.</w:t>
      </w:r>
    </w:p>
    <w:p w14:paraId="7C33196E" w14:textId="77777777" w:rsidR="00F6554A" w:rsidRPr="00F638AF" w:rsidRDefault="00F6554A" w:rsidP="00F6554A">
      <w:pPr>
        <w:keepNext/>
        <w:keepLines/>
        <w:rPr>
          <w:rFonts w:eastAsia="MS Mincho"/>
          <w:lang w:eastAsia="en-US"/>
        </w:rPr>
      </w:pPr>
    </w:p>
    <w:p w14:paraId="7C33196F" w14:textId="77777777" w:rsidR="00F6554A" w:rsidRPr="00F638AF" w:rsidRDefault="00016F29" w:rsidP="00F6554A">
      <w:pPr>
        <w:keepNext/>
        <w:keepLines/>
        <w:rPr>
          <w:rFonts w:eastAsia="MS Mincho"/>
          <w:lang w:eastAsia="en-US"/>
        </w:rPr>
      </w:pPr>
      <w:r w:rsidRPr="00F638AF">
        <w:rPr>
          <w:rFonts w:eastAsia="MS Mincho"/>
          <w:lang w:eastAsia="en-US"/>
        </w:rPr>
        <w:t xml:space="preserve">All 25 patients completed all four once weekly IV infusions for the 6-month remission induction phase.  A total of 24 out of 25 patients completed at least 18 months of follow-up. </w:t>
      </w:r>
    </w:p>
    <w:p w14:paraId="7C331970" w14:textId="77777777" w:rsidR="00F6554A" w:rsidRPr="00F638AF" w:rsidRDefault="00F6554A" w:rsidP="00F6554A">
      <w:pPr>
        <w:keepNext/>
        <w:keepLines/>
        <w:rPr>
          <w:rFonts w:eastAsia="MS Mincho"/>
          <w:lang w:eastAsia="en-US"/>
        </w:rPr>
      </w:pPr>
    </w:p>
    <w:p w14:paraId="7C331971" w14:textId="77777777" w:rsidR="00F6554A" w:rsidRPr="00F638AF" w:rsidRDefault="00016F29" w:rsidP="00F6554A">
      <w:pPr>
        <w:keepNext/>
        <w:keepLines/>
        <w:rPr>
          <w:rFonts w:eastAsia="MS Mincho"/>
          <w:lang w:eastAsia="en-US"/>
        </w:rPr>
      </w:pPr>
      <w:r w:rsidRPr="00F638AF">
        <w:rPr>
          <w:rFonts w:eastAsia="MS Mincho"/>
          <w:lang w:eastAsia="en-US"/>
        </w:rPr>
        <w:t xml:space="preserve">The objectives of this study were to evaluate safety, PK parameters, and efficacy of MabThera in paediatric GPA and MPA patients (≥ 2 to &lt; 18 years old).  The efficacy objectives of the study were exploratory and principally assessed using the Pediatric Vasculitis Activity Score (PVAS) (Table </w:t>
      </w:r>
      <w:r w:rsidR="002D58BF" w:rsidRPr="00F638AF">
        <w:rPr>
          <w:rFonts w:eastAsia="MS Mincho"/>
          <w:lang w:eastAsia="en-US"/>
        </w:rPr>
        <w:t>21</w:t>
      </w:r>
      <w:r w:rsidRPr="00F638AF">
        <w:rPr>
          <w:rFonts w:eastAsia="MS Mincho"/>
          <w:lang w:eastAsia="en-US"/>
        </w:rPr>
        <w:t>).</w:t>
      </w:r>
    </w:p>
    <w:p w14:paraId="7C331972" w14:textId="77777777" w:rsidR="00F6554A" w:rsidRPr="00F638AF" w:rsidRDefault="00F6554A" w:rsidP="00F6554A">
      <w:pPr>
        <w:keepNext/>
        <w:keepLines/>
        <w:jc w:val="both"/>
        <w:rPr>
          <w:i/>
          <w:szCs w:val="22"/>
          <w:lang w:val="en-GB"/>
        </w:rPr>
      </w:pPr>
    </w:p>
    <w:p w14:paraId="7C331973" w14:textId="77777777" w:rsidR="00F6554A" w:rsidRPr="00F638AF" w:rsidRDefault="00016F29" w:rsidP="00F6554A">
      <w:pPr>
        <w:keepNext/>
        <w:keepLines/>
        <w:jc w:val="both"/>
        <w:rPr>
          <w:i/>
          <w:szCs w:val="22"/>
          <w:lang w:val="en-GB"/>
        </w:rPr>
      </w:pPr>
      <w:r w:rsidRPr="00F638AF">
        <w:rPr>
          <w:i/>
          <w:szCs w:val="22"/>
          <w:lang w:val="en-GB"/>
        </w:rPr>
        <w:t>Cumulative Glucocorticoid dose (IV and Oral) by Month 6:</w:t>
      </w:r>
    </w:p>
    <w:p w14:paraId="7C331974" w14:textId="77777777" w:rsidR="00F6554A" w:rsidRPr="00F638AF" w:rsidRDefault="00016F29" w:rsidP="00F6554A">
      <w:pPr>
        <w:keepNext/>
        <w:keepLines/>
      </w:pPr>
      <w:r w:rsidRPr="00F638AF">
        <w:t xml:space="preserve">Twenty-four out of 25 patients (96%) in Study WA25615 achieved oral glucocorticoid taper to 0.2 mg/kg/day (or less than or equal to 10 mg/day, whichever was lower) </w:t>
      </w:r>
      <w:r w:rsidR="00ED26E7" w:rsidRPr="00F638AF">
        <w:t xml:space="preserve">at or </w:t>
      </w:r>
      <w:r w:rsidRPr="00F638AF">
        <w:t>by Month 6 during the protocol-defined oral steroid taper.</w:t>
      </w:r>
    </w:p>
    <w:p w14:paraId="7C331975" w14:textId="77777777" w:rsidR="00F6554A" w:rsidRPr="00F638AF" w:rsidRDefault="00F6554A" w:rsidP="00F6554A">
      <w:pPr>
        <w:keepNext/>
        <w:keepLines/>
        <w:rPr>
          <w:rFonts w:eastAsia="MS Mincho"/>
        </w:rPr>
      </w:pPr>
    </w:p>
    <w:p w14:paraId="7C331976" w14:textId="77777777" w:rsidR="00F6554A" w:rsidRPr="00F638AF" w:rsidRDefault="00016F29" w:rsidP="00F6554A">
      <w:pPr>
        <w:keepNext/>
        <w:keepLines/>
        <w:rPr>
          <w:rFonts w:eastAsia="MS Mincho"/>
          <w:lang w:eastAsia="en-US"/>
        </w:rPr>
      </w:pPr>
      <w:r w:rsidRPr="00F638AF">
        <w:rPr>
          <w:rFonts w:eastAsia="MS Mincho"/>
          <w:lang w:eastAsia="en-US"/>
        </w:rPr>
        <w:t xml:space="preserve">A decrease in median overall oral glucocorticoid use was observed from </w:t>
      </w:r>
      <w:r w:rsidR="00ED26E7" w:rsidRPr="00F638AF">
        <w:rPr>
          <w:rFonts w:eastAsia="MS Mincho"/>
          <w:lang w:eastAsia="en-US"/>
        </w:rPr>
        <w:t>W</w:t>
      </w:r>
      <w:r w:rsidRPr="00F638AF">
        <w:rPr>
          <w:rFonts w:eastAsia="MS Mincho"/>
          <w:lang w:eastAsia="en-US"/>
        </w:rPr>
        <w:t xml:space="preserve">eek 1 (median = 45 mg prednisone equivalent dose [IQR: 35 – 60]) to </w:t>
      </w:r>
      <w:r w:rsidR="00ED26E7" w:rsidRPr="00F638AF">
        <w:rPr>
          <w:rFonts w:eastAsia="MS Mincho"/>
          <w:lang w:eastAsia="en-US"/>
        </w:rPr>
        <w:t>M</w:t>
      </w:r>
      <w:r w:rsidRPr="00F638AF">
        <w:rPr>
          <w:rFonts w:eastAsia="MS Mincho"/>
          <w:lang w:eastAsia="en-US"/>
        </w:rPr>
        <w:t xml:space="preserve">onth 6 (median = 7.5 mg [IQR: 4-10]), which was subsequently maintained at </w:t>
      </w:r>
      <w:r w:rsidR="00ED26E7" w:rsidRPr="00F638AF">
        <w:rPr>
          <w:rFonts w:eastAsia="MS Mincho"/>
          <w:lang w:eastAsia="en-US"/>
        </w:rPr>
        <w:t>M</w:t>
      </w:r>
      <w:r w:rsidRPr="00F638AF">
        <w:rPr>
          <w:rFonts w:eastAsia="MS Mincho"/>
          <w:lang w:eastAsia="en-US"/>
        </w:rPr>
        <w:t xml:space="preserve">onth 12 (median = 5 mg [IQR: 2-10]) and </w:t>
      </w:r>
      <w:r w:rsidR="00ED26E7" w:rsidRPr="00F638AF">
        <w:rPr>
          <w:rFonts w:eastAsia="MS Mincho"/>
          <w:lang w:eastAsia="en-US"/>
        </w:rPr>
        <w:t>M</w:t>
      </w:r>
      <w:r w:rsidR="00ED26E7" w:rsidRPr="00F638AF">
        <w:rPr>
          <w:rFonts w:eastAsia="MS Mincho"/>
          <w:strike/>
          <w:lang w:eastAsia="en-US"/>
        </w:rPr>
        <w:t>m</w:t>
      </w:r>
      <w:r w:rsidRPr="00F638AF">
        <w:rPr>
          <w:rFonts w:eastAsia="MS Mincho"/>
          <w:lang w:eastAsia="en-US"/>
        </w:rPr>
        <w:t xml:space="preserve">onth 18 (median =5 mg [IQR: 1-5]). </w:t>
      </w:r>
    </w:p>
    <w:p w14:paraId="7C331977" w14:textId="77777777" w:rsidR="00F6554A" w:rsidRPr="00F638AF" w:rsidRDefault="00F6554A" w:rsidP="00F6554A">
      <w:pPr>
        <w:keepNext/>
        <w:keepLines/>
        <w:rPr>
          <w:rFonts w:eastAsia="MS Mincho"/>
          <w:i/>
          <w:lang w:eastAsia="en-US"/>
        </w:rPr>
      </w:pPr>
    </w:p>
    <w:p w14:paraId="7C331978" w14:textId="77777777" w:rsidR="00F6554A" w:rsidRPr="00F638AF" w:rsidRDefault="00016F29" w:rsidP="00E06A78">
      <w:pPr>
        <w:widowControl w:val="0"/>
        <w:rPr>
          <w:rFonts w:eastAsia="MS Mincho"/>
          <w:i/>
          <w:lang w:eastAsia="en-US"/>
        </w:rPr>
      </w:pPr>
      <w:r w:rsidRPr="00F638AF">
        <w:rPr>
          <w:rFonts w:eastAsia="MS Mincho"/>
          <w:i/>
          <w:lang w:eastAsia="en-US"/>
        </w:rPr>
        <w:t>Follow-Up Treatment</w:t>
      </w:r>
    </w:p>
    <w:p w14:paraId="7C331979" w14:textId="77777777" w:rsidR="00F6554A" w:rsidRDefault="00016F29" w:rsidP="00E06A78">
      <w:pPr>
        <w:widowControl w:val="0"/>
        <w:rPr>
          <w:rFonts w:eastAsia="MS Mincho"/>
          <w:lang w:eastAsia="en-US"/>
        </w:rPr>
      </w:pPr>
      <w:r w:rsidRPr="00F638AF">
        <w:rPr>
          <w:rFonts w:eastAsia="MS Mincho"/>
          <w:lang w:eastAsia="en-US"/>
        </w:rPr>
        <w:t>During the Overall Study Period, patients received between 4 and 28 infusions of MabThera (up to 4.5 yrs [53.8 months]). Patients received up to 375 mg/m</w:t>
      </w:r>
      <w:r w:rsidRPr="00F638AF">
        <w:rPr>
          <w:rFonts w:eastAsia="MS Mincho"/>
          <w:vertAlign w:val="superscript"/>
          <w:lang w:eastAsia="en-US"/>
        </w:rPr>
        <w:t>2</w:t>
      </w:r>
      <w:r w:rsidRPr="00F638AF">
        <w:rPr>
          <w:rFonts w:eastAsia="MS Mincho"/>
          <w:lang w:eastAsia="en-US"/>
        </w:rPr>
        <w:t xml:space="preserve"> x 4 of MabThera, approximately every 6 months at the discretion of the investigator. In total, 17 out of 25 patients (68%) received additional rituximab treatment at or post Month 6 until the Common Close Out, 14 out of these 17 patients received additional rituximab treatment between </w:t>
      </w:r>
      <w:r w:rsidR="002559D6" w:rsidRPr="00F638AF">
        <w:rPr>
          <w:rFonts w:eastAsia="MS Mincho"/>
          <w:lang w:eastAsia="en-US"/>
        </w:rPr>
        <w:t>M</w:t>
      </w:r>
      <w:r w:rsidRPr="00F638AF">
        <w:rPr>
          <w:rFonts w:eastAsia="MS Mincho"/>
          <w:lang w:eastAsia="en-US"/>
        </w:rPr>
        <w:t xml:space="preserve">onth 6 and </w:t>
      </w:r>
      <w:r w:rsidR="002559D6" w:rsidRPr="00F638AF">
        <w:rPr>
          <w:rFonts w:eastAsia="MS Mincho"/>
          <w:lang w:eastAsia="en-US"/>
        </w:rPr>
        <w:t>M</w:t>
      </w:r>
      <w:r w:rsidRPr="00F638AF">
        <w:rPr>
          <w:rFonts w:eastAsia="MS Mincho"/>
          <w:lang w:eastAsia="en-US"/>
        </w:rPr>
        <w:t>onth 18.</w:t>
      </w:r>
    </w:p>
    <w:p w14:paraId="7C33197A" w14:textId="77777777" w:rsidR="00630020" w:rsidRPr="00F638AF" w:rsidRDefault="00630020" w:rsidP="00E06A78">
      <w:pPr>
        <w:widowControl w:val="0"/>
        <w:rPr>
          <w:rFonts w:eastAsia="MS Mincho"/>
          <w:lang w:eastAsia="en-US"/>
        </w:rPr>
      </w:pPr>
    </w:p>
    <w:p w14:paraId="7C33197B" w14:textId="77777777" w:rsidR="00B77DC8" w:rsidRPr="00F638AF" w:rsidRDefault="00016F29" w:rsidP="00E06A78">
      <w:pPr>
        <w:keepNext/>
        <w:keepLines/>
        <w:spacing w:line="240" w:lineRule="atLeast"/>
        <w:rPr>
          <w:b/>
        </w:rPr>
      </w:pPr>
      <w:r w:rsidRPr="00F638AF">
        <w:rPr>
          <w:b/>
        </w:rPr>
        <w:t xml:space="preserve">Table </w:t>
      </w:r>
      <w:r w:rsidR="003B2031" w:rsidRPr="00F638AF">
        <w:rPr>
          <w:b/>
        </w:rPr>
        <w:t>21</w:t>
      </w:r>
      <w:r w:rsidRPr="00F638AF">
        <w:rPr>
          <w:b/>
        </w:rPr>
        <w:t xml:space="preserve">: Study WA25615 (PePRS) - PVAS Remission at Month 1, 2, 4, 6, 12 and 18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4500"/>
        <w:gridCol w:w="1937"/>
      </w:tblGrid>
      <w:tr w:rsidR="003A788B" w14:paraId="7C331980" w14:textId="77777777" w:rsidTr="007512F9">
        <w:trPr>
          <w:trHeight w:val="881"/>
        </w:trPr>
        <w:tc>
          <w:tcPr>
            <w:tcW w:w="2088" w:type="dxa"/>
            <w:shd w:val="clear" w:color="auto" w:fill="auto"/>
          </w:tcPr>
          <w:p w14:paraId="7C33197C" w14:textId="77777777" w:rsidR="00B77DC8" w:rsidRPr="00F638AF" w:rsidRDefault="00016F29" w:rsidP="00E06A78">
            <w:pPr>
              <w:keepNext/>
              <w:keepLines/>
              <w:spacing w:before="100" w:beforeAutospacing="1" w:after="170" w:line="240" w:lineRule="atLeast"/>
              <w:rPr>
                <w:rFonts w:eastAsia="MS Mincho"/>
                <w:lang w:eastAsia="en-US"/>
              </w:rPr>
            </w:pPr>
            <w:r w:rsidRPr="00F638AF">
              <w:rPr>
                <w:rFonts w:eastAsia="MS Mincho"/>
                <w:lang w:eastAsia="en-US"/>
              </w:rPr>
              <w:t>Study visit</w:t>
            </w:r>
          </w:p>
        </w:tc>
        <w:tc>
          <w:tcPr>
            <w:tcW w:w="4500" w:type="dxa"/>
            <w:shd w:val="clear" w:color="auto" w:fill="auto"/>
          </w:tcPr>
          <w:p w14:paraId="7C33197D" w14:textId="77777777" w:rsidR="00B77DC8" w:rsidRPr="00F638AF" w:rsidRDefault="00016F29" w:rsidP="00E06A78">
            <w:pPr>
              <w:keepNext/>
              <w:keepLines/>
              <w:spacing w:before="100" w:beforeAutospacing="1" w:after="170" w:line="240" w:lineRule="atLeast"/>
              <w:rPr>
                <w:rFonts w:eastAsia="MS Mincho"/>
                <w:lang w:eastAsia="en-US"/>
              </w:rPr>
            </w:pPr>
            <w:r w:rsidRPr="00F638AF">
              <w:rPr>
                <w:rFonts w:eastAsia="MS Mincho"/>
                <w:lang w:eastAsia="en-US"/>
              </w:rPr>
              <w:t>Number of Responders in PVAS Remission</w:t>
            </w:r>
            <w:r w:rsidRPr="00F638AF">
              <w:rPr>
                <w:rFonts w:eastAsia="MS Mincho"/>
                <w:vertAlign w:val="superscript"/>
                <w:lang w:eastAsia="en-US"/>
              </w:rPr>
              <w:t>*</w:t>
            </w:r>
            <w:r w:rsidRPr="00F638AF">
              <w:rPr>
                <w:rFonts w:eastAsia="MS Mincho"/>
                <w:lang w:eastAsia="en-US"/>
              </w:rPr>
              <w:t xml:space="preserve"> (response rate [%])</w:t>
            </w:r>
          </w:p>
          <w:p w14:paraId="7C33197E" w14:textId="77777777" w:rsidR="00B77DC8" w:rsidRPr="00F638AF" w:rsidRDefault="00016F29" w:rsidP="00E06A78">
            <w:pPr>
              <w:keepNext/>
              <w:keepLines/>
              <w:spacing w:before="100" w:beforeAutospacing="1" w:after="170" w:line="240" w:lineRule="atLeast"/>
              <w:rPr>
                <w:rFonts w:eastAsia="MS Mincho"/>
                <w:lang w:eastAsia="en-US"/>
              </w:rPr>
            </w:pPr>
            <w:r w:rsidRPr="00F638AF">
              <w:rPr>
                <w:rFonts w:eastAsia="MS Mincho"/>
                <w:lang w:eastAsia="en-US"/>
              </w:rPr>
              <w:t>n=25</w:t>
            </w:r>
          </w:p>
        </w:tc>
        <w:tc>
          <w:tcPr>
            <w:tcW w:w="1937" w:type="dxa"/>
            <w:shd w:val="clear" w:color="auto" w:fill="auto"/>
          </w:tcPr>
          <w:p w14:paraId="7C33197F" w14:textId="77777777" w:rsidR="00B77DC8" w:rsidRPr="00F638AF" w:rsidRDefault="00016F29" w:rsidP="00E06A78">
            <w:pPr>
              <w:keepNext/>
              <w:keepLines/>
              <w:spacing w:before="100" w:beforeAutospacing="1" w:after="170" w:line="240" w:lineRule="atLeast"/>
              <w:rPr>
                <w:rFonts w:eastAsia="MS Mincho"/>
                <w:lang w:eastAsia="en-US"/>
              </w:rPr>
            </w:pPr>
            <w:r w:rsidRPr="00F638AF">
              <w:rPr>
                <w:rFonts w:eastAsia="MS Mincho"/>
                <w:lang w:eastAsia="en-US"/>
              </w:rPr>
              <w:t>95% CI</w:t>
            </w:r>
            <w:r w:rsidRPr="00F638AF">
              <w:rPr>
                <w:rFonts w:eastAsia="MS Mincho"/>
                <w:vertAlign w:val="superscript"/>
                <w:lang w:eastAsia="en-US"/>
              </w:rPr>
              <w:t>α</w:t>
            </w:r>
          </w:p>
        </w:tc>
      </w:tr>
      <w:tr w:rsidR="003A788B" w14:paraId="7C331984" w14:textId="77777777" w:rsidTr="007512F9">
        <w:tc>
          <w:tcPr>
            <w:tcW w:w="2088" w:type="dxa"/>
            <w:shd w:val="clear" w:color="auto" w:fill="auto"/>
          </w:tcPr>
          <w:p w14:paraId="7C331981" w14:textId="77777777" w:rsidR="00B77DC8" w:rsidRPr="00F638AF" w:rsidRDefault="00016F29" w:rsidP="00E06A78">
            <w:pPr>
              <w:keepNext/>
              <w:keepLines/>
              <w:spacing w:before="100" w:beforeAutospacing="1" w:after="170" w:line="240" w:lineRule="atLeast"/>
              <w:rPr>
                <w:rFonts w:eastAsia="MS Mincho"/>
                <w:lang w:eastAsia="en-US"/>
              </w:rPr>
            </w:pPr>
            <w:r w:rsidRPr="00F638AF">
              <w:rPr>
                <w:rFonts w:eastAsia="MS Mincho"/>
                <w:lang w:eastAsia="en-US"/>
              </w:rPr>
              <w:t xml:space="preserve"> Month 1</w:t>
            </w:r>
          </w:p>
        </w:tc>
        <w:tc>
          <w:tcPr>
            <w:tcW w:w="4500" w:type="dxa"/>
            <w:shd w:val="clear" w:color="auto" w:fill="auto"/>
          </w:tcPr>
          <w:p w14:paraId="7C331982" w14:textId="77777777" w:rsidR="00B77DC8" w:rsidRPr="00F638AF" w:rsidRDefault="00016F29" w:rsidP="00E06A78">
            <w:pPr>
              <w:keepNext/>
              <w:keepLines/>
              <w:spacing w:before="100" w:beforeAutospacing="1" w:after="170" w:line="240" w:lineRule="atLeast"/>
              <w:rPr>
                <w:rFonts w:eastAsia="MS Mincho"/>
                <w:lang w:eastAsia="en-US"/>
              </w:rPr>
            </w:pPr>
            <w:r w:rsidRPr="00F638AF">
              <w:rPr>
                <w:rFonts w:eastAsia="MS Mincho"/>
                <w:lang w:eastAsia="en-US"/>
              </w:rPr>
              <w:t>0</w:t>
            </w:r>
          </w:p>
        </w:tc>
        <w:tc>
          <w:tcPr>
            <w:tcW w:w="1937" w:type="dxa"/>
            <w:shd w:val="clear" w:color="auto" w:fill="auto"/>
          </w:tcPr>
          <w:p w14:paraId="7C331983" w14:textId="77777777" w:rsidR="00B77DC8" w:rsidRPr="00F638AF" w:rsidRDefault="00016F29" w:rsidP="00E06A78">
            <w:pPr>
              <w:keepNext/>
              <w:keepLines/>
              <w:spacing w:before="100" w:beforeAutospacing="1" w:after="170" w:line="240" w:lineRule="atLeast"/>
              <w:rPr>
                <w:rFonts w:eastAsia="MS Mincho"/>
                <w:lang w:eastAsia="en-US"/>
              </w:rPr>
            </w:pPr>
            <w:r w:rsidRPr="00F638AF">
              <w:rPr>
                <w:rFonts w:eastAsia="MS Mincho"/>
                <w:lang w:eastAsia="en-US"/>
              </w:rPr>
              <w:t>0.0%, 13.7%</w:t>
            </w:r>
          </w:p>
        </w:tc>
      </w:tr>
      <w:tr w:rsidR="003A788B" w14:paraId="7C331988" w14:textId="77777777" w:rsidTr="007512F9">
        <w:tc>
          <w:tcPr>
            <w:tcW w:w="2088" w:type="dxa"/>
            <w:shd w:val="clear" w:color="auto" w:fill="auto"/>
          </w:tcPr>
          <w:p w14:paraId="7C331985" w14:textId="77777777" w:rsidR="00B77DC8" w:rsidRPr="00F638AF" w:rsidRDefault="00016F29" w:rsidP="00E06A78">
            <w:pPr>
              <w:keepNext/>
              <w:widowControl w:val="0"/>
              <w:spacing w:before="100" w:beforeAutospacing="1" w:after="170" w:line="240" w:lineRule="atLeast"/>
              <w:rPr>
                <w:rFonts w:eastAsia="MS Mincho"/>
                <w:lang w:eastAsia="en-US"/>
              </w:rPr>
            </w:pPr>
            <w:r w:rsidRPr="00F638AF">
              <w:rPr>
                <w:rFonts w:eastAsia="MS Mincho"/>
                <w:lang w:eastAsia="en-US"/>
              </w:rPr>
              <w:t xml:space="preserve"> Month 2</w:t>
            </w:r>
          </w:p>
        </w:tc>
        <w:tc>
          <w:tcPr>
            <w:tcW w:w="4500" w:type="dxa"/>
            <w:shd w:val="clear" w:color="auto" w:fill="auto"/>
          </w:tcPr>
          <w:p w14:paraId="7C331986" w14:textId="77777777" w:rsidR="00B77DC8" w:rsidRPr="00F638AF" w:rsidRDefault="00016F29" w:rsidP="00E06A78">
            <w:pPr>
              <w:keepNext/>
              <w:widowControl w:val="0"/>
              <w:spacing w:before="100" w:beforeAutospacing="1" w:after="170" w:line="240" w:lineRule="atLeast"/>
              <w:rPr>
                <w:rFonts w:eastAsia="MS Mincho"/>
                <w:lang w:eastAsia="en-US"/>
              </w:rPr>
            </w:pPr>
            <w:r w:rsidRPr="00F638AF">
              <w:rPr>
                <w:rFonts w:eastAsia="MS Mincho"/>
                <w:lang w:eastAsia="en-US"/>
              </w:rPr>
              <w:t>1 (4.0%)</w:t>
            </w:r>
          </w:p>
        </w:tc>
        <w:tc>
          <w:tcPr>
            <w:tcW w:w="1937" w:type="dxa"/>
            <w:shd w:val="clear" w:color="auto" w:fill="auto"/>
          </w:tcPr>
          <w:p w14:paraId="7C331987" w14:textId="77777777" w:rsidR="00B77DC8" w:rsidRPr="00F638AF" w:rsidRDefault="00016F29" w:rsidP="00E06A78">
            <w:pPr>
              <w:keepNext/>
              <w:widowControl w:val="0"/>
              <w:spacing w:before="100" w:beforeAutospacing="1" w:after="170" w:line="240" w:lineRule="atLeast"/>
              <w:rPr>
                <w:rFonts w:eastAsia="MS Mincho"/>
                <w:lang w:eastAsia="en-US"/>
              </w:rPr>
            </w:pPr>
            <w:r w:rsidRPr="00F638AF">
              <w:rPr>
                <w:rFonts w:eastAsia="MS Mincho"/>
                <w:lang w:eastAsia="en-US"/>
              </w:rPr>
              <w:t>0.1%, 20.4%</w:t>
            </w:r>
          </w:p>
        </w:tc>
      </w:tr>
      <w:tr w:rsidR="003A788B" w14:paraId="7C33198C" w14:textId="77777777" w:rsidTr="007512F9">
        <w:tc>
          <w:tcPr>
            <w:tcW w:w="2088" w:type="dxa"/>
            <w:shd w:val="clear" w:color="auto" w:fill="auto"/>
          </w:tcPr>
          <w:p w14:paraId="7C331989" w14:textId="77777777" w:rsidR="00B77DC8" w:rsidRPr="00F638AF" w:rsidRDefault="00016F29" w:rsidP="00E06A78">
            <w:pPr>
              <w:keepNext/>
              <w:widowControl w:val="0"/>
              <w:spacing w:before="100" w:beforeAutospacing="1" w:after="170" w:line="240" w:lineRule="atLeast"/>
              <w:rPr>
                <w:rFonts w:eastAsia="MS Mincho"/>
                <w:lang w:eastAsia="en-US"/>
              </w:rPr>
            </w:pPr>
            <w:r w:rsidRPr="00F638AF">
              <w:rPr>
                <w:rFonts w:eastAsia="MS Mincho"/>
                <w:lang w:eastAsia="en-US"/>
              </w:rPr>
              <w:t xml:space="preserve"> Month 4</w:t>
            </w:r>
          </w:p>
        </w:tc>
        <w:tc>
          <w:tcPr>
            <w:tcW w:w="4500" w:type="dxa"/>
            <w:shd w:val="clear" w:color="auto" w:fill="auto"/>
          </w:tcPr>
          <w:p w14:paraId="7C33198A" w14:textId="77777777" w:rsidR="00B77DC8" w:rsidRPr="00F638AF" w:rsidRDefault="00016F29" w:rsidP="00E06A78">
            <w:pPr>
              <w:keepNext/>
              <w:widowControl w:val="0"/>
              <w:spacing w:before="100" w:beforeAutospacing="1" w:after="170" w:line="240" w:lineRule="atLeast"/>
              <w:rPr>
                <w:rFonts w:eastAsia="MS Mincho"/>
                <w:lang w:eastAsia="en-US"/>
              </w:rPr>
            </w:pPr>
            <w:r w:rsidRPr="00F638AF">
              <w:rPr>
                <w:rFonts w:eastAsia="MS Mincho"/>
                <w:lang w:eastAsia="en-US"/>
              </w:rPr>
              <w:t>5 (20.0%)</w:t>
            </w:r>
          </w:p>
        </w:tc>
        <w:tc>
          <w:tcPr>
            <w:tcW w:w="1937" w:type="dxa"/>
            <w:shd w:val="clear" w:color="auto" w:fill="auto"/>
          </w:tcPr>
          <w:p w14:paraId="7C33198B" w14:textId="77777777" w:rsidR="00B77DC8" w:rsidRPr="00F638AF" w:rsidRDefault="00016F29" w:rsidP="00E06A78">
            <w:pPr>
              <w:keepNext/>
              <w:widowControl w:val="0"/>
              <w:spacing w:before="100" w:beforeAutospacing="1" w:after="170" w:line="240" w:lineRule="atLeast"/>
              <w:rPr>
                <w:rFonts w:eastAsia="MS Mincho"/>
                <w:lang w:eastAsia="en-US"/>
              </w:rPr>
            </w:pPr>
            <w:r w:rsidRPr="00F638AF">
              <w:rPr>
                <w:rFonts w:eastAsia="MS Mincho"/>
                <w:lang w:eastAsia="en-US"/>
              </w:rPr>
              <w:t>6.8%, 40.7%</w:t>
            </w:r>
          </w:p>
        </w:tc>
      </w:tr>
      <w:tr w:rsidR="003A788B" w14:paraId="7C331990" w14:textId="77777777" w:rsidTr="007512F9">
        <w:tc>
          <w:tcPr>
            <w:tcW w:w="2088" w:type="dxa"/>
            <w:shd w:val="clear" w:color="auto" w:fill="auto"/>
          </w:tcPr>
          <w:p w14:paraId="7C33198D" w14:textId="77777777" w:rsidR="00B77DC8" w:rsidRPr="00F638AF" w:rsidRDefault="00016F29" w:rsidP="00E06A78">
            <w:pPr>
              <w:keepNext/>
              <w:widowControl w:val="0"/>
              <w:spacing w:before="100" w:beforeAutospacing="1" w:after="170" w:line="240" w:lineRule="atLeast"/>
              <w:rPr>
                <w:rFonts w:eastAsia="MS Mincho"/>
                <w:lang w:eastAsia="en-US"/>
              </w:rPr>
            </w:pPr>
            <w:r w:rsidRPr="00F638AF">
              <w:rPr>
                <w:rFonts w:eastAsia="MS Mincho"/>
                <w:lang w:eastAsia="en-US"/>
              </w:rPr>
              <w:t xml:space="preserve"> Month 6</w:t>
            </w:r>
          </w:p>
        </w:tc>
        <w:tc>
          <w:tcPr>
            <w:tcW w:w="4500" w:type="dxa"/>
            <w:shd w:val="clear" w:color="auto" w:fill="auto"/>
          </w:tcPr>
          <w:p w14:paraId="7C33198E" w14:textId="77777777" w:rsidR="00B77DC8" w:rsidRPr="00F638AF" w:rsidRDefault="00016F29" w:rsidP="00E06A78">
            <w:pPr>
              <w:keepNext/>
              <w:widowControl w:val="0"/>
              <w:spacing w:before="100" w:beforeAutospacing="1" w:after="170" w:line="240" w:lineRule="atLeast"/>
              <w:rPr>
                <w:rFonts w:eastAsia="MS Mincho"/>
                <w:lang w:eastAsia="en-US"/>
              </w:rPr>
            </w:pPr>
            <w:r w:rsidRPr="00F638AF">
              <w:rPr>
                <w:rFonts w:eastAsia="MS Mincho"/>
                <w:lang w:eastAsia="en-US"/>
              </w:rPr>
              <w:t>13 (52.0%)</w:t>
            </w:r>
          </w:p>
        </w:tc>
        <w:tc>
          <w:tcPr>
            <w:tcW w:w="1937" w:type="dxa"/>
            <w:shd w:val="clear" w:color="auto" w:fill="auto"/>
          </w:tcPr>
          <w:p w14:paraId="7C33198F" w14:textId="77777777" w:rsidR="00B77DC8" w:rsidRPr="00F638AF" w:rsidRDefault="00016F29" w:rsidP="00E06A78">
            <w:pPr>
              <w:keepNext/>
              <w:widowControl w:val="0"/>
              <w:spacing w:before="100" w:beforeAutospacing="1" w:after="170" w:line="240" w:lineRule="atLeast"/>
              <w:rPr>
                <w:rFonts w:eastAsia="MS Mincho"/>
                <w:lang w:eastAsia="en-US"/>
              </w:rPr>
            </w:pPr>
            <w:r w:rsidRPr="00F638AF">
              <w:rPr>
                <w:rFonts w:eastAsia="MS Mincho"/>
                <w:lang w:eastAsia="en-US"/>
              </w:rPr>
              <w:t>31.3%, 72.2%</w:t>
            </w:r>
          </w:p>
        </w:tc>
      </w:tr>
      <w:tr w:rsidR="003A788B" w14:paraId="7C331994" w14:textId="77777777" w:rsidTr="007512F9">
        <w:tc>
          <w:tcPr>
            <w:tcW w:w="2088" w:type="dxa"/>
            <w:shd w:val="clear" w:color="auto" w:fill="auto"/>
          </w:tcPr>
          <w:p w14:paraId="7C331991" w14:textId="77777777" w:rsidR="00B77DC8" w:rsidRPr="00F638AF" w:rsidRDefault="00016F29" w:rsidP="00E06A78">
            <w:pPr>
              <w:keepNext/>
              <w:widowControl w:val="0"/>
              <w:spacing w:before="100" w:beforeAutospacing="1" w:after="170" w:line="240" w:lineRule="atLeast"/>
              <w:rPr>
                <w:rFonts w:eastAsia="MS Mincho"/>
                <w:lang w:eastAsia="en-US"/>
              </w:rPr>
            </w:pPr>
            <w:r w:rsidRPr="00F638AF">
              <w:rPr>
                <w:rFonts w:eastAsia="MS Mincho"/>
                <w:lang w:eastAsia="en-US"/>
              </w:rPr>
              <w:t>Month 12</w:t>
            </w:r>
          </w:p>
        </w:tc>
        <w:tc>
          <w:tcPr>
            <w:tcW w:w="4500" w:type="dxa"/>
            <w:shd w:val="clear" w:color="auto" w:fill="auto"/>
          </w:tcPr>
          <w:p w14:paraId="7C331992" w14:textId="77777777" w:rsidR="00B77DC8" w:rsidRPr="00F638AF" w:rsidRDefault="00016F29" w:rsidP="00E06A78">
            <w:pPr>
              <w:keepNext/>
              <w:widowControl w:val="0"/>
              <w:spacing w:before="100" w:beforeAutospacing="1" w:after="170" w:line="240" w:lineRule="atLeast"/>
              <w:rPr>
                <w:rFonts w:eastAsia="MS Mincho"/>
                <w:lang w:eastAsia="en-US"/>
              </w:rPr>
            </w:pPr>
            <w:r w:rsidRPr="00F638AF">
              <w:rPr>
                <w:rFonts w:eastAsia="MS Mincho"/>
                <w:lang w:eastAsia="en-US"/>
              </w:rPr>
              <w:t xml:space="preserve">18 (72.0%) </w:t>
            </w:r>
          </w:p>
        </w:tc>
        <w:tc>
          <w:tcPr>
            <w:tcW w:w="1937" w:type="dxa"/>
            <w:shd w:val="clear" w:color="auto" w:fill="auto"/>
          </w:tcPr>
          <w:p w14:paraId="7C331993" w14:textId="77777777" w:rsidR="00B77DC8" w:rsidRPr="00F638AF" w:rsidRDefault="00016F29" w:rsidP="00E06A78">
            <w:pPr>
              <w:keepNext/>
              <w:widowControl w:val="0"/>
              <w:spacing w:before="100" w:beforeAutospacing="1" w:after="170" w:line="240" w:lineRule="atLeast"/>
              <w:rPr>
                <w:rFonts w:eastAsia="MS Mincho"/>
                <w:lang w:eastAsia="en-US"/>
              </w:rPr>
            </w:pPr>
            <w:r w:rsidRPr="00F638AF">
              <w:rPr>
                <w:rFonts w:eastAsia="MS Mincho"/>
                <w:lang w:eastAsia="en-US"/>
              </w:rPr>
              <w:t>50.6%, 87.9%</w:t>
            </w:r>
          </w:p>
        </w:tc>
      </w:tr>
      <w:tr w:rsidR="003A788B" w14:paraId="7C331998" w14:textId="77777777" w:rsidTr="007512F9">
        <w:tc>
          <w:tcPr>
            <w:tcW w:w="2088" w:type="dxa"/>
            <w:shd w:val="clear" w:color="auto" w:fill="auto"/>
          </w:tcPr>
          <w:p w14:paraId="7C331995" w14:textId="77777777" w:rsidR="00B77DC8" w:rsidRPr="00F638AF" w:rsidRDefault="00016F29" w:rsidP="00E06A78">
            <w:pPr>
              <w:keepNext/>
              <w:widowControl w:val="0"/>
              <w:spacing w:before="100" w:beforeAutospacing="1" w:after="170" w:line="240" w:lineRule="atLeast"/>
              <w:rPr>
                <w:rFonts w:eastAsia="MS Mincho"/>
                <w:lang w:eastAsia="en-US"/>
              </w:rPr>
            </w:pPr>
            <w:r w:rsidRPr="00F638AF">
              <w:rPr>
                <w:rFonts w:eastAsia="MS Mincho"/>
                <w:lang w:eastAsia="en-US"/>
              </w:rPr>
              <w:t>Month 18</w:t>
            </w:r>
          </w:p>
        </w:tc>
        <w:tc>
          <w:tcPr>
            <w:tcW w:w="4500" w:type="dxa"/>
            <w:shd w:val="clear" w:color="auto" w:fill="auto"/>
          </w:tcPr>
          <w:p w14:paraId="7C331996" w14:textId="77777777" w:rsidR="00B77DC8" w:rsidRPr="00F638AF" w:rsidRDefault="00016F29" w:rsidP="00E06A78">
            <w:pPr>
              <w:keepNext/>
              <w:widowControl w:val="0"/>
              <w:spacing w:before="100" w:beforeAutospacing="1" w:after="170" w:line="240" w:lineRule="atLeast"/>
              <w:rPr>
                <w:rFonts w:eastAsia="MS Mincho"/>
                <w:lang w:eastAsia="en-US"/>
              </w:rPr>
            </w:pPr>
            <w:r w:rsidRPr="00F638AF">
              <w:rPr>
                <w:rFonts w:eastAsia="MS Mincho"/>
                <w:lang w:eastAsia="en-US"/>
              </w:rPr>
              <w:t xml:space="preserve">18 (72.0%) </w:t>
            </w:r>
          </w:p>
        </w:tc>
        <w:tc>
          <w:tcPr>
            <w:tcW w:w="1937" w:type="dxa"/>
            <w:shd w:val="clear" w:color="auto" w:fill="auto"/>
          </w:tcPr>
          <w:p w14:paraId="7C331997" w14:textId="77777777" w:rsidR="00B77DC8" w:rsidRPr="00F638AF" w:rsidRDefault="00016F29" w:rsidP="00E06A78">
            <w:pPr>
              <w:keepNext/>
              <w:widowControl w:val="0"/>
              <w:spacing w:before="100" w:beforeAutospacing="1" w:after="170" w:line="240" w:lineRule="atLeast"/>
              <w:rPr>
                <w:rFonts w:eastAsia="MS Mincho"/>
                <w:lang w:eastAsia="en-US"/>
              </w:rPr>
            </w:pPr>
            <w:r w:rsidRPr="00F638AF">
              <w:rPr>
                <w:rFonts w:eastAsia="MS Mincho"/>
                <w:lang w:eastAsia="en-US"/>
              </w:rPr>
              <w:t>50.6%, 87.9%</w:t>
            </w:r>
          </w:p>
        </w:tc>
      </w:tr>
      <w:tr w:rsidR="003A788B" w14:paraId="7C33199C" w14:textId="77777777" w:rsidTr="007512F9">
        <w:tc>
          <w:tcPr>
            <w:tcW w:w="8525" w:type="dxa"/>
            <w:gridSpan w:val="3"/>
            <w:shd w:val="clear" w:color="auto" w:fill="auto"/>
          </w:tcPr>
          <w:p w14:paraId="7C331999" w14:textId="77777777" w:rsidR="00B77DC8" w:rsidRPr="00F638AF" w:rsidRDefault="00016F29" w:rsidP="007512F9">
            <w:pPr>
              <w:spacing w:line="240" w:lineRule="atLeast"/>
              <w:rPr>
                <w:rFonts w:eastAsia="SimSun"/>
                <w:sz w:val="18"/>
                <w:szCs w:val="18"/>
                <w:shd w:val="clear" w:color="auto" w:fill="FFFFFF"/>
              </w:rPr>
            </w:pPr>
            <w:r w:rsidRPr="00F638AF">
              <w:rPr>
                <w:rFonts w:eastAsia="SimSun"/>
                <w:sz w:val="18"/>
                <w:szCs w:val="18"/>
                <w:shd w:val="clear" w:color="auto" w:fill="FFFFFF"/>
                <w:vertAlign w:val="superscript"/>
              </w:rPr>
              <w:t>*</w:t>
            </w:r>
            <w:r w:rsidRPr="00F638AF">
              <w:rPr>
                <w:rFonts w:eastAsia="SimSun"/>
                <w:sz w:val="18"/>
                <w:szCs w:val="18"/>
                <w:shd w:val="clear" w:color="auto" w:fill="FFFFFF"/>
              </w:rPr>
              <w:t xml:space="preserve"> PVAS of 0 and achieved glucocorticoid taper to 0.2 mg/kg/day (or 10 mg/day, whichever is lower) at theassessment time-point.</w:t>
            </w:r>
          </w:p>
          <w:p w14:paraId="7C33199A" w14:textId="77777777" w:rsidR="00B77DC8" w:rsidRPr="00F638AF" w:rsidRDefault="00016F29" w:rsidP="007512F9">
            <w:pPr>
              <w:keepNext/>
              <w:keepLines/>
              <w:jc w:val="both"/>
              <w:rPr>
                <w:rFonts w:eastAsia="SimSun"/>
                <w:sz w:val="18"/>
                <w:szCs w:val="18"/>
                <w:shd w:val="clear" w:color="auto" w:fill="FFFFFF"/>
              </w:rPr>
            </w:pPr>
            <w:r w:rsidRPr="00F638AF">
              <w:rPr>
                <w:rFonts w:eastAsia="SimSun"/>
                <w:sz w:val="18"/>
                <w:szCs w:val="18"/>
                <w:shd w:val="clear" w:color="auto" w:fill="FFFFFF"/>
                <w:vertAlign w:val="superscript"/>
              </w:rPr>
              <w:t>α</w:t>
            </w:r>
            <w:r w:rsidRPr="00F638AF">
              <w:rPr>
                <w:rFonts w:eastAsia="SimSun"/>
                <w:sz w:val="18"/>
                <w:szCs w:val="18"/>
                <w:shd w:val="clear" w:color="auto" w:fill="FFFFFF"/>
              </w:rPr>
              <w:t>the efficacy results are exploratory and no formal statistical testing was performed for these endpoints</w:t>
            </w:r>
          </w:p>
          <w:p w14:paraId="7C33199B" w14:textId="77777777" w:rsidR="000C3EA7" w:rsidRPr="00F638AF" w:rsidRDefault="00016F29" w:rsidP="000C3EA7">
            <w:pPr>
              <w:keepNext/>
              <w:keepLines/>
              <w:jc w:val="both"/>
              <w:rPr>
                <w:rFonts w:ascii="Arial" w:eastAsia="SimSun" w:hAnsi="Arial" w:cs="Arial"/>
                <w:sz w:val="18"/>
                <w:szCs w:val="18"/>
                <w:shd w:val="clear" w:color="auto" w:fill="FFFFFF"/>
              </w:rPr>
            </w:pPr>
            <w:r w:rsidRPr="00F638AF">
              <w:rPr>
                <w:rFonts w:eastAsia="SimSun"/>
                <w:sz w:val="18"/>
                <w:szCs w:val="18"/>
                <w:shd w:val="clear" w:color="auto" w:fill="FFFFFF"/>
              </w:rPr>
              <w:t>MabThera, treatment (375 mg/m</w:t>
            </w:r>
            <w:r w:rsidRPr="00F638AF">
              <w:rPr>
                <w:rFonts w:eastAsia="SimSun"/>
                <w:sz w:val="18"/>
                <w:szCs w:val="18"/>
                <w:shd w:val="clear" w:color="auto" w:fill="FFFFFF"/>
                <w:vertAlign w:val="superscript"/>
              </w:rPr>
              <w:t>2</w:t>
            </w:r>
            <w:r w:rsidRPr="00F638AF">
              <w:rPr>
                <w:rFonts w:eastAsia="SimSun"/>
                <w:sz w:val="18"/>
                <w:szCs w:val="18"/>
                <w:shd w:val="clear" w:color="auto" w:fill="FFFFFF"/>
              </w:rPr>
              <w:t xml:space="preserve"> x 4 infusions) up to Month 6 was identical for all patients. Follow-up treatment post Month 6 was at the discretion of the investigator.</w:t>
            </w:r>
          </w:p>
        </w:tc>
      </w:tr>
    </w:tbl>
    <w:p w14:paraId="7C33199D" w14:textId="77777777" w:rsidR="00B77DC8" w:rsidRPr="00F638AF" w:rsidRDefault="00B77DC8" w:rsidP="00B77DC8">
      <w:pPr>
        <w:rPr>
          <w:rFonts w:ascii="Arial" w:hAnsi="Arial" w:cs="Arial"/>
        </w:rPr>
      </w:pPr>
    </w:p>
    <w:p w14:paraId="7C33199E" w14:textId="77777777" w:rsidR="00F6554A" w:rsidRPr="00474194" w:rsidRDefault="00016F29" w:rsidP="00474194">
      <w:pPr>
        <w:keepNext/>
        <w:keepLines/>
        <w:jc w:val="both"/>
        <w:rPr>
          <w:i/>
          <w:lang w:val="en-GB"/>
        </w:rPr>
      </w:pPr>
      <w:r w:rsidRPr="00474194">
        <w:rPr>
          <w:i/>
          <w:lang w:val="en-GB"/>
        </w:rPr>
        <w:t>Laboratory evaluations</w:t>
      </w:r>
    </w:p>
    <w:p w14:paraId="7C33199F" w14:textId="77777777" w:rsidR="00F6554A" w:rsidRPr="00F638AF" w:rsidRDefault="00016F29" w:rsidP="00F6554A">
      <w:pPr>
        <w:keepNext/>
        <w:rPr>
          <w:szCs w:val="22"/>
        </w:rPr>
      </w:pPr>
      <w:r w:rsidRPr="00F638AF">
        <w:rPr>
          <w:szCs w:val="22"/>
          <w:lang w:val="en-GB"/>
        </w:rPr>
        <w:t>A</w:t>
      </w:r>
      <w:r w:rsidRPr="00F638AF">
        <w:rPr>
          <w:szCs w:val="22"/>
        </w:rPr>
        <w:t xml:space="preserve"> total of 4/25 patients (16%) developed ADA during the overall study period.  Limited data shows there was no trend observed in the adverse reactions reported in ADA positive patients.</w:t>
      </w:r>
    </w:p>
    <w:p w14:paraId="7C3319A0" w14:textId="77777777" w:rsidR="00F6554A" w:rsidRPr="00F638AF" w:rsidRDefault="00F6554A" w:rsidP="00F6554A">
      <w:pPr>
        <w:keepNext/>
        <w:rPr>
          <w:szCs w:val="22"/>
        </w:rPr>
      </w:pPr>
    </w:p>
    <w:p w14:paraId="7C3319A1" w14:textId="77777777" w:rsidR="00F6554A" w:rsidRPr="00F638AF" w:rsidRDefault="00016F29" w:rsidP="00F6554A">
      <w:pPr>
        <w:keepNext/>
        <w:rPr>
          <w:szCs w:val="22"/>
        </w:rPr>
      </w:pPr>
      <w:r w:rsidRPr="00F638AF">
        <w:rPr>
          <w:szCs w:val="22"/>
        </w:rPr>
        <w:t>There was no apparent trend or negative impact of the presence of ADA on safety or efficacy in the paediatric GPA and MPA clinical trials.</w:t>
      </w:r>
    </w:p>
    <w:p w14:paraId="7C3319A2" w14:textId="77777777" w:rsidR="00F6554A" w:rsidRPr="00F638AF" w:rsidRDefault="00F6554A" w:rsidP="00F6554A">
      <w:pPr>
        <w:keepNext/>
        <w:rPr>
          <w:szCs w:val="22"/>
        </w:rPr>
      </w:pPr>
    </w:p>
    <w:p w14:paraId="7C3319A3" w14:textId="77777777" w:rsidR="00F6554A" w:rsidRPr="00F638AF" w:rsidRDefault="00016F29" w:rsidP="00F6554A">
      <w:pPr>
        <w:autoSpaceDE w:val="0"/>
        <w:autoSpaceDN w:val="0"/>
        <w:adjustRightInd w:val="0"/>
      </w:pPr>
      <w:r w:rsidRPr="00F638AF">
        <w:t>The European Medicines Agency has waived the obligation to submit the results of studies with MabThera in paediatric population &lt; 2 years of age in severe</w:t>
      </w:r>
      <w:r w:rsidR="00455422" w:rsidRPr="00F638AF">
        <w:t>, active</w:t>
      </w:r>
      <w:r w:rsidRPr="00F638AF">
        <w:t xml:space="preserve"> GPA or MPA. See section 4.2 for information on paediatric use.</w:t>
      </w:r>
    </w:p>
    <w:p w14:paraId="7C3319A4" w14:textId="77777777" w:rsidR="00F6554A" w:rsidRPr="00F638AF" w:rsidRDefault="00F6554A" w:rsidP="00E454FF">
      <w:pPr>
        <w:keepNext/>
        <w:keepLines/>
        <w:rPr>
          <w:rFonts w:eastAsia="MS Mincho"/>
          <w:lang w:eastAsia="en-US"/>
        </w:rPr>
      </w:pPr>
    </w:p>
    <w:p w14:paraId="7C3319A5" w14:textId="77777777" w:rsidR="00DC6A79" w:rsidRPr="00F638AF" w:rsidRDefault="00016F29" w:rsidP="00DC6A79">
      <w:pPr>
        <w:keepNext/>
        <w:keepLines/>
        <w:spacing w:line="276" w:lineRule="auto"/>
        <w:outlineLvl w:val="0"/>
        <w:rPr>
          <w:rFonts w:eastAsia="Times"/>
          <w:szCs w:val="22"/>
          <w:u w:val="single"/>
          <w:lang w:val="en-GB" w:eastAsia="en-US"/>
        </w:rPr>
      </w:pPr>
      <w:r w:rsidRPr="00F638AF">
        <w:rPr>
          <w:rFonts w:eastAsia="Times"/>
          <w:szCs w:val="22"/>
          <w:u w:val="single"/>
          <w:lang w:val="en-GB" w:eastAsia="en-US"/>
        </w:rPr>
        <w:t>Clinical experience in pemphigus vulgaris</w:t>
      </w:r>
    </w:p>
    <w:p w14:paraId="7C3319A6" w14:textId="77777777" w:rsidR="004D118C" w:rsidRDefault="00016F29" w:rsidP="00DC6A79">
      <w:pPr>
        <w:rPr>
          <w:szCs w:val="22"/>
        </w:rPr>
      </w:pPr>
      <w:r>
        <w:rPr>
          <w:rFonts w:eastAsia="Times"/>
          <w:szCs w:val="22"/>
          <w:u w:val="single"/>
          <w:lang w:val="en-GB" w:eastAsia="en-US"/>
        </w:rPr>
        <w:br/>
      </w:r>
      <w:r>
        <w:rPr>
          <w:szCs w:val="22"/>
        </w:rPr>
        <w:t>PV Study 1 (Study ML22196)</w:t>
      </w:r>
    </w:p>
    <w:p w14:paraId="7C3319A7" w14:textId="77777777" w:rsidR="00DC6A79" w:rsidRPr="00F638AF" w:rsidRDefault="00016F29" w:rsidP="00DC6A79">
      <w:pPr>
        <w:rPr>
          <w:szCs w:val="22"/>
        </w:rPr>
      </w:pPr>
      <w:r w:rsidRPr="00F638AF">
        <w:rPr>
          <w:szCs w:val="22"/>
        </w:rPr>
        <w:t>The efficacy and safety of MabThera in combination with short-term, low-dose glucocorticoid (prednisone) therapy were evaluated in newly diagnosed patients with moderate to severe pemphigus (74 pemphigus vulgaris [PV] and 16 pemphigus foliaceus [PF]) in this randomised, open-label, controlled, multicenter study. Patients were between 19 and 79 years of age and had not received prior therapies for pemphigus. In the PV population, 5 (13%) patients in the MabThera group and 3 (8%) patients in the standard prednisone group had moderate disease and 33 (87%) patients in the MabThera group and 33 (92%) patients in the standard-dose prednisone group had severe disease according to disease severity defined by Harman’s criteria.</w:t>
      </w:r>
    </w:p>
    <w:p w14:paraId="7C3319A8" w14:textId="77777777" w:rsidR="00DC6A79" w:rsidRPr="00F638AF" w:rsidRDefault="00DC6A79" w:rsidP="00DC6A79">
      <w:pPr>
        <w:rPr>
          <w:szCs w:val="22"/>
        </w:rPr>
      </w:pPr>
    </w:p>
    <w:p w14:paraId="7C3319A9" w14:textId="77777777" w:rsidR="00DC6A79" w:rsidRPr="00F638AF" w:rsidRDefault="00016F29" w:rsidP="00DC6A79">
      <w:pPr>
        <w:rPr>
          <w:szCs w:val="22"/>
        </w:rPr>
      </w:pPr>
      <w:r w:rsidRPr="00F638AF">
        <w:rPr>
          <w:szCs w:val="22"/>
        </w:rPr>
        <w:t xml:space="preserve">Patients were stratified by baseline disease severity (moderate or severe) and randomised 1:1 to receive either MabThera and low-dose prednisone or standard-dose prednisone.  Patients randomised to the MabThera group received an initial intravenous infusion of 1000 mg MabThera on Study Day 1 in combination with 0.5 mg/kg/day oral prednisone tapered off over 3 months if they had moderate disease or 1 mg/kg/day oral prednisone tapered off over 6 months if they had severe disease, and a second intravenous infusion of 1000 mg on Study Day 15. Maintenance infusions of MabThera 500 mg were administered at months 12 and 18. Patients randomised to the standard-dose prednisone group received an initial 1 mg/kg/day oral prednisone tapered off over 12 months if they had moderate disease or 1.5 mg/kg/day oral prednisone tapered off over 18 months if they had severe disease.  Patients in the MabThera group who relapsed could receive an additional infusion of MabThera 1000 mg in combination with reintroduced or escalated prednisone dose. Maintenance and relapse infusions were administered no sooner than 16 weeks following the previous infusion. </w:t>
      </w:r>
    </w:p>
    <w:p w14:paraId="7C3319AA" w14:textId="77777777" w:rsidR="00DC6A79" w:rsidRPr="00F638AF" w:rsidRDefault="00DC6A79" w:rsidP="00DC6A79">
      <w:pPr>
        <w:rPr>
          <w:szCs w:val="22"/>
        </w:rPr>
      </w:pPr>
    </w:p>
    <w:p w14:paraId="7C3319AB" w14:textId="77777777" w:rsidR="00DC6A79" w:rsidRPr="00F638AF" w:rsidRDefault="00016F29" w:rsidP="006861A9">
      <w:pPr>
        <w:rPr>
          <w:szCs w:val="22"/>
        </w:rPr>
      </w:pPr>
      <w:r w:rsidRPr="00F638AF">
        <w:rPr>
          <w:szCs w:val="22"/>
        </w:rPr>
        <w:t xml:space="preserve">The primary objective for the study was complete remission (complete epithelialisation and absence of new and/or established lesions) at month 24 without the use of prednisone therapy for two months or more (CRoff for </w:t>
      </w:r>
      <w:r w:rsidRPr="00F638AF">
        <w:rPr>
          <w:rFonts w:ascii="Symbol" w:hAnsi="Symbol"/>
          <w:szCs w:val="22"/>
        </w:rPr>
        <w:sym w:font="Symbol" w:char="F0B3"/>
      </w:r>
      <w:r w:rsidRPr="00F638AF">
        <w:rPr>
          <w:szCs w:val="22"/>
        </w:rPr>
        <w:t xml:space="preserve">2 months). </w:t>
      </w:r>
    </w:p>
    <w:p w14:paraId="7C3319AC" w14:textId="77777777" w:rsidR="00DC6A79" w:rsidRPr="00F638AF" w:rsidRDefault="00DC6A79" w:rsidP="00DC6A79">
      <w:pPr>
        <w:rPr>
          <w:szCs w:val="22"/>
        </w:rPr>
      </w:pPr>
    </w:p>
    <w:p w14:paraId="7C3319AD" w14:textId="77777777" w:rsidR="0064743D" w:rsidRPr="00F638AF" w:rsidRDefault="00016F29" w:rsidP="0064743D">
      <w:pPr>
        <w:keepNext/>
        <w:keepLines/>
        <w:spacing w:line="276" w:lineRule="auto"/>
        <w:outlineLvl w:val="0"/>
        <w:rPr>
          <w:rFonts w:eastAsia="Times"/>
          <w:i/>
          <w:szCs w:val="22"/>
          <w:lang w:eastAsia="en-US"/>
        </w:rPr>
      </w:pPr>
      <w:r>
        <w:rPr>
          <w:rFonts w:eastAsia="Times"/>
          <w:i/>
          <w:szCs w:val="22"/>
          <w:lang w:eastAsia="en-US"/>
        </w:rPr>
        <w:t>PV Study 1</w:t>
      </w:r>
      <w:r w:rsidR="00DB0DA9">
        <w:rPr>
          <w:rFonts w:eastAsia="Times"/>
          <w:i/>
          <w:szCs w:val="22"/>
          <w:lang w:eastAsia="en-US"/>
        </w:rPr>
        <w:t xml:space="preserve"> </w:t>
      </w:r>
      <w:r w:rsidRPr="00F638AF">
        <w:rPr>
          <w:rFonts w:eastAsia="Times"/>
          <w:i/>
          <w:szCs w:val="22"/>
          <w:lang w:eastAsia="en-US"/>
        </w:rPr>
        <w:t>Results</w:t>
      </w:r>
    </w:p>
    <w:p w14:paraId="7C3319AE" w14:textId="7FEB559A" w:rsidR="00DC6A79" w:rsidRDefault="00016F29" w:rsidP="00063D4E">
      <w:pPr>
        <w:rPr>
          <w:szCs w:val="22"/>
        </w:rPr>
      </w:pPr>
      <w:r w:rsidRPr="00F638AF">
        <w:rPr>
          <w:szCs w:val="22"/>
        </w:rPr>
        <w:t xml:space="preserve">The study showed statistically significant results of MabThera and low-dose prednisone over standard-dose prednisone in achieving CRoff </w:t>
      </w:r>
      <w:r w:rsidRPr="00F638AF">
        <w:rPr>
          <w:rFonts w:ascii="Symbol" w:hAnsi="Symbol"/>
          <w:szCs w:val="22"/>
        </w:rPr>
        <w:sym w:font="Symbol" w:char="F0B3"/>
      </w:r>
      <w:r w:rsidRPr="00F638AF">
        <w:rPr>
          <w:szCs w:val="22"/>
        </w:rPr>
        <w:t xml:space="preserve"> 2 months at month 24 in PV patients (see Table </w:t>
      </w:r>
      <w:r w:rsidR="002D58BF" w:rsidRPr="00F638AF">
        <w:rPr>
          <w:szCs w:val="22"/>
        </w:rPr>
        <w:t>22</w:t>
      </w:r>
      <w:r w:rsidRPr="00F638AF">
        <w:rPr>
          <w:szCs w:val="22"/>
        </w:rPr>
        <w:t xml:space="preserve">).  </w:t>
      </w:r>
    </w:p>
    <w:p w14:paraId="023FE066" w14:textId="77777777" w:rsidR="00015071" w:rsidRPr="00F638AF" w:rsidRDefault="00015071" w:rsidP="00063D4E">
      <w:pPr>
        <w:rPr>
          <w:szCs w:val="22"/>
        </w:rPr>
      </w:pPr>
    </w:p>
    <w:p w14:paraId="7C3319AF" w14:textId="77777777" w:rsidR="0064743D" w:rsidRPr="00F638AF" w:rsidRDefault="00016F29" w:rsidP="00E06A78">
      <w:pPr>
        <w:pStyle w:val="TableTitle"/>
        <w:spacing w:before="0" w:after="0"/>
        <w:ind w:left="1151" w:hanging="1151"/>
        <w:rPr>
          <w:rFonts w:ascii="Times New Roman" w:hAnsi="Times New Roman"/>
          <w:sz w:val="22"/>
          <w:szCs w:val="22"/>
        </w:rPr>
      </w:pPr>
      <w:r w:rsidRPr="00F638AF">
        <w:rPr>
          <w:rFonts w:ascii="Times New Roman" w:hAnsi="Times New Roman"/>
          <w:sz w:val="22"/>
          <w:szCs w:val="22"/>
        </w:rPr>
        <w:t xml:space="preserve">Table </w:t>
      </w:r>
      <w:r w:rsidR="002D58BF" w:rsidRPr="00F638AF">
        <w:rPr>
          <w:rFonts w:ascii="Times New Roman" w:hAnsi="Times New Roman"/>
          <w:sz w:val="22"/>
          <w:szCs w:val="22"/>
        </w:rPr>
        <w:t>22</w:t>
      </w:r>
      <w:r w:rsidRPr="00F638AF">
        <w:rPr>
          <w:rFonts w:ascii="Times New Roman" w:hAnsi="Times New Roman"/>
          <w:sz w:val="22"/>
          <w:szCs w:val="22"/>
        </w:rPr>
        <w:tab/>
        <w:t>Percentage of PV patients who achieved complete remission off corticosteroid therapy for two months or more at month 24 (Intent-to-Treat Population - PV)</w:t>
      </w:r>
    </w:p>
    <w:tbl>
      <w:tblPr>
        <w:tblW w:w="5077" w:type="pct"/>
        <w:jc w:val="center"/>
        <w:tblBorders>
          <w:top w:val="single" w:sz="4" w:space="0" w:color="auto"/>
          <w:left w:val="single" w:sz="4" w:space="0" w:color="auto"/>
          <w:bottom w:val="single" w:sz="4" w:space="0" w:color="auto"/>
          <w:right w:val="single" w:sz="4" w:space="0" w:color="auto"/>
          <w:insideH w:val="single" w:sz="4" w:space="0" w:color="auto"/>
        </w:tblBorders>
        <w:tblCellMar>
          <w:left w:w="57" w:type="dxa"/>
          <w:right w:w="57" w:type="dxa"/>
        </w:tblCellMar>
        <w:tblLook w:val="0000" w:firstRow="0" w:lastRow="0" w:firstColumn="0" w:lastColumn="0" w:noHBand="0" w:noVBand="0"/>
      </w:tblPr>
      <w:tblGrid>
        <w:gridCol w:w="2196"/>
        <w:gridCol w:w="1916"/>
        <w:gridCol w:w="1511"/>
        <w:gridCol w:w="1721"/>
        <w:gridCol w:w="1857"/>
      </w:tblGrid>
      <w:tr w:rsidR="003A788B" w14:paraId="7C3319B9" w14:textId="77777777" w:rsidTr="008856D7">
        <w:trPr>
          <w:cantSplit/>
          <w:jc w:val="center"/>
        </w:trPr>
        <w:tc>
          <w:tcPr>
            <w:tcW w:w="1194" w:type="pct"/>
            <w:tcBorders>
              <w:bottom w:val="single" w:sz="4" w:space="0" w:color="auto"/>
              <w:right w:val="nil"/>
            </w:tcBorders>
          </w:tcPr>
          <w:p w14:paraId="7C3319B0" w14:textId="77777777" w:rsidR="0064743D" w:rsidRPr="00F638AF" w:rsidRDefault="0064743D" w:rsidP="008856D7">
            <w:pPr>
              <w:keepNext/>
              <w:keepLines/>
              <w:spacing w:before="50" w:after="50"/>
              <w:jc w:val="center"/>
              <w:rPr>
                <w:szCs w:val="22"/>
              </w:rPr>
            </w:pPr>
          </w:p>
        </w:tc>
        <w:tc>
          <w:tcPr>
            <w:tcW w:w="1041" w:type="pct"/>
            <w:tcBorders>
              <w:left w:val="nil"/>
              <w:bottom w:val="single" w:sz="4" w:space="0" w:color="auto"/>
              <w:right w:val="nil"/>
            </w:tcBorders>
            <w:shd w:val="clear" w:color="auto" w:fill="auto"/>
          </w:tcPr>
          <w:p w14:paraId="7C3319B1" w14:textId="77777777" w:rsidR="0064743D" w:rsidRPr="00F638AF" w:rsidRDefault="00016F29" w:rsidP="008856D7">
            <w:pPr>
              <w:keepNext/>
              <w:keepLines/>
              <w:spacing w:before="50" w:after="50"/>
              <w:jc w:val="center"/>
              <w:rPr>
                <w:szCs w:val="22"/>
              </w:rPr>
            </w:pPr>
            <w:r w:rsidRPr="00F638AF">
              <w:rPr>
                <w:szCs w:val="22"/>
              </w:rPr>
              <w:t>Rituximab +</w:t>
            </w:r>
          </w:p>
          <w:p w14:paraId="7C3319B2" w14:textId="77777777" w:rsidR="0064743D" w:rsidRPr="00F638AF" w:rsidRDefault="00016F29" w:rsidP="008856D7">
            <w:pPr>
              <w:keepNext/>
              <w:keepLines/>
              <w:spacing w:before="50" w:after="50"/>
              <w:jc w:val="center"/>
              <w:rPr>
                <w:szCs w:val="22"/>
              </w:rPr>
            </w:pPr>
            <w:r w:rsidRPr="00F638AF">
              <w:rPr>
                <w:szCs w:val="22"/>
              </w:rPr>
              <w:t>Prednisone</w:t>
            </w:r>
          </w:p>
          <w:p w14:paraId="7C3319B3" w14:textId="77777777" w:rsidR="0064743D" w:rsidRPr="00F638AF" w:rsidRDefault="00016F29" w:rsidP="008856D7">
            <w:pPr>
              <w:keepNext/>
              <w:keepLines/>
              <w:spacing w:before="50" w:after="50"/>
              <w:jc w:val="center"/>
              <w:rPr>
                <w:szCs w:val="22"/>
              </w:rPr>
            </w:pPr>
            <w:r w:rsidRPr="00F638AF">
              <w:rPr>
                <w:szCs w:val="22"/>
              </w:rPr>
              <w:t>N=38</w:t>
            </w:r>
          </w:p>
        </w:tc>
        <w:tc>
          <w:tcPr>
            <w:tcW w:w="821" w:type="pct"/>
            <w:tcBorders>
              <w:left w:val="nil"/>
              <w:bottom w:val="single" w:sz="4" w:space="0" w:color="auto"/>
              <w:right w:val="nil"/>
            </w:tcBorders>
            <w:shd w:val="clear" w:color="auto" w:fill="auto"/>
          </w:tcPr>
          <w:p w14:paraId="7C3319B4" w14:textId="77777777" w:rsidR="0064743D" w:rsidRPr="00F638AF" w:rsidRDefault="00016F29" w:rsidP="008856D7">
            <w:pPr>
              <w:keepNext/>
              <w:keepLines/>
              <w:spacing w:before="50" w:after="50"/>
              <w:jc w:val="center"/>
              <w:rPr>
                <w:szCs w:val="22"/>
              </w:rPr>
            </w:pPr>
            <w:r w:rsidRPr="00F638AF">
              <w:rPr>
                <w:szCs w:val="22"/>
              </w:rPr>
              <w:t>Prednisone</w:t>
            </w:r>
          </w:p>
          <w:p w14:paraId="7C3319B5" w14:textId="77777777" w:rsidR="0064743D" w:rsidRPr="00F638AF" w:rsidRDefault="00016F29" w:rsidP="008856D7">
            <w:pPr>
              <w:keepNext/>
              <w:keepLines/>
              <w:spacing w:before="50" w:after="50"/>
              <w:jc w:val="center"/>
              <w:rPr>
                <w:szCs w:val="22"/>
              </w:rPr>
            </w:pPr>
            <w:r w:rsidRPr="00F638AF">
              <w:rPr>
                <w:szCs w:val="22"/>
              </w:rPr>
              <w:t>N=36</w:t>
            </w:r>
          </w:p>
        </w:tc>
        <w:tc>
          <w:tcPr>
            <w:tcW w:w="934" w:type="pct"/>
            <w:tcBorders>
              <w:left w:val="nil"/>
              <w:bottom w:val="single" w:sz="4" w:space="0" w:color="auto"/>
            </w:tcBorders>
            <w:shd w:val="clear" w:color="auto" w:fill="auto"/>
          </w:tcPr>
          <w:p w14:paraId="7C3319B6" w14:textId="77777777" w:rsidR="0064743D" w:rsidRPr="00F638AF" w:rsidRDefault="0064743D" w:rsidP="008856D7">
            <w:pPr>
              <w:keepNext/>
              <w:keepLines/>
              <w:spacing w:before="50" w:after="50"/>
              <w:jc w:val="center"/>
              <w:rPr>
                <w:szCs w:val="22"/>
              </w:rPr>
            </w:pPr>
          </w:p>
          <w:p w14:paraId="7C3319B7" w14:textId="77777777" w:rsidR="0064743D" w:rsidRPr="00F638AF" w:rsidRDefault="00016F29" w:rsidP="008856D7">
            <w:pPr>
              <w:keepNext/>
              <w:keepLines/>
              <w:spacing w:before="50" w:after="50"/>
              <w:jc w:val="center"/>
              <w:rPr>
                <w:szCs w:val="22"/>
              </w:rPr>
            </w:pPr>
            <w:r w:rsidRPr="00F638AF">
              <w:rPr>
                <w:szCs w:val="22"/>
              </w:rPr>
              <w:t>p-value</w:t>
            </w:r>
            <w:r w:rsidRPr="00F638AF">
              <w:rPr>
                <w:szCs w:val="22"/>
                <w:vertAlign w:val="superscript"/>
              </w:rPr>
              <w:t xml:space="preserve"> a</w:t>
            </w:r>
          </w:p>
        </w:tc>
        <w:tc>
          <w:tcPr>
            <w:tcW w:w="1009" w:type="pct"/>
            <w:tcBorders>
              <w:left w:val="nil"/>
              <w:bottom w:val="single" w:sz="4" w:space="0" w:color="auto"/>
            </w:tcBorders>
            <w:vAlign w:val="center"/>
          </w:tcPr>
          <w:p w14:paraId="7C3319B8" w14:textId="77777777" w:rsidR="0064743D" w:rsidRPr="00F638AF" w:rsidRDefault="00016F29" w:rsidP="008856D7">
            <w:pPr>
              <w:keepNext/>
              <w:keepLines/>
              <w:spacing w:before="50" w:after="50"/>
              <w:jc w:val="center"/>
              <w:rPr>
                <w:szCs w:val="22"/>
              </w:rPr>
            </w:pPr>
            <w:r w:rsidRPr="00F638AF">
              <w:rPr>
                <w:szCs w:val="22"/>
              </w:rPr>
              <w:t>95% CI</w:t>
            </w:r>
            <w:r w:rsidRPr="00F638AF">
              <w:rPr>
                <w:szCs w:val="22"/>
                <w:vertAlign w:val="superscript"/>
              </w:rPr>
              <w:t>b</w:t>
            </w:r>
          </w:p>
        </w:tc>
      </w:tr>
      <w:tr w:rsidR="003A788B" w14:paraId="7C3319BF" w14:textId="77777777" w:rsidTr="008856D7">
        <w:trPr>
          <w:cantSplit/>
          <w:jc w:val="center"/>
        </w:trPr>
        <w:tc>
          <w:tcPr>
            <w:tcW w:w="1194" w:type="pct"/>
            <w:tcBorders>
              <w:top w:val="single" w:sz="4" w:space="0" w:color="auto"/>
              <w:bottom w:val="single" w:sz="4" w:space="0" w:color="auto"/>
              <w:right w:val="nil"/>
            </w:tcBorders>
          </w:tcPr>
          <w:p w14:paraId="7C3319BA" w14:textId="77777777" w:rsidR="0064743D" w:rsidRPr="00F638AF" w:rsidRDefault="00016F29" w:rsidP="008856D7">
            <w:pPr>
              <w:keepNext/>
              <w:keepLines/>
              <w:spacing w:before="50" w:after="50"/>
              <w:jc w:val="center"/>
              <w:rPr>
                <w:szCs w:val="22"/>
              </w:rPr>
            </w:pPr>
            <w:r w:rsidRPr="00F638AF">
              <w:rPr>
                <w:szCs w:val="22"/>
              </w:rPr>
              <w:t>Number of responders      (response rate [%])</w:t>
            </w:r>
          </w:p>
        </w:tc>
        <w:tc>
          <w:tcPr>
            <w:tcW w:w="1041" w:type="pct"/>
            <w:tcBorders>
              <w:top w:val="single" w:sz="4" w:space="0" w:color="auto"/>
              <w:left w:val="nil"/>
              <w:bottom w:val="single" w:sz="4" w:space="0" w:color="auto"/>
              <w:right w:val="nil"/>
            </w:tcBorders>
            <w:shd w:val="clear" w:color="auto" w:fill="auto"/>
          </w:tcPr>
          <w:p w14:paraId="7C3319BB" w14:textId="77777777" w:rsidR="0064743D" w:rsidRPr="00F638AF" w:rsidRDefault="00016F29" w:rsidP="008856D7">
            <w:pPr>
              <w:keepNext/>
              <w:keepLines/>
              <w:spacing w:before="50" w:after="50"/>
              <w:jc w:val="center"/>
              <w:rPr>
                <w:szCs w:val="22"/>
              </w:rPr>
            </w:pPr>
            <w:r w:rsidRPr="00F638AF">
              <w:rPr>
                <w:szCs w:val="22"/>
              </w:rPr>
              <w:t>34 (89.5%)</w:t>
            </w:r>
          </w:p>
        </w:tc>
        <w:tc>
          <w:tcPr>
            <w:tcW w:w="821" w:type="pct"/>
            <w:tcBorders>
              <w:top w:val="single" w:sz="4" w:space="0" w:color="auto"/>
              <w:left w:val="nil"/>
              <w:bottom w:val="single" w:sz="4" w:space="0" w:color="auto"/>
              <w:right w:val="nil"/>
            </w:tcBorders>
            <w:shd w:val="clear" w:color="auto" w:fill="auto"/>
          </w:tcPr>
          <w:p w14:paraId="7C3319BC" w14:textId="77777777" w:rsidR="0064743D" w:rsidRPr="00F638AF" w:rsidRDefault="00016F29" w:rsidP="008856D7">
            <w:pPr>
              <w:keepNext/>
              <w:keepLines/>
              <w:spacing w:before="50" w:after="50"/>
              <w:jc w:val="center"/>
              <w:rPr>
                <w:szCs w:val="22"/>
              </w:rPr>
            </w:pPr>
            <w:r w:rsidRPr="00F638AF">
              <w:rPr>
                <w:szCs w:val="22"/>
              </w:rPr>
              <w:t>10 (27.8%)</w:t>
            </w:r>
          </w:p>
        </w:tc>
        <w:tc>
          <w:tcPr>
            <w:tcW w:w="934" w:type="pct"/>
            <w:tcBorders>
              <w:top w:val="single" w:sz="4" w:space="0" w:color="auto"/>
              <w:left w:val="nil"/>
              <w:bottom w:val="single" w:sz="4" w:space="0" w:color="auto"/>
            </w:tcBorders>
            <w:shd w:val="clear" w:color="auto" w:fill="auto"/>
          </w:tcPr>
          <w:p w14:paraId="7C3319BD" w14:textId="77777777" w:rsidR="0064743D" w:rsidRPr="00F638AF" w:rsidRDefault="00016F29" w:rsidP="008856D7">
            <w:pPr>
              <w:keepNext/>
              <w:keepLines/>
              <w:spacing w:before="50" w:after="50"/>
              <w:jc w:val="center"/>
              <w:rPr>
                <w:szCs w:val="22"/>
              </w:rPr>
            </w:pPr>
            <w:r w:rsidRPr="00F638AF">
              <w:rPr>
                <w:szCs w:val="22"/>
              </w:rPr>
              <w:t>&lt;0.0001</w:t>
            </w:r>
          </w:p>
        </w:tc>
        <w:tc>
          <w:tcPr>
            <w:tcW w:w="1009" w:type="pct"/>
            <w:tcBorders>
              <w:top w:val="single" w:sz="4" w:space="0" w:color="auto"/>
              <w:left w:val="nil"/>
              <w:bottom w:val="single" w:sz="4" w:space="0" w:color="auto"/>
            </w:tcBorders>
          </w:tcPr>
          <w:p w14:paraId="7C3319BE" w14:textId="77777777" w:rsidR="0064743D" w:rsidRPr="00F638AF" w:rsidRDefault="00016F29" w:rsidP="008856D7">
            <w:pPr>
              <w:keepNext/>
              <w:keepLines/>
              <w:spacing w:before="50" w:after="50"/>
              <w:jc w:val="center"/>
              <w:rPr>
                <w:szCs w:val="22"/>
              </w:rPr>
            </w:pPr>
            <w:r w:rsidRPr="00F638AF">
              <w:rPr>
                <w:rFonts w:cs="Arial"/>
                <w:szCs w:val="22"/>
              </w:rPr>
              <w:t>61.7% (38.4, 76.5)</w:t>
            </w:r>
          </w:p>
        </w:tc>
      </w:tr>
      <w:tr w:rsidR="003A788B" w14:paraId="7C3319C3" w14:textId="77777777" w:rsidTr="008856D7">
        <w:trPr>
          <w:cantSplit/>
          <w:jc w:val="center"/>
        </w:trPr>
        <w:tc>
          <w:tcPr>
            <w:tcW w:w="3991" w:type="pct"/>
            <w:gridSpan w:val="4"/>
            <w:tcBorders>
              <w:top w:val="single" w:sz="4" w:space="0" w:color="auto"/>
              <w:bottom w:val="single" w:sz="4" w:space="0" w:color="auto"/>
            </w:tcBorders>
          </w:tcPr>
          <w:p w14:paraId="7C3319C0" w14:textId="77777777" w:rsidR="0064743D" w:rsidRPr="00F638AF" w:rsidRDefault="00016F29" w:rsidP="008856D7">
            <w:pPr>
              <w:pStyle w:val="Paragraph"/>
              <w:spacing w:after="0" w:line="240" w:lineRule="auto"/>
              <w:jc w:val="both"/>
              <w:rPr>
                <w:rFonts w:ascii="Times New Roman" w:hAnsi="Times New Roman"/>
              </w:rPr>
            </w:pPr>
            <w:r w:rsidRPr="00F638AF">
              <w:rPr>
                <w:rFonts w:ascii="Times New Roman" w:hAnsi="Times New Roman"/>
                <w:vertAlign w:val="superscript"/>
              </w:rPr>
              <w:t>a</w:t>
            </w:r>
            <w:r w:rsidRPr="00F638AF">
              <w:rPr>
                <w:rFonts w:ascii="Times New Roman" w:hAnsi="Times New Roman"/>
              </w:rPr>
              <w:t>p-value is from Fisher’s exact test with mid-p correction</w:t>
            </w:r>
          </w:p>
          <w:p w14:paraId="7C3319C1" w14:textId="77777777" w:rsidR="0064743D" w:rsidRPr="00F638AF" w:rsidRDefault="00016F29" w:rsidP="008856D7">
            <w:pPr>
              <w:pStyle w:val="Paragraph"/>
              <w:spacing w:after="0" w:line="240" w:lineRule="auto"/>
              <w:jc w:val="both"/>
              <w:rPr>
                <w:rFonts w:ascii="Times New Roman" w:hAnsi="Times New Roman"/>
              </w:rPr>
            </w:pPr>
            <w:r w:rsidRPr="00F638AF">
              <w:rPr>
                <w:szCs w:val="20"/>
                <w:vertAlign w:val="superscript"/>
              </w:rPr>
              <w:t>b</w:t>
            </w:r>
            <w:r w:rsidRPr="00F638AF">
              <w:rPr>
                <w:szCs w:val="20"/>
              </w:rPr>
              <w:t xml:space="preserve"> 95% confidence interval is corrected Newcombe interval</w:t>
            </w:r>
            <w:r w:rsidRPr="00F638AF">
              <w:rPr>
                <w:sz w:val="16"/>
                <w:szCs w:val="16"/>
              </w:rPr>
              <w:t xml:space="preserve"> </w:t>
            </w:r>
            <w:r w:rsidRPr="00F638AF">
              <w:t xml:space="preserve"> </w:t>
            </w:r>
          </w:p>
        </w:tc>
        <w:tc>
          <w:tcPr>
            <w:tcW w:w="1009" w:type="pct"/>
            <w:tcBorders>
              <w:top w:val="single" w:sz="4" w:space="0" w:color="auto"/>
              <w:bottom w:val="single" w:sz="4" w:space="0" w:color="auto"/>
            </w:tcBorders>
          </w:tcPr>
          <w:p w14:paraId="7C3319C2" w14:textId="77777777" w:rsidR="0064743D" w:rsidRPr="00F638AF" w:rsidRDefault="0064743D" w:rsidP="008856D7">
            <w:pPr>
              <w:pStyle w:val="Paragraph"/>
              <w:spacing w:after="0" w:line="240" w:lineRule="auto"/>
              <w:jc w:val="both"/>
              <w:rPr>
                <w:rFonts w:ascii="Times New Roman" w:hAnsi="Times New Roman"/>
                <w:vertAlign w:val="superscript"/>
              </w:rPr>
            </w:pPr>
          </w:p>
        </w:tc>
      </w:tr>
    </w:tbl>
    <w:p w14:paraId="7C3319C4" w14:textId="77777777" w:rsidR="0064743D" w:rsidRPr="00F638AF" w:rsidRDefault="0064743D" w:rsidP="00E06A78">
      <w:pPr>
        <w:rPr>
          <w:szCs w:val="22"/>
        </w:rPr>
      </w:pPr>
    </w:p>
    <w:p w14:paraId="7C3319C5" w14:textId="77777777" w:rsidR="00DC6A79" w:rsidRPr="00F638AF" w:rsidRDefault="00016F29" w:rsidP="00474194">
      <w:pPr>
        <w:rPr>
          <w:szCs w:val="22"/>
        </w:rPr>
      </w:pPr>
      <w:r w:rsidRPr="00F638AF">
        <w:rPr>
          <w:szCs w:val="22"/>
        </w:rPr>
        <w:t xml:space="preserve">The number of rituximab plus low-dose prednisone patients off prednisone therapy or on minimal therapy (prednisone dose of 10 mg or less per day) compared to standard-dose prednisone patients over the 24-month treatment period shows a steroid-sparing effect of MabThera (Figure 4). </w:t>
      </w:r>
    </w:p>
    <w:p w14:paraId="7C3319C6" w14:textId="77777777" w:rsidR="00026E7C" w:rsidRDefault="00026E7C" w:rsidP="00026E7C">
      <w:pPr>
        <w:rPr>
          <w:szCs w:val="22"/>
        </w:rPr>
      </w:pPr>
    </w:p>
    <w:p w14:paraId="7C3319C7" w14:textId="77777777" w:rsidR="00DC6A79" w:rsidRPr="00F638AF" w:rsidRDefault="00016F29" w:rsidP="00DC6A79">
      <w:pPr>
        <w:keepNext/>
        <w:keepLines/>
        <w:ind w:left="1134" w:hanging="1134"/>
        <w:rPr>
          <w:b/>
          <w:szCs w:val="22"/>
          <w:lang w:val="en-GB"/>
        </w:rPr>
      </w:pPr>
      <w:r w:rsidRPr="00F638AF">
        <w:rPr>
          <w:b/>
          <w:szCs w:val="22"/>
          <w:lang w:val="en-GB"/>
        </w:rPr>
        <w:t xml:space="preserve">Figure 4: </w:t>
      </w:r>
      <w:r w:rsidRPr="00F638AF">
        <w:rPr>
          <w:b/>
          <w:szCs w:val="22"/>
          <w:lang w:val="en-GB"/>
        </w:rPr>
        <w:tab/>
        <w:t>Number of patients who were off or on minimal corticosteroid (≤10mg/day) therapy over time</w:t>
      </w:r>
    </w:p>
    <w:p w14:paraId="7C3319C8" w14:textId="77777777" w:rsidR="00DC6A79" w:rsidRPr="00F638AF" w:rsidRDefault="00016F29" w:rsidP="00DC6A79">
      <w:pPr>
        <w:spacing w:after="170"/>
        <w:rPr>
          <w:szCs w:val="22"/>
        </w:rPr>
      </w:pPr>
      <w:r w:rsidRPr="00F638AF">
        <w:rPr>
          <w:noProof/>
          <w:lang w:eastAsia="en-US"/>
        </w:rPr>
        <w:drawing>
          <wp:inline distT="0" distB="0" distL="0" distR="0" wp14:anchorId="7C332B1F" wp14:editId="7C332B20">
            <wp:extent cx="5454650" cy="264795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43642" name="Picture 5"/>
                    <pic:cNvPicPr>
                      <a:picLocks noChangeAspect="1" noChangeArrowheads="1"/>
                    </pic:cNvPicPr>
                  </pic:nvPicPr>
                  <pic:blipFill>
                    <a:blip r:embed="rId17">
                      <a:extLst>
                        <a:ext uri="{28A0092B-C50C-407E-A947-70E740481C1C}">
                          <a14:useLocalDpi xmlns:a14="http://schemas.microsoft.com/office/drawing/2010/main" val="0"/>
                        </a:ext>
                      </a:extLst>
                    </a:blip>
                    <a:srcRect t="20369" b="5183"/>
                    <a:stretch>
                      <a:fillRect/>
                    </a:stretch>
                  </pic:blipFill>
                  <pic:spPr bwMode="auto">
                    <a:xfrm>
                      <a:off x="0" y="0"/>
                      <a:ext cx="5454650" cy="2647950"/>
                    </a:xfrm>
                    <a:prstGeom prst="rect">
                      <a:avLst/>
                    </a:prstGeom>
                    <a:noFill/>
                    <a:ln>
                      <a:noFill/>
                    </a:ln>
                  </pic:spPr>
                </pic:pic>
              </a:graphicData>
            </a:graphic>
          </wp:inline>
        </w:drawing>
      </w:r>
    </w:p>
    <w:p w14:paraId="7C3319C9" w14:textId="77777777" w:rsidR="00DC6A79" w:rsidRPr="00F638AF" w:rsidRDefault="00DC6A79" w:rsidP="00DC6A79">
      <w:pPr>
        <w:rPr>
          <w:szCs w:val="22"/>
          <w:lang w:val="en-GB"/>
        </w:rPr>
      </w:pPr>
    </w:p>
    <w:p w14:paraId="7C3319CA" w14:textId="77777777" w:rsidR="00DC6A79" w:rsidRPr="00F638AF" w:rsidRDefault="00016F29" w:rsidP="00DC6A79">
      <w:pPr>
        <w:outlineLvl w:val="0"/>
        <w:rPr>
          <w:i/>
          <w:szCs w:val="22"/>
          <w:lang w:val="en-GB"/>
        </w:rPr>
      </w:pPr>
      <w:r w:rsidRPr="00F638AF">
        <w:rPr>
          <w:i/>
          <w:szCs w:val="22"/>
          <w:lang w:val="en-GB"/>
        </w:rPr>
        <w:t>Post-hoc retrospective laboratory evaluation</w:t>
      </w:r>
    </w:p>
    <w:p w14:paraId="7C3319CB" w14:textId="77777777" w:rsidR="00DC6A79" w:rsidRPr="00F638AF" w:rsidRDefault="00016F29" w:rsidP="00DC6A79">
      <w:pPr>
        <w:rPr>
          <w:color w:val="000000"/>
          <w:szCs w:val="22"/>
          <w:shd w:val="clear" w:color="auto" w:fill="FFFFFF"/>
        </w:rPr>
      </w:pPr>
      <w:r w:rsidRPr="00F638AF">
        <w:t>A total of 19/34 (56%) patients with PV, who were treated with MabThera, tested positive for ADA antibodies by 18 months. The clinical relevance of ADA formation in MabThera</w:t>
      </w:r>
      <w:r w:rsidRPr="00F638AF">
        <w:noBreakHyphen/>
        <w:t>treated PV patients is unclear.</w:t>
      </w:r>
      <w:r w:rsidR="006861A9" w:rsidRPr="00F638AF">
        <w:rPr>
          <w:color w:val="000000"/>
          <w:szCs w:val="22"/>
          <w:shd w:val="clear" w:color="auto" w:fill="FFFFFF"/>
        </w:rPr>
        <w:t xml:space="preserve"> </w:t>
      </w:r>
    </w:p>
    <w:p w14:paraId="7C3319CC" w14:textId="77777777" w:rsidR="00196A3D" w:rsidRPr="00E06A78" w:rsidRDefault="00196A3D" w:rsidP="00E06A78">
      <w:pPr>
        <w:pStyle w:val="TextTi12"/>
        <w:spacing w:after="0" w:line="240" w:lineRule="atLeast"/>
        <w:jc w:val="left"/>
        <w:rPr>
          <w:color w:val="000000"/>
          <w:shd w:val="clear" w:color="auto" w:fill="FFFFFF"/>
        </w:rPr>
      </w:pPr>
    </w:p>
    <w:p w14:paraId="7C3319CD" w14:textId="77777777" w:rsidR="004D118C" w:rsidRDefault="00016F29" w:rsidP="00026E7C">
      <w:pPr>
        <w:pStyle w:val="TextTi12"/>
        <w:spacing w:after="0" w:line="240" w:lineRule="atLeast"/>
        <w:jc w:val="left"/>
        <w:rPr>
          <w:rFonts w:cs="Arial"/>
          <w:sz w:val="22"/>
          <w:szCs w:val="22"/>
        </w:rPr>
      </w:pPr>
      <w:r w:rsidRPr="007B366E">
        <w:rPr>
          <w:rFonts w:cs="Arial"/>
          <w:sz w:val="22"/>
          <w:szCs w:val="22"/>
        </w:rPr>
        <w:t xml:space="preserve">PV Study 2 (Study </w:t>
      </w:r>
      <w:r w:rsidRPr="007B366E">
        <w:rPr>
          <w:rFonts w:cs="Arial"/>
          <w:color w:val="222222"/>
          <w:sz w:val="22"/>
          <w:szCs w:val="22"/>
          <w:shd w:val="clear" w:color="auto" w:fill="FFFFFF"/>
        </w:rPr>
        <w:t>WA29330</w:t>
      </w:r>
      <w:r w:rsidRPr="007B366E">
        <w:rPr>
          <w:rFonts w:cs="Arial"/>
          <w:sz w:val="22"/>
          <w:szCs w:val="22"/>
        </w:rPr>
        <w:t>)</w:t>
      </w:r>
    </w:p>
    <w:p w14:paraId="3EA1BE8E" w14:textId="77777777" w:rsidR="001150B9" w:rsidRDefault="00016F29" w:rsidP="00DB0DA9">
      <w:r w:rsidRPr="00DB0DA9">
        <w:t xml:space="preserve">In a randomized, double-blind, double-dummy, active-comparator, multicenter study, the efficacy and safety of MabThera compared with mycophenolate mofetil (MMF) were evaluated in </w:t>
      </w:r>
      <w:r w:rsidRPr="00E12909">
        <w:t>patients with moderate-to-severe PV receiving 60</w:t>
      </w:r>
      <w:r w:rsidRPr="00E12909">
        <w:noBreakHyphen/>
        <w:t>120 mg/day oral prednisone or equivalent (1.0-1.5 mg/kg/day) at study entry and tapered to reach a dose of 60 or 80 mg/day by Day 1.  Patients had a confirmed diagnosis of PV</w:t>
      </w:r>
      <w:r w:rsidRPr="00DB0DA9">
        <w:t xml:space="preserve"> within the previous 24 months and evidence of moderate-to-severe disease (defined as a </w:t>
      </w:r>
      <w:r w:rsidRPr="004816A9">
        <w:t xml:space="preserve">total </w:t>
      </w:r>
      <w:r w:rsidR="00F513DC" w:rsidRPr="004816A9">
        <w:rPr>
          <w:szCs w:val="22"/>
        </w:rPr>
        <w:t>Pemphigus Disease Area Index,</w:t>
      </w:r>
      <w:r w:rsidR="00F513DC" w:rsidRPr="004816A9">
        <w:t xml:space="preserve"> </w:t>
      </w:r>
      <w:r w:rsidRPr="004816A9">
        <w:t>PDAI</w:t>
      </w:r>
      <w:r w:rsidR="00F513DC" w:rsidRPr="004816A9">
        <w:t xml:space="preserve">, </w:t>
      </w:r>
      <w:r w:rsidRPr="004816A9">
        <w:t xml:space="preserve">activity score of </w:t>
      </w:r>
      <w:r w:rsidRPr="004816A9">
        <w:rPr>
          <w:rFonts w:ascii="Symbol" w:hAnsi="Symbol" w:cs="Arial"/>
          <w:sz w:val="20"/>
        </w:rPr>
        <w:sym w:font="Symbol" w:char="F0B3"/>
      </w:r>
      <w:r w:rsidRPr="004816A9">
        <w:t xml:space="preserve"> 15). </w:t>
      </w:r>
    </w:p>
    <w:p w14:paraId="7C3319CE" w14:textId="3B4419E2" w:rsidR="004D118C" w:rsidRPr="004816A9" w:rsidRDefault="00016F29" w:rsidP="00DB0DA9">
      <w:pPr>
        <w:rPr>
          <w:sz w:val="24"/>
        </w:rPr>
      </w:pPr>
      <w:r w:rsidRPr="004816A9">
        <w:t xml:space="preserve"> </w:t>
      </w:r>
    </w:p>
    <w:p w14:paraId="7C3319CF" w14:textId="77777777" w:rsidR="00296933" w:rsidRPr="00D301E6" w:rsidRDefault="00016F29" w:rsidP="00296933">
      <w:r w:rsidRPr="004816A9">
        <w:t xml:space="preserve">One hundred and thirty-five patients were randomized to treatment with MabThera 1000 mg administered on Day 1, Day 15, Week 24 and Week 26 or oral MMF 2 g/day for 52 weeks in combination with 60 or 80 mg oral prednisone with the aim of tapering to 0 mg/day </w:t>
      </w:r>
      <w:r w:rsidR="00C276BB">
        <w:t xml:space="preserve">prednisone </w:t>
      </w:r>
      <w:r w:rsidRPr="004816A9">
        <w:t xml:space="preserve">by Week 24. </w:t>
      </w:r>
      <w:r w:rsidRPr="00D301E6">
        <w:t xml:space="preserve"> </w:t>
      </w:r>
    </w:p>
    <w:p w14:paraId="7C3319D0" w14:textId="77777777" w:rsidR="00296933" w:rsidRPr="00E06A78" w:rsidRDefault="00296933" w:rsidP="00296933"/>
    <w:p w14:paraId="7C3319D1" w14:textId="77777777" w:rsidR="004D118C" w:rsidRPr="004816A9" w:rsidRDefault="00016F29" w:rsidP="00DB0DA9">
      <w:r w:rsidRPr="00D301E6">
        <w:t xml:space="preserve">The </w:t>
      </w:r>
      <w:r w:rsidR="007830E0" w:rsidRPr="004816A9">
        <w:t xml:space="preserve">primary efficacy objective for this study was to evaluate </w:t>
      </w:r>
      <w:r w:rsidR="00147733" w:rsidRPr="004816A9">
        <w:t xml:space="preserve">at week 52, </w:t>
      </w:r>
      <w:r w:rsidR="007830E0" w:rsidRPr="004816A9">
        <w:t>the efficacy of MabThera compared with MMF in achieving sustained complete remission defined as achieving healing of lesions with no new active lesions (i.e., PDAI activity score of 0) while on 0 mg/day prednisone or equivalent, and maintaining this response for at least 16 consecutive weeks, during the 52</w:t>
      </w:r>
      <w:r w:rsidR="007830E0" w:rsidRPr="004816A9">
        <w:noBreakHyphen/>
        <w:t xml:space="preserve">week treatment period. </w:t>
      </w:r>
    </w:p>
    <w:p w14:paraId="7C3319D2" w14:textId="77777777" w:rsidR="004D118C" w:rsidRPr="004816A9" w:rsidRDefault="004D118C" w:rsidP="00DB0DA9">
      <w:pPr>
        <w:rPr>
          <w:sz w:val="24"/>
        </w:rPr>
      </w:pPr>
    </w:p>
    <w:p w14:paraId="7C3319D3" w14:textId="77777777" w:rsidR="004D118C" w:rsidRPr="004816A9" w:rsidRDefault="00016F29" w:rsidP="00DB0DA9">
      <w:pPr>
        <w:keepNext/>
        <w:keepLines/>
        <w:spacing w:line="276" w:lineRule="auto"/>
        <w:outlineLvl w:val="0"/>
        <w:rPr>
          <w:rFonts w:eastAsia="Times"/>
          <w:i/>
          <w:szCs w:val="22"/>
          <w:lang w:eastAsia="en-US"/>
        </w:rPr>
      </w:pPr>
      <w:r w:rsidRPr="004816A9">
        <w:rPr>
          <w:rFonts w:eastAsia="Times"/>
          <w:i/>
          <w:szCs w:val="22"/>
          <w:lang w:eastAsia="en-US"/>
        </w:rPr>
        <w:t>PV Study 2 Results</w:t>
      </w:r>
    </w:p>
    <w:p w14:paraId="7C3319D4" w14:textId="77777777" w:rsidR="004D118C" w:rsidRDefault="00016F29" w:rsidP="00DB0DA9">
      <w:r w:rsidRPr="004816A9">
        <w:t>The study demonstrated the su</w:t>
      </w:r>
      <w:r w:rsidR="00232CA3" w:rsidRPr="004816A9">
        <w:t>periority of MabThera</w:t>
      </w:r>
      <w:r w:rsidRPr="004816A9">
        <w:t xml:space="preserve"> over MMF in combination with a tapering course of oral corticosteroids in achieving CRoff </w:t>
      </w:r>
      <w:r w:rsidR="00617111" w:rsidRPr="004816A9">
        <w:t xml:space="preserve">corticosteroid </w:t>
      </w:r>
      <w:r w:rsidRPr="004816A9">
        <w:rPr>
          <w:rFonts w:ascii="Symbol" w:hAnsi="Symbol" w:cs="Arial"/>
          <w:sz w:val="20"/>
        </w:rPr>
        <w:sym w:font="Symbol" w:char="F0B3"/>
      </w:r>
      <w:r w:rsidRPr="004816A9">
        <w:t xml:space="preserve"> 16 week</w:t>
      </w:r>
      <w:r w:rsidR="00232CA3" w:rsidRPr="004816A9">
        <w:t>s at Week 52 in PV patients (</w:t>
      </w:r>
      <w:r w:rsidRPr="004816A9">
        <w:t>Tab</w:t>
      </w:r>
      <w:r w:rsidR="009F5A8B" w:rsidRPr="004816A9">
        <w:t xml:space="preserve">le </w:t>
      </w:r>
      <w:r w:rsidR="008F45FA">
        <w:t>23</w:t>
      </w:r>
      <w:r w:rsidRPr="004816A9">
        <w:t>).</w:t>
      </w:r>
      <w:r w:rsidR="00C70EC8" w:rsidRPr="004816A9">
        <w:t xml:space="preserve">The majority of patients </w:t>
      </w:r>
      <w:r w:rsidR="007762BC" w:rsidRPr="004816A9">
        <w:t xml:space="preserve">in </w:t>
      </w:r>
      <w:r w:rsidR="00DC7626">
        <w:t xml:space="preserve">the </w:t>
      </w:r>
      <w:r w:rsidR="007762BC" w:rsidRPr="004816A9">
        <w:t xml:space="preserve">mITT population </w:t>
      </w:r>
      <w:r w:rsidR="00C70EC8" w:rsidRPr="004816A9">
        <w:t xml:space="preserve">were newly diagnosed </w:t>
      </w:r>
      <w:r w:rsidR="007762BC" w:rsidRPr="004816A9">
        <w:t xml:space="preserve">(74%) </w:t>
      </w:r>
      <w:r w:rsidR="00C70EC8" w:rsidRPr="004816A9">
        <w:t xml:space="preserve">and 26% of patients had established disease (duration of illness </w:t>
      </w:r>
      <w:r w:rsidR="00C70EC8" w:rsidRPr="004816A9">
        <w:rPr>
          <w:rFonts w:ascii="Symbol" w:hAnsi="Symbol" w:cs="Arial"/>
          <w:sz w:val="20"/>
        </w:rPr>
        <w:sym w:font="Symbol" w:char="F0B3"/>
      </w:r>
      <w:r w:rsidR="00C70EC8" w:rsidRPr="004816A9">
        <w:t> 6 months and received prior treatment for PV).</w:t>
      </w:r>
      <w:r w:rsidR="00617111" w:rsidRPr="004816A9">
        <w:t xml:space="preserve"> </w:t>
      </w:r>
    </w:p>
    <w:p w14:paraId="7C3319D5" w14:textId="77777777" w:rsidR="004D118C" w:rsidRPr="00DB0DA9" w:rsidRDefault="004D118C" w:rsidP="00DB0DA9">
      <w:pPr>
        <w:rPr>
          <w:sz w:val="24"/>
        </w:rPr>
      </w:pPr>
    </w:p>
    <w:p w14:paraId="7C3319D6" w14:textId="77777777" w:rsidR="004D118C" w:rsidRPr="007B366E" w:rsidRDefault="00016F29" w:rsidP="00026E7C">
      <w:pPr>
        <w:keepNext/>
        <w:keepLines/>
        <w:ind w:left="1120" w:hanging="1120"/>
        <w:rPr>
          <w:b/>
        </w:rPr>
      </w:pPr>
      <w:r w:rsidRPr="007B366E">
        <w:rPr>
          <w:b/>
        </w:rPr>
        <w:t xml:space="preserve">Table </w:t>
      </w:r>
      <w:r w:rsidR="008F45FA">
        <w:rPr>
          <w:b/>
        </w:rPr>
        <w:t>23</w:t>
      </w:r>
      <w:r w:rsidRPr="007B366E">
        <w:rPr>
          <w:b/>
        </w:rPr>
        <w:t xml:space="preserve"> </w:t>
      </w:r>
      <w:r w:rsidRPr="007B366E">
        <w:rPr>
          <w:b/>
        </w:rPr>
        <w:tab/>
        <w:t>Percentage of PV Patients Who Achieved Sustained Complete Remission Off Corticosteroid Therapy for 16 Weeks or More at Week 52 (Modified Intent-to-Treat Population)</w:t>
      </w:r>
    </w:p>
    <w:tbl>
      <w:tblPr>
        <w:tblStyle w:val="TableGrid"/>
        <w:tblW w:w="0" w:type="auto"/>
        <w:tblLook w:val="04A0" w:firstRow="1" w:lastRow="0" w:firstColumn="1" w:lastColumn="0" w:noHBand="0" w:noVBand="1"/>
      </w:tblPr>
      <w:tblGrid>
        <w:gridCol w:w="2875"/>
        <w:gridCol w:w="1260"/>
        <w:gridCol w:w="1170"/>
        <w:gridCol w:w="2610"/>
        <w:gridCol w:w="946"/>
      </w:tblGrid>
      <w:tr w:rsidR="003A788B" w14:paraId="7C3319DC" w14:textId="77777777" w:rsidTr="00E06A78">
        <w:tc>
          <w:tcPr>
            <w:tcW w:w="2875" w:type="dxa"/>
          </w:tcPr>
          <w:p w14:paraId="7C3319D7" w14:textId="77777777" w:rsidR="004D118C" w:rsidRPr="005B79ED" w:rsidRDefault="004D118C" w:rsidP="00026E7C">
            <w:pPr>
              <w:keepNext/>
              <w:keepLines/>
              <w:rPr>
                <w:szCs w:val="22"/>
              </w:rPr>
            </w:pPr>
          </w:p>
        </w:tc>
        <w:tc>
          <w:tcPr>
            <w:tcW w:w="1260" w:type="dxa"/>
          </w:tcPr>
          <w:p w14:paraId="7C3319D8" w14:textId="77777777" w:rsidR="004D118C" w:rsidRPr="005B79ED" w:rsidRDefault="00016F29" w:rsidP="00026E7C">
            <w:pPr>
              <w:keepNext/>
              <w:keepLines/>
              <w:rPr>
                <w:szCs w:val="22"/>
              </w:rPr>
            </w:pPr>
            <w:r w:rsidRPr="005B79ED">
              <w:rPr>
                <w:szCs w:val="22"/>
              </w:rPr>
              <w:t>MabThera</w:t>
            </w:r>
            <w:r w:rsidRPr="005B79ED">
              <w:rPr>
                <w:szCs w:val="22"/>
              </w:rPr>
              <w:br/>
              <w:t>(N=62)</w:t>
            </w:r>
          </w:p>
        </w:tc>
        <w:tc>
          <w:tcPr>
            <w:tcW w:w="1170" w:type="dxa"/>
          </w:tcPr>
          <w:p w14:paraId="7C3319D9" w14:textId="77777777" w:rsidR="004D118C" w:rsidRPr="005B79ED" w:rsidRDefault="00016F29" w:rsidP="00026E7C">
            <w:pPr>
              <w:keepNext/>
              <w:keepLines/>
              <w:rPr>
                <w:szCs w:val="22"/>
              </w:rPr>
            </w:pPr>
            <w:r w:rsidRPr="005B79ED">
              <w:rPr>
                <w:szCs w:val="22"/>
              </w:rPr>
              <w:t>MMF</w:t>
            </w:r>
            <w:r w:rsidRPr="005B79ED">
              <w:rPr>
                <w:szCs w:val="22"/>
              </w:rPr>
              <w:br/>
              <w:t>(N=63)</w:t>
            </w:r>
          </w:p>
        </w:tc>
        <w:tc>
          <w:tcPr>
            <w:tcW w:w="2610" w:type="dxa"/>
          </w:tcPr>
          <w:p w14:paraId="7C3319DA" w14:textId="77777777" w:rsidR="004D118C" w:rsidRPr="005B79ED" w:rsidRDefault="00016F29" w:rsidP="00026E7C">
            <w:pPr>
              <w:keepNext/>
              <w:keepLines/>
              <w:rPr>
                <w:szCs w:val="22"/>
              </w:rPr>
            </w:pPr>
            <w:r w:rsidRPr="005B79ED">
              <w:rPr>
                <w:szCs w:val="22"/>
              </w:rPr>
              <w:t>Difference (95% CI)</w:t>
            </w:r>
          </w:p>
        </w:tc>
        <w:tc>
          <w:tcPr>
            <w:tcW w:w="797" w:type="dxa"/>
          </w:tcPr>
          <w:p w14:paraId="7C3319DB" w14:textId="77777777" w:rsidR="004D118C" w:rsidRPr="005B79ED" w:rsidRDefault="00016F29" w:rsidP="00026E7C">
            <w:pPr>
              <w:keepNext/>
              <w:keepLines/>
              <w:rPr>
                <w:szCs w:val="22"/>
              </w:rPr>
            </w:pPr>
            <w:r w:rsidRPr="005B79ED">
              <w:rPr>
                <w:szCs w:val="22"/>
              </w:rPr>
              <w:t>p-value</w:t>
            </w:r>
          </w:p>
        </w:tc>
      </w:tr>
      <w:tr w:rsidR="003A788B" w14:paraId="7C3319EF" w14:textId="77777777" w:rsidTr="00E06A78">
        <w:tc>
          <w:tcPr>
            <w:tcW w:w="2875" w:type="dxa"/>
          </w:tcPr>
          <w:p w14:paraId="7C3319DD" w14:textId="77777777" w:rsidR="004D118C" w:rsidRDefault="00016F29" w:rsidP="00026E7C">
            <w:pPr>
              <w:keepNext/>
              <w:keepLines/>
              <w:rPr>
                <w:szCs w:val="22"/>
              </w:rPr>
            </w:pPr>
            <w:r w:rsidRPr="005B79ED">
              <w:rPr>
                <w:szCs w:val="22"/>
              </w:rPr>
              <w:t>Number of responders</w:t>
            </w:r>
            <w:r w:rsidR="00B82541">
              <w:rPr>
                <w:szCs w:val="22"/>
              </w:rPr>
              <w:t xml:space="preserve"> </w:t>
            </w:r>
            <w:r w:rsidRPr="005B79ED">
              <w:rPr>
                <w:szCs w:val="22"/>
              </w:rPr>
              <w:t>(response rate [%])</w:t>
            </w:r>
          </w:p>
          <w:p w14:paraId="7C3319DE" w14:textId="77777777" w:rsidR="005E584E" w:rsidRDefault="005E584E" w:rsidP="00026E7C">
            <w:pPr>
              <w:keepNext/>
              <w:keepLines/>
              <w:rPr>
                <w:szCs w:val="22"/>
              </w:rPr>
            </w:pPr>
          </w:p>
          <w:p w14:paraId="7C3319DF" w14:textId="77777777" w:rsidR="005E584E" w:rsidRDefault="00016F29" w:rsidP="00E06A78">
            <w:pPr>
              <w:keepNext/>
              <w:keepLines/>
              <w:jc w:val="right"/>
              <w:rPr>
                <w:szCs w:val="22"/>
              </w:rPr>
            </w:pPr>
            <w:r>
              <w:rPr>
                <w:szCs w:val="22"/>
              </w:rPr>
              <w:t>Newly diagnosed patients</w:t>
            </w:r>
          </w:p>
          <w:p w14:paraId="7C3319E0" w14:textId="77777777" w:rsidR="005E584E" w:rsidRDefault="005E584E" w:rsidP="00E06A78">
            <w:pPr>
              <w:keepNext/>
              <w:keepLines/>
              <w:jc w:val="right"/>
              <w:rPr>
                <w:szCs w:val="22"/>
              </w:rPr>
            </w:pPr>
          </w:p>
          <w:p w14:paraId="7C3319E1" w14:textId="77777777" w:rsidR="005E584E" w:rsidRDefault="00016F29" w:rsidP="00E06A78">
            <w:pPr>
              <w:keepNext/>
              <w:keepLines/>
              <w:jc w:val="right"/>
              <w:rPr>
                <w:szCs w:val="22"/>
              </w:rPr>
            </w:pPr>
            <w:r>
              <w:rPr>
                <w:szCs w:val="22"/>
              </w:rPr>
              <w:t>Patients with established disease</w:t>
            </w:r>
          </w:p>
          <w:p w14:paraId="7C3319E2" w14:textId="77777777" w:rsidR="005E584E" w:rsidRPr="005B79ED" w:rsidRDefault="005E584E" w:rsidP="00026E7C">
            <w:pPr>
              <w:keepNext/>
              <w:keepLines/>
              <w:rPr>
                <w:szCs w:val="22"/>
              </w:rPr>
            </w:pPr>
          </w:p>
        </w:tc>
        <w:tc>
          <w:tcPr>
            <w:tcW w:w="1260" w:type="dxa"/>
          </w:tcPr>
          <w:p w14:paraId="7C3319E3" w14:textId="77777777" w:rsidR="004D118C" w:rsidRDefault="00016F29" w:rsidP="00026E7C">
            <w:pPr>
              <w:keepNext/>
              <w:keepLines/>
              <w:rPr>
                <w:szCs w:val="22"/>
              </w:rPr>
            </w:pPr>
            <w:r w:rsidRPr="005B79ED">
              <w:rPr>
                <w:szCs w:val="22"/>
              </w:rPr>
              <w:t>25 (40.3%)</w:t>
            </w:r>
          </w:p>
          <w:p w14:paraId="7C3319E4" w14:textId="77777777" w:rsidR="005E584E" w:rsidRDefault="005E584E" w:rsidP="00026E7C">
            <w:pPr>
              <w:keepNext/>
              <w:keepLines/>
              <w:rPr>
                <w:szCs w:val="22"/>
              </w:rPr>
            </w:pPr>
          </w:p>
          <w:p w14:paraId="7C3319E5" w14:textId="77777777" w:rsidR="005E584E" w:rsidRDefault="00016F29" w:rsidP="005E584E">
            <w:pPr>
              <w:keepNext/>
              <w:keepLines/>
              <w:rPr>
                <w:szCs w:val="22"/>
              </w:rPr>
            </w:pPr>
            <w:r w:rsidRPr="00E06A78">
              <w:rPr>
                <w:szCs w:val="22"/>
              </w:rPr>
              <w:t>19 (39.6%)</w:t>
            </w:r>
            <w:r>
              <w:rPr>
                <w:rFonts w:ascii="CourierNew" w:hAnsi="CourierNew" w:cs="CourierNew"/>
                <w:sz w:val="16"/>
                <w:szCs w:val="16"/>
                <w:lang w:eastAsia="en-US"/>
              </w:rPr>
              <w:t xml:space="preserve"> </w:t>
            </w:r>
          </w:p>
          <w:p w14:paraId="7C3319E6" w14:textId="77777777" w:rsidR="005E584E" w:rsidRDefault="005E584E" w:rsidP="005E584E">
            <w:pPr>
              <w:keepNext/>
              <w:keepLines/>
              <w:rPr>
                <w:szCs w:val="22"/>
              </w:rPr>
            </w:pPr>
          </w:p>
          <w:p w14:paraId="7C3319E7" w14:textId="77777777" w:rsidR="005E584E" w:rsidRPr="005B79ED" w:rsidRDefault="00016F29" w:rsidP="00B81C49">
            <w:pPr>
              <w:keepNext/>
              <w:keepLines/>
              <w:rPr>
                <w:szCs w:val="22"/>
              </w:rPr>
            </w:pPr>
            <w:r w:rsidRPr="00E06A78">
              <w:rPr>
                <w:szCs w:val="22"/>
              </w:rPr>
              <w:t>6 (42.9%)</w:t>
            </w:r>
          </w:p>
        </w:tc>
        <w:tc>
          <w:tcPr>
            <w:tcW w:w="1170" w:type="dxa"/>
          </w:tcPr>
          <w:p w14:paraId="7C3319E8" w14:textId="77777777" w:rsidR="004D118C" w:rsidRDefault="00016F29" w:rsidP="00026E7C">
            <w:pPr>
              <w:keepNext/>
              <w:keepLines/>
              <w:rPr>
                <w:szCs w:val="22"/>
              </w:rPr>
            </w:pPr>
            <w:r w:rsidRPr="005B79ED">
              <w:rPr>
                <w:szCs w:val="22"/>
              </w:rPr>
              <w:t>6 (9.5%)</w:t>
            </w:r>
          </w:p>
          <w:p w14:paraId="7C3319E9" w14:textId="77777777" w:rsidR="005E584E" w:rsidRDefault="005E584E" w:rsidP="00026E7C">
            <w:pPr>
              <w:keepNext/>
              <w:keepLines/>
              <w:rPr>
                <w:szCs w:val="22"/>
              </w:rPr>
            </w:pPr>
          </w:p>
          <w:p w14:paraId="7C3319EA" w14:textId="77777777" w:rsidR="005E584E" w:rsidRDefault="00016F29" w:rsidP="00026E7C">
            <w:pPr>
              <w:keepNext/>
              <w:keepLines/>
              <w:rPr>
                <w:szCs w:val="22"/>
              </w:rPr>
            </w:pPr>
            <w:r w:rsidRPr="00E06A78">
              <w:rPr>
                <w:szCs w:val="22"/>
              </w:rPr>
              <w:t>4 (9.1%)</w:t>
            </w:r>
            <w:r>
              <w:rPr>
                <w:szCs w:val="22"/>
              </w:rPr>
              <w:t xml:space="preserve"> </w:t>
            </w:r>
          </w:p>
          <w:p w14:paraId="7C3319EB" w14:textId="77777777" w:rsidR="005E584E" w:rsidRDefault="005E584E" w:rsidP="00026E7C">
            <w:pPr>
              <w:keepNext/>
              <w:keepLines/>
              <w:rPr>
                <w:szCs w:val="22"/>
              </w:rPr>
            </w:pPr>
          </w:p>
          <w:p w14:paraId="7C3319EC" w14:textId="77777777" w:rsidR="005E584E" w:rsidRPr="005B79ED" w:rsidRDefault="00016F29" w:rsidP="00026E7C">
            <w:pPr>
              <w:keepNext/>
              <w:keepLines/>
              <w:rPr>
                <w:szCs w:val="22"/>
              </w:rPr>
            </w:pPr>
            <w:r>
              <w:rPr>
                <w:szCs w:val="22"/>
              </w:rPr>
              <w:t>2</w:t>
            </w:r>
            <w:r w:rsidRPr="00E06A78">
              <w:rPr>
                <w:szCs w:val="22"/>
              </w:rPr>
              <w:t xml:space="preserve"> </w:t>
            </w:r>
            <w:r>
              <w:rPr>
                <w:szCs w:val="22"/>
              </w:rPr>
              <w:t>(10.5</w:t>
            </w:r>
            <w:r w:rsidRPr="00E06A78">
              <w:rPr>
                <w:szCs w:val="22"/>
              </w:rPr>
              <w:t>%)</w:t>
            </w:r>
          </w:p>
        </w:tc>
        <w:tc>
          <w:tcPr>
            <w:tcW w:w="2610" w:type="dxa"/>
          </w:tcPr>
          <w:p w14:paraId="7C3319ED" w14:textId="77777777" w:rsidR="004D118C" w:rsidRPr="005B79ED" w:rsidRDefault="00016F29" w:rsidP="00026E7C">
            <w:pPr>
              <w:keepNext/>
              <w:keepLines/>
              <w:rPr>
                <w:szCs w:val="22"/>
              </w:rPr>
            </w:pPr>
            <w:r w:rsidRPr="005B79ED">
              <w:rPr>
                <w:szCs w:val="22"/>
              </w:rPr>
              <w:t>30.80% (14.70%, 45.15%)</w:t>
            </w:r>
          </w:p>
        </w:tc>
        <w:tc>
          <w:tcPr>
            <w:tcW w:w="797" w:type="dxa"/>
          </w:tcPr>
          <w:p w14:paraId="7C3319EE" w14:textId="77777777" w:rsidR="004D118C" w:rsidRPr="005B79ED" w:rsidRDefault="00016F29" w:rsidP="00026E7C">
            <w:pPr>
              <w:keepNext/>
              <w:keepLines/>
              <w:rPr>
                <w:szCs w:val="22"/>
              </w:rPr>
            </w:pPr>
            <w:r w:rsidRPr="005B79ED">
              <w:rPr>
                <w:szCs w:val="22"/>
              </w:rPr>
              <w:t>&lt;0.0001</w:t>
            </w:r>
          </w:p>
        </w:tc>
      </w:tr>
      <w:tr w:rsidR="003A788B" w14:paraId="7C3319F4" w14:textId="77777777" w:rsidTr="00E06A78">
        <w:tc>
          <w:tcPr>
            <w:tcW w:w="8712" w:type="dxa"/>
            <w:gridSpan w:val="5"/>
          </w:tcPr>
          <w:p w14:paraId="7C3319F0" w14:textId="77777777" w:rsidR="000F0A93" w:rsidRDefault="00016F29">
            <w:pPr>
              <w:keepNext/>
              <w:keepLines/>
              <w:rPr>
                <w:szCs w:val="22"/>
              </w:rPr>
            </w:pPr>
            <w:r w:rsidRPr="005B79ED">
              <w:rPr>
                <w:szCs w:val="22"/>
              </w:rPr>
              <w:t xml:space="preserve">MMF = Mycophenolate mofetil. CI = Confidence Interval. </w:t>
            </w:r>
          </w:p>
          <w:p w14:paraId="7C3319F1" w14:textId="77777777" w:rsidR="000F0A93" w:rsidRDefault="00016F29">
            <w:pPr>
              <w:keepNext/>
              <w:keepLines/>
              <w:rPr>
                <w:szCs w:val="22"/>
              </w:rPr>
            </w:pPr>
            <w:r>
              <w:rPr>
                <w:szCs w:val="22"/>
              </w:rPr>
              <w:t xml:space="preserve">Newly diagnosed patients = </w:t>
            </w:r>
            <w:r w:rsidR="00F30760" w:rsidRPr="00E06A78">
              <w:rPr>
                <w:szCs w:val="22"/>
              </w:rPr>
              <w:t>duration of illness &lt; 6 months or no prior treatment for PV</w:t>
            </w:r>
            <w:r>
              <w:rPr>
                <w:szCs w:val="22"/>
              </w:rPr>
              <w:t xml:space="preserve">. </w:t>
            </w:r>
          </w:p>
          <w:p w14:paraId="7C3319F2" w14:textId="77777777" w:rsidR="005E584E" w:rsidRDefault="00016F29">
            <w:pPr>
              <w:keepNext/>
              <w:keepLines/>
              <w:rPr>
                <w:szCs w:val="22"/>
              </w:rPr>
            </w:pPr>
            <w:r>
              <w:rPr>
                <w:szCs w:val="22"/>
              </w:rPr>
              <w:t xml:space="preserve">Patients with established disease = </w:t>
            </w:r>
            <w:r w:rsidRPr="00B81C49">
              <w:rPr>
                <w:szCs w:val="22"/>
              </w:rPr>
              <w:t xml:space="preserve">duration of illness </w:t>
            </w:r>
            <w:r w:rsidRPr="00F96C0B">
              <w:rPr>
                <w:rFonts w:ascii="Symbol" w:hAnsi="Symbol" w:cs="Arial"/>
                <w:sz w:val="20"/>
                <w:szCs w:val="22"/>
              </w:rPr>
              <w:sym w:font="Symbol" w:char="F0B3"/>
            </w:r>
            <w:r w:rsidRPr="00B81C49">
              <w:rPr>
                <w:szCs w:val="22"/>
              </w:rPr>
              <w:t> 6 months and received prior treatment for PV.</w:t>
            </w:r>
            <w:r>
              <w:t xml:space="preserve"> </w:t>
            </w:r>
          </w:p>
          <w:p w14:paraId="7C3319F3" w14:textId="77777777" w:rsidR="004D118C" w:rsidRPr="005B79ED" w:rsidRDefault="00016F29">
            <w:pPr>
              <w:keepNext/>
              <w:keepLines/>
              <w:rPr>
                <w:szCs w:val="22"/>
              </w:rPr>
            </w:pPr>
            <w:r w:rsidRPr="005B79ED">
              <w:rPr>
                <w:szCs w:val="22"/>
              </w:rPr>
              <w:t xml:space="preserve">Cochran-Mantel-Haenszel test is used for p-value. </w:t>
            </w:r>
          </w:p>
        </w:tc>
      </w:tr>
    </w:tbl>
    <w:p w14:paraId="7C3319F5" w14:textId="77777777" w:rsidR="00617111" w:rsidRDefault="00617111" w:rsidP="00617111"/>
    <w:p w14:paraId="7C3319F6" w14:textId="77777777" w:rsidR="00617111" w:rsidRDefault="00016F29" w:rsidP="00617111">
      <w:pPr>
        <w:rPr>
          <w:szCs w:val="22"/>
          <w:lang w:val="en-GB"/>
        </w:rPr>
      </w:pPr>
      <w:r w:rsidRPr="00FF157B">
        <w:rPr>
          <w:szCs w:val="22"/>
          <w:lang w:val="en-GB"/>
        </w:rPr>
        <w:t>The analysis of all secondary parameters (</w:t>
      </w:r>
      <w:r>
        <w:rPr>
          <w:szCs w:val="22"/>
          <w:lang w:val="en-GB"/>
        </w:rPr>
        <w:t xml:space="preserve">including </w:t>
      </w:r>
      <w:r w:rsidRPr="00DB0DA9">
        <w:t>cumulative oral corticosteroid dose, the total number of disease flares, and change in health-related quality of life, as measured by the Dermatology Life Quality Index</w:t>
      </w:r>
      <w:r w:rsidRPr="00FF157B">
        <w:rPr>
          <w:szCs w:val="22"/>
          <w:lang w:val="en-GB"/>
        </w:rPr>
        <w:t xml:space="preserve">) verified the </w:t>
      </w:r>
      <w:r w:rsidRPr="00B23204">
        <w:rPr>
          <w:szCs w:val="22"/>
          <w:lang w:val="en-GB"/>
        </w:rPr>
        <w:t>statistically significant results of MabThera compared to MMF. Testing of secondary endpoints were controlled for multiplicity.</w:t>
      </w:r>
      <w:r>
        <w:rPr>
          <w:szCs w:val="22"/>
          <w:lang w:val="en-GB"/>
        </w:rPr>
        <w:t xml:space="preserve"> </w:t>
      </w:r>
    </w:p>
    <w:p w14:paraId="7C3319F7" w14:textId="77777777" w:rsidR="00C11FDA" w:rsidRDefault="00C11FDA" w:rsidP="00DB0DA9"/>
    <w:p w14:paraId="7C3319F8" w14:textId="77777777" w:rsidR="004D118C" w:rsidRPr="00DB0DA9" w:rsidRDefault="00016F29" w:rsidP="00DB0DA9">
      <w:pPr>
        <w:rPr>
          <w:i/>
          <w:sz w:val="24"/>
        </w:rPr>
      </w:pPr>
      <w:r w:rsidRPr="00DB0DA9">
        <w:rPr>
          <w:i/>
        </w:rPr>
        <w:t>Glucocorticoid exposure</w:t>
      </w:r>
    </w:p>
    <w:p w14:paraId="7C3319F9" w14:textId="77777777" w:rsidR="004D118C" w:rsidRDefault="00016F29" w:rsidP="00DB0DA9">
      <w:r w:rsidRPr="00DB0DA9">
        <w:t>The cumulative oral corticosteroid dose was significantly lower in patients treated with MabThera.  The median (min, max) cumulative prednisone dose at Week 52 was 2775 </w:t>
      </w:r>
      <w:r w:rsidR="00232CA3" w:rsidRPr="003E4CF3">
        <w:t>mg (450, 22180) in the MabThera</w:t>
      </w:r>
      <w:r w:rsidRPr="00DB0DA9">
        <w:t xml:space="preserve"> group compared to 4005 mg (900, 19920) in the MMF group (p=0.0005). </w:t>
      </w:r>
    </w:p>
    <w:p w14:paraId="7C3319FA" w14:textId="77777777" w:rsidR="004816A9" w:rsidRDefault="004816A9" w:rsidP="00DB0DA9"/>
    <w:p w14:paraId="7C3319FB" w14:textId="77777777" w:rsidR="00617111" w:rsidRPr="004B6851" w:rsidRDefault="00016F29" w:rsidP="00617111">
      <w:pPr>
        <w:rPr>
          <w:i/>
          <w:sz w:val="24"/>
        </w:rPr>
      </w:pPr>
      <w:r w:rsidRPr="004B6851">
        <w:rPr>
          <w:i/>
        </w:rPr>
        <w:t>Disease flare</w:t>
      </w:r>
    </w:p>
    <w:p w14:paraId="7C3319FC" w14:textId="77777777" w:rsidR="00617111" w:rsidRDefault="00016F29" w:rsidP="00617111">
      <w:r w:rsidRPr="004B6851">
        <w:t>The total number of disease flares was significantly lower in patients treated with MabThera compared to MMF (6 vs. 44, p&lt;0.0001) and there were fewer patients who had at least one disease flare (8.1% vs. 41.3%).</w:t>
      </w:r>
    </w:p>
    <w:p w14:paraId="7C3319FD" w14:textId="77777777" w:rsidR="000502DC" w:rsidRDefault="000502DC" w:rsidP="00617111"/>
    <w:p w14:paraId="7C3319FE" w14:textId="77777777" w:rsidR="000502DC" w:rsidRPr="00E06A78" w:rsidRDefault="00016F29" w:rsidP="00E06A78">
      <w:pPr>
        <w:keepNext/>
        <w:keepLines/>
        <w:rPr>
          <w:i/>
        </w:rPr>
      </w:pPr>
      <w:r w:rsidRPr="00E06A78">
        <w:rPr>
          <w:i/>
        </w:rPr>
        <w:t>Laboratory evaluations</w:t>
      </w:r>
    </w:p>
    <w:p w14:paraId="7C3319FF" w14:textId="77777777" w:rsidR="00762566" w:rsidRDefault="00016F29" w:rsidP="00E06A78">
      <w:pPr>
        <w:keepNext/>
        <w:keepLines/>
      </w:pPr>
      <w:r>
        <w:t>B</w:t>
      </w:r>
      <w:r w:rsidR="00B63DC8" w:rsidRPr="00DB0DA9">
        <w:t>y week 52, a total of 20/63 (31.7%) (19 treatment-induced and 1 treatme</w:t>
      </w:r>
      <w:r w:rsidR="00AA6B9F" w:rsidRPr="00DB0DA9">
        <w:t>nt-enhanced) MabThera</w:t>
      </w:r>
      <w:r w:rsidR="00B63DC8" w:rsidRPr="00DB0DA9">
        <w:t xml:space="preserve"> </w:t>
      </w:r>
      <w:r w:rsidR="00AE6608">
        <w:t>-</w:t>
      </w:r>
      <w:r w:rsidR="00B63DC8" w:rsidRPr="00DB0DA9">
        <w:t xml:space="preserve">treated PV patients tested positive for ADA.  There was no apparent negative impact of the presence of ADA on safety or efficacy in PV </w:t>
      </w:r>
      <w:r>
        <w:t>Study 2</w:t>
      </w:r>
      <w:r w:rsidR="00B63DC8" w:rsidRPr="00DB0DA9">
        <w:t>.</w:t>
      </w:r>
    </w:p>
    <w:p w14:paraId="7C331A00" w14:textId="77777777" w:rsidR="00DC6A79" w:rsidRPr="00F638AF" w:rsidRDefault="00DC6A79" w:rsidP="008F369D">
      <w:pPr>
        <w:keepNext/>
        <w:rPr>
          <w:szCs w:val="22"/>
        </w:rPr>
      </w:pPr>
    </w:p>
    <w:p w14:paraId="7C331A01" w14:textId="77777777" w:rsidR="008F369D" w:rsidRDefault="00016F29" w:rsidP="008F369D">
      <w:pPr>
        <w:keepNext/>
        <w:keepLines/>
        <w:ind w:left="567" w:hanging="567"/>
        <w:outlineLvl w:val="0"/>
        <w:rPr>
          <w:b/>
          <w:szCs w:val="22"/>
          <w:lang w:val="en-GB"/>
        </w:rPr>
      </w:pPr>
      <w:r w:rsidRPr="00F638AF">
        <w:rPr>
          <w:b/>
          <w:szCs w:val="22"/>
          <w:lang w:val="en-GB"/>
        </w:rPr>
        <w:t>5.2</w:t>
      </w:r>
      <w:r w:rsidRPr="00F638AF">
        <w:rPr>
          <w:b/>
          <w:szCs w:val="22"/>
          <w:lang w:val="en-GB"/>
        </w:rPr>
        <w:tab/>
        <w:t>Pharmacokinetic properties</w:t>
      </w:r>
    </w:p>
    <w:p w14:paraId="7C331A02" w14:textId="77777777" w:rsidR="008F369D" w:rsidRPr="00F638AF" w:rsidRDefault="008F369D" w:rsidP="00E06A78">
      <w:pPr>
        <w:keepNext/>
        <w:keepLines/>
        <w:autoSpaceDE w:val="0"/>
        <w:autoSpaceDN w:val="0"/>
        <w:adjustRightInd w:val="0"/>
        <w:jc w:val="both"/>
        <w:rPr>
          <w:szCs w:val="22"/>
          <w:lang w:val="en-GB"/>
        </w:rPr>
      </w:pPr>
    </w:p>
    <w:p w14:paraId="7C331A03" w14:textId="77777777" w:rsidR="008F369D" w:rsidRPr="00F638AF" w:rsidRDefault="00016F29" w:rsidP="008F369D">
      <w:pPr>
        <w:keepNext/>
        <w:keepLines/>
        <w:rPr>
          <w:szCs w:val="22"/>
          <w:u w:val="single"/>
          <w:lang w:val="en-GB"/>
        </w:rPr>
      </w:pPr>
      <w:r w:rsidRPr="00F638AF">
        <w:rPr>
          <w:szCs w:val="22"/>
          <w:u w:val="single"/>
          <w:lang w:val="en-GB"/>
        </w:rPr>
        <w:t>Adult Non</w:t>
      </w:r>
      <w:r w:rsidR="000A6DDA" w:rsidRPr="00F638AF">
        <w:rPr>
          <w:szCs w:val="22"/>
          <w:u w:val="single"/>
          <w:lang w:val="en-GB"/>
        </w:rPr>
        <w:noBreakHyphen/>
      </w:r>
      <w:r w:rsidRPr="00F638AF">
        <w:rPr>
          <w:szCs w:val="22"/>
          <w:u w:val="single"/>
          <w:lang w:val="en-GB"/>
        </w:rPr>
        <w:t>Hodgkin’s lymphoma</w:t>
      </w:r>
    </w:p>
    <w:p w14:paraId="7C331A04" w14:textId="77777777" w:rsidR="008F369D" w:rsidRPr="00F638AF" w:rsidRDefault="008F369D" w:rsidP="008F369D">
      <w:pPr>
        <w:rPr>
          <w:b/>
          <w:i/>
          <w:szCs w:val="22"/>
          <w:lang w:val="en-GB"/>
        </w:rPr>
      </w:pPr>
    </w:p>
    <w:p w14:paraId="7C331A05" w14:textId="77777777" w:rsidR="008F369D" w:rsidRPr="00F638AF" w:rsidRDefault="00016F29" w:rsidP="008F369D">
      <w:pPr>
        <w:rPr>
          <w:lang w:val="en-GB"/>
        </w:rPr>
      </w:pPr>
      <w:r w:rsidRPr="00F638AF">
        <w:rPr>
          <w:lang w:val="en-GB"/>
        </w:rPr>
        <w:t>Based on a population pharmacokinetic analysis in 298 NHL patients who received single or multiple infusions of MabThera as a single agent or in combination with CHOP therapy (applied MabThera doses ranged from 100 to 500 mg/m</w:t>
      </w:r>
      <w:r w:rsidRPr="00F638AF">
        <w:rPr>
          <w:vertAlign w:val="superscript"/>
          <w:lang w:val="en-GB"/>
        </w:rPr>
        <w:t>2</w:t>
      </w:r>
      <w:r w:rsidRPr="00F638AF">
        <w:rPr>
          <w:lang w:val="en-GB"/>
        </w:rPr>
        <w:t>), the typical population estimates of nonspecific clearance (CL</w:t>
      </w:r>
      <w:r w:rsidRPr="00F638AF">
        <w:rPr>
          <w:vertAlign w:val="subscript"/>
          <w:lang w:val="en-GB"/>
        </w:rPr>
        <w:t>1</w:t>
      </w:r>
      <w:r w:rsidRPr="00F638AF">
        <w:rPr>
          <w:lang w:val="en-GB"/>
        </w:rPr>
        <w:t>), specific clearance (CL</w:t>
      </w:r>
      <w:r w:rsidRPr="00F638AF">
        <w:rPr>
          <w:vertAlign w:val="subscript"/>
          <w:lang w:val="en-GB"/>
        </w:rPr>
        <w:t>2</w:t>
      </w:r>
      <w:r w:rsidRPr="00F638AF">
        <w:rPr>
          <w:lang w:val="en-GB"/>
        </w:rPr>
        <w:t>) likely contributed by B cells or tumour burden, and central compartment volume of distribution (V</w:t>
      </w:r>
      <w:r w:rsidRPr="00F638AF">
        <w:rPr>
          <w:vertAlign w:val="subscript"/>
          <w:lang w:val="en-GB"/>
        </w:rPr>
        <w:t>1</w:t>
      </w:r>
      <w:r w:rsidRPr="00F638AF">
        <w:rPr>
          <w:lang w:val="en-GB"/>
        </w:rPr>
        <w:t>) were 0.14 L/day, 0.59 L/day, and 2.7 L, respectively. The estimated median terminal elimination half</w:t>
      </w:r>
      <w:r w:rsidR="000A6DDA" w:rsidRPr="00F638AF">
        <w:rPr>
          <w:lang w:val="en-GB"/>
        </w:rPr>
        <w:noBreakHyphen/>
      </w:r>
      <w:r w:rsidRPr="00F638AF">
        <w:rPr>
          <w:lang w:val="en-GB"/>
        </w:rPr>
        <w:t>life of MabThera was 22 days (range, 6.1 to 52 days). Baseline CD19</w:t>
      </w:r>
      <w:r w:rsidR="000A6DDA" w:rsidRPr="00F638AF">
        <w:rPr>
          <w:lang w:val="en-GB"/>
        </w:rPr>
        <w:noBreakHyphen/>
      </w:r>
      <w:r w:rsidRPr="00F638AF">
        <w:rPr>
          <w:lang w:val="en-GB"/>
        </w:rPr>
        <w:t>positive cell counts and size of measurable tumour lesions contributed to some of the variability in CL</w:t>
      </w:r>
      <w:r w:rsidRPr="00F638AF">
        <w:rPr>
          <w:vertAlign w:val="subscript"/>
          <w:lang w:val="en-GB"/>
        </w:rPr>
        <w:t>2</w:t>
      </w:r>
      <w:r w:rsidRPr="00F638AF">
        <w:rPr>
          <w:lang w:val="en-GB"/>
        </w:rPr>
        <w:t xml:space="preserve"> of MabThera in data from 161 patients given 375 mg/m</w:t>
      </w:r>
      <w:r w:rsidRPr="00F638AF">
        <w:rPr>
          <w:vertAlign w:val="superscript"/>
          <w:lang w:val="en-GB"/>
        </w:rPr>
        <w:t>2</w:t>
      </w:r>
      <w:r w:rsidRPr="00F638AF">
        <w:rPr>
          <w:lang w:val="en-GB"/>
        </w:rPr>
        <w:t xml:space="preserve"> as an intravenous infusion for 4 weekly doses. Patients with higher CD19</w:t>
      </w:r>
      <w:r w:rsidR="000A6DDA" w:rsidRPr="00F638AF">
        <w:rPr>
          <w:lang w:val="en-GB"/>
        </w:rPr>
        <w:noBreakHyphen/>
      </w:r>
      <w:r w:rsidRPr="00F638AF">
        <w:rPr>
          <w:lang w:val="en-GB"/>
        </w:rPr>
        <w:t>positive cell counts or tumour lesions had a higher CL</w:t>
      </w:r>
      <w:r w:rsidRPr="00F638AF">
        <w:rPr>
          <w:vertAlign w:val="subscript"/>
          <w:lang w:val="en-GB"/>
        </w:rPr>
        <w:t>2</w:t>
      </w:r>
      <w:r w:rsidRPr="00F638AF">
        <w:rPr>
          <w:lang w:val="en-GB"/>
        </w:rPr>
        <w:t>. However, a large component of inter</w:t>
      </w:r>
      <w:r w:rsidR="000A6DDA" w:rsidRPr="00F638AF">
        <w:rPr>
          <w:lang w:val="en-GB"/>
        </w:rPr>
        <w:noBreakHyphen/>
      </w:r>
      <w:r w:rsidRPr="00F638AF">
        <w:rPr>
          <w:lang w:val="en-GB"/>
        </w:rPr>
        <w:t>individual variability remained for CL</w:t>
      </w:r>
      <w:r w:rsidRPr="00F638AF">
        <w:rPr>
          <w:vertAlign w:val="subscript"/>
          <w:lang w:val="en-GB"/>
        </w:rPr>
        <w:t>2</w:t>
      </w:r>
      <w:r w:rsidRPr="00F638AF">
        <w:rPr>
          <w:lang w:val="en-GB"/>
        </w:rPr>
        <w:t xml:space="preserve"> after correction for CD19</w:t>
      </w:r>
      <w:r w:rsidR="000A6DDA" w:rsidRPr="00F638AF">
        <w:rPr>
          <w:lang w:val="en-GB"/>
        </w:rPr>
        <w:noBreakHyphen/>
      </w:r>
      <w:r w:rsidRPr="00F638AF">
        <w:rPr>
          <w:lang w:val="en-GB"/>
        </w:rPr>
        <w:t>positive cell counts and tumour lesion size. V</w:t>
      </w:r>
      <w:r w:rsidRPr="00F638AF">
        <w:rPr>
          <w:vertAlign w:val="subscript"/>
          <w:lang w:val="en-GB"/>
        </w:rPr>
        <w:t>1</w:t>
      </w:r>
      <w:r w:rsidRPr="00F638AF">
        <w:rPr>
          <w:lang w:val="en-GB"/>
        </w:rPr>
        <w:t xml:space="preserve"> varied by body surface area (BSA) and CHOP therapy. This variability in V</w:t>
      </w:r>
      <w:r w:rsidRPr="00F638AF">
        <w:rPr>
          <w:vertAlign w:val="subscript"/>
          <w:lang w:val="en-GB"/>
        </w:rPr>
        <w:t>1</w:t>
      </w:r>
      <w:r w:rsidRPr="00F638AF">
        <w:rPr>
          <w:lang w:val="en-GB"/>
        </w:rPr>
        <w:t xml:space="preserve"> (27.1% and 19.0%) contributed by the range in BSA (1.53 to 2.32 m</w:t>
      </w:r>
      <w:r w:rsidRPr="00F638AF">
        <w:rPr>
          <w:vertAlign w:val="superscript"/>
          <w:lang w:val="en-GB"/>
        </w:rPr>
        <w:t>2</w:t>
      </w:r>
      <w:r w:rsidRPr="00F638AF">
        <w:rPr>
          <w:lang w:val="en-GB"/>
        </w:rPr>
        <w:t>) and concurrent CHOP therapy, respectively, were relatively small. Age, gender and WHO performance status had no effect on the pharmacokinetics of MabThera.  This analysis suggests that dose adjustment of MabThera with any of the tested covariates is not expected to result in a meaningful reduction in its pharmacokinetic variability.</w:t>
      </w:r>
    </w:p>
    <w:p w14:paraId="7C331A06" w14:textId="77777777" w:rsidR="008F369D" w:rsidRPr="00F638AF" w:rsidRDefault="008F369D" w:rsidP="008F369D">
      <w:pPr>
        <w:rPr>
          <w:lang w:val="en-GB"/>
        </w:rPr>
      </w:pPr>
    </w:p>
    <w:p w14:paraId="7C331A07" w14:textId="77777777" w:rsidR="008F369D" w:rsidRPr="00F638AF" w:rsidRDefault="00016F29" w:rsidP="008F369D">
      <w:pPr>
        <w:rPr>
          <w:lang w:val="en-GB"/>
        </w:rPr>
      </w:pPr>
      <w:r w:rsidRPr="00F638AF">
        <w:rPr>
          <w:lang w:val="en-GB"/>
        </w:rPr>
        <w:t>MabThera, administered as an intravenous infusion at a dose of 375 mg/m</w:t>
      </w:r>
      <w:r w:rsidRPr="00F638AF">
        <w:rPr>
          <w:vertAlign w:val="superscript"/>
          <w:lang w:val="en-GB"/>
        </w:rPr>
        <w:t>2</w:t>
      </w:r>
      <w:r w:rsidRPr="00F638AF">
        <w:rPr>
          <w:lang w:val="en-GB"/>
        </w:rPr>
        <w:t xml:space="preserve"> at weekly intervals for 4 doses to 203 patients with NHL naive to MabThera, yielded a mean C</w:t>
      </w:r>
      <w:r w:rsidRPr="00F638AF">
        <w:rPr>
          <w:vertAlign w:val="subscript"/>
          <w:lang w:val="en-GB"/>
        </w:rPr>
        <w:t>max</w:t>
      </w:r>
      <w:r w:rsidRPr="00F638AF">
        <w:rPr>
          <w:lang w:val="en-GB"/>
        </w:rPr>
        <w:t xml:space="preserve"> following the fourth infusion of 486 µg/mL (range, 77.5 to 996.6 µg/mL). Rituximab was detectable in the serum of patients 3 – 6 months after completion of last treatment.</w:t>
      </w:r>
    </w:p>
    <w:p w14:paraId="7C331A08" w14:textId="77777777" w:rsidR="008F369D" w:rsidRPr="00F638AF" w:rsidRDefault="008F369D" w:rsidP="008F369D">
      <w:pPr>
        <w:rPr>
          <w:lang w:val="en-GB"/>
        </w:rPr>
      </w:pPr>
    </w:p>
    <w:p w14:paraId="7C331A09" w14:textId="77777777" w:rsidR="008F369D" w:rsidRPr="00F638AF" w:rsidRDefault="00016F29" w:rsidP="008F369D">
      <w:pPr>
        <w:rPr>
          <w:lang w:val="en-GB"/>
        </w:rPr>
      </w:pPr>
      <w:r w:rsidRPr="00F638AF">
        <w:rPr>
          <w:lang w:val="en-GB"/>
        </w:rPr>
        <w:t>Upon administration of MabThera at a dose of 375 mg/m</w:t>
      </w:r>
      <w:r w:rsidRPr="00F638AF">
        <w:rPr>
          <w:vertAlign w:val="superscript"/>
          <w:lang w:val="en-GB"/>
        </w:rPr>
        <w:t>2</w:t>
      </w:r>
      <w:r w:rsidRPr="00F638AF">
        <w:rPr>
          <w:lang w:val="en-GB"/>
        </w:rPr>
        <w:t xml:space="preserve"> as an intravenous infusion at weekly intervals for 8 doses to 37 patients with NHL, the mean C</w:t>
      </w:r>
      <w:r w:rsidRPr="00F638AF">
        <w:rPr>
          <w:vertAlign w:val="subscript"/>
          <w:lang w:val="en-GB"/>
        </w:rPr>
        <w:t>max</w:t>
      </w:r>
      <w:r w:rsidRPr="00F638AF">
        <w:rPr>
          <w:lang w:val="en-GB"/>
        </w:rPr>
        <w:t xml:space="preserve"> increased with each successive infusion, spanning from a mean of 243 µg/mL (range, 16 – 582 µg/mL) after the first infusion to 550 µg/mL (range, 171 – 1177 µg/mL) after the eighth infusion.</w:t>
      </w:r>
    </w:p>
    <w:p w14:paraId="7C331A0A" w14:textId="77777777" w:rsidR="008F369D" w:rsidRPr="00F638AF" w:rsidRDefault="008F369D" w:rsidP="008F369D">
      <w:pPr>
        <w:rPr>
          <w:lang w:val="en-GB"/>
        </w:rPr>
      </w:pPr>
    </w:p>
    <w:p w14:paraId="7C331A0B" w14:textId="77777777" w:rsidR="008F369D" w:rsidRPr="00F638AF" w:rsidRDefault="00016F29" w:rsidP="008F369D">
      <w:pPr>
        <w:rPr>
          <w:lang w:val="en-GB"/>
        </w:rPr>
      </w:pPr>
      <w:r w:rsidRPr="00F638AF">
        <w:rPr>
          <w:lang w:val="en-GB"/>
        </w:rPr>
        <w:t>The pharmacokinetic profile of MabThera when administered as 6 infusions of 375 mg/m</w:t>
      </w:r>
      <w:r w:rsidRPr="00F638AF">
        <w:rPr>
          <w:vertAlign w:val="superscript"/>
          <w:lang w:val="en-GB"/>
        </w:rPr>
        <w:t>2</w:t>
      </w:r>
      <w:r w:rsidRPr="00F638AF">
        <w:rPr>
          <w:lang w:val="en-GB"/>
        </w:rPr>
        <w:t xml:space="preserve"> in combination with 6 cycles of CHOP chemotherapy was similar to that seen with MabThera alone.</w:t>
      </w:r>
    </w:p>
    <w:p w14:paraId="7C331A0C" w14:textId="77777777" w:rsidR="002D58BF" w:rsidRPr="00F638AF" w:rsidRDefault="002D58BF" w:rsidP="008F369D">
      <w:pPr>
        <w:rPr>
          <w:lang w:val="en-GB"/>
        </w:rPr>
      </w:pPr>
    </w:p>
    <w:p w14:paraId="7C331A0D" w14:textId="77777777" w:rsidR="002D58BF" w:rsidRPr="00F638AF" w:rsidRDefault="00016F29" w:rsidP="002D58BF">
      <w:pPr>
        <w:rPr>
          <w:szCs w:val="22"/>
          <w:u w:val="single"/>
          <w:lang w:val="en-GB" w:eastAsia="en-US"/>
        </w:rPr>
      </w:pPr>
      <w:r w:rsidRPr="00F638AF">
        <w:rPr>
          <w:szCs w:val="22"/>
          <w:u w:val="single"/>
          <w:lang w:val="en-GB" w:eastAsia="en-US"/>
        </w:rPr>
        <w:t xml:space="preserve">Paediatric DLBCL/BL/BAL/BLL </w:t>
      </w:r>
    </w:p>
    <w:p w14:paraId="7C331A0E" w14:textId="77777777" w:rsidR="002D58BF" w:rsidRPr="00474194" w:rsidRDefault="002D58BF" w:rsidP="00474194">
      <w:pPr>
        <w:rPr>
          <w:u w:val="single"/>
          <w:lang w:val="en-GB"/>
        </w:rPr>
      </w:pPr>
    </w:p>
    <w:p w14:paraId="7C331A0F" w14:textId="77777777" w:rsidR="002D58BF" w:rsidRPr="00F638AF" w:rsidRDefault="00016F29" w:rsidP="002D58BF">
      <w:pPr>
        <w:rPr>
          <w:szCs w:val="22"/>
          <w:lang w:val="en-GB" w:eastAsia="en-US"/>
        </w:rPr>
      </w:pPr>
      <w:r w:rsidRPr="00474194">
        <w:rPr>
          <w:lang w:val="en-GB"/>
        </w:rPr>
        <w:t xml:space="preserve">In </w:t>
      </w:r>
      <w:r w:rsidRPr="00F638AF">
        <w:rPr>
          <w:szCs w:val="22"/>
          <w:lang w:val="en-GB" w:eastAsia="en-US"/>
        </w:rPr>
        <w:t>the clinical trial studying paediatric DLBCL/BL/BAL/BLL, the PK was studied in a subset of 35 patients aged 3 years and older. The PK was comparable between the two age groups (</w:t>
      </w:r>
      <w:r w:rsidRPr="00F638AF">
        <w:rPr>
          <w:rFonts w:ascii="Symbol" w:eastAsia="Symbol" w:hAnsi="Symbol" w:cs="Symbol"/>
          <w:szCs w:val="22"/>
          <w:lang w:val="en-GB" w:eastAsia="en-US"/>
        </w:rPr>
        <w:t>≥</w:t>
      </w:r>
      <w:r w:rsidRPr="00F638AF">
        <w:rPr>
          <w:szCs w:val="22"/>
          <w:lang w:val="en-GB" w:eastAsia="en-US"/>
        </w:rPr>
        <w:t xml:space="preserve">3 to </w:t>
      </w:r>
      <w:r w:rsidRPr="00F638AF">
        <w:rPr>
          <w:rFonts w:ascii="Symbol" w:eastAsia="Symbol" w:hAnsi="Symbol" w:cs="Symbol"/>
          <w:szCs w:val="22"/>
          <w:lang w:val="en-GB" w:eastAsia="en-US"/>
        </w:rPr>
        <w:sym w:font="Symbol" w:char="F03C"/>
      </w:r>
      <w:r w:rsidRPr="00F638AF">
        <w:rPr>
          <w:szCs w:val="22"/>
          <w:lang w:val="en-GB" w:eastAsia="en-US"/>
        </w:rPr>
        <w:t xml:space="preserve">12 years vs. </w:t>
      </w:r>
      <w:r w:rsidRPr="00F638AF">
        <w:rPr>
          <w:rFonts w:ascii="Symbol" w:eastAsia="Symbol" w:hAnsi="Symbol" w:cs="Symbol"/>
          <w:szCs w:val="22"/>
          <w:lang w:val="en-GB" w:eastAsia="en-US"/>
        </w:rPr>
        <w:t>≥</w:t>
      </w:r>
      <w:r w:rsidRPr="00F638AF">
        <w:rPr>
          <w:szCs w:val="22"/>
          <w:lang w:val="en-GB" w:eastAsia="en-US"/>
        </w:rPr>
        <w:t>12 to &lt;18 years). After two MabThera IV infusions of 375 mg/m</w:t>
      </w:r>
      <w:r w:rsidRPr="00F638AF">
        <w:rPr>
          <w:szCs w:val="22"/>
          <w:vertAlign w:val="superscript"/>
          <w:lang w:val="en-GB" w:eastAsia="en-US"/>
        </w:rPr>
        <w:t>2</w:t>
      </w:r>
      <w:r w:rsidRPr="00F638AF">
        <w:rPr>
          <w:szCs w:val="22"/>
          <w:lang w:val="en-GB" w:eastAsia="en-US"/>
        </w:rPr>
        <w:t xml:space="preserve"> in each of the two induction cycles (cycle 1 and 2) followed by one MabThera IV infusion of 375 mg/m</w:t>
      </w:r>
      <w:r w:rsidRPr="00F638AF">
        <w:rPr>
          <w:szCs w:val="22"/>
          <w:vertAlign w:val="superscript"/>
          <w:lang w:val="en-GB" w:eastAsia="en-US"/>
        </w:rPr>
        <w:t>2</w:t>
      </w:r>
      <w:r w:rsidRPr="00F638AF">
        <w:rPr>
          <w:szCs w:val="22"/>
          <w:lang w:val="en-GB" w:eastAsia="en-US"/>
        </w:rPr>
        <w:t xml:space="preserve"> in each of the consolidation cycles (cycle 3 and 4) the maximum concentration was highest after the fourth infusion (cycle 2) with a geometric mean of 347 </w:t>
      </w:r>
      <w:r w:rsidRPr="00F638AF">
        <w:rPr>
          <w:rFonts w:ascii="Symbol" w:eastAsia="Symbol" w:hAnsi="Symbol" w:cs="Symbol"/>
          <w:szCs w:val="22"/>
          <w:lang w:val="en-GB" w:eastAsia="en-US"/>
        </w:rPr>
        <w:sym w:font="Symbol" w:char="F0EC"/>
      </w:r>
      <w:r w:rsidRPr="00F638AF">
        <w:rPr>
          <w:szCs w:val="22"/>
          <w:lang w:val="en-GB" w:eastAsia="en-US"/>
        </w:rPr>
        <w:t>g/mL followed by lower geometric mean maximum concentrations thereafter (Cycle 4: 247 </w:t>
      </w:r>
      <w:r w:rsidRPr="00F638AF">
        <w:rPr>
          <w:rFonts w:ascii="Symbol" w:eastAsia="Symbol" w:hAnsi="Symbol" w:cs="Symbol"/>
          <w:szCs w:val="22"/>
          <w:lang w:val="en-GB" w:eastAsia="en-US"/>
        </w:rPr>
        <w:sym w:font="Symbol" w:char="F0EC"/>
      </w:r>
      <w:r w:rsidRPr="00F638AF">
        <w:rPr>
          <w:szCs w:val="22"/>
          <w:lang w:val="en-GB" w:eastAsia="en-US"/>
        </w:rPr>
        <w:t>g/mL). With this dose regimen, trough levels were sustained (geometric means: 41.8 µg/mL (pre-dose Cycle 2; after 1 cycle), 67.7 µg/mL (pre-dose Cycle 3, after 2 cycles) and 58.5 µg/mL (pre-dose Cycle 4, after 3 cycles)). The median elimination half-life in paediatric patients aged 3 years and older was 26 days.</w:t>
      </w:r>
    </w:p>
    <w:p w14:paraId="7C331A10" w14:textId="77777777" w:rsidR="002D58BF" w:rsidRPr="00F638AF" w:rsidRDefault="002D58BF" w:rsidP="002D58BF">
      <w:pPr>
        <w:rPr>
          <w:szCs w:val="22"/>
          <w:lang w:val="en-GB" w:eastAsia="en-US"/>
        </w:rPr>
      </w:pPr>
    </w:p>
    <w:p w14:paraId="7C331A11" w14:textId="77777777" w:rsidR="002D58BF" w:rsidRPr="00F638AF" w:rsidRDefault="00016F29" w:rsidP="002D58BF">
      <w:pPr>
        <w:rPr>
          <w:szCs w:val="22"/>
          <w:lang w:val="en-GB" w:eastAsia="en-US"/>
        </w:rPr>
      </w:pPr>
      <w:r w:rsidRPr="00F638AF">
        <w:rPr>
          <w:szCs w:val="22"/>
          <w:lang w:val="en-GB" w:eastAsia="en-US"/>
        </w:rPr>
        <w:t>The PK characteristics of MabThera in paediatric patients with DLBCL/BL/BAL/BLL were similar to what has been observed in adult NHL patients.</w:t>
      </w:r>
    </w:p>
    <w:p w14:paraId="7C331A12" w14:textId="77777777" w:rsidR="002D58BF" w:rsidRPr="00F638AF" w:rsidRDefault="002D58BF" w:rsidP="002D58BF">
      <w:pPr>
        <w:rPr>
          <w:szCs w:val="22"/>
          <w:lang w:val="en-GB" w:eastAsia="en-US"/>
        </w:rPr>
      </w:pPr>
    </w:p>
    <w:p w14:paraId="7C331A13" w14:textId="77777777" w:rsidR="002D58BF" w:rsidRPr="00F638AF" w:rsidRDefault="00016F29" w:rsidP="00E06A78">
      <w:pPr>
        <w:keepNext/>
        <w:keepLines/>
        <w:rPr>
          <w:szCs w:val="22"/>
          <w:lang w:val="en-GB" w:eastAsia="en-US"/>
        </w:rPr>
      </w:pPr>
      <w:r w:rsidRPr="00F638AF">
        <w:rPr>
          <w:szCs w:val="22"/>
          <w:lang w:val="en-GB" w:eastAsia="en-US"/>
        </w:rPr>
        <w:t>No PK data are available in the ≥ 6 months to &lt; 3 years age group, however, population PK prediction</w:t>
      </w:r>
      <w:bookmarkStart w:id="10" w:name="_2s8eyo1" w:colFirst="0" w:colLast="0"/>
      <w:bookmarkEnd w:id="10"/>
      <w:r w:rsidRPr="00F638AF">
        <w:rPr>
          <w:szCs w:val="22"/>
          <w:lang w:val="en-GB" w:eastAsia="en-US"/>
        </w:rPr>
        <w:t xml:space="preserve"> supports comparable systemic exposure (AUC, Ctrough) in this age group compared to ≥ 3 years (Table </w:t>
      </w:r>
      <w:r w:rsidR="008F45FA">
        <w:rPr>
          <w:szCs w:val="22"/>
          <w:lang w:val="en-GB" w:eastAsia="en-US"/>
        </w:rPr>
        <w:t>24</w:t>
      </w:r>
      <w:r w:rsidRPr="00F638AF">
        <w:rPr>
          <w:szCs w:val="22"/>
          <w:lang w:val="en-GB" w:eastAsia="en-US"/>
        </w:rPr>
        <w:t xml:space="preserve">). Smaller baseline tumor size is related to higher exposure due to lower time dependent clearance, however, systemic exposures impacted by different tumor sizes remain in the range of </w:t>
      </w:r>
      <w:r w:rsidR="002437D3" w:rsidRPr="00F638AF">
        <w:rPr>
          <w:szCs w:val="22"/>
          <w:lang w:val="en-GB" w:eastAsia="en-US"/>
        </w:rPr>
        <w:t>exposure that was efficacious and had an acceptable safety profile</w:t>
      </w:r>
      <w:r w:rsidRPr="00F638AF">
        <w:rPr>
          <w:szCs w:val="22"/>
          <w:lang w:val="en-GB" w:eastAsia="en-US"/>
        </w:rPr>
        <w:t>.</w:t>
      </w:r>
    </w:p>
    <w:p w14:paraId="7C331A14" w14:textId="77777777" w:rsidR="002D58BF" w:rsidRPr="00F638AF" w:rsidRDefault="002D58BF" w:rsidP="002D58BF">
      <w:pPr>
        <w:rPr>
          <w:szCs w:val="22"/>
          <w:lang w:val="en-GB" w:eastAsia="en-US"/>
        </w:rPr>
      </w:pPr>
    </w:p>
    <w:p w14:paraId="7C331A15" w14:textId="77777777" w:rsidR="002D58BF" w:rsidRPr="00F638AF" w:rsidRDefault="00016F29" w:rsidP="00E06A78">
      <w:pPr>
        <w:jc w:val="both"/>
        <w:rPr>
          <w:b/>
          <w:szCs w:val="22"/>
          <w:lang w:val="en-GB" w:eastAsia="en-US"/>
        </w:rPr>
      </w:pPr>
      <w:bookmarkStart w:id="11" w:name="_17dp8vu" w:colFirst="0" w:colLast="0"/>
      <w:bookmarkEnd w:id="11"/>
      <w:r w:rsidRPr="00F638AF">
        <w:rPr>
          <w:b/>
          <w:szCs w:val="22"/>
          <w:lang w:val="en-GB" w:eastAsia="en-US"/>
        </w:rPr>
        <w:t xml:space="preserve">Table </w:t>
      </w:r>
      <w:r w:rsidR="008F45FA">
        <w:rPr>
          <w:b/>
          <w:szCs w:val="22"/>
          <w:lang w:val="en-GB" w:eastAsia="en-US"/>
        </w:rPr>
        <w:t>24</w:t>
      </w:r>
      <w:r w:rsidRPr="00F638AF">
        <w:rPr>
          <w:b/>
          <w:szCs w:val="22"/>
          <w:lang w:val="en-GB" w:eastAsia="en-US"/>
        </w:rPr>
        <w:t>: Predicted PK Parameters following the Rituximab Dosing Regimen in Paediatric DLBCL/BL/BAL/BLL</w:t>
      </w: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8"/>
        <w:gridCol w:w="2346"/>
        <w:gridCol w:w="2346"/>
        <w:gridCol w:w="2347"/>
      </w:tblGrid>
      <w:tr w:rsidR="003A788B" w14:paraId="7C331A1A" w14:textId="77777777" w:rsidTr="00365ACB">
        <w:trPr>
          <w:trHeight w:val="491"/>
        </w:trPr>
        <w:tc>
          <w:tcPr>
            <w:tcW w:w="2028" w:type="dxa"/>
            <w:vAlign w:val="center"/>
          </w:tcPr>
          <w:p w14:paraId="7C331A16" w14:textId="77777777" w:rsidR="002D58BF" w:rsidRPr="00F638AF" w:rsidRDefault="00016F29" w:rsidP="002D58BF">
            <w:pPr>
              <w:rPr>
                <w:b/>
                <w:szCs w:val="22"/>
                <w:lang w:val="en-GB" w:eastAsia="en-US"/>
              </w:rPr>
            </w:pPr>
            <w:r w:rsidRPr="00F638AF">
              <w:rPr>
                <w:b/>
                <w:szCs w:val="22"/>
                <w:lang w:val="en-GB" w:eastAsia="en-US"/>
              </w:rPr>
              <w:t>Age group</w:t>
            </w:r>
          </w:p>
        </w:tc>
        <w:tc>
          <w:tcPr>
            <w:tcW w:w="2346" w:type="dxa"/>
            <w:vAlign w:val="center"/>
          </w:tcPr>
          <w:p w14:paraId="7C331A17" w14:textId="77777777" w:rsidR="002D58BF" w:rsidRPr="00F638AF" w:rsidRDefault="00016F29" w:rsidP="002D58BF">
            <w:pPr>
              <w:rPr>
                <w:b/>
                <w:szCs w:val="22"/>
                <w:lang w:val="en-GB" w:eastAsia="en-US"/>
              </w:rPr>
            </w:pPr>
            <w:r w:rsidRPr="00F638AF">
              <w:rPr>
                <w:b/>
                <w:szCs w:val="22"/>
                <w:lang w:val="en-GB" w:eastAsia="en-US"/>
              </w:rPr>
              <w:t>≥ 6 mo to &lt; 3 years</w:t>
            </w:r>
          </w:p>
        </w:tc>
        <w:tc>
          <w:tcPr>
            <w:tcW w:w="2346" w:type="dxa"/>
            <w:vAlign w:val="center"/>
          </w:tcPr>
          <w:p w14:paraId="7C331A18" w14:textId="77777777" w:rsidR="002D58BF" w:rsidRPr="00F638AF" w:rsidRDefault="00016F29" w:rsidP="002D58BF">
            <w:pPr>
              <w:rPr>
                <w:b/>
                <w:szCs w:val="22"/>
                <w:lang w:val="en-GB" w:eastAsia="en-US"/>
              </w:rPr>
            </w:pPr>
            <w:r w:rsidRPr="00F638AF">
              <w:rPr>
                <w:b/>
                <w:szCs w:val="22"/>
                <w:lang w:val="en-GB" w:eastAsia="en-US"/>
              </w:rPr>
              <w:t>≥ 3 to &lt; 12 years</w:t>
            </w:r>
          </w:p>
        </w:tc>
        <w:tc>
          <w:tcPr>
            <w:tcW w:w="2347" w:type="dxa"/>
            <w:vAlign w:val="center"/>
          </w:tcPr>
          <w:p w14:paraId="7C331A19" w14:textId="77777777" w:rsidR="002D58BF" w:rsidRPr="00F638AF" w:rsidRDefault="00016F29" w:rsidP="002D58BF">
            <w:pPr>
              <w:rPr>
                <w:b/>
                <w:szCs w:val="22"/>
                <w:lang w:val="en-GB" w:eastAsia="en-US"/>
              </w:rPr>
            </w:pPr>
            <w:r w:rsidRPr="00F638AF">
              <w:rPr>
                <w:b/>
                <w:szCs w:val="22"/>
                <w:lang w:val="en-GB" w:eastAsia="en-US"/>
              </w:rPr>
              <w:t>≥ 12 to &lt; 18 years</w:t>
            </w:r>
          </w:p>
        </w:tc>
      </w:tr>
      <w:tr w:rsidR="003A788B" w14:paraId="7C331A1F" w14:textId="77777777" w:rsidTr="00365ACB">
        <w:trPr>
          <w:trHeight w:val="397"/>
        </w:trPr>
        <w:tc>
          <w:tcPr>
            <w:tcW w:w="2028" w:type="dxa"/>
            <w:vAlign w:val="center"/>
          </w:tcPr>
          <w:p w14:paraId="7C331A1B" w14:textId="77777777" w:rsidR="002D58BF" w:rsidRPr="00F638AF" w:rsidRDefault="00016F29" w:rsidP="002D58BF">
            <w:pPr>
              <w:rPr>
                <w:szCs w:val="22"/>
                <w:vertAlign w:val="subscript"/>
                <w:lang w:val="en-GB" w:eastAsia="en-US"/>
              </w:rPr>
            </w:pPr>
            <w:r w:rsidRPr="00F638AF">
              <w:rPr>
                <w:szCs w:val="22"/>
                <w:lang w:val="en-GB" w:eastAsia="en-US"/>
              </w:rPr>
              <w:t>C</w:t>
            </w:r>
            <w:r w:rsidRPr="00F638AF">
              <w:rPr>
                <w:szCs w:val="22"/>
                <w:vertAlign w:val="subscript"/>
                <w:lang w:val="en-GB" w:eastAsia="en-US"/>
              </w:rPr>
              <w:t xml:space="preserve">trough </w:t>
            </w:r>
            <w:r w:rsidRPr="00F638AF">
              <w:rPr>
                <w:szCs w:val="22"/>
                <w:lang w:val="en-GB" w:eastAsia="en-US"/>
              </w:rPr>
              <w:t>(µg/mL)</w:t>
            </w:r>
          </w:p>
        </w:tc>
        <w:tc>
          <w:tcPr>
            <w:tcW w:w="2346" w:type="dxa"/>
            <w:vAlign w:val="center"/>
          </w:tcPr>
          <w:p w14:paraId="7C331A1C" w14:textId="77777777" w:rsidR="002D58BF" w:rsidRPr="00F638AF" w:rsidRDefault="00016F29" w:rsidP="002D58BF">
            <w:pPr>
              <w:jc w:val="center"/>
              <w:rPr>
                <w:szCs w:val="22"/>
                <w:lang w:val="en-GB" w:eastAsia="en-US"/>
              </w:rPr>
            </w:pPr>
            <w:r w:rsidRPr="00F638AF">
              <w:rPr>
                <w:szCs w:val="22"/>
                <w:lang w:val="en-GB" w:eastAsia="en-US"/>
              </w:rPr>
              <w:t>47.5 (0.01-179)</w:t>
            </w:r>
          </w:p>
        </w:tc>
        <w:tc>
          <w:tcPr>
            <w:tcW w:w="2346" w:type="dxa"/>
            <w:vAlign w:val="center"/>
          </w:tcPr>
          <w:p w14:paraId="7C331A1D" w14:textId="77777777" w:rsidR="002D58BF" w:rsidRPr="00F638AF" w:rsidRDefault="00016F29" w:rsidP="002D58BF">
            <w:pPr>
              <w:jc w:val="center"/>
              <w:rPr>
                <w:szCs w:val="22"/>
                <w:lang w:val="en-GB" w:eastAsia="en-US"/>
              </w:rPr>
            </w:pPr>
            <w:r w:rsidRPr="00F638AF">
              <w:rPr>
                <w:szCs w:val="22"/>
                <w:lang w:val="en-GB" w:eastAsia="en-US"/>
              </w:rPr>
              <w:t>51.4 (0.00-182)</w:t>
            </w:r>
          </w:p>
        </w:tc>
        <w:tc>
          <w:tcPr>
            <w:tcW w:w="2347" w:type="dxa"/>
            <w:vAlign w:val="center"/>
          </w:tcPr>
          <w:p w14:paraId="7C331A1E" w14:textId="77777777" w:rsidR="002D58BF" w:rsidRPr="00F638AF" w:rsidRDefault="00016F29" w:rsidP="002D58BF">
            <w:pPr>
              <w:jc w:val="center"/>
              <w:rPr>
                <w:szCs w:val="22"/>
                <w:lang w:val="en-GB" w:eastAsia="en-US"/>
              </w:rPr>
            </w:pPr>
            <w:r w:rsidRPr="00F638AF">
              <w:rPr>
                <w:szCs w:val="22"/>
                <w:lang w:val="en-GB" w:eastAsia="en-US"/>
              </w:rPr>
              <w:t>44.1 (0.00-149)</w:t>
            </w:r>
          </w:p>
        </w:tc>
      </w:tr>
      <w:tr w:rsidR="003A788B" w14:paraId="7C331A24" w14:textId="77777777" w:rsidTr="00365ACB">
        <w:trPr>
          <w:trHeight w:val="624"/>
        </w:trPr>
        <w:tc>
          <w:tcPr>
            <w:tcW w:w="2028" w:type="dxa"/>
            <w:vAlign w:val="center"/>
          </w:tcPr>
          <w:p w14:paraId="7C331A20" w14:textId="77777777" w:rsidR="002D58BF" w:rsidRPr="00F638AF" w:rsidRDefault="00016F29" w:rsidP="002D58BF">
            <w:pPr>
              <w:rPr>
                <w:szCs w:val="22"/>
                <w:lang w:val="en-GB" w:eastAsia="en-US"/>
              </w:rPr>
            </w:pPr>
            <w:r w:rsidRPr="00F638AF">
              <w:rPr>
                <w:szCs w:val="22"/>
                <w:lang w:val="en-GB" w:eastAsia="en-US"/>
              </w:rPr>
              <w:t>AUC</w:t>
            </w:r>
            <w:r w:rsidRPr="00F638AF">
              <w:rPr>
                <w:szCs w:val="22"/>
                <w:vertAlign w:val="subscript"/>
                <w:lang w:val="en-GB" w:eastAsia="en-US"/>
              </w:rPr>
              <w:t>1-4 cycles</w:t>
            </w:r>
            <w:r w:rsidRPr="00F638AF">
              <w:rPr>
                <w:szCs w:val="22"/>
                <w:lang w:val="en-GB" w:eastAsia="en-US"/>
              </w:rPr>
              <w:t xml:space="preserve"> (µg*day/mL)</w:t>
            </w:r>
          </w:p>
        </w:tc>
        <w:tc>
          <w:tcPr>
            <w:tcW w:w="2346" w:type="dxa"/>
            <w:vAlign w:val="center"/>
          </w:tcPr>
          <w:p w14:paraId="7C331A21" w14:textId="77777777" w:rsidR="002D58BF" w:rsidRPr="00F638AF" w:rsidRDefault="00016F29" w:rsidP="002D58BF">
            <w:pPr>
              <w:jc w:val="center"/>
              <w:rPr>
                <w:szCs w:val="22"/>
                <w:lang w:val="en-GB" w:eastAsia="en-US"/>
              </w:rPr>
            </w:pPr>
            <w:r w:rsidRPr="00F638AF">
              <w:rPr>
                <w:szCs w:val="22"/>
                <w:lang w:val="en-GB" w:eastAsia="en-US"/>
              </w:rPr>
              <w:t>13501 (278-31070)</w:t>
            </w:r>
          </w:p>
        </w:tc>
        <w:tc>
          <w:tcPr>
            <w:tcW w:w="2346" w:type="dxa"/>
            <w:vAlign w:val="center"/>
          </w:tcPr>
          <w:p w14:paraId="7C331A22" w14:textId="77777777" w:rsidR="002D58BF" w:rsidRPr="00F638AF" w:rsidRDefault="00016F29" w:rsidP="002D58BF">
            <w:pPr>
              <w:jc w:val="center"/>
              <w:rPr>
                <w:szCs w:val="22"/>
                <w:lang w:val="en-GB" w:eastAsia="en-US"/>
              </w:rPr>
            </w:pPr>
            <w:r w:rsidRPr="00F638AF">
              <w:rPr>
                <w:szCs w:val="22"/>
                <w:lang w:val="en-GB" w:eastAsia="en-US"/>
              </w:rPr>
              <w:t>11609 (135-31157)</w:t>
            </w:r>
          </w:p>
        </w:tc>
        <w:tc>
          <w:tcPr>
            <w:tcW w:w="2347" w:type="dxa"/>
            <w:vAlign w:val="center"/>
          </w:tcPr>
          <w:p w14:paraId="7C331A23" w14:textId="77777777" w:rsidR="002D58BF" w:rsidRPr="00F638AF" w:rsidRDefault="00016F29" w:rsidP="002D58BF">
            <w:pPr>
              <w:jc w:val="center"/>
              <w:rPr>
                <w:szCs w:val="22"/>
                <w:lang w:val="en-GB" w:eastAsia="en-US"/>
              </w:rPr>
            </w:pPr>
            <w:r w:rsidRPr="00F638AF">
              <w:rPr>
                <w:szCs w:val="22"/>
                <w:lang w:val="en-GB" w:eastAsia="en-US"/>
              </w:rPr>
              <w:t>11467 (110-27066)</w:t>
            </w:r>
          </w:p>
        </w:tc>
      </w:tr>
    </w:tbl>
    <w:p w14:paraId="7C331A25" w14:textId="77777777" w:rsidR="002D58BF" w:rsidRPr="00F638AF" w:rsidRDefault="00016F29" w:rsidP="00A56CE7">
      <w:pPr>
        <w:jc w:val="both"/>
        <w:rPr>
          <w:sz w:val="18"/>
          <w:szCs w:val="18"/>
          <w:lang w:val="en-GB" w:eastAsia="en-US"/>
        </w:rPr>
      </w:pPr>
      <w:r w:rsidRPr="00F638AF">
        <w:rPr>
          <w:sz w:val="18"/>
          <w:szCs w:val="18"/>
          <w:lang w:val="en-GB" w:eastAsia="en-US"/>
        </w:rPr>
        <w:t>Results are presented as median (min – max); C</w:t>
      </w:r>
      <w:r w:rsidRPr="00F638AF">
        <w:rPr>
          <w:sz w:val="18"/>
          <w:szCs w:val="18"/>
          <w:vertAlign w:val="subscript"/>
          <w:lang w:val="en-GB" w:eastAsia="en-US"/>
        </w:rPr>
        <w:t>trough</w:t>
      </w:r>
      <w:r w:rsidRPr="00F638AF">
        <w:rPr>
          <w:sz w:val="18"/>
          <w:szCs w:val="18"/>
          <w:lang w:val="en-GB" w:eastAsia="en-US"/>
        </w:rPr>
        <w:t xml:space="preserve"> is pre-dose Cycle 4.</w:t>
      </w:r>
    </w:p>
    <w:p w14:paraId="7C331A26" w14:textId="77777777" w:rsidR="008F369D" w:rsidRPr="00F638AF" w:rsidRDefault="008F369D">
      <w:pPr>
        <w:rPr>
          <w:szCs w:val="22"/>
          <w:lang w:val="en-GB"/>
        </w:rPr>
      </w:pPr>
    </w:p>
    <w:p w14:paraId="7C331A27" w14:textId="77777777" w:rsidR="008F369D" w:rsidRPr="00F638AF" w:rsidRDefault="00016F29" w:rsidP="008F369D">
      <w:pPr>
        <w:rPr>
          <w:u w:val="single"/>
          <w:lang w:val="en-GB"/>
        </w:rPr>
      </w:pPr>
      <w:r w:rsidRPr="00F638AF">
        <w:rPr>
          <w:u w:val="single"/>
          <w:lang w:val="en-GB"/>
        </w:rPr>
        <w:t>Chronic lymphocytic leukaemia</w:t>
      </w:r>
    </w:p>
    <w:p w14:paraId="7C331A28" w14:textId="77777777" w:rsidR="008F369D" w:rsidRPr="00F638AF" w:rsidRDefault="008F369D" w:rsidP="008F369D">
      <w:pPr>
        <w:rPr>
          <w:u w:val="single"/>
          <w:lang w:val="en-GB"/>
        </w:rPr>
      </w:pPr>
    </w:p>
    <w:p w14:paraId="7C331A29" w14:textId="77777777" w:rsidR="008F369D" w:rsidRPr="00F638AF" w:rsidRDefault="00016F29" w:rsidP="008F369D">
      <w:pPr>
        <w:rPr>
          <w:lang w:val="en-GB"/>
        </w:rPr>
      </w:pPr>
      <w:r w:rsidRPr="00F638AF">
        <w:rPr>
          <w:lang w:val="en-GB"/>
        </w:rPr>
        <w:t xml:space="preserve">MabThera was administered as an intravenous infusion at a </w:t>
      </w:r>
      <w:r w:rsidRPr="00F638AF">
        <w:rPr>
          <w:rFonts w:eastAsia="SimSun"/>
          <w:lang w:val="en-GB" w:eastAsia="zh-CN"/>
        </w:rPr>
        <w:t>first</w:t>
      </w:r>
      <w:r w:rsidR="000A6DDA" w:rsidRPr="00F638AF">
        <w:rPr>
          <w:rFonts w:eastAsia="SimSun"/>
          <w:lang w:val="en-GB" w:eastAsia="zh-CN"/>
        </w:rPr>
        <w:noBreakHyphen/>
      </w:r>
      <w:r w:rsidRPr="00F638AF">
        <w:rPr>
          <w:rFonts w:eastAsia="SimSun"/>
          <w:lang w:val="en-GB" w:eastAsia="zh-CN"/>
        </w:rPr>
        <w:t xml:space="preserve">cycle </w:t>
      </w:r>
      <w:r w:rsidRPr="00F638AF">
        <w:rPr>
          <w:lang w:val="en-GB"/>
        </w:rPr>
        <w:t>dose of 375 mg/m</w:t>
      </w:r>
      <w:r w:rsidRPr="00F638AF">
        <w:rPr>
          <w:vertAlign w:val="superscript"/>
          <w:lang w:val="en-GB"/>
        </w:rPr>
        <w:t>2</w:t>
      </w:r>
      <w:r w:rsidRPr="00F638AF">
        <w:rPr>
          <w:lang w:val="en-GB"/>
        </w:rPr>
        <w:t xml:space="preserve"> </w:t>
      </w:r>
      <w:r w:rsidRPr="00F638AF">
        <w:rPr>
          <w:rFonts w:eastAsia="SimSun"/>
          <w:lang w:val="en-GB" w:eastAsia="zh-CN"/>
        </w:rPr>
        <w:t>increased to 500 </w:t>
      </w:r>
      <w:r w:rsidRPr="00F638AF">
        <w:rPr>
          <w:lang w:val="en-GB"/>
        </w:rPr>
        <w:t>mg/m</w:t>
      </w:r>
      <w:r w:rsidRPr="00F638AF">
        <w:rPr>
          <w:vertAlign w:val="superscript"/>
          <w:lang w:val="en-GB"/>
        </w:rPr>
        <w:t>2</w:t>
      </w:r>
      <w:r w:rsidRPr="00F638AF">
        <w:rPr>
          <w:lang w:val="en-GB"/>
        </w:rPr>
        <w:t xml:space="preserve"> </w:t>
      </w:r>
      <w:r w:rsidRPr="00F638AF">
        <w:rPr>
          <w:rFonts w:eastAsia="SimSun"/>
          <w:lang w:val="en-GB" w:eastAsia="zh-CN"/>
        </w:rPr>
        <w:t>each cycle</w:t>
      </w:r>
      <w:r w:rsidRPr="00F638AF">
        <w:rPr>
          <w:lang w:val="en-GB"/>
        </w:rPr>
        <w:t xml:space="preserve"> for </w:t>
      </w:r>
      <w:r w:rsidRPr="00F638AF">
        <w:rPr>
          <w:rFonts w:eastAsia="SimSun"/>
          <w:lang w:val="en-GB" w:eastAsia="zh-CN"/>
        </w:rPr>
        <w:t>5</w:t>
      </w:r>
      <w:r w:rsidRPr="00F638AF">
        <w:rPr>
          <w:lang w:val="en-GB"/>
        </w:rPr>
        <w:t xml:space="preserve"> doses in combination with fludarabine and cyclophosphamide </w:t>
      </w:r>
      <w:r w:rsidRPr="00F638AF">
        <w:rPr>
          <w:rFonts w:eastAsia="SimSun"/>
          <w:lang w:val="en-GB" w:eastAsia="zh-CN"/>
        </w:rPr>
        <w:t>in</w:t>
      </w:r>
      <w:r w:rsidRPr="00F638AF">
        <w:rPr>
          <w:lang w:val="en-GB"/>
        </w:rPr>
        <w:t xml:space="preserve"> </w:t>
      </w:r>
      <w:r w:rsidRPr="00F638AF">
        <w:rPr>
          <w:rFonts w:eastAsia="SimSun"/>
          <w:lang w:val="en-GB" w:eastAsia="zh-CN"/>
        </w:rPr>
        <w:t>CL</w:t>
      </w:r>
      <w:r w:rsidRPr="00F638AF">
        <w:rPr>
          <w:lang w:val="en-GB"/>
        </w:rPr>
        <w:t>L patients. The mean C</w:t>
      </w:r>
      <w:r w:rsidRPr="00F638AF">
        <w:rPr>
          <w:vertAlign w:val="subscript"/>
          <w:lang w:val="en-GB"/>
        </w:rPr>
        <w:t>max</w:t>
      </w:r>
      <w:r w:rsidRPr="00F638AF">
        <w:rPr>
          <w:lang w:val="en-GB"/>
        </w:rPr>
        <w:t xml:space="preserve"> </w:t>
      </w:r>
      <w:r w:rsidRPr="00F638AF">
        <w:rPr>
          <w:rFonts w:eastAsia="SimSun"/>
          <w:lang w:val="en-GB" w:eastAsia="zh-CN"/>
        </w:rPr>
        <w:t>(N=15)</w:t>
      </w:r>
      <w:r w:rsidRPr="00F638AF">
        <w:rPr>
          <w:lang w:val="en-GB"/>
        </w:rPr>
        <w:t xml:space="preserve"> </w:t>
      </w:r>
      <w:r w:rsidRPr="00F638AF">
        <w:rPr>
          <w:rFonts w:eastAsia="SimSun"/>
          <w:lang w:val="en-GB" w:eastAsia="zh-CN"/>
        </w:rPr>
        <w:t>was</w:t>
      </w:r>
      <w:r w:rsidRPr="00F638AF">
        <w:rPr>
          <w:lang w:val="en-GB"/>
        </w:rPr>
        <w:t xml:space="preserve"> </w:t>
      </w:r>
      <w:r w:rsidRPr="00F638AF">
        <w:rPr>
          <w:rFonts w:eastAsia="SimSun"/>
          <w:lang w:val="en-GB" w:eastAsia="zh-CN"/>
        </w:rPr>
        <w:t>408</w:t>
      </w:r>
      <w:r w:rsidRPr="00F638AF">
        <w:rPr>
          <w:lang w:val="en-GB"/>
        </w:rPr>
        <w:t xml:space="preserve"> µg/mL (range, </w:t>
      </w:r>
      <w:r w:rsidRPr="00F638AF">
        <w:rPr>
          <w:rFonts w:eastAsia="SimSun"/>
          <w:lang w:val="en-GB" w:eastAsia="zh-CN"/>
        </w:rPr>
        <w:t>9</w:t>
      </w:r>
      <w:r w:rsidRPr="00F638AF">
        <w:rPr>
          <w:lang w:val="en-GB"/>
        </w:rPr>
        <w:t>7 – 7</w:t>
      </w:r>
      <w:r w:rsidRPr="00F638AF">
        <w:rPr>
          <w:rFonts w:eastAsia="SimSun"/>
          <w:lang w:val="en-GB" w:eastAsia="zh-CN"/>
        </w:rPr>
        <w:t>64</w:t>
      </w:r>
      <w:r w:rsidRPr="00F638AF">
        <w:rPr>
          <w:lang w:val="en-GB"/>
        </w:rPr>
        <w:t xml:space="preserve"> µg/mL) after the </w:t>
      </w:r>
      <w:r w:rsidRPr="00F638AF">
        <w:rPr>
          <w:rFonts w:eastAsia="SimSun"/>
          <w:lang w:val="en-GB" w:eastAsia="zh-CN"/>
        </w:rPr>
        <w:t>fifth</w:t>
      </w:r>
      <w:r w:rsidRPr="00F638AF">
        <w:rPr>
          <w:lang w:val="en-GB"/>
        </w:rPr>
        <w:t xml:space="preserve"> </w:t>
      </w:r>
      <w:r w:rsidRPr="00F638AF">
        <w:rPr>
          <w:rFonts w:eastAsia="SimSun"/>
          <w:lang w:val="en-GB" w:eastAsia="zh-CN"/>
        </w:rPr>
        <w:t>500 mg/</w:t>
      </w:r>
      <w:r w:rsidRPr="00F638AF">
        <w:rPr>
          <w:lang w:val="en-GB"/>
        </w:rPr>
        <w:t>m</w:t>
      </w:r>
      <w:r w:rsidRPr="00F638AF">
        <w:rPr>
          <w:vertAlign w:val="superscript"/>
          <w:lang w:val="en-GB"/>
        </w:rPr>
        <w:t>2</w:t>
      </w:r>
      <w:r w:rsidRPr="00F638AF">
        <w:rPr>
          <w:rFonts w:eastAsia="SimSun"/>
          <w:lang w:val="en-GB" w:eastAsia="zh-CN"/>
        </w:rPr>
        <w:t xml:space="preserve"> </w:t>
      </w:r>
      <w:r w:rsidRPr="00F638AF">
        <w:rPr>
          <w:lang w:val="en-GB"/>
        </w:rPr>
        <w:t>infusion and the mean terminal half</w:t>
      </w:r>
      <w:r w:rsidR="000A6DDA" w:rsidRPr="00F638AF">
        <w:rPr>
          <w:lang w:val="en-GB"/>
        </w:rPr>
        <w:noBreakHyphen/>
      </w:r>
      <w:r w:rsidRPr="00F638AF">
        <w:rPr>
          <w:lang w:val="en-GB"/>
        </w:rPr>
        <w:t>life was 32 days (range, 14 – 62 days).</w:t>
      </w:r>
    </w:p>
    <w:p w14:paraId="7C331A2A" w14:textId="77777777" w:rsidR="008F369D" w:rsidRPr="00F638AF" w:rsidRDefault="008F369D" w:rsidP="008F369D">
      <w:pPr>
        <w:rPr>
          <w:szCs w:val="22"/>
          <w:lang w:val="en-GB"/>
        </w:rPr>
      </w:pPr>
    </w:p>
    <w:p w14:paraId="7C331A2B" w14:textId="77777777" w:rsidR="008F369D" w:rsidRPr="00F638AF" w:rsidRDefault="00016F29" w:rsidP="008F369D">
      <w:pPr>
        <w:keepNext/>
        <w:outlineLvl w:val="0"/>
        <w:rPr>
          <w:szCs w:val="22"/>
          <w:u w:val="single"/>
          <w:lang w:val="en-GB"/>
        </w:rPr>
      </w:pPr>
      <w:r w:rsidRPr="00F638AF">
        <w:rPr>
          <w:szCs w:val="22"/>
          <w:u w:val="single"/>
          <w:lang w:val="en-GB"/>
        </w:rPr>
        <w:t xml:space="preserve">Rheumatoid arthritis </w:t>
      </w:r>
    </w:p>
    <w:p w14:paraId="7C331A2C" w14:textId="77777777" w:rsidR="008F369D" w:rsidRPr="00F638AF" w:rsidRDefault="008F369D" w:rsidP="008F369D">
      <w:pPr>
        <w:keepNext/>
        <w:rPr>
          <w:i/>
          <w:szCs w:val="22"/>
          <w:u w:val="single"/>
          <w:lang w:val="en-GB"/>
        </w:rPr>
      </w:pPr>
    </w:p>
    <w:p w14:paraId="7C331A2D" w14:textId="77777777" w:rsidR="008F369D" w:rsidRPr="00F638AF" w:rsidRDefault="00016F29" w:rsidP="008F369D">
      <w:pPr>
        <w:rPr>
          <w:szCs w:val="22"/>
          <w:lang w:val="en-GB"/>
        </w:rPr>
      </w:pPr>
      <w:r w:rsidRPr="00F638AF">
        <w:rPr>
          <w:szCs w:val="22"/>
          <w:lang w:val="en-GB"/>
        </w:rPr>
        <w:t>Following two intravenous infusions of MabThera at a dose of 1000 mg, two weeks apart, the mean terminal half</w:t>
      </w:r>
      <w:r w:rsidR="000A6DDA" w:rsidRPr="00F638AF">
        <w:rPr>
          <w:szCs w:val="22"/>
          <w:lang w:val="en-GB"/>
        </w:rPr>
        <w:noBreakHyphen/>
      </w:r>
      <w:r w:rsidRPr="00F638AF">
        <w:rPr>
          <w:szCs w:val="22"/>
          <w:lang w:val="en-GB"/>
        </w:rPr>
        <w:t>life was 20.8 days (range, 8.58 to 35.9 days), mean systemic clearance was 0.23 L/day (range, 0.091 to 0.67 L/day), and mean steady</w:t>
      </w:r>
      <w:r w:rsidR="000A6DDA" w:rsidRPr="00F638AF">
        <w:rPr>
          <w:szCs w:val="22"/>
          <w:lang w:val="en-GB"/>
        </w:rPr>
        <w:noBreakHyphen/>
      </w:r>
      <w:r w:rsidRPr="00F638AF">
        <w:rPr>
          <w:szCs w:val="22"/>
          <w:lang w:val="en-GB"/>
        </w:rPr>
        <w:t>state distribution volume was 4.6 l (range, 1.7 to 7.51 L). Population pharmacokinetic analysis of the same data gave similar mean values for systemic clearance and half</w:t>
      </w:r>
      <w:r w:rsidR="000A6DDA" w:rsidRPr="00F638AF">
        <w:rPr>
          <w:szCs w:val="22"/>
          <w:lang w:val="en-GB"/>
        </w:rPr>
        <w:noBreakHyphen/>
      </w:r>
      <w:r w:rsidRPr="00F638AF">
        <w:rPr>
          <w:szCs w:val="22"/>
          <w:lang w:val="en-GB"/>
        </w:rPr>
        <w:t>life, 0.26 L/day and 20.4 days, respectively. Population pharmacokinetic analysis revealed that BSA and gender were the most significant covariates to explain inter</w:t>
      </w:r>
      <w:r w:rsidR="000A6DDA" w:rsidRPr="00F638AF">
        <w:rPr>
          <w:szCs w:val="22"/>
          <w:lang w:val="en-GB"/>
        </w:rPr>
        <w:noBreakHyphen/>
      </w:r>
      <w:r w:rsidRPr="00F638AF">
        <w:rPr>
          <w:szCs w:val="22"/>
          <w:lang w:val="en-GB"/>
        </w:rPr>
        <w:t>individual variability in pharmacokinetic parameters. After adjusting for BSA, male subjects had a larger volume of distribution and a faster clearance than female subjects. The gender</w:t>
      </w:r>
      <w:r w:rsidR="000A6DDA" w:rsidRPr="00F638AF">
        <w:rPr>
          <w:szCs w:val="22"/>
          <w:lang w:val="en-GB"/>
        </w:rPr>
        <w:noBreakHyphen/>
      </w:r>
      <w:r w:rsidRPr="00F638AF">
        <w:rPr>
          <w:szCs w:val="22"/>
          <w:lang w:val="en-GB"/>
        </w:rPr>
        <w:t xml:space="preserve"> related pharmacokinetic differences are not considered to be clinically relevant and dose adjustment is not required. No pharmacokinetic data are available in patients with hepatic or renal impairment. </w:t>
      </w:r>
    </w:p>
    <w:p w14:paraId="7C331A2E" w14:textId="77777777" w:rsidR="008F369D" w:rsidRPr="00F638AF" w:rsidRDefault="008F369D" w:rsidP="008F369D">
      <w:pPr>
        <w:rPr>
          <w:szCs w:val="22"/>
          <w:lang w:val="en-GB"/>
        </w:rPr>
      </w:pPr>
    </w:p>
    <w:p w14:paraId="7C331A2F" w14:textId="77777777" w:rsidR="008F369D" w:rsidRPr="00F638AF" w:rsidRDefault="00016F29" w:rsidP="008F369D">
      <w:pPr>
        <w:rPr>
          <w:szCs w:val="22"/>
          <w:lang w:val="en-GB"/>
        </w:rPr>
      </w:pPr>
      <w:r w:rsidRPr="00F638AF">
        <w:rPr>
          <w:szCs w:val="22"/>
          <w:lang w:val="en-GB"/>
        </w:rPr>
        <w:t>The pharmacokinetics of rituximab were assessed following two intravenous (IV) doses of 500 mg and 1000 mg on Days 1 and 15 in four studies. In all these studies, rituximab pharmacokinetics were dose proportional over the limited dose range studied. Mean C</w:t>
      </w:r>
      <w:r w:rsidRPr="00F638AF">
        <w:rPr>
          <w:szCs w:val="22"/>
          <w:vertAlign w:val="subscript"/>
          <w:lang w:val="en-GB"/>
        </w:rPr>
        <w:t>max</w:t>
      </w:r>
      <w:r w:rsidRPr="00F638AF">
        <w:rPr>
          <w:szCs w:val="22"/>
          <w:lang w:val="en-GB"/>
        </w:rPr>
        <w:t xml:space="preserve"> for serum rituximab following first infusion ranged from 157 to 171 </w:t>
      </w:r>
      <w:r w:rsidRPr="00B95070">
        <w:rPr>
          <w:rFonts w:ascii="Symbol" w:hAnsi="Symbol"/>
          <w:lang w:val="en-GB"/>
        </w:rPr>
        <w:sym w:font="Symbol" w:char="F06D"/>
      </w:r>
      <w:r w:rsidRPr="00F638AF">
        <w:rPr>
          <w:szCs w:val="22"/>
          <w:lang w:val="en-GB"/>
        </w:rPr>
        <w:t xml:space="preserve">g/mL for 2 x 500 mg dose and ranged from 298 to 341 </w:t>
      </w:r>
      <w:r w:rsidRPr="00B95070">
        <w:rPr>
          <w:rFonts w:ascii="Symbol" w:hAnsi="Symbol"/>
          <w:lang w:val="en-GB"/>
        </w:rPr>
        <w:sym w:font="Symbol" w:char="F06D"/>
      </w:r>
      <w:r w:rsidRPr="00F638AF">
        <w:rPr>
          <w:szCs w:val="22"/>
          <w:lang w:val="en-GB"/>
        </w:rPr>
        <w:t>g/mL for 2 x 1000 mg dose. Following second infusion, mean C</w:t>
      </w:r>
      <w:r w:rsidRPr="00F638AF">
        <w:rPr>
          <w:szCs w:val="22"/>
          <w:vertAlign w:val="subscript"/>
          <w:lang w:val="en-GB"/>
        </w:rPr>
        <w:t>max</w:t>
      </w:r>
      <w:r w:rsidRPr="00F638AF">
        <w:rPr>
          <w:szCs w:val="22"/>
          <w:lang w:val="en-GB"/>
        </w:rPr>
        <w:t xml:space="preserve"> ranged from 183 to 198 </w:t>
      </w:r>
      <w:r w:rsidRPr="00B95070">
        <w:rPr>
          <w:rFonts w:ascii="Symbol" w:hAnsi="Symbol"/>
          <w:lang w:val="en-GB"/>
        </w:rPr>
        <w:sym w:font="Symbol" w:char="F06D"/>
      </w:r>
      <w:r w:rsidRPr="00F638AF">
        <w:rPr>
          <w:szCs w:val="22"/>
          <w:lang w:val="en-GB"/>
        </w:rPr>
        <w:t>g/mL for the 2 </w:t>
      </w:r>
      <w:r w:rsidRPr="00B95070">
        <w:rPr>
          <w:rFonts w:ascii="Symbol" w:hAnsi="Symbol"/>
          <w:lang w:val="en-GB"/>
        </w:rPr>
        <w:sym w:font="Symbol" w:char="F0B4"/>
      </w:r>
      <w:r w:rsidRPr="00F638AF">
        <w:rPr>
          <w:szCs w:val="22"/>
        </w:rPr>
        <w:t> 500 mg dose and ranged from 355 to 404 </w:t>
      </w:r>
      <w:r w:rsidRPr="00B95070">
        <w:rPr>
          <w:rFonts w:ascii="Symbol" w:hAnsi="Symbol"/>
          <w:lang w:val="en-GB"/>
        </w:rPr>
        <w:sym w:font="Symbol" w:char="F06D"/>
      </w:r>
      <w:r w:rsidRPr="00F638AF">
        <w:rPr>
          <w:szCs w:val="22"/>
          <w:lang w:val="en-GB"/>
        </w:rPr>
        <w:t>g/mL for the 2 </w:t>
      </w:r>
      <w:r w:rsidRPr="00B95070">
        <w:rPr>
          <w:rFonts w:ascii="Symbol" w:hAnsi="Symbol"/>
          <w:lang w:val="en-GB"/>
        </w:rPr>
        <w:sym w:font="Symbol" w:char="F0B4"/>
      </w:r>
      <w:r w:rsidRPr="00F638AF">
        <w:rPr>
          <w:szCs w:val="22"/>
          <w:lang w:val="en-GB"/>
        </w:rPr>
        <w:t> 1000 mg dose. Mean terminal elimination half</w:t>
      </w:r>
      <w:r w:rsidR="000A6DDA" w:rsidRPr="00F638AF">
        <w:rPr>
          <w:szCs w:val="22"/>
          <w:lang w:val="en-GB"/>
        </w:rPr>
        <w:noBreakHyphen/>
      </w:r>
      <w:r w:rsidRPr="00F638AF">
        <w:rPr>
          <w:szCs w:val="22"/>
          <w:lang w:val="en-GB"/>
        </w:rPr>
        <w:t>life ranged from 15 to 16 days for the 2 x 500 mg dose group and 17 to 21 days for the 2 </w:t>
      </w:r>
      <w:r w:rsidRPr="00B95070">
        <w:rPr>
          <w:rFonts w:ascii="Symbol" w:hAnsi="Symbol"/>
          <w:lang w:val="en-GB"/>
        </w:rPr>
        <w:sym w:font="Symbol" w:char="F0B4"/>
      </w:r>
      <w:r w:rsidRPr="00F638AF">
        <w:rPr>
          <w:szCs w:val="22"/>
          <w:lang w:val="en-GB"/>
        </w:rPr>
        <w:t> 1000 mg dose group. Mean C</w:t>
      </w:r>
      <w:r w:rsidRPr="00F638AF">
        <w:rPr>
          <w:szCs w:val="22"/>
          <w:vertAlign w:val="subscript"/>
          <w:lang w:val="en-GB"/>
        </w:rPr>
        <w:t>max</w:t>
      </w:r>
      <w:r w:rsidRPr="00F638AF">
        <w:rPr>
          <w:szCs w:val="22"/>
          <w:lang w:val="en-GB"/>
        </w:rPr>
        <w:t xml:space="preserve"> was 16 to 19% higher following second infusion compared to the first infusion for both doses.</w:t>
      </w:r>
    </w:p>
    <w:p w14:paraId="7C331A30" w14:textId="77777777" w:rsidR="008F369D" w:rsidRPr="00F638AF" w:rsidRDefault="008F369D" w:rsidP="008F369D">
      <w:pPr>
        <w:rPr>
          <w:szCs w:val="22"/>
          <w:lang w:val="en-GB"/>
        </w:rPr>
      </w:pPr>
    </w:p>
    <w:p w14:paraId="7C331A31" w14:textId="77777777" w:rsidR="008F369D" w:rsidRPr="00F638AF" w:rsidRDefault="00016F29" w:rsidP="008F369D">
      <w:pPr>
        <w:rPr>
          <w:szCs w:val="22"/>
          <w:lang w:val="en-GB"/>
        </w:rPr>
      </w:pPr>
      <w:r w:rsidRPr="00F638AF">
        <w:rPr>
          <w:szCs w:val="22"/>
          <w:lang w:val="en-GB"/>
        </w:rPr>
        <w:t>The pharmacokinetics of rituximab were assessed following two IV doses of 500 mg and 1000 mg upon re</w:t>
      </w:r>
      <w:r w:rsidR="000A6DDA" w:rsidRPr="00F638AF">
        <w:rPr>
          <w:szCs w:val="22"/>
          <w:lang w:val="en-GB"/>
        </w:rPr>
        <w:noBreakHyphen/>
      </w:r>
      <w:r w:rsidRPr="00F638AF">
        <w:rPr>
          <w:szCs w:val="22"/>
          <w:lang w:val="en-GB"/>
        </w:rPr>
        <w:t>treatment in the second course. Mean C</w:t>
      </w:r>
      <w:r w:rsidRPr="00F638AF">
        <w:rPr>
          <w:szCs w:val="22"/>
          <w:vertAlign w:val="subscript"/>
          <w:lang w:val="en-GB"/>
        </w:rPr>
        <w:t>max</w:t>
      </w:r>
      <w:r w:rsidRPr="00F638AF">
        <w:rPr>
          <w:szCs w:val="22"/>
          <w:lang w:val="en-GB"/>
        </w:rPr>
        <w:t xml:space="preserve"> for serum rituximab following first infusion was 170 to 175 </w:t>
      </w:r>
      <w:r w:rsidRPr="00B95070">
        <w:rPr>
          <w:rFonts w:ascii="Symbol" w:hAnsi="Symbol"/>
          <w:lang w:val="en-GB"/>
        </w:rPr>
        <w:sym w:font="Symbol" w:char="F06D"/>
      </w:r>
      <w:r w:rsidRPr="00F638AF">
        <w:rPr>
          <w:szCs w:val="22"/>
          <w:lang w:val="en-GB"/>
        </w:rPr>
        <w:t xml:space="preserve">g/mL for 2 x 500 mg dose and 317 to 370 </w:t>
      </w:r>
      <w:r w:rsidRPr="00B95070">
        <w:rPr>
          <w:rFonts w:ascii="Symbol" w:hAnsi="Symbol"/>
          <w:lang w:val="en-GB"/>
        </w:rPr>
        <w:sym w:font="Symbol" w:char="F06D"/>
      </w:r>
      <w:r w:rsidRPr="00F638AF">
        <w:rPr>
          <w:szCs w:val="22"/>
          <w:lang w:val="en-GB"/>
        </w:rPr>
        <w:t>g/mL for 2 x 1000 mg dose. C</w:t>
      </w:r>
      <w:r w:rsidRPr="00F638AF">
        <w:rPr>
          <w:szCs w:val="22"/>
          <w:vertAlign w:val="subscript"/>
          <w:lang w:val="en-GB"/>
        </w:rPr>
        <w:t>max</w:t>
      </w:r>
      <w:r w:rsidRPr="00F638AF">
        <w:rPr>
          <w:szCs w:val="22"/>
          <w:lang w:val="en-GB"/>
        </w:rPr>
        <w:t xml:space="preserve"> following second infusion, was 207 </w:t>
      </w:r>
      <w:r w:rsidRPr="00B95070">
        <w:rPr>
          <w:rFonts w:ascii="Symbol" w:hAnsi="Symbol"/>
          <w:lang w:val="en-GB"/>
        </w:rPr>
        <w:sym w:font="Symbol" w:char="F06D"/>
      </w:r>
      <w:r w:rsidRPr="00F638AF">
        <w:rPr>
          <w:szCs w:val="22"/>
          <w:lang w:val="en-GB"/>
        </w:rPr>
        <w:t xml:space="preserve">g/mL for the 2 x 500 mg dose and ranged from 377 to 386 </w:t>
      </w:r>
      <w:r w:rsidRPr="00B95070">
        <w:rPr>
          <w:rFonts w:ascii="Symbol" w:hAnsi="Symbol"/>
          <w:lang w:val="en-GB"/>
        </w:rPr>
        <w:sym w:font="Symbol" w:char="F06D"/>
      </w:r>
      <w:r w:rsidRPr="00F638AF">
        <w:rPr>
          <w:szCs w:val="22"/>
          <w:lang w:val="en-GB"/>
        </w:rPr>
        <w:t>g/mL for the 2 x 1000 mg dose. Mean terminal elimination half</w:t>
      </w:r>
      <w:r w:rsidR="000A6DDA" w:rsidRPr="00F638AF">
        <w:rPr>
          <w:szCs w:val="22"/>
          <w:lang w:val="en-GB"/>
        </w:rPr>
        <w:noBreakHyphen/>
      </w:r>
      <w:r w:rsidRPr="00F638AF">
        <w:rPr>
          <w:szCs w:val="22"/>
          <w:lang w:val="en-GB"/>
        </w:rPr>
        <w:t>life after the second infusion, following the second course, was 19 days for 2 x 500 mg dose and ranged from 21 to 22 days for the 2 x 1000 mg dose. PK parameters for rituximab were comparable over the two treatment courses.</w:t>
      </w:r>
    </w:p>
    <w:p w14:paraId="7C331A32" w14:textId="77777777" w:rsidR="008F369D" w:rsidRPr="00F638AF" w:rsidRDefault="008F369D" w:rsidP="008F369D">
      <w:pPr>
        <w:rPr>
          <w:szCs w:val="22"/>
          <w:lang w:val="en-GB"/>
        </w:rPr>
      </w:pPr>
    </w:p>
    <w:p w14:paraId="7C331A33" w14:textId="77777777" w:rsidR="008F369D" w:rsidRPr="00F638AF" w:rsidRDefault="00016F29" w:rsidP="008F369D">
      <w:pPr>
        <w:rPr>
          <w:szCs w:val="22"/>
          <w:lang w:val="en-GB"/>
        </w:rPr>
      </w:pPr>
      <w:r w:rsidRPr="00F638AF">
        <w:rPr>
          <w:szCs w:val="22"/>
          <w:lang w:val="en-GB"/>
        </w:rPr>
        <w:t>The pharmacokinetic (PK) parameters in the anti</w:t>
      </w:r>
      <w:r w:rsidR="000A6DDA" w:rsidRPr="00F638AF">
        <w:rPr>
          <w:szCs w:val="22"/>
          <w:lang w:val="en-GB"/>
        </w:rPr>
        <w:noBreakHyphen/>
      </w:r>
      <w:r w:rsidRPr="00F638AF">
        <w:rPr>
          <w:szCs w:val="22"/>
          <w:lang w:val="en-GB"/>
        </w:rPr>
        <w:t>TNF inadequate responder population, following the same dosage regimen (2 x 1000 mg, IV, 2 weeks apart), were similar with a mean maximum serum concentration of 369 </w:t>
      </w:r>
      <w:r w:rsidR="007830E0" w:rsidRPr="004D77AD">
        <w:rPr>
          <w:rFonts w:ascii="Symbol" w:hAnsi="Symbol"/>
          <w:szCs w:val="22"/>
          <w:lang w:val="en-GB"/>
        </w:rPr>
        <w:sym w:font="Symbol" w:char="F06D"/>
      </w:r>
      <w:r w:rsidRPr="00F638AF">
        <w:rPr>
          <w:szCs w:val="22"/>
          <w:lang w:val="en-GB"/>
        </w:rPr>
        <w:t>g/mL and a mean terminal half</w:t>
      </w:r>
      <w:r w:rsidR="000A6DDA" w:rsidRPr="00F638AF">
        <w:rPr>
          <w:szCs w:val="22"/>
          <w:lang w:val="en-GB"/>
        </w:rPr>
        <w:noBreakHyphen/>
      </w:r>
      <w:r w:rsidRPr="00F638AF">
        <w:rPr>
          <w:szCs w:val="22"/>
          <w:lang w:val="en-GB"/>
        </w:rPr>
        <w:t>life of 19.2 days.</w:t>
      </w:r>
    </w:p>
    <w:p w14:paraId="7C331A34" w14:textId="77777777" w:rsidR="008F369D" w:rsidRPr="00F638AF" w:rsidRDefault="008F369D" w:rsidP="008F369D">
      <w:pPr>
        <w:rPr>
          <w:szCs w:val="22"/>
          <w:lang w:val="en-GB"/>
        </w:rPr>
      </w:pPr>
    </w:p>
    <w:p w14:paraId="7C331A35" w14:textId="77777777" w:rsidR="008F369D" w:rsidRPr="00F638AF" w:rsidRDefault="00016F29" w:rsidP="00B95070">
      <w:pPr>
        <w:keepNext/>
        <w:keepLines/>
        <w:outlineLvl w:val="0"/>
        <w:rPr>
          <w:szCs w:val="22"/>
          <w:u w:val="single"/>
          <w:lang w:val="en-GB"/>
        </w:rPr>
      </w:pPr>
      <w:r w:rsidRPr="00F638AF">
        <w:rPr>
          <w:szCs w:val="22"/>
          <w:u w:val="single"/>
          <w:lang w:val="en-GB"/>
        </w:rPr>
        <w:t>Granulomatosis with polyangiitis</w:t>
      </w:r>
      <w:r w:rsidR="00196A3D" w:rsidRPr="00F638AF">
        <w:rPr>
          <w:szCs w:val="22"/>
          <w:u w:val="single"/>
          <w:lang w:val="en-GB"/>
        </w:rPr>
        <w:t xml:space="preserve"> (GPA)</w:t>
      </w:r>
      <w:r w:rsidRPr="00F638AF">
        <w:rPr>
          <w:szCs w:val="22"/>
          <w:u w:val="single"/>
          <w:lang w:val="en-GB"/>
        </w:rPr>
        <w:t xml:space="preserve"> and microscopic polyangiitis</w:t>
      </w:r>
      <w:r w:rsidR="00196A3D" w:rsidRPr="00F638AF">
        <w:rPr>
          <w:szCs w:val="22"/>
          <w:u w:val="single"/>
          <w:lang w:val="en-GB"/>
        </w:rPr>
        <w:t xml:space="preserve"> (MPA)</w:t>
      </w:r>
    </w:p>
    <w:p w14:paraId="7C331A36" w14:textId="77777777" w:rsidR="008F369D" w:rsidRPr="00F638AF" w:rsidRDefault="008F369D" w:rsidP="00E454FF">
      <w:pPr>
        <w:keepNext/>
        <w:keepLines/>
        <w:rPr>
          <w:lang w:val="en-GB"/>
        </w:rPr>
      </w:pPr>
    </w:p>
    <w:p w14:paraId="7C331A37" w14:textId="77777777" w:rsidR="00196A3D" w:rsidRPr="00F638AF" w:rsidRDefault="00016F29" w:rsidP="00196A3D">
      <w:pPr>
        <w:keepNext/>
        <w:keepLines/>
        <w:rPr>
          <w:i/>
          <w:szCs w:val="22"/>
          <w:lang w:val="en-GB"/>
        </w:rPr>
      </w:pPr>
      <w:r w:rsidRPr="00F638AF">
        <w:rPr>
          <w:i/>
          <w:szCs w:val="22"/>
          <w:lang w:val="en-GB"/>
        </w:rPr>
        <w:t>Adult Population</w:t>
      </w:r>
    </w:p>
    <w:p w14:paraId="7C331A38" w14:textId="77777777" w:rsidR="00196A3D" w:rsidRPr="00F638AF" w:rsidRDefault="00196A3D" w:rsidP="00E06A78">
      <w:pPr>
        <w:keepNext/>
        <w:keepLines/>
        <w:rPr>
          <w:lang w:val="en-GB"/>
        </w:rPr>
      </w:pPr>
    </w:p>
    <w:p w14:paraId="7C331A39" w14:textId="77777777" w:rsidR="008F369D" w:rsidRDefault="00016F29" w:rsidP="00B95070">
      <w:pPr>
        <w:rPr>
          <w:lang w:val="en-GB"/>
        </w:rPr>
      </w:pPr>
      <w:r w:rsidRPr="00F638AF">
        <w:rPr>
          <w:lang w:val="en-GB"/>
        </w:rPr>
        <w:t>Based on the population pharmacokinetic analysis of data in 97 patients with granulomatosis with polyangiitis and microscopic polyangiitis who received 375 mg/m</w:t>
      </w:r>
      <w:r w:rsidRPr="00F638AF">
        <w:rPr>
          <w:vertAlign w:val="superscript"/>
          <w:lang w:val="en-GB"/>
        </w:rPr>
        <w:t>2</w:t>
      </w:r>
      <w:r w:rsidRPr="00F638AF">
        <w:rPr>
          <w:lang w:val="en-GB"/>
        </w:rPr>
        <w:t xml:space="preserve"> MabThera once weekly for four doses, the estimated median terminal elimination half</w:t>
      </w:r>
      <w:r w:rsidR="000A6DDA" w:rsidRPr="00F638AF">
        <w:rPr>
          <w:lang w:val="en-GB"/>
        </w:rPr>
        <w:noBreakHyphen/>
      </w:r>
      <w:r w:rsidRPr="00F638AF">
        <w:rPr>
          <w:lang w:val="en-GB"/>
        </w:rPr>
        <w:t xml:space="preserve">life was 23 days (range, 9 to 49 days). Rituximab mean clearance and volume of distribution were 0.313 L/day (range, 0.116 to 0.726 L/day) and 4.50 L (range 2.25 to 7.39 L) respectively. </w:t>
      </w:r>
      <w:r w:rsidR="00196A3D" w:rsidRPr="00F638AF">
        <w:rPr>
          <w:szCs w:val="22"/>
        </w:rPr>
        <w:t>Maximum concentration during the first 180 days (C</w:t>
      </w:r>
      <w:r w:rsidR="00196A3D" w:rsidRPr="00F638AF">
        <w:rPr>
          <w:szCs w:val="22"/>
          <w:vertAlign w:val="subscript"/>
        </w:rPr>
        <w:t>max</w:t>
      </w:r>
      <w:r w:rsidR="00196A3D" w:rsidRPr="00F638AF">
        <w:rPr>
          <w:szCs w:val="22"/>
        </w:rPr>
        <w:t xml:space="preserve">), minimum concentration at Day 180 (C180) and Cumulative area under the curve over 180 days (AUC180) were (median [range]) 372.6 (252.3-533.5) µg/mL, 2.1 (0-29.3) µg/mL and 10302 (3653-21874)µg/mL*days, respectively. </w:t>
      </w:r>
      <w:r w:rsidRPr="00F638AF">
        <w:rPr>
          <w:lang w:val="en-GB"/>
        </w:rPr>
        <w:t xml:space="preserve">The PK parameters of rituximab in </w:t>
      </w:r>
      <w:r w:rsidR="00196A3D" w:rsidRPr="00F638AF">
        <w:rPr>
          <w:lang w:val="en-GB"/>
        </w:rPr>
        <w:t xml:space="preserve">adult </w:t>
      </w:r>
      <w:r w:rsidR="00EA6D67" w:rsidRPr="00F638AF">
        <w:rPr>
          <w:lang w:val="en-GB"/>
        </w:rPr>
        <w:t xml:space="preserve">GPA and MPA </w:t>
      </w:r>
      <w:r w:rsidRPr="00F638AF">
        <w:rPr>
          <w:lang w:val="en-GB"/>
        </w:rPr>
        <w:t>patients appear similar to what has been observed in rheumatoid arthritis patients.</w:t>
      </w:r>
    </w:p>
    <w:p w14:paraId="7C331A3A" w14:textId="77777777" w:rsidR="00B95070" w:rsidRDefault="00B95070" w:rsidP="00B95070">
      <w:pPr>
        <w:rPr>
          <w:lang w:val="en-GB"/>
        </w:rPr>
      </w:pPr>
    </w:p>
    <w:p w14:paraId="7C331A3B" w14:textId="77777777" w:rsidR="00B95070" w:rsidRPr="00F638AF" w:rsidRDefault="00016F29" w:rsidP="00B95070">
      <w:pPr>
        <w:keepNext/>
        <w:keepLines/>
        <w:rPr>
          <w:i/>
          <w:szCs w:val="22"/>
          <w:lang w:val="en-GB"/>
        </w:rPr>
      </w:pPr>
      <w:r w:rsidRPr="00F638AF">
        <w:rPr>
          <w:i/>
          <w:szCs w:val="22"/>
          <w:lang w:val="en-GB"/>
        </w:rPr>
        <w:t>Paediatric Population</w:t>
      </w:r>
    </w:p>
    <w:p w14:paraId="7C331A3C" w14:textId="77777777" w:rsidR="00B95070" w:rsidRPr="00F638AF" w:rsidRDefault="00B95070" w:rsidP="00B95070">
      <w:pPr>
        <w:keepNext/>
        <w:keepLines/>
        <w:rPr>
          <w:i/>
          <w:szCs w:val="22"/>
          <w:lang w:val="en-GB"/>
        </w:rPr>
      </w:pPr>
    </w:p>
    <w:p w14:paraId="7C331A3D" w14:textId="77777777" w:rsidR="00B95070" w:rsidRPr="00F638AF" w:rsidRDefault="00016F29" w:rsidP="00B95070">
      <w:pPr>
        <w:keepNext/>
        <w:keepLines/>
        <w:rPr>
          <w:szCs w:val="22"/>
          <w:lang w:val="en-GB"/>
        </w:rPr>
      </w:pPr>
      <w:r w:rsidRPr="00F638AF">
        <w:rPr>
          <w:rFonts w:eastAsia="Calibri"/>
          <w:szCs w:val="22"/>
          <w:lang w:val="en-GB" w:eastAsia="en-US"/>
        </w:rPr>
        <w:t xml:space="preserve">Based on the population pharmacokinetic analysis of 25 children </w:t>
      </w:r>
      <w:r w:rsidRPr="00F638AF">
        <w:rPr>
          <w:szCs w:val="22"/>
          <w:lang w:val="en-GB"/>
        </w:rPr>
        <w:t xml:space="preserve">(6-17 years old) </w:t>
      </w:r>
      <w:r w:rsidRPr="00F638AF">
        <w:rPr>
          <w:rFonts w:eastAsia="Calibri"/>
          <w:szCs w:val="22"/>
          <w:lang w:val="en-GB" w:eastAsia="en-US"/>
        </w:rPr>
        <w:t>with GPA and MPA who received 375 mg/m</w:t>
      </w:r>
      <w:r w:rsidRPr="00F638AF">
        <w:rPr>
          <w:rFonts w:eastAsia="Calibri"/>
          <w:szCs w:val="22"/>
          <w:vertAlign w:val="superscript"/>
          <w:lang w:val="en-GB" w:eastAsia="en-US"/>
        </w:rPr>
        <w:t>2</w:t>
      </w:r>
      <w:r w:rsidRPr="00F638AF">
        <w:rPr>
          <w:rFonts w:eastAsia="Calibri"/>
          <w:szCs w:val="22"/>
          <w:lang w:val="en-GB" w:eastAsia="en-US"/>
        </w:rPr>
        <w:t xml:space="preserve"> MabThera once weekly for four doses, the estimated median terminal elimination half</w:t>
      </w:r>
      <w:r w:rsidRPr="00F638AF">
        <w:rPr>
          <w:rFonts w:eastAsia="Calibri"/>
          <w:szCs w:val="22"/>
          <w:lang w:val="en-GB" w:eastAsia="en-US"/>
        </w:rPr>
        <w:noBreakHyphen/>
        <w:t xml:space="preserve">life was 22 days (range, 11 to 42 days). Rituximab mean clearance and volume of distribution were 0.221 L/day (range, 0. 0996 to 0.381 L/day) and 2.27 L (range 1.43 to 3.17 L) respectively. </w:t>
      </w:r>
      <w:r w:rsidRPr="00F638AF">
        <w:rPr>
          <w:szCs w:val="22"/>
        </w:rPr>
        <w:t>Maximum concentration during the first 180 days (C</w:t>
      </w:r>
      <w:r w:rsidRPr="00F638AF">
        <w:rPr>
          <w:szCs w:val="22"/>
          <w:vertAlign w:val="subscript"/>
        </w:rPr>
        <w:t>max</w:t>
      </w:r>
      <w:r w:rsidRPr="00F638AF">
        <w:rPr>
          <w:szCs w:val="22"/>
        </w:rPr>
        <w:t>), minimum concentration at Day 180 (C180) and Cumulative area under the curve over 180  days (AUC180) were (median [range]) 382.8 (270.6-513.6) µg/mL, 0.9 (0-17.7) µg/mL and 9787 (4838-20446) µg/mL*day, respectively.</w:t>
      </w:r>
      <w:r w:rsidRPr="00F638AF">
        <w:rPr>
          <w:rFonts w:eastAsia="Calibri"/>
          <w:szCs w:val="22"/>
          <w:lang w:val="en-GB" w:eastAsia="en-US"/>
        </w:rPr>
        <w:t>The PK parameters of rituximab in paediatric patients with GPA or MPA were similar to those in adults with GPA or MPA, once taking into account the BSA effect on clearance and volume of distribution parameters.</w:t>
      </w:r>
    </w:p>
    <w:p w14:paraId="7C331A3E" w14:textId="77777777" w:rsidR="00B95070" w:rsidRPr="00F638AF" w:rsidRDefault="00B95070" w:rsidP="00B95070">
      <w:pPr>
        <w:keepNext/>
        <w:keepLines/>
        <w:rPr>
          <w:szCs w:val="22"/>
          <w:lang w:val="en-GB"/>
        </w:rPr>
      </w:pPr>
    </w:p>
    <w:p w14:paraId="7C331A3F" w14:textId="77777777" w:rsidR="00547214" w:rsidRDefault="00016F29" w:rsidP="00E06A78">
      <w:pPr>
        <w:outlineLvl w:val="0"/>
        <w:rPr>
          <w:szCs w:val="22"/>
          <w:u w:val="single"/>
          <w:lang w:val="en-GB"/>
        </w:rPr>
      </w:pPr>
      <w:r w:rsidRPr="007B366E">
        <w:rPr>
          <w:szCs w:val="22"/>
          <w:u w:val="single"/>
          <w:lang w:val="en-GB"/>
        </w:rPr>
        <w:t>Pemphigus vulgaris</w:t>
      </w:r>
    </w:p>
    <w:p w14:paraId="7C331A40" w14:textId="77777777" w:rsidR="00547214" w:rsidRDefault="00547214" w:rsidP="00E06A78">
      <w:pPr>
        <w:outlineLvl w:val="0"/>
        <w:rPr>
          <w:szCs w:val="22"/>
          <w:u w:val="single"/>
          <w:lang w:val="en-GB"/>
        </w:rPr>
      </w:pPr>
    </w:p>
    <w:p w14:paraId="7C331A41" w14:textId="77777777" w:rsidR="00547214" w:rsidRDefault="00016F29" w:rsidP="00E06A78">
      <w:pPr>
        <w:rPr>
          <w:lang w:val="en-GB"/>
        </w:rPr>
      </w:pPr>
      <w:r w:rsidRPr="00E06A78">
        <w:rPr>
          <w:lang w:val="en-GB"/>
        </w:rPr>
        <w:t>The PK parameters in adult PV patien</w:t>
      </w:r>
      <w:r w:rsidR="00A031EC" w:rsidRPr="003E4CF3">
        <w:rPr>
          <w:lang w:val="en-GB"/>
        </w:rPr>
        <w:t>ts receiving MabThera</w:t>
      </w:r>
      <w:r w:rsidRPr="00E06A78">
        <w:rPr>
          <w:lang w:val="en-GB"/>
        </w:rPr>
        <w:t xml:space="preserve"> 1000 mg at Days 1, 15, 168, and 182 are summarized in Table </w:t>
      </w:r>
      <w:r w:rsidR="00A031EC">
        <w:rPr>
          <w:lang w:val="en-GB"/>
        </w:rPr>
        <w:t>2</w:t>
      </w:r>
      <w:r w:rsidR="008F45FA">
        <w:rPr>
          <w:lang w:val="en-GB"/>
        </w:rPr>
        <w:t>5</w:t>
      </w:r>
      <w:r w:rsidRPr="00E06A78">
        <w:rPr>
          <w:lang w:val="en-GB"/>
        </w:rPr>
        <w:t>.</w:t>
      </w:r>
    </w:p>
    <w:p w14:paraId="7C331A42" w14:textId="77777777" w:rsidR="00547214" w:rsidRPr="00E06A78" w:rsidRDefault="00547214" w:rsidP="00E06A78">
      <w:pPr>
        <w:rPr>
          <w:sz w:val="24"/>
          <w:lang w:val="en-GB"/>
        </w:rPr>
      </w:pPr>
    </w:p>
    <w:p w14:paraId="7C331A43" w14:textId="77777777" w:rsidR="00547214" w:rsidRPr="002345CA" w:rsidRDefault="00016F29" w:rsidP="00E06A78">
      <w:pPr>
        <w:rPr>
          <w:rStyle w:val="apple-style-span"/>
          <w:b/>
          <w:sz w:val="24"/>
          <w:lang w:val="en-GB"/>
        </w:rPr>
      </w:pPr>
      <w:r w:rsidRPr="002345CA">
        <w:rPr>
          <w:b/>
          <w:szCs w:val="22"/>
          <w:lang w:val="en-GB" w:eastAsia="en-US"/>
        </w:rPr>
        <w:t xml:space="preserve">Table </w:t>
      </w:r>
      <w:r w:rsidR="004B6851" w:rsidRPr="002345CA">
        <w:rPr>
          <w:b/>
          <w:szCs w:val="22"/>
          <w:lang w:val="en-GB" w:eastAsia="en-US"/>
        </w:rPr>
        <w:t>2</w:t>
      </w:r>
      <w:r w:rsidR="008F45FA" w:rsidRPr="002345CA">
        <w:rPr>
          <w:b/>
          <w:szCs w:val="22"/>
          <w:lang w:val="en-GB" w:eastAsia="en-US"/>
        </w:rPr>
        <w:t>5</w:t>
      </w:r>
      <w:r w:rsidRPr="002345CA">
        <w:rPr>
          <w:b/>
          <w:lang w:val="en-GB"/>
        </w:rPr>
        <w:tab/>
        <w:t xml:space="preserve">Population PK in adult PV patients from PV Study 2 </w:t>
      </w:r>
    </w:p>
    <w:tbl>
      <w:tblPr>
        <w:tblStyle w:val="TableGrid"/>
        <w:tblW w:w="8185" w:type="dxa"/>
        <w:tblLook w:val="04A0" w:firstRow="1" w:lastRow="0" w:firstColumn="1" w:lastColumn="0" w:noHBand="0" w:noVBand="1"/>
      </w:tblPr>
      <w:tblGrid>
        <w:gridCol w:w="2943"/>
        <w:gridCol w:w="2977"/>
        <w:gridCol w:w="2265"/>
      </w:tblGrid>
      <w:tr w:rsidR="003A788B" w14:paraId="7C331A46" w14:textId="77777777" w:rsidTr="00E06A78">
        <w:trPr>
          <w:trHeight w:val="440"/>
        </w:trPr>
        <w:tc>
          <w:tcPr>
            <w:tcW w:w="2943" w:type="dxa"/>
          </w:tcPr>
          <w:p w14:paraId="7C331A44" w14:textId="77777777" w:rsidR="00547214" w:rsidRPr="00E06A78" w:rsidRDefault="00016F29" w:rsidP="00E06A78">
            <w:pPr>
              <w:jc w:val="center"/>
              <w:rPr>
                <w:sz w:val="24"/>
                <w:lang w:val="en-GB"/>
              </w:rPr>
            </w:pPr>
            <w:r w:rsidRPr="00E06A78">
              <w:rPr>
                <w:lang w:val="en-GB"/>
              </w:rPr>
              <w:t>Parameter</w:t>
            </w:r>
          </w:p>
        </w:tc>
        <w:tc>
          <w:tcPr>
            <w:tcW w:w="5242" w:type="dxa"/>
            <w:gridSpan w:val="2"/>
          </w:tcPr>
          <w:p w14:paraId="7C331A45" w14:textId="77777777" w:rsidR="00547214" w:rsidRPr="00E06A78" w:rsidRDefault="00016F29" w:rsidP="00E06A78">
            <w:pPr>
              <w:jc w:val="center"/>
              <w:rPr>
                <w:sz w:val="24"/>
                <w:lang w:val="en-GB"/>
              </w:rPr>
            </w:pPr>
            <w:r w:rsidRPr="00E06A78">
              <w:rPr>
                <w:lang w:val="en-GB"/>
              </w:rPr>
              <w:t>Infusion Cycle</w:t>
            </w:r>
          </w:p>
        </w:tc>
      </w:tr>
      <w:tr w:rsidR="003A788B" w14:paraId="7C331A4D" w14:textId="77777777" w:rsidTr="00E06A78">
        <w:trPr>
          <w:trHeight w:val="972"/>
        </w:trPr>
        <w:tc>
          <w:tcPr>
            <w:tcW w:w="2943" w:type="dxa"/>
          </w:tcPr>
          <w:p w14:paraId="7C331A47" w14:textId="77777777" w:rsidR="00547214" w:rsidRPr="00E06A78" w:rsidRDefault="00547214" w:rsidP="00E06A78">
            <w:pPr>
              <w:jc w:val="center"/>
              <w:rPr>
                <w:sz w:val="24"/>
                <w:lang w:val="en-GB"/>
              </w:rPr>
            </w:pPr>
          </w:p>
        </w:tc>
        <w:tc>
          <w:tcPr>
            <w:tcW w:w="2977" w:type="dxa"/>
          </w:tcPr>
          <w:p w14:paraId="7C331A48" w14:textId="77777777" w:rsidR="00547214" w:rsidRPr="00E06A78" w:rsidRDefault="00016F29" w:rsidP="00E06A78">
            <w:pPr>
              <w:jc w:val="center"/>
              <w:rPr>
                <w:sz w:val="24"/>
                <w:lang w:val="en-GB"/>
              </w:rPr>
            </w:pPr>
            <w:r w:rsidRPr="00E06A78">
              <w:rPr>
                <w:lang w:val="en-GB"/>
              </w:rPr>
              <w:t>1st cycle of 1000 mg</w:t>
            </w:r>
          </w:p>
          <w:p w14:paraId="7C331A49" w14:textId="77777777" w:rsidR="00547214" w:rsidRPr="00E06A78" w:rsidRDefault="00016F29" w:rsidP="00E06A78">
            <w:pPr>
              <w:jc w:val="center"/>
              <w:rPr>
                <w:sz w:val="24"/>
                <w:lang w:val="en-GB"/>
              </w:rPr>
            </w:pPr>
            <w:r w:rsidRPr="00E06A78">
              <w:rPr>
                <w:lang w:val="en-GB"/>
              </w:rPr>
              <w:t>Day 1 and Day 15</w:t>
            </w:r>
          </w:p>
          <w:p w14:paraId="7C331A4A" w14:textId="77777777" w:rsidR="00547214" w:rsidRPr="00E06A78" w:rsidRDefault="00016F29" w:rsidP="00E06A78">
            <w:pPr>
              <w:jc w:val="center"/>
              <w:rPr>
                <w:sz w:val="24"/>
                <w:lang w:val="en-GB"/>
              </w:rPr>
            </w:pPr>
            <w:r w:rsidRPr="00E06A78">
              <w:rPr>
                <w:lang w:val="en-GB"/>
              </w:rPr>
              <w:t>N=67</w:t>
            </w:r>
          </w:p>
        </w:tc>
        <w:tc>
          <w:tcPr>
            <w:tcW w:w="2265" w:type="dxa"/>
          </w:tcPr>
          <w:p w14:paraId="7C331A4B" w14:textId="77777777" w:rsidR="00547214" w:rsidRPr="00E06A78" w:rsidRDefault="00016F29" w:rsidP="00E06A78">
            <w:pPr>
              <w:jc w:val="center"/>
              <w:rPr>
                <w:sz w:val="24"/>
                <w:lang w:val="en-GB"/>
              </w:rPr>
            </w:pPr>
            <w:r w:rsidRPr="00E06A78">
              <w:rPr>
                <w:lang w:val="en-GB"/>
              </w:rPr>
              <w:t>2nd cycle of 1000 mg Day 168 and Day 182</w:t>
            </w:r>
          </w:p>
          <w:p w14:paraId="7C331A4C" w14:textId="77777777" w:rsidR="00547214" w:rsidRPr="007B366E" w:rsidRDefault="00016F29" w:rsidP="00E06A78">
            <w:pPr>
              <w:jc w:val="center"/>
              <w:rPr>
                <w:lang w:val="en-GB"/>
              </w:rPr>
            </w:pPr>
            <w:r w:rsidRPr="00E06A78">
              <w:rPr>
                <w:lang w:val="en-GB"/>
              </w:rPr>
              <w:t>N=67</w:t>
            </w:r>
          </w:p>
        </w:tc>
      </w:tr>
      <w:tr w:rsidR="003A788B" w14:paraId="7C331A57" w14:textId="77777777" w:rsidTr="00E06A78">
        <w:trPr>
          <w:trHeight w:val="561"/>
        </w:trPr>
        <w:tc>
          <w:tcPr>
            <w:tcW w:w="2943" w:type="dxa"/>
          </w:tcPr>
          <w:p w14:paraId="7C331A4E" w14:textId="77777777" w:rsidR="00547214" w:rsidRPr="00E06A78" w:rsidRDefault="00016F29" w:rsidP="00E06A78">
            <w:pPr>
              <w:jc w:val="center"/>
              <w:rPr>
                <w:sz w:val="24"/>
                <w:lang w:val="en-GB"/>
              </w:rPr>
            </w:pPr>
            <w:r w:rsidRPr="00E06A78">
              <w:rPr>
                <w:lang w:val="en-GB"/>
              </w:rPr>
              <w:t>Terminal Half-life (days)</w:t>
            </w:r>
          </w:p>
          <w:p w14:paraId="7C331A4F" w14:textId="77777777" w:rsidR="00547214" w:rsidRPr="00E06A78" w:rsidRDefault="00016F29" w:rsidP="00E06A78">
            <w:pPr>
              <w:jc w:val="center"/>
              <w:rPr>
                <w:sz w:val="24"/>
                <w:lang w:val="en-GB"/>
              </w:rPr>
            </w:pPr>
            <w:r w:rsidRPr="00E06A78">
              <w:rPr>
                <w:lang w:val="en-GB"/>
              </w:rPr>
              <w:t>Median</w:t>
            </w:r>
          </w:p>
          <w:p w14:paraId="7C331A50" w14:textId="77777777" w:rsidR="00547214" w:rsidRPr="00E06A78" w:rsidRDefault="00016F29" w:rsidP="00E06A78">
            <w:pPr>
              <w:jc w:val="center"/>
              <w:rPr>
                <w:sz w:val="24"/>
                <w:lang w:val="en-GB"/>
              </w:rPr>
            </w:pPr>
            <w:r w:rsidRPr="00E06A78">
              <w:rPr>
                <w:lang w:val="en-GB"/>
              </w:rPr>
              <w:t>(Range)</w:t>
            </w:r>
          </w:p>
        </w:tc>
        <w:tc>
          <w:tcPr>
            <w:tcW w:w="2977" w:type="dxa"/>
          </w:tcPr>
          <w:p w14:paraId="7C331A51" w14:textId="77777777" w:rsidR="00547214" w:rsidRPr="00E06A78" w:rsidRDefault="00547214" w:rsidP="00E06A78">
            <w:pPr>
              <w:jc w:val="center"/>
              <w:rPr>
                <w:sz w:val="24"/>
                <w:lang w:val="en-GB"/>
              </w:rPr>
            </w:pPr>
          </w:p>
          <w:p w14:paraId="7C331A52" w14:textId="77777777" w:rsidR="00547214" w:rsidRPr="00E06A78" w:rsidRDefault="00016F29" w:rsidP="00E06A78">
            <w:pPr>
              <w:jc w:val="center"/>
              <w:rPr>
                <w:sz w:val="24"/>
                <w:lang w:val="en-GB"/>
              </w:rPr>
            </w:pPr>
            <w:r w:rsidRPr="00E06A78">
              <w:rPr>
                <w:lang w:val="en-GB"/>
              </w:rPr>
              <w:t>21.0</w:t>
            </w:r>
          </w:p>
          <w:p w14:paraId="7C331A53" w14:textId="77777777" w:rsidR="00547214" w:rsidRPr="00E06A78" w:rsidRDefault="00016F29" w:rsidP="00E06A78">
            <w:pPr>
              <w:jc w:val="center"/>
              <w:rPr>
                <w:sz w:val="24"/>
                <w:lang w:val="en-GB"/>
              </w:rPr>
            </w:pPr>
            <w:r w:rsidRPr="00E06A78">
              <w:rPr>
                <w:lang w:val="en-GB"/>
              </w:rPr>
              <w:t>(9.3-36.2)</w:t>
            </w:r>
          </w:p>
        </w:tc>
        <w:tc>
          <w:tcPr>
            <w:tcW w:w="2265" w:type="dxa"/>
          </w:tcPr>
          <w:p w14:paraId="7C331A54" w14:textId="77777777" w:rsidR="00547214" w:rsidRPr="00E06A78" w:rsidRDefault="00547214" w:rsidP="00E06A78">
            <w:pPr>
              <w:jc w:val="center"/>
              <w:rPr>
                <w:sz w:val="24"/>
                <w:lang w:val="en-GB"/>
              </w:rPr>
            </w:pPr>
          </w:p>
          <w:p w14:paraId="7C331A55" w14:textId="77777777" w:rsidR="00547214" w:rsidRPr="00E06A78" w:rsidRDefault="00016F29" w:rsidP="00E06A78">
            <w:pPr>
              <w:jc w:val="center"/>
              <w:rPr>
                <w:sz w:val="24"/>
                <w:lang w:val="en-GB"/>
              </w:rPr>
            </w:pPr>
            <w:r w:rsidRPr="00E06A78">
              <w:rPr>
                <w:lang w:val="en-GB"/>
              </w:rPr>
              <w:t>26.5</w:t>
            </w:r>
          </w:p>
          <w:p w14:paraId="7C331A56" w14:textId="77777777" w:rsidR="00547214" w:rsidRPr="00E06A78" w:rsidRDefault="00016F29" w:rsidP="00E06A78">
            <w:pPr>
              <w:jc w:val="center"/>
              <w:rPr>
                <w:sz w:val="24"/>
                <w:lang w:val="en-GB"/>
              </w:rPr>
            </w:pPr>
            <w:r w:rsidRPr="00E12909">
              <w:rPr>
                <w:lang w:val="en-GB"/>
              </w:rPr>
              <w:t>(16.</w:t>
            </w:r>
            <w:r w:rsidRPr="00304DD1">
              <w:rPr>
                <w:lang w:val="en-GB"/>
              </w:rPr>
              <w:t>4-</w:t>
            </w:r>
            <w:r w:rsidR="00F470FE" w:rsidRPr="00E06A78">
              <w:rPr>
                <w:lang w:val="en-GB"/>
              </w:rPr>
              <w:t>42.8)</w:t>
            </w:r>
          </w:p>
        </w:tc>
      </w:tr>
      <w:tr w:rsidR="003A788B" w14:paraId="7C331A61" w14:textId="77777777" w:rsidTr="00E06A78">
        <w:trPr>
          <w:trHeight w:val="437"/>
        </w:trPr>
        <w:tc>
          <w:tcPr>
            <w:tcW w:w="2943" w:type="dxa"/>
          </w:tcPr>
          <w:p w14:paraId="7C331A58" w14:textId="77777777" w:rsidR="00547214" w:rsidRPr="00E06A78" w:rsidRDefault="00016F29" w:rsidP="00E06A78">
            <w:pPr>
              <w:jc w:val="center"/>
              <w:rPr>
                <w:sz w:val="24"/>
                <w:lang w:val="en-GB"/>
              </w:rPr>
            </w:pPr>
            <w:r w:rsidRPr="00E06A78">
              <w:rPr>
                <w:lang w:val="en-GB"/>
              </w:rPr>
              <w:t>Clearance (L/day)</w:t>
            </w:r>
          </w:p>
          <w:p w14:paraId="7C331A59" w14:textId="77777777" w:rsidR="00547214" w:rsidRPr="00E06A78" w:rsidRDefault="00016F29" w:rsidP="00E06A78">
            <w:pPr>
              <w:jc w:val="center"/>
              <w:rPr>
                <w:sz w:val="24"/>
                <w:lang w:val="en-GB"/>
              </w:rPr>
            </w:pPr>
            <w:r w:rsidRPr="00E06A78">
              <w:rPr>
                <w:lang w:val="en-GB"/>
              </w:rPr>
              <w:t>Mean</w:t>
            </w:r>
          </w:p>
          <w:p w14:paraId="7C331A5A" w14:textId="77777777" w:rsidR="00547214" w:rsidRPr="00E06A78" w:rsidRDefault="00016F29" w:rsidP="00E06A78">
            <w:pPr>
              <w:jc w:val="center"/>
              <w:rPr>
                <w:sz w:val="24"/>
                <w:lang w:val="en-GB"/>
              </w:rPr>
            </w:pPr>
            <w:r w:rsidRPr="00E06A78">
              <w:rPr>
                <w:lang w:val="en-GB"/>
              </w:rPr>
              <w:t>(Range)</w:t>
            </w:r>
          </w:p>
        </w:tc>
        <w:tc>
          <w:tcPr>
            <w:tcW w:w="2977" w:type="dxa"/>
          </w:tcPr>
          <w:p w14:paraId="7C331A5B" w14:textId="77777777" w:rsidR="00547214" w:rsidRPr="00E06A78" w:rsidRDefault="00547214" w:rsidP="00E06A78">
            <w:pPr>
              <w:jc w:val="center"/>
              <w:rPr>
                <w:sz w:val="24"/>
                <w:lang w:val="en-GB"/>
              </w:rPr>
            </w:pPr>
          </w:p>
          <w:p w14:paraId="7C331A5C" w14:textId="77777777" w:rsidR="00547214" w:rsidRPr="00E06A78" w:rsidRDefault="00016F29" w:rsidP="00E06A78">
            <w:pPr>
              <w:jc w:val="center"/>
              <w:rPr>
                <w:sz w:val="24"/>
                <w:lang w:val="en-GB"/>
              </w:rPr>
            </w:pPr>
            <w:r w:rsidRPr="00E06A78">
              <w:rPr>
                <w:lang w:val="en-GB"/>
              </w:rPr>
              <w:t>391</w:t>
            </w:r>
          </w:p>
          <w:p w14:paraId="7C331A5D" w14:textId="77777777" w:rsidR="00547214" w:rsidRPr="00E06A78" w:rsidRDefault="00016F29" w:rsidP="00E06A78">
            <w:pPr>
              <w:jc w:val="center"/>
              <w:rPr>
                <w:sz w:val="24"/>
                <w:lang w:val="en-GB"/>
              </w:rPr>
            </w:pPr>
            <w:r w:rsidRPr="00E06A78">
              <w:rPr>
                <w:lang w:val="en-GB"/>
              </w:rPr>
              <w:t>(159-1510)</w:t>
            </w:r>
          </w:p>
        </w:tc>
        <w:tc>
          <w:tcPr>
            <w:tcW w:w="2265" w:type="dxa"/>
          </w:tcPr>
          <w:p w14:paraId="7C331A5E" w14:textId="77777777" w:rsidR="00547214" w:rsidRPr="00E06A78" w:rsidRDefault="00547214" w:rsidP="00E06A78">
            <w:pPr>
              <w:jc w:val="center"/>
              <w:rPr>
                <w:sz w:val="24"/>
                <w:lang w:val="en-GB"/>
              </w:rPr>
            </w:pPr>
          </w:p>
          <w:p w14:paraId="7C331A5F" w14:textId="77777777" w:rsidR="00547214" w:rsidRPr="00E06A78" w:rsidRDefault="00016F29" w:rsidP="00E06A78">
            <w:pPr>
              <w:jc w:val="center"/>
              <w:rPr>
                <w:sz w:val="24"/>
                <w:lang w:val="en-GB"/>
              </w:rPr>
            </w:pPr>
            <w:r w:rsidRPr="00E06A78">
              <w:rPr>
                <w:lang w:val="en-GB"/>
              </w:rPr>
              <w:t>247</w:t>
            </w:r>
          </w:p>
          <w:p w14:paraId="7C331A60" w14:textId="77777777" w:rsidR="00547214" w:rsidRPr="00E06A78" w:rsidRDefault="00016F29" w:rsidP="00E06A78">
            <w:pPr>
              <w:jc w:val="center"/>
              <w:rPr>
                <w:sz w:val="24"/>
                <w:lang w:val="en-GB"/>
              </w:rPr>
            </w:pPr>
            <w:r w:rsidRPr="00E06A78">
              <w:rPr>
                <w:lang w:val="en-GB"/>
              </w:rPr>
              <w:t>(128-454)</w:t>
            </w:r>
          </w:p>
        </w:tc>
      </w:tr>
      <w:tr w:rsidR="003A788B" w14:paraId="7C331A6B" w14:textId="77777777" w:rsidTr="00E06A78">
        <w:trPr>
          <w:trHeight w:val="635"/>
        </w:trPr>
        <w:tc>
          <w:tcPr>
            <w:tcW w:w="2943" w:type="dxa"/>
          </w:tcPr>
          <w:p w14:paraId="7C331A62" w14:textId="77777777" w:rsidR="00547214" w:rsidRPr="00E06A78" w:rsidRDefault="00016F29" w:rsidP="00E06A78">
            <w:pPr>
              <w:jc w:val="center"/>
              <w:rPr>
                <w:sz w:val="24"/>
                <w:lang w:val="en-GB"/>
              </w:rPr>
            </w:pPr>
            <w:r w:rsidRPr="00E06A78">
              <w:rPr>
                <w:lang w:val="en-GB"/>
              </w:rPr>
              <w:t>Central Volume of Distribution (L)</w:t>
            </w:r>
          </w:p>
          <w:p w14:paraId="7C331A63" w14:textId="77777777" w:rsidR="00547214" w:rsidRPr="00E06A78" w:rsidRDefault="00016F29" w:rsidP="00E06A78">
            <w:pPr>
              <w:jc w:val="center"/>
              <w:rPr>
                <w:sz w:val="24"/>
                <w:lang w:val="en-GB"/>
              </w:rPr>
            </w:pPr>
            <w:r w:rsidRPr="00E06A78">
              <w:rPr>
                <w:lang w:val="en-GB"/>
              </w:rPr>
              <w:t>Mean</w:t>
            </w:r>
          </w:p>
          <w:p w14:paraId="7C331A64" w14:textId="77777777" w:rsidR="00547214" w:rsidRPr="00E06A78" w:rsidRDefault="00016F29" w:rsidP="00E06A78">
            <w:pPr>
              <w:jc w:val="center"/>
              <w:rPr>
                <w:sz w:val="24"/>
                <w:lang w:val="en-GB"/>
              </w:rPr>
            </w:pPr>
            <w:r w:rsidRPr="00E06A78">
              <w:rPr>
                <w:lang w:val="en-GB"/>
              </w:rPr>
              <w:t>(Range)</w:t>
            </w:r>
          </w:p>
        </w:tc>
        <w:tc>
          <w:tcPr>
            <w:tcW w:w="2977" w:type="dxa"/>
          </w:tcPr>
          <w:p w14:paraId="7C331A65" w14:textId="77777777" w:rsidR="00547214" w:rsidRPr="00E06A78" w:rsidRDefault="00547214" w:rsidP="00E06A78">
            <w:pPr>
              <w:jc w:val="center"/>
              <w:rPr>
                <w:sz w:val="24"/>
                <w:lang w:val="en-GB"/>
              </w:rPr>
            </w:pPr>
          </w:p>
          <w:p w14:paraId="7C331A66" w14:textId="77777777" w:rsidR="00547214" w:rsidRPr="00E06A78" w:rsidRDefault="00016F29" w:rsidP="00E06A78">
            <w:pPr>
              <w:jc w:val="center"/>
              <w:rPr>
                <w:sz w:val="24"/>
                <w:lang w:val="en-GB"/>
              </w:rPr>
            </w:pPr>
            <w:r w:rsidRPr="00E06A78">
              <w:rPr>
                <w:lang w:val="en-GB"/>
              </w:rPr>
              <w:t>3.52</w:t>
            </w:r>
          </w:p>
          <w:p w14:paraId="7C331A67" w14:textId="77777777" w:rsidR="00547214" w:rsidRPr="00E06A78" w:rsidRDefault="00016F29" w:rsidP="00E06A78">
            <w:pPr>
              <w:jc w:val="center"/>
              <w:rPr>
                <w:sz w:val="24"/>
                <w:lang w:val="en-GB"/>
              </w:rPr>
            </w:pPr>
            <w:r w:rsidRPr="00E06A78">
              <w:rPr>
                <w:lang w:val="en-GB"/>
              </w:rPr>
              <w:t>(2.48-5.22)</w:t>
            </w:r>
          </w:p>
        </w:tc>
        <w:tc>
          <w:tcPr>
            <w:tcW w:w="2265" w:type="dxa"/>
          </w:tcPr>
          <w:p w14:paraId="7C331A68" w14:textId="77777777" w:rsidR="00547214" w:rsidRPr="00E06A78" w:rsidRDefault="00547214" w:rsidP="00E06A78">
            <w:pPr>
              <w:jc w:val="center"/>
              <w:rPr>
                <w:sz w:val="24"/>
                <w:lang w:val="en-GB"/>
              </w:rPr>
            </w:pPr>
          </w:p>
          <w:p w14:paraId="7C331A69" w14:textId="77777777" w:rsidR="00547214" w:rsidRPr="00E06A78" w:rsidRDefault="00016F29" w:rsidP="00E06A78">
            <w:pPr>
              <w:jc w:val="center"/>
              <w:rPr>
                <w:sz w:val="24"/>
                <w:lang w:val="en-GB"/>
              </w:rPr>
            </w:pPr>
            <w:r w:rsidRPr="00E06A78">
              <w:rPr>
                <w:lang w:val="en-GB"/>
              </w:rPr>
              <w:t>3.52</w:t>
            </w:r>
          </w:p>
          <w:p w14:paraId="7C331A6A" w14:textId="77777777" w:rsidR="00547214" w:rsidRPr="00E06A78" w:rsidRDefault="00016F29" w:rsidP="00E06A78">
            <w:pPr>
              <w:jc w:val="center"/>
              <w:rPr>
                <w:sz w:val="24"/>
                <w:lang w:val="en-GB"/>
              </w:rPr>
            </w:pPr>
            <w:r w:rsidRPr="00E06A78">
              <w:rPr>
                <w:lang w:val="en-GB"/>
              </w:rPr>
              <w:t>(2.48-5.22)</w:t>
            </w:r>
          </w:p>
        </w:tc>
      </w:tr>
    </w:tbl>
    <w:p w14:paraId="7C331A6C" w14:textId="77777777" w:rsidR="00B95070" w:rsidRDefault="00B95070" w:rsidP="00B95070">
      <w:pPr>
        <w:rPr>
          <w:lang w:val="en-GB"/>
        </w:rPr>
      </w:pPr>
    </w:p>
    <w:p w14:paraId="7C331A6D" w14:textId="77777777" w:rsidR="00B95070" w:rsidRPr="00547214" w:rsidRDefault="00016F29" w:rsidP="00B95070">
      <w:pPr>
        <w:keepNext/>
        <w:keepLines/>
        <w:rPr>
          <w:lang w:val="en-GB"/>
        </w:rPr>
      </w:pPr>
      <w:r w:rsidRPr="003D2472">
        <w:rPr>
          <w:lang w:val="en-GB"/>
        </w:rPr>
        <w:t xml:space="preserve">Following the first </w:t>
      </w:r>
      <w:r>
        <w:rPr>
          <w:lang w:val="en-GB"/>
        </w:rPr>
        <w:t xml:space="preserve">two </w:t>
      </w:r>
      <w:r w:rsidRPr="003D2472">
        <w:rPr>
          <w:lang w:val="en-GB"/>
        </w:rPr>
        <w:t>rituximab administration</w:t>
      </w:r>
      <w:r>
        <w:rPr>
          <w:lang w:val="en-GB"/>
        </w:rPr>
        <w:t>s (at day 1 and 15, corresponding to cycle 1)</w:t>
      </w:r>
      <w:r w:rsidRPr="003D2472">
        <w:rPr>
          <w:lang w:val="en-GB"/>
        </w:rPr>
        <w:t>, the PK parameters of rituximab in patients with PV were similar to those in patients with GPA/MPA and patients with RA.  Following</w:t>
      </w:r>
      <w:r>
        <w:rPr>
          <w:lang w:val="en-GB"/>
        </w:rPr>
        <w:t xml:space="preserve"> the last two </w:t>
      </w:r>
      <w:r w:rsidRPr="003D2472">
        <w:rPr>
          <w:lang w:val="en-GB"/>
        </w:rPr>
        <w:t>administration</w:t>
      </w:r>
      <w:r>
        <w:rPr>
          <w:lang w:val="en-GB"/>
        </w:rPr>
        <w:t>s (at day 168 and 182, corresponding to cycle 2)</w:t>
      </w:r>
      <w:r w:rsidRPr="003D2472">
        <w:rPr>
          <w:lang w:val="en-GB"/>
        </w:rPr>
        <w:t>, rituximab clearance decreased while the central volume of distribution remained unchanged.</w:t>
      </w:r>
    </w:p>
    <w:p w14:paraId="7C331A6E" w14:textId="77777777" w:rsidR="008F369D" w:rsidRPr="00F638AF" w:rsidRDefault="008F369D" w:rsidP="008F369D">
      <w:pPr>
        <w:rPr>
          <w:b/>
          <w:szCs w:val="22"/>
          <w:lang w:val="en-GB"/>
        </w:rPr>
      </w:pPr>
    </w:p>
    <w:p w14:paraId="7C331A6F" w14:textId="77777777" w:rsidR="008F369D" w:rsidRPr="00F638AF" w:rsidRDefault="00016F29" w:rsidP="008F369D">
      <w:pPr>
        <w:keepNext/>
        <w:keepLines/>
        <w:ind w:left="567" w:hanging="567"/>
        <w:outlineLvl w:val="0"/>
        <w:rPr>
          <w:szCs w:val="22"/>
          <w:lang w:val="en-GB"/>
        </w:rPr>
      </w:pPr>
      <w:r w:rsidRPr="00F638AF">
        <w:rPr>
          <w:b/>
          <w:szCs w:val="22"/>
          <w:lang w:val="en-GB"/>
        </w:rPr>
        <w:t>5.3</w:t>
      </w:r>
      <w:r w:rsidRPr="00F638AF">
        <w:rPr>
          <w:b/>
          <w:szCs w:val="22"/>
          <w:lang w:val="en-GB"/>
        </w:rPr>
        <w:tab/>
        <w:t>Preclinical safety data</w:t>
      </w:r>
    </w:p>
    <w:p w14:paraId="7C331A70" w14:textId="77777777" w:rsidR="008F369D" w:rsidRPr="00F638AF" w:rsidRDefault="008F369D" w:rsidP="008F369D">
      <w:pPr>
        <w:keepNext/>
        <w:keepLines/>
        <w:rPr>
          <w:szCs w:val="22"/>
          <w:lang w:val="en-GB"/>
        </w:rPr>
      </w:pPr>
    </w:p>
    <w:p w14:paraId="7C331A71" w14:textId="77777777" w:rsidR="008F369D" w:rsidRPr="00F638AF" w:rsidRDefault="00016F29" w:rsidP="008F369D">
      <w:pPr>
        <w:keepNext/>
        <w:keepLines/>
        <w:rPr>
          <w:szCs w:val="22"/>
          <w:lang w:val="en-GB"/>
        </w:rPr>
      </w:pPr>
      <w:r w:rsidRPr="00F638AF">
        <w:rPr>
          <w:szCs w:val="22"/>
          <w:lang w:val="en-GB"/>
        </w:rPr>
        <w:t xml:space="preserve">Rituximab has shown to be highly specific to the CD20 antigen on B cells. Toxicity studies in cynomolgus monkeys have shown no other effect than the expected pharmacological depletion of B cells in peripheral blood and in lymphoid tissue. </w:t>
      </w:r>
    </w:p>
    <w:p w14:paraId="7C331A72" w14:textId="77777777" w:rsidR="008F369D" w:rsidRPr="00F638AF" w:rsidRDefault="008F369D" w:rsidP="008F369D">
      <w:pPr>
        <w:rPr>
          <w:szCs w:val="22"/>
          <w:lang w:val="en-GB"/>
        </w:rPr>
      </w:pPr>
    </w:p>
    <w:p w14:paraId="7C331A73" w14:textId="77777777" w:rsidR="008F369D" w:rsidRPr="00F638AF" w:rsidRDefault="00016F29" w:rsidP="008F369D">
      <w:pPr>
        <w:rPr>
          <w:szCs w:val="22"/>
          <w:lang w:val="en-GB"/>
        </w:rPr>
      </w:pPr>
      <w:r w:rsidRPr="00F638AF">
        <w:rPr>
          <w:szCs w:val="22"/>
          <w:lang w:val="en-GB"/>
        </w:rPr>
        <w:t>Developmental toxicity studies have been performed in cynomolgus monkeys at doses up to 100 mg/kg (treatment on gestation days 20</w:t>
      </w:r>
      <w:r w:rsidR="000A6DDA" w:rsidRPr="00F638AF">
        <w:rPr>
          <w:szCs w:val="22"/>
          <w:lang w:val="en-GB"/>
        </w:rPr>
        <w:noBreakHyphen/>
      </w:r>
      <w:r w:rsidRPr="00F638AF">
        <w:rPr>
          <w:szCs w:val="22"/>
          <w:lang w:val="en-GB"/>
        </w:rPr>
        <w:t>50) and have revealed no evidence of toxicity to the foetus due to rituximab. However, dose</w:t>
      </w:r>
      <w:r w:rsidR="000A6DDA" w:rsidRPr="00F638AF">
        <w:rPr>
          <w:szCs w:val="22"/>
          <w:lang w:val="en-GB"/>
        </w:rPr>
        <w:noBreakHyphen/>
      </w:r>
      <w:r w:rsidRPr="00F638AF">
        <w:rPr>
          <w:szCs w:val="22"/>
          <w:lang w:val="en-GB"/>
        </w:rPr>
        <w:t>dependent pharmacologic depletion of B cells in the lymphoid organs of the foetuses was observed</w:t>
      </w:r>
      <w:r w:rsidRPr="00F638AF">
        <w:rPr>
          <w:rFonts w:eastAsia="MS Mincho"/>
          <w:bCs/>
          <w:iCs/>
          <w:szCs w:val="22"/>
          <w:lang w:val="en-GB" w:eastAsia="zh-CN"/>
        </w:rPr>
        <w:t>, which persisted post natally and was accompanied by a decrease in IgG level in the newborn animals affected. B cell counts returned to normal in these animals within 6 months of birth and did not compromise the reaction to immunisation.</w:t>
      </w:r>
    </w:p>
    <w:p w14:paraId="7C331A74" w14:textId="77777777" w:rsidR="008F369D" w:rsidRPr="00F638AF" w:rsidRDefault="008F369D" w:rsidP="008F369D">
      <w:pPr>
        <w:rPr>
          <w:szCs w:val="22"/>
          <w:lang w:val="en-GB"/>
        </w:rPr>
      </w:pPr>
    </w:p>
    <w:p w14:paraId="7C331A75" w14:textId="77777777" w:rsidR="008F369D" w:rsidRPr="00F638AF" w:rsidRDefault="00016F29" w:rsidP="008F369D">
      <w:pPr>
        <w:rPr>
          <w:szCs w:val="22"/>
          <w:lang w:val="en-GB"/>
        </w:rPr>
      </w:pPr>
      <w:r w:rsidRPr="00F638AF">
        <w:rPr>
          <w:lang w:val="en-GB"/>
        </w:rPr>
        <w:t xml:space="preserve">Standard tests to investigate mutagenicity have not been carried out, since such tests are not relevant for this molecule. </w:t>
      </w:r>
      <w:r w:rsidRPr="00F638AF">
        <w:rPr>
          <w:szCs w:val="22"/>
          <w:lang w:val="en-GB"/>
        </w:rPr>
        <w:t>No long</w:t>
      </w:r>
      <w:r w:rsidR="000A6DDA" w:rsidRPr="00F638AF">
        <w:rPr>
          <w:szCs w:val="22"/>
          <w:lang w:val="en-GB"/>
        </w:rPr>
        <w:noBreakHyphen/>
      </w:r>
      <w:r w:rsidRPr="00F638AF">
        <w:rPr>
          <w:szCs w:val="22"/>
          <w:lang w:val="en-GB"/>
        </w:rPr>
        <w:t>term animal studies have been performed to establish the carcinogenic potential of rituximab.</w:t>
      </w:r>
    </w:p>
    <w:p w14:paraId="7C331A76" w14:textId="77777777" w:rsidR="008F369D" w:rsidRPr="00F638AF" w:rsidRDefault="00016F29" w:rsidP="008F369D">
      <w:pPr>
        <w:rPr>
          <w:lang w:val="en-GB"/>
        </w:rPr>
      </w:pPr>
      <w:r w:rsidRPr="00F638AF">
        <w:rPr>
          <w:lang w:val="en-GB"/>
        </w:rPr>
        <w:t xml:space="preserve">Specific studies to determine the effects of rituximab on fertility have not been performed. In general toxicity studies in cynomolgus monkeys no deleterious effects on reproductive organs in males or females were observed. </w:t>
      </w:r>
    </w:p>
    <w:p w14:paraId="7C331A77" w14:textId="77777777" w:rsidR="008F369D" w:rsidRPr="00F638AF" w:rsidRDefault="008F369D" w:rsidP="008F369D">
      <w:pPr>
        <w:rPr>
          <w:szCs w:val="22"/>
          <w:lang w:val="en-GB"/>
        </w:rPr>
      </w:pPr>
    </w:p>
    <w:p w14:paraId="7C331A78" w14:textId="77777777" w:rsidR="008F369D" w:rsidRPr="00F638AF" w:rsidRDefault="008F369D" w:rsidP="008F369D">
      <w:pPr>
        <w:rPr>
          <w:szCs w:val="22"/>
          <w:lang w:val="en-GB"/>
        </w:rPr>
      </w:pPr>
    </w:p>
    <w:p w14:paraId="7C331A79" w14:textId="77777777" w:rsidR="008F369D" w:rsidRPr="00F638AF" w:rsidRDefault="00016F29" w:rsidP="008F369D">
      <w:pPr>
        <w:keepNext/>
        <w:keepLines/>
        <w:ind w:left="567" w:hanging="567"/>
        <w:outlineLvl w:val="0"/>
        <w:rPr>
          <w:b/>
          <w:szCs w:val="22"/>
          <w:lang w:val="en-GB"/>
        </w:rPr>
      </w:pPr>
      <w:r w:rsidRPr="00F638AF">
        <w:rPr>
          <w:b/>
          <w:szCs w:val="22"/>
          <w:lang w:val="en-GB"/>
        </w:rPr>
        <w:t>6.</w:t>
      </w:r>
      <w:r w:rsidRPr="00F638AF">
        <w:rPr>
          <w:b/>
          <w:szCs w:val="22"/>
          <w:lang w:val="en-GB"/>
        </w:rPr>
        <w:tab/>
        <w:t>PHARMACEUTICAL PARTICULARS</w:t>
      </w:r>
    </w:p>
    <w:p w14:paraId="7C331A7A" w14:textId="77777777" w:rsidR="008F369D" w:rsidRPr="00F638AF" w:rsidRDefault="008F369D" w:rsidP="008F369D">
      <w:pPr>
        <w:keepNext/>
        <w:keepLines/>
        <w:rPr>
          <w:szCs w:val="22"/>
          <w:lang w:val="en-GB"/>
        </w:rPr>
      </w:pPr>
    </w:p>
    <w:p w14:paraId="7C331A7B" w14:textId="77777777" w:rsidR="008F369D" w:rsidRPr="00F638AF" w:rsidRDefault="00016F29" w:rsidP="008F369D">
      <w:pPr>
        <w:keepNext/>
        <w:keepLines/>
        <w:ind w:left="567" w:hanging="567"/>
        <w:outlineLvl w:val="0"/>
        <w:rPr>
          <w:szCs w:val="22"/>
          <w:lang w:val="en-GB"/>
        </w:rPr>
      </w:pPr>
      <w:r w:rsidRPr="00F638AF">
        <w:rPr>
          <w:b/>
          <w:szCs w:val="22"/>
          <w:lang w:val="en-GB"/>
        </w:rPr>
        <w:t>6.1</w:t>
      </w:r>
      <w:r w:rsidRPr="00F638AF">
        <w:rPr>
          <w:b/>
          <w:szCs w:val="22"/>
          <w:lang w:val="en-GB"/>
        </w:rPr>
        <w:tab/>
        <w:t>List of excipients</w:t>
      </w:r>
    </w:p>
    <w:p w14:paraId="7C331A7C" w14:textId="77777777" w:rsidR="008F369D" w:rsidRPr="00F638AF" w:rsidRDefault="008F369D" w:rsidP="008F369D">
      <w:pPr>
        <w:keepNext/>
        <w:keepLines/>
        <w:rPr>
          <w:b/>
          <w:szCs w:val="22"/>
          <w:lang w:val="en-GB"/>
        </w:rPr>
      </w:pPr>
    </w:p>
    <w:p w14:paraId="7C331A7D" w14:textId="77777777" w:rsidR="008F369D" w:rsidRPr="00E06A78" w:rsidRDefault="00016F29" w:rsidP="008F369D">
      <w:pPr>
        <w:keepNext/>
        <w:keepLines/>
        <w:outlineLvl w:val="0"/>
        <w:rPr>
          <w:lang w:val="en-GB"/>
        </w:rPr>
      </w:pPr>
      <w:r w:rsidRPr="00E06A78">
        <w:rPr>
          <w:lang w:val="en-GB"/>
        </w:rPr>
        <w:t>Sodium citrate</w:t>
      </w:r>
      <w:r w:rsidR="00464EF6" w:rsidRPr="00E06A78">
        <w:rPr>
          <w:szCs w:val="22"/>
        </w:rPr>
        <w:t xml:space="preserve"> (E331)</w:t>
      </w:r>
    </w:p>
    <w:p w14:paraId="7C331A7E" w14:textId="77777777" w:rsidR="008F369D" w:rsidRPr="00E06A78" w:rsidRDefault="00016F29" w:rsidP="008F369D">
      <w:pPr>
        <w:keepNext/>
        <w:keepLines/>
        <w:rPr>
          <w:lang w:val="en-GB"/>
        </w:rPr>
      </w:pPr>
      <w:r w:rsidRPr="00E06A78">
        <w:rPr>
          <w:lang w:val="en-GB"/>
        </w:rPr>
        <w:t>Polysorbate 80</w:t>
      </w:r>
      <w:r w:rsidR="00142420" w:rsidRPr="00E06A78">
        <w:rPr>
          <w:szCs w:val="22"/>
        </w:rPr>
        <w:t xml:space="preserve"> (E433)</w:t>
      </w:r>
    </w:p>
    <w:p w14:paraId="7C331A7F" w14:textId="77777777" w:rsidR="008F369D" w:rsidRPr="00F638AF" w:rsidRDefault="00016F29" w:rsidP="008F369D">
      <w:pPr>
        <w:keepNext/>
        <w:keepLines/>
        <w:rPr>
          <w:szCs w:val="22"/>
          <w:lang w:val="en-GB"/>
        </w:rPr>
      </w:pPr>
      <w:r w:rsidRPr="00F638AF">
        <w:rPr>
          <w:szCs w:val="22"/>
          <w:lang w:val="en-GB"/>
        </w:rPr>
        <w:t>Sodium chloride</w:t>
      </w:r>
    </w:p>
    <w:p w14:paraId="7C331A80" w14:textId="77777777" w:rsidR="008F369D" w:rsidRPr="00F638AF" w:rsidRDefault="00016F29" w:rsidP="008F369D">
      <w:pPr>
        <w:keepNext/>
        <w:keepLines/>
        <w:rPr>
          <w:szCs w:val="22"/>
          <w:lang w:val="en-GB"/>
        </w:rPr>
      </w:pPr>
      <w:r w:rsidRPr="00F638AF">
        <w:rPr>
          <w:szCs w:val="22"/>
          <w:lang w:val="en-GB"/>
        </w:rPr>
        <w:t>Sodium hydroxide</w:t>
      </w:r>
      <w:r w:rsidR="00142420">
        <w:rPr>
          <w:szCs w:val="22"/>
          <w:lang w:val="en-GB"/>
        </w:rPr>
        <w:t xml:space="preserve"> (</w:t>
      </w:r>
      <w:r w:rsidR="00464EF6">
        <w:rPr>
          <w:szCs w:val="22"/>
          <w:lang w:val="en-GB"/>
        </w:rPr>
        <w:t xml:space="preserve">for </w:t>
      </w:r>
      <w:r w:rsidR="00142420">
        <w:rPr>
          <w:szCs w:val="22"/>
          <w:lang w:val="en-GB"/>
        </w:rPr>
        <w:t>pH adjustment)</w:t>
      </w:r>
      <w:r w:rsidR="00464EF6">
        <w:rPr>
          <w:szCs w:val="22"/>
          <w:lang w:val="en-GB"/>
        </w:rPr>
        <w:t xml:space="preserve"> (E524)</w:t>
      </w:r>
    </w:p>
    <w:p w14:paraId="7C331A81" w14:textId="77777777" w:rsidR="008F369D" w:rsidRPr="00F638AF" w:rsidRDefault="00016F29" w:rsidP="008F369D">
      <w:pPr>
        <w:keepNext/>
        <w:keepLines/>
        <w:rPr>
          <w:szCs w:val="22"/>
          <w:lang w:val="en-GB"/>
        </w:rPr>
      </w:pPr>
      <w:r w:rsidRPr="00F638AF">
        <w:rPr>
          <w:szCs w:val="22"/>
          <w:lang w:val="en-GB"/>
        </w:rPr>
        <w:t>Hydrochloric acid</w:t>
      </w:r>
      <w:r w:rsidR="00142420">
        <w:rPr>
          <w:szCs w:val="22"/>
          <w:lang w:val="en-GB"/>
        </w:rPr>
        <w:t xml:space="preserve"> (</w:t>
      </w:r>
      <w:r w:rsidR="00464EF6">
        <w:rPr>
          <w:szCs w:val="22"/>
          <w:lang w:val="en-GB"/>
        </w:rPr>
        <w:t xml:space="preserve">for </w:t>
      </w:r>
      <w:r w:rsidR="00142420">
        <w:rPr>
          <w:szCs w:val="22"/>
          <w:lang w:val="en-GB"/>
        </w:rPr>
        <w:t>pH adjustment)</w:t>
      </w:r>
      <w:r w:rsidR="00464EF6">
        <w:rPr>
          <w:szCs w:val="22"/>
          <w:lang w:val="en-GB"/>
        </w:rPr>
        <w:t xml:space="preserve"> (E507)</w:t>
      </w:r>
    </w:p>
    <w:p w14:paraId="7C331A82" w14:textId="77777777" w:rsidR="008F369D" w:rsidRPr="00F638AF" w:rsidRDefault="00016F29" w:rsidP="008F369D">
      <w:pPr>
        <w:rPr>
          <w:szCs w:val="22"/>
          <w:lang w:val="en-GB"/>
        </w:rPr>
      </w:pPr>
      <w:r w:rsidRPr="00F638AF">
        <w:rPr>
          <w:szCs w:val="22"/>
          <w:lang w:val="en-GB"/>
        </w:rPr>
        <w:t>Water for injections</w:t>
      </w:r>
    </w:p>
    <w:p w14:paraId="7C331A83" w14:textId="77777777" w:rsidR="008F369D" w:rsidRPr="00F638AF" w:rsidRDefault="008F369D" w:rsidP="008F369D">
      <w:pPr>
        <w:rPr>
          <w:b/>
          <w:szCs w:val="22"/>
          <w:lang w:val="en-GB"/>
        </w:rPr>
      </w:pPr>
    </w:p>
    <w:p w14:paraId="7C331A84" w14:textId="77777777" w:rsidR="008F369D" w:rsidRPr="00F638AF" w:rsidRDefault="00016F29" w:rsidP="008F369D">
      <w:pPr>
        <w:keepNext/>
        <w:keepLines/>
        <w:ind w:left="567" w:hanging="567"/>
        <w:outlineLvl w:val="0"/>
        <w:rPr>
          <w:szCs w:val="22"/>
          <w:lang w:val="en-GB"/>
        </w:rPr>
      </w:pPr>
      <w:r w:rsidRPr="00F638AF">
        <w:rPr>
          <w:b/>
          <w:szCs w:val="22"/>
          <w:lang w:val="en-GB"/>
        </w:rPr>
        <w:t>6.2</w:t>
      </w:r>
      <w:r w:rsidRPr="00F638AF">
        <w:rPr>
          <w:b/>
          <w:szCs w:val="22"/>
          <w:lang w:val="en-GB"/>
        </w:rPr>
        <w:tab/>
        <w:t>Incompatibilities</w:t>
      </w:r>
    </w:p>
    <w:p w14:paraId="7C331A85" w14:textId="77777777" w:rsidR="008F369D" w:rsidRPr="00F638AF" w:rsidRDefault="008F369D" w:rsidP="008F369D">
      <w:pPr>
        <w:keepNext/>
        <w:keepLines/>
        <w:rPr>
          <w:szCs w:val="22"/>
          <w:lang w:val="en-GB"/>
        </w:rPr>
      </w:pPr>
    </w:p>
    <w:p w14:paraId="7C331A86" w14:textId="77777777" w:rsidR="008F369D" w:rsidRPr="00F638AF" w:rsidRDefault="00016F29" w:rsidP="008F369D">
      <w:pPr>
        <w:keepNext/>
        <w:keepLines/>
        <w:rPr>
          <w:szCs w:val="22"/>
          <w:lang w:val="en-GB"/>
        </w:rPr>
      </w:pPr>
      <w:r w:rsidRPr="00F638AF">
        <w:rPr>
          <w:szCs w:val="22"/>
          <w:lang w:val="en-GB"/>
        </w:rPr>
        <w:t>No incompatibilities between MabThera and polyvinyl chloride or polyethylene bags or infusion sets have been observed.</w:t>
      </w:r>
    </w:p>
    <w:p w14:paraId="7C331A87" w14:textId="77777777" w:rsidR="008F369D" w:rsidRPr="00F638AF" w:rsidRDefault="008F369D" w:rsidP="008F369D">
      <w:pPr>
        <w:rPr>
          <w:b/>
          <w:szCs w:val="22"/>
          <w:lang w:val="en-GB"/>
        </w:rPr>
      </w:pPr>
    </w:p>
    <w:p w14:paraId="7C331A88" w14:textId="77777777" w:rsidR="008F369D" w:rsidRPr="00F638AF" w:rsidRDefault="00016F29" w:rsidP="00E454FF">
      <w:pPr>
        <w:ind w:left="567" w:hanging="567"/>
        <w:outlineLvl w:val="0"/>
        <w:rPr>
          <w:szCs w:val="22"/>
          <w:lang w:val="en-GB"/>
        </w:rPr>
      </w:pPr>
      <w:r w:rsidRPr="00F638AF">
        <w:rPr>
          <w:b/>
          <w:szCs w:val="22"/>
          <w:lang w:val="en-GB"/>
        </w:rPr>
        <w:t>6.3</w:t>
      </w:r>
      <w:r w:rsidRPr="00F638AF">
        <w:rPr>
          <w:b/>
          <w:szCs w:val="22"/>
          <w:lang w:val="en-GB"/>
        </w:rPr>
        <w:tab/>
        <w:t>Shelf life</w:t>
      </w:r>
    </w:p>
    <w:p w14:paraId="7C331A89" w14:textId="77777777" w:rsidR="008F369D" w:rsidRPr="00F638AF" w:rsidRDefault="008F369D" w:rsidP="00E454FF">
      <w:pPr>
        <w:rPr>
          <w:szCs w:val="22"/>
          <w:lang w:val="en-GB"/>
        </w:rPr>
      </w:pPr>
    </w:p>
    <w:p w14:paraId="7C331A8A" w14:textId="77777777" w:rsidR="005A3BBE" w:rsidRPr="00F638AF" w:rsidRDefault="00016F29" w:rsidP="00E454FF">
      <w:pPr>
        <w:rPr>
          <w:szCs w:val="22"/>
          <w:u w:val="single"/>
          <w:lang w:val="en-GB"/>
        </w:rPr>
      </w:pPr>
      <w:r w:rsidRPr="00F638AF">
        <w:rPr>
          <w:szCs w:val="22"/>
          <w:u w:val="single"/>
          <w:lang w:val="en-GB"/>
        </w:rPr>
        <w:t>Unopened vial</w:t>
      </w:r>
    </w:p>
    <w:p w14:paraId="7C331A8B" w14:textId="77777777" w:rsidR="008F369D" w:rsidRPr="00F638AF" w:rsidRDefault="00016F29" w:rsidP="00E454FF">
      <w:pPr>
        <w:rPr>
          <w:szCs w:val="22"/>
          <w:lang w:val="en-GB"/>
        </w:rPr>
      </w:pPr>
      <w:r w:rsidRPr="00F638AF">
        <w:rPr>
          <w:szCs w:val="22"/>
          <w:lang w:val="en-GB"/>
        </w:rPr>
        <w:t>36 months</w:t>
      </w:r>
    </w:p>
    <w:p w14:paraId="7C331A8C" w14:textId="77777777" w:rsidR="008F369D" w:rsidRPr="00F638AF" w:rsidRDefault="008F369D" w:rsidP="00E454FF">
      <w:pPr>
        <w:rPr>
          <w:b/>
          <w:szCs w:val="22"/>
          <w:lang w:val="en-GB"/>
        </w:rPr>
      </w:pPr>
    </w:p>
    <w:p w14:paraId="7C331A8D" w14:textId="77777777" w:rsidR="00691163" w:rsidRPr="00F638AF" w:rsidRDefault="00016F29" w:rsidP="00E454FF">
      <w:pPr>
        <w:rPr>
          <w:szCs w:val="22"/>
          <w:u w:val="single"/>
          <w:lang w:val="en-GB"/>
        </w:rPr>
      </w:pPr>
      <w:r w:rsidRPr="00F638AF">
        <w:rPr>
          <w:szCs w:val="22"/>
          <w:u w:val="single"/>
          <w:lang w:val="en-GB"/>
        </w:rPr>
        <w:t>Diluted medicinal product</w:t>
      </w:r>
    </w:p>
    <w:p w14:paraId="7C331A8E" w14:textId="77777777" w:rsidR="00691163" w:rsidRPr="00F638AF" w:rsidRDefault="00691163" w:rsidP="00E454FF">
      <w:pPr>
        <w:rPr>
          <w:szCs w:val="22"/>
          <w:u w:val="single"/>
          <w:lang w:val="en-GB"/>
        </w:rPr>
      </w:pPr>
    </w:p>
    <w:p w14:paraId="7C331A8F" w14:textId="77777777" w:rsidR="00691163" w:rsidRPr="00F638AF" w:rsidRDefault="00016F29" w:rsidP="00E454FF">
      <w:pPr>
        <w:ind w:left="357" w:hanging="357"/>
        <w:rPr>
          <w:snapToGrid w:val="0"/>
          <w:szCs w:val="22"/>
          <w:lang w:val="en-GB" w:eastAsia="en-US"/>
        </w:rPr>
      </w:pPr>
      <w:r w:rsidRPr="00E06A78">
        <w:rPr>
          <w:rFonts w:ascii="Symbol" w:hAnsi="Symbol"/>
          <w:lang w:val="en-GB"/>
        </w:rPr>
        <w:sym w:font="Symbol" w:char="F0B7"/>
      </w:r>
      <w:r w:rsidRPr="00F638AF">
        <w:rPr>
          <w:szCs w:val="22"/>
          <w:lang w:val="en-GB"/>
        </w:rPr>
        <w:tab/>
      </w:r>
      <w:r w:rsidRPr="00F638AF">
        <w:rPr>
          <w:snapToGrid w:val="0"/>
          <w:szCs w:val="22"/>
          <w:lang w:val="en-GB" w:eastAsia="en-US"/>
        </w:rPr>
        <w:t>After aseptic dilution in sodium chloride solution</w:t>
      </w:r>
    </w:p>
    <w:p w14:paraId="7C331A90" w14:textId="77777777" w:rsidR="00691163" w:rsidRPr="00F638AF" w:rsidRDefault="00016F29" w:rsidP="00E454FF">
      <w:pPr>
        <w:rPr>
          <w:snapToGrid w:val="0"/>
          <w:szCs w:val="22"/>
          <w:lang w:val="en-GB" w:eastAsia="en-US"/>
        </w:rPr>
      </w:pPr>
      <w:r w:rsidRPr="00F638AF">
        <w:rPr>
          <w:snapToGrid w:val="0"/>
          <w:szCs w:val="22"/>
          <w:lang w:val="en-GB" w:eastAsia="en-US"/>
        </w:rPr>
        <w:t>The prepared infusion solution of MabThera in 0.9% sodium chloride solution is physically and chemically stable for 30 days at 2 °C </w:t>
      </w:r>
      <w:r w:rsidRPr="00F638AF">
        <w:rPr>
          <w:snapToGrid w:val="0"/>
          <w:szCs w:val="22"/>
          <w:lang w:val="en-GB" w:eastAsia="en-US"/>
        </w:rPr>
        <w:noBreakHyphen/>
        <w:t xml:space="preserve"> 8 °C plus an additional 24 hours at ≤ 30 °C. </w:t>
      </w:r>
    </w:p>
    <w:p w14:paraId="7C331A91" w14:textId="77777777" w:rsidR="00691163" w:rsidRPr="00F638AF" w:rsidRDefault="00691163" w:rsidP="00E454FF">
      <w:pPr>
        <w:rPr>
          <w:snapToGrid w:val="0"/>
          <w:szCs w:val="22"/>
          <w:lang w:val="en-GB" w:eastAsia="en-US"/>
        </w:rPr>
      </w:pPr>
    </w:p>
    <w:p w14:paraId="7C331A92" w14:textId="77777777" w:rsidR="00691163" w:rsidRPr="00F638AF" w:rsidRDefault="00016F29" w:rsidP="00E454FF">
      <w:pPr>
        <w:ind w:left="357" w:hanging="357"/>
        <w:rPr>
          <w:snapToGrid w:val="0"/>
          <w:szCs w:val="22"/>
          <w:lang w:val="en-GB" w:eastAsia="en-US"/>
        </w:rPr>
      </w:pPr>
      <w:r w:rsidRPr="00E06A78">
        <w:rPr>
          <w:rFonts w:ascii="Symbol" w:hAnsi="Symbol"/>
          <w:lang w:val="en-GB"/>
        </w:rPr>
        <w:sym w:font="Symbol" w:char="F0B7"/>
      </w:r>
      <w:r w:rsidRPr="00F638AF">
        <w:rPr>
          <w:szCs w:val="22"/>
          <w:lang w:val="en-GB"/>
        </w:rPr>
        <w:tab/>
      </w:r>
      <w:r w:rsidRPr="00F638AF">
        <w:rPr>
          <w:snapToGrid w:val="0"/>
          <w:szCs w:val="22"/>
          <w:lang w:val="en-GB" w:eastAsia="en-US"/>
        </w:rPr>
        <w:t>After aseptic dilution in D-glucose solution</w:t>
      </w:r>
    </w:p>
    <w:p w14:paraId="7C331A93" w14:textId="77777777" w:rsidR="00691163" w:rsidRPr="00F638AF" w:rsidRDefault="00016F29" w:rsidP="00E454FF">
      <w:pPr>
        <w:rPr>
          <w:snapToGrid w:val="0"/>
          <w:szCs w:val="22"/>
          <w:lang w:val="en-GB" w:eastAsia="en-US"/>
        </w:rPr>
      </w:pPr>
      <w:r w:rsidRPr="00F638AF">
        <w:rPr>
          <w:snapToGrid w:val="0"/>
          <w:szCs w:val="22"/>
          <w:lang w:val="en-GB" w:eastAsia="en-US"/>
        </w:rPr>
        <w:t>The prepared infusion solution of MabThera in 5% D-glucose solution is physically and chemically stable for 24 hours at 2 °C - 8 °C plus an additional 12 hours at room temperature.</w:t>
      </w:r>
    </w:p>
    <w:p w14:paraId="7C331A94" w14:textId="77777777" w:rsidR="00691163" w:rsidRPr="00F638AF" w:rsidRDefault="00691163" w:rsidP="00691163">
      <w:pPr>
        <w:rPr>
          <w:szCs w:val="22"/>
          <w:lang w:val="en-GB"/>
        </w:rPr>
      </w:pPr>
    </w:p>
    <w:p w14:paraId="7C331A95" w14:textId="77777777" w:rsidR="00691163" w:rsidRPr="00F638AF" w:rsidRDefault="00016F29" w:rsidP="00691163">
      <w:pPr>
        <w:rPr>
          <w:szCs w:val="22"/>
          <w:lang w:val="en-GB"/>
        </w:rPr>
      </w:pPr>
      <w:r w:rsidRPr="00F638AF">
        <w:rPr>
          <w:szCs w:val="22"/>
          <w:lang w:val="en-GB"/>
        </w:rPr>
        <w:t>From a microbiological point of view, the prepared infusion solution should be used immediately. If not used immediately, in</w:t>
      </w:r>
      <w:r w:rsidRPr="00F638AF">
        <w:rPr>
          <w:szCs w:val="22"/>
          <w:lang w:val="en-GB"/>
        </w:rPr>
        <w:noBreakHyphen/>
        <w:t>use storage times and conditions prior to use are the responsibility of the user and would normally not be longer than 24 hours at 2 °C – 8 °C, unless dilution has taken place in controlled and validated aseptic conditions.</w:t>
      </w:r>
    </w:p>
    <w:p w14:paraId="7C331A96" w14:textId="77777777" w:rsidR="008F369D" w:rsidRPr="00F638AF" w:rsidRDefault="008F369D" w:rsidP="008F369D">
      <w:pPr>
        <w:rPr>
          <w:snapToGrid w:val="0"/>
          <w:szCs w:val="22"/>
          <w:lang w:val="en-GB" w:eastAsia="en-US"/>
        </w:rPr>
      </w:pPr>
    </w:p>
    <w:p w14:paraId="7C331A97" w14:textId="77777777" w:rsidR="008F369D" w:rsidRPr="00F638AF" w:rsidRDefault="00016F29" w:rsidP="008F369D">
      <w:pPr>
        <w:outlineLvl w:val="0"/>
        <w:rPr>
          <w:szCs w:val="22"/>
          <w:lang w:val="en-GB"/>
        </w:rPr>
      </w:pPr>
      <w:r w:rsidRPr="00F638AF">
        <w:rPr>
          <w:b/>
          <w:szCs w:val="22"/>
          <w:lang w:val="en-GB"/>
        </w:rPr>
        <w:t>6.4</w:t>
      </w:r>
      <w:r w:rsidRPr="00F638AF">
        <w:rPr>
          <w:b/>
          <w:szCs w:val="22"/>
          <w:lang w:val="en-GB"/>
        </w:rPr>
        <w:tab/>
        <w:t>Special precautions for storage</w:t>
      </w:r>
    </w:p>
    <w:p w14:paraId="7C331A98" w14:textId="77777777" w:rsidR="008F369D" w:rsidRPr="00F638AF" w:rsidRDefault="008F369D" w:rsidP="008F369D">
      <w:pPr>
        <w:rPr>
          <w:szCs w:val="22"/>
          <w:lang w:val="en-GB"/>
        </w:rPr>
      </w:pPr>
    </w:p>
    <w:p w14:paraId="7C331A99" w14:textId="77777777" w:rsidR="008F369D" w:rsidRPr="00F638AF" w:rsidRDefault="00016F29" w:rsidP="008F369D">
      <w:pPr>
        <w:rPr>
          <w:szCs w:val="22"/>
          <w:lang w:val="en-GB"/>
        </w:rPr>
      </w:pPr>
      <w:r w:rsidRPr="00F638AF">
        <w:rPr>
          <w:szCs w:val="22"/>
          <w:lang w:val="en-GB"/>
        </w:rPr>
        <w:t>Store in a refrigerator (2 °C – 8 °C). Keep the container in the outer carton in order to protect from light.</w:t>
      </w:r>
    </w:p>
    <w:p w14:paraId="7C331A9A" w14:textId="77777777" w:rsidR="008F369D" w:rsidRPr="00F638AF" w:rsidRDefault="008F369D" w:rsidP="008F369D">
      <w:pPr>
        <w:rPr>
          <w:szCs w:val="22"/>
          <w:lang w:val="en-GB"/>
        </w:rPr>
      </w:pPr>
    </w:p>
    <w:p w14:paraId="7C331A9B" w14:textId="77777777" w:rsidR="008F369D" w:rsidRPr="00F638AF" w:rsidRDefault="00016F29" w:rsidP="008F369D">
      <w:pPr>
        <w:outlineLvl w:val="0"/>
        <w:rPr>
          <w:b/>
          <w:szCs w:val="22"/>
          <w:lang w:val="en-GB"/>
        </w:rPr>
      </w:pPr>
      <w:r w:rsidRPr="00F638AF">
        <w:rPr>
          <w:snapToGrid w:val="0"/>
          <w:szCs w:val="22"/>
          <w:lang w:val="en-GB" w:eastAsia="en-US"/>
        </w:rPr>
        <w:t>For storage conditions after dilution of the medicinal product, see section 6.3.</w:t>
      </w:r>
    </w:p>
    <w:p w14:paraId="7C331A9C" w14:textId="77777777" w:rsidR="008F369D" w:rsidRPr="00F638AF" w:rsidRDefault="008F369D" w:rsidP="008F369D">
      <w:pPr>
        <w:rPr>
          <w:b/>
          <w:szCs w:val="22"/>
          <w:lang w:val="en-GB"/>
        </w:rPr>
      </w:pPr>
    </w:p>
    <w:p w14:paraId="7C331A9D" w14:textId="77777777" w:rsidR="008F369D" w:rsidRPr="00F638AF" w:rsidRDefault="00016F29" w:rsidP="008F369D">
      <w:pPr>
        <w:keepNext/>
        <w:keepLines/>
        <w:ind w:left="567" w:hanging="567"/>
        <w:outlineLvl w:val="0"/>
        <w:rPr>
          <w:szCs w:val="22"/>
          <w:lang w:val="en-GB"/>
        </w:rPr>
      </w:pPr>
      <w:r w:rsidRPr="00F638AF">
        <w:rPr>
          <w:b/>
          <w:szCs w:val="22"/>
          <w:lang w:val="en-GB"/>
        </w:rPr>
        <w:t>6.5</w:t>
      </w:r>
      <w:r w:rsidRPr="00F638AF">
        <w:rPr>
          <w:b/>
          <w:szCs w:val="22"/>
          <w:lang w:val="en-GB"/>
        </w:rPr>
        <w:tab/>
        <w:t>Nature and contents of container</w:t>
      </w:r>
    </w:p>
    <w:p w14:paraId="7C331A9E" w14:textId="77777777" w:rsidR="008F369D" w:rsidRPr="00F638AF" w:rsidRDefault="008F369D" w:rsidP="008F369D">
      <w:pPr>
        <w:keepNext/>
        <w:keepLines/>
        <w:rPr>
          <w:b/>
          <w:szCs w:val="22"/>
          <w:lang w:val="en-GB"/>
        </w:rPr>
      </w:pPr>
    </w:p>
    <w:p w14:paraId="7C331A9F" w14:textId="77777777" w:rsidR="006B49B7" w:rsidRPr="00F638AF" w:rsidRDefault="00016F29" w:rsidP="006B49B7">
      <w:pPr>
        <w:rPr>
          <w:szCs w:val="22"/>
          <w:u w:val="single"/>
          <w:lang w:val="en-GB"/>
        </w:rPr>
      </w:pPr>
      <w:r w:rsidRPr="00F638AF">
        <w:rPr>
          <w:szCs w:val="22"/>
          <w:u w:val="single"/>
          <w:lang w:val="en-GB"/>
        </w:rPr>
        <w:t>MabThera 100 mg concentrate for solution for infusion</w:t>
      </w:r>
    </w:p>
    <w:p w14:paraId="7C331AA0" w14:textId="77777777" w:rsidR="008F369D" w:rsidRPr="00F638AF" w:rsidRDefault="00016F29" w:rsidP="008F369D">
      <w:pPr>
        <w:rPr>
          <w:szCs w:val="22"/>
          <w:lang w:val="en-GB"/>
        </w:rPr>
      </w:pPr>
      <w:r w:rsidRPr="00F638AF">
        <w:rPr>
          <w:szCs w:val="22"/>
          <w:lang w:val="en-GB"/>
        </w:rPr>
        <w:t>Clear Type I glass vials with butyl rubber stopper containing 100 mg of rituximab in 10 mL. Pack of 2 vials.</w:t>
      </w:r>
    </w:p>
    <w:p w14:paraId="7C331AA1" w14:textId="77777777" w:rsidR="006B49B7" w:rsidRPr="00E06A78" w:rsidRDefault="006B49B7" w:rsidP="006B49B7">
      <w:pPr>
        <w:rPr>
          <w:u w:val="single"/>
          <w:lang w:val="en-GB"/>
        </w:rPr>
      </w:pPr>
    </w:p>
    <w:p w14:paraId="7C331AA2" w14:textId="77777777" w:rsidR="006B49B7" w:rsidRPr="00F638AF" w:rsidRDefault="00016F29" w:rsidP="006B49B7">
      <w:pPr>
        <w:rPr>
          <w:szCs w:val="22"/>
          <w:u w:val="single"/>
          <w:lang w:val="en-GB"/>
        </w:rPr>
      </w:pPr>
      <w:r w:rsidRPr="00F638AF">
        <w:rPr>
          <w:szCs w:val="22"/>
          <w:u w:val="single"/>
          <w:lang w:val="en-GB"/>
        </w:rPr>
        <w:t xml:space="preserve">MabThera 500 mg concentrate for solution for infusion </w:t>
      </w:r>
    </w:p>
    <w:p w14:paraId="7C331AA3" w14:textId="77777777" w:rsidR="006B49B7" w:rsidRPr="00F638AF" w:rsidRDefault="00016F29" w:rsidP="006B49B7">
      <w:pPr>
        <w:rPr>
          <w:szCs w:val="22"/>
          <w:lang w:val="en-GB"/>
        </w:rPr>
      </w:pPr>
      <w:r w:rsidRPr="00F638AF">
        <w:rPr>
          <w:szCs w:val="22"/>
          <w:lang w:val="en-GB"/>
        </w:rPr>
        <w:t>Clear Type I glass vials with butyl rubber stopper containing 500 mg of rituximab in 50 mL. Pack of 1 vial.</w:t>
      </w:r>
    </w:p>
    <w:p w14:paraId="7C331AA4" w14:textId="77777777" w:rsidR="008F369D" w:rsidRPr="00F638AF" w:rsidRDefault="008F369D" w:rsidP="008F369D">
      <w:pPr>
        <w:rPr>
          <w:szCs w:val="22"/>
          <w:lang w:val="en-GB"/>
        </w:rPr>
      </w:pPr>
    </w:p>
    <w:p w14:paraId="7C331AA5" w14:textId="77777777" w:rsidR="008F369D" w:rsidRPr="00F638AF" w:rsidRDefault="00016F29" w:rsidP="008F369D">
      <w:pPr>
        <w:ind w:left="567" w:hanging="567"/>
        <w:outlineLvl w:val="0"/>
        <w:rPr>
          <w:szCs w:val="22"/>
          <w:lang w:val="en-GB"/>
        </w:rPr>
      </w:pPr>
      <w:r w:rsidRPr="00F638AF">
        <w:rPr>
          <w:b/>
          <w:szCs w:val="22"/>
          <w:lang w:val="en-GB"/>
        </w:rPr>
        <w:t>6.6</w:t>
      </w:r>
      <w:r w:rsidRPr="00F638AF">
        <w:rPr>
          <w:b/>
          <w:szCs w:val="22"/>
          <w:lang w:val="en-GB"/>
        </w:rPr>
        <w:tab/>
        <w:t>Special precautions for disposal and other handling</w:t>
      </w:r>
    </w:p>
    <w:p w14:paraId="7C331AA6" w14:textId="77777777" w:rsidR="008F369D" w:rsidRPr="00F638AF" w:rsidRDefault="008F369D" w:rsidP="008F369D">
      <w:pPr>
        <w:rPr>
          <w:szCs w:val="22"/>
          <w:lang w:val="en-GB"/>
        </w:rPr>
      </w:pPr>
    </w:p>
    <w:p w14:paraId="7C331AA7" w14:textId="77777777" w:rsidR="008F369D" w:rsidRPr="00F638AF" w:rsidRDefault="00016F29" w:rsidP="008F369D">
      <w:pPr>
        <w:outlineLvl w:val="0"/>
        <w:rPr>
          <w:szCs w:val="22"/>
          <w:lang w:val="en-GB"/>
        </w:rPr>
      </w:pPr>
      <w:r w:rsidRPr="00F638AF">
        <w:rPr>
          <w:szCs w:val="22"/>
          <w:lang w:val="en-GB"/>
        </w:rPr>
        <w:t>MabThera is provided in sterile, preservative</w:t>
      </w:r>
      <w:r w:rsidR="000A6DDA" w:rsidRPr="00F638AF">
        <w:rPr>
          <w:szCs w:val="22"/>
          <w:lang w:val="en-GB"/>
        </w:rPr>
        <w:noBreakHyphen/>
      </w:r>
      <w:r w:rsidRPr="00F638AF">
        <w:rPr>
          <w:szCs w:val="22"/>
          <w:lang w:val="en-GB"/>
        </w:rPr>
        <w:t>free, non</w:t>
      </w:r>
      <w:r w:rsidR="000A6DDA" w:rsidRPr="00F638AF">
        <w:rPr>
          <w:szCs w:val="22"/>
          <w:lang w:val="en-GB"/>
        </w:rPr>
        <w:noBreakHyphen/>
      </w:r>
      <w:r w:rsidRPr="00F638AF">
        <w:rPr>
          <w:szCs w:val="22"/>
          <w:lang w:val="en-GB"/>
        </w:rPr>
        <w:t>pyrogenic, single use vials.</w:t>
      </w:r>
    </w:p>
    <w:p w14:paraId="7C331AA8" w14:textId="77777777" w:rsidR="008F369D" w:rsidRPr="00F638AF" w:rsidRDefault="008F369D" w:rsidP="008F369D">
      <w:pPr>
        <w:rPr>
          <w:szCs w:val="22"/>
          <w:lang w:val="en-GB"/>
        </w:rPr>
      </w:pPr>
    </w:p>
    <w:p w14:paraId="7C331AA9" w14:textId="77777777" w:rsidR="008F369D" w:rsidRPr="00F638AF" w:rsidRDefault="00016F29" w:rsidP="008F369D">
      <w:pPr>
        <w:rPr>
          <w:szCs w:val="22"/>
          <w:lang w:val="en-GB"/>
        </w:rPr>
      </w:pPr>
      <w:r w:rsidRPr="00845E2A">
        <w:rPr>
          <w:szCs w:val="22"/>
          <w:lang w:val="en-GB"/>
        </w:rPr>
        <w:t>Use sterile needle and syringe to prepare MabThera.</w:t>
      </w:r>
      <w:r>
        <w:rPr>
          <w:szCs w:val="22"/>
          <w:lang w:val="en-GB"/>
        </w:rPr>
        <w:t xml:space="preserve"> </w:t>
      </w:r>
      <w:r w:rsidRPr="00F638AF">
        <w:rPr>
          <w:szCs w:val="22"/>
          <w:lang w:val="en-GB"/>
        </w:rPr>
        <w:t>Aseptically withdraw the necessary amount of MabThera, and dilute to a calculated concentration of 1 to 4 mg/mL rituximab into an infusion bag containing sterile, pyrogen</w:t>
      </w:r>
      <w:r w:rsidR="000A6DDA" w:rsidRPr="00F638AF">
        <w:rPr>
          <w:szCs w:val="22"/>
          <w:lang w:val="en-GB"/>
        </w:rPr>
        <w:noBreakHyphen/>
      </w:r>
      <w:r w:rsidRPr="00F638AF">
        <w:rPr>
          <w:szCs w:val="22"/>
          <w:lang w:val="en-GB"/>
        </w:rPr>
        <w:t xml:space="preserve">free </w:t>
      </w:r>
      <w:r w:rsidRPr="00F638AF">
        <w:rPr>
          <w:lang w:val="en-GB"/>
        </w:rPr>
        <w:t>sodium chloride 9 mg/mL (0.9%) solution for injection</w:t>
      </w:r>
      <w:r w:rsidRPr="00F638AF">
        <w:rPr>
          <w:szCs w:val="22"/>
          <w:lang w:val="en-GB"/>
        </w:rPr>
        <w:t xml:space="preserve"> or 5% D</w:t>
      </w:r>
      <w:r w:rsidR="000A6DDA" w:rsidRPr="00F638AF">
        <w:rPr>
          <w:szCs w:val="22"/>
          <w:lang w:val="en-GB"/>
        </w:rPr>
        <w:noBreakHyphen/>
      </w:r>
      <w:r w:rsidRPr="00F638AF">
        <w:rPr>
          <w:szCs w:val="22"/>
          <w:lang w:val="en-GB"/>
        </w:rPr>
        <w:t>Glucose in water. For mixing the solution, gently invert the bag in order to avoid foaming. Care must be taken to ensure the sterility of prepared solutions. Since the medicinal product does not contain any anti</w:t>
      </w:r>
      <w:r w:rsidR="000A6DDA" w:rsidRPr="00F638AF">
        <w:rPr>
          <w:szCs w:val="22"/>
          <w:lang w:val="en-GB"/>
        </w:rPr>
        <w:noBreakHyphen/>
      </w:r>
      <w:r w:rsidRPr="00F638AF">
        <w:rPr>
          <w:szCs w:val="22"/>
          <w:lang w:val="en-GB"/>
        </w:rPr>
        <w:t xml:space="preserve">microbial preservative or bacteriostatic agents, aseptic technique must be observed. Parenteral medicinal products should be inspected visually for particulate matter and discolouration prior to administration. </w:t>
      </w:r>
    </w:p>
    <w:p w14:paraId="7C331AAA" w14:textId="77777777" w:rsidR="008F369D" w:rsidRPr="00F638AF" w:rsidRDefault="008F369D" w:rsidP="008F369D">
      <w:pPr>
        <w:rPr>
          <w:szCs w:val="22"/>
          <w:lang w:val="en-GB"/>
        </w:rPr>
      </w:pPr>
    </w:p>
    <w:p w14:paraId="7C331AAB" w14:textId="77777777" w:rsidR="008F369D" w:rsidRPr="00F638AF" w:rsidRDefault="00016F29" w:rsidP="008F369D">
      <w:pPr>
        <w:outlineLvl w:val="0"/>
        <w:rPr>
          <w:szCs w:val="22"/>
          <w:lang w:val="en-GB"/>
        </w:rPr>
      </w:pPr>
      <w:r w:rsidRPr="00F638AF">
        <w:rPr>
          <w:szCs w:val="22"/>
          <w:lang w:val="en-GB"/>
        </w:rPr>
        <w:t>Any unused medicinal product or waste material should be disposed of in accordance with local requirements.</w:t>
      </w:r>
    </w:p>
    <w:p w14:paraId="7C331AAC" w14:textId="77777777" w:rsidR="008F369D" w:rsidRPr="00F638AF" w:rsidRDefault="008F369D" w:rsidP="008F369D">
      <w:pPr>
        <w:rPr>
          <w:szCs w:val="22"/>
          <w:lang w:val="en-GB"/>
        </w:rPr>
      </w:pPr>
    </w:p>
    <w:p w14:paraId="7C331AAD" w14:textId="77777777" w:rsidR="008F369D" w:rsidRPr="00F638AF" w:rsidRDefault="008F369D" w:rsidP="008F369D">
      <w:pPr>
        <w:rPr>
          <w:szCs w:val="22"/>
          <w:lang w:val="en-GB"/>
        </w:rPr>
      </w:pPr>
    </w:p>
    <w:p w14:paraId="7C331AAE" w14:textId="77777777" w:rsidR="008F369D" w:rsidRPr="00F638AF" w:rsidRDefault="00016F29" w:rsidP="008F369D">
      <w:pPr>
        <w:keepNext/>
        <w:keepLines/>
        <w:ind w:left="562" w:hanging="562"/>
        <w:outlineLvl w:val="0"/>
        <w:rPr>
          <w:szCs w:val="22"/>
          <w:lang w:val="en-GB"/>
        </w:rPr>
      </w:pPr>
      <w:r w:rsidRPr="00F638AF">
        <w:rPr>
          <w:b/>
          <w:szCs w:val="22"/>
          <w:lang w:val="en-GB"/>
        </w:rPr>
        <w:t>7.</w:t>
      </w:r>
      <w:r w:rsidRPr="00F638AF">
        <w:rPr>
          <w:b/>
          <w:szCs w:val="22"/>
          <w:lang w:val="en-GB"/>
        </w:rPr>
        <w:tab/>
        <w:t>MARKETING AUTHORISATION HOLDER</w:t>
      </w:r>
    </w:p>
    <w:p w14:paraId="7C331AAF" w14:textId="77777777" w:rsidR="008F369D" w:rsidRPr="00F638AF" w:rsidRDefault="008F369D" w:rsidP="008F369D">
      <w:pPr>
        <w:rPr>
          <w:b/>
          <w:szCs w:val="22"/>
          <w:lang w:val="en-GB"/>
        </w:rPr>
      </w:pPr>
    </w:p>
    <w:p w14:paraId="7C331AB0" w14:textId="77777777" w:rsidR="00B0361F" w:rsidRPr="00F638AF" w:rsidRDefault="00016F29" w:rsidP="00B0361F">
      <w:r w:rsidRPr="00F638AF">
        <w:t xml:space="preserve">Roche Registration GmbH </w:t>
      </w:r>
    </w:p>
    <w:p w14:paraId="7C331AB1" w14:textId="77777777" w:rsidR="00B0361F" w:rsidRPr="00F638AF" w:rsidRDefault="00016F29" w:rsidP="00B0361F">
      <w:r w:rsidRPr="00F638AF">
        <w:t>Emil-Barell-Strasse 1</w:t>
      </w:r>
    </w:p>
    <w:p w14:paraId="7C331AB2" w14:textId="77777777" w:rsidR="00B0361F" w:rsidRPr="00F638AF" w:rsidRDefault="00016F29" w:rsidP="00B0361F">
      <w:r w:rsidRPr="00F638AF">
        <w:t>79639 Grenzach-Wyhlen</w:t>
      </w:r>
    </w:p>
    <w:p w14:paraId="7C331AB3" w14:textId="77777777" w:rsidR="00B0361F" w:rsidRPr="00F638AF" w:rsidRDefault="00016F29" w:rsidP="00B0361F">
      <w:r w:rsidRPr="00F638AF">
        <w:t>Germany</w:t>
      </w:r>
    </w:p>
    <w:p w14:paraId="7C331AB4" w14:textId="77777777" w:rsidR="008F369D" w:rsidRPr="00F638AF" w:rsidRDefault="008F369D" w:rsidP="008F369D">
      <w:pPr>
        <w:rPr>
          <w:szCs w:val="22"/>
        </w:rPr>
      </w:pPr>
    </w:p>
    <w:p w14:paraId="7C331AB5" w14:textId="77777777" w:rsidR="008F369D" w:rsidRPr="007830E0" w:rsidRDefault="008F369D" w:rsidP="008F369D"/>
    <w:p w14:paraId="7C331AB6" w14:textId="77777777" w:rsidR="008F369D" w:rsidRPr="00F638AF" w:rsidRDefault="00016F29" w:rsidP="008F369D">
      <w:pPr>
        <w:ind w:left="567" w:hanging="567"/>
        <w:outlineLvl w:val="0"/>
        <w:rPr>
          <w:b/>
          <w:szCs w:val="22"/>
          <w:lang w:val="en-GB"/>
        </w:rPr>
      </w:pPr>
      <w:r w:rsidRPr="00F638AF">
        <w:rPr>
          <w:b/>
          <w:szCs w:val="22"/>
          <w:lang w:val="en-GB"/>
        </w:rPr>
        <w:t>8.</w:t>
      </w:r>
      <w:r w:rsidRPr="00F638AF">
        <w:rPr>
          <w:b/>
          <w:szCs w:val="22"/>
          <w:lang w:val="en-GB"/>
        </w:rPr>
        <w:tab/>
        <w:t xml:space="preserve">MARKETING AUTHORISATION NUMBER(S) </w:t>
      </w:r>
    </w:p>
    <w:p w14:paraId="7C331AB7" w14:textId="77777777" w:rsidR="008F369D" w:rsidRPr="00F638AF" w:rsidRDefault="008F369D" w:rsidP="008F369D">
      <w:pPr>
        <w:rPr>
          <w:szCs w:val="22"/>
          <w:lang w:val="en-GB"/>
        </w:rPr>
      </w:pPr>
    </w:p>
    <w:p w14:paraId="7C331AB8" w14:textId="77777777" w:rsidR="006B49B7" w:rsidRPr="00F638AF" w:rsidRDefault="00016F29" w:rsidP="006B49B7">
      <w:pPr>
        <w:outlineLvl w:val="0"/>
        <w:rPr>
          <w:szCs w:val="22"/>
          <w:u w:val="single"/>
          <w:lang w:val="en-GB"/>
        </w:rPr>
      </w:pPr>
      <w:r w:rsidRPr="00F638AF">
        <w:rPr>
          <w:szCs w:val="22"/>
          <w:u w:val="single"/>
          <w:lang w:val="en-GB"/>
        </w:rPr>
        <w:t>MabThera 100 mg concentrate for solution for infusion</w:t>
      </w:r>
    </w:p>
    <w:p w14:paraId="7C331AB9" w14:textId="77777777" w:rsidR="008F369D" w:rsidRPr="00F638AF" w:rsidRDefault="00016F29" w:rsidP="008F369D">
      <w:pPr>
        <w:outlineLvl w:val="0"/>
        <w:rPr>
          <w:szCs w:val="22"/>
          <w:lang w:val="en-GB"/>
        </w:rPr>
      </w:pPr>
      <w:r w:rsidRPr="00F638AF">
        <w:rPr>
          <w:szCs w:val="22"/>
          <w:lang w:val="en-GB"/>
        </w:rPr>
        <w:t>EU/1/98/067/001</w:t>
      </w:r>
    </w:p>
    <w:p w14:paraId="7C331ABA" w14:textId="77777777" w:rsidR="008F369D" w:rsidRPr="00F638AF" w:rsidRDefault="008F369D" w:rsidP="008F369D">
      <w:pPr>
        <w:rPr>
          <w:szCs w:val="22"/>
          <w:lang w:val="en-GB"/>
        </w:rPr>
      </w:pPr>
    </w:p>
    <w:p w14:paraId="7C331ABB" w14:textId="77777777" w:rsidR="006B49B7" w:rsidRPr="00F638AF" w:rsidRDefault="00016F29" w:rsidP="006B49B7">
      <w:pPr>
        <w:outlineLvl w:val="0"/>
        <w:rPr>
          <w:szCs w:val="22"/>
          <w:u w:val="single"/>
          <w:lang w:val="en-GB"/>
        </w:rPr>
      </w:pPr>
      <w:r w:rsidRPr="00F638AF">
        <w:rPr>
          <w:szCs w:val="22"/>
          <w:u w:val="single"/>
          <w:lang w:val="en-GB"/>
        </w:rPr>
        <w:t xml:space="preserve">MabThera 500 mg concentrate for solution for infusion </w:t>
      </w:r>
    </w:p>
    <w:p w14:paraId="7C331ABC" w14:textId="77777777" w:rsidR="006B49B7" w:rsidRPr="00F638AF" w:rsidRDefault="00016F29" w:rsidP="006B49B7">
      <w:pPr>
        <w:outlineLvl w:val="0"/>
        <w:rPr>
          <w:szCs w:val="22"/>
          <w:lang w:val="en-GB"/>
        </w:rPr>
      </w:pPr>
      <w:r w:rsidRPr="00F638AF">
        <w:rPr>
          <w:szCs w:val="22"/>
          <w:lang w:val="en-GB"/>
        </w:rPr>
        <w:t>EU/1/98/067/002</w:t>
      </w:r>
    </w:p>
    <w:p w14:paraId="7C331ABD" w14:textId="77777777" w:rsidR="006B49B7" w:rsidRPr="00F638AF" w:rsidRDefault="006B49B7" w:rsidP="008F369D">
      <w:pPr>
        <w:rPr>
          <w:szCs w:val="22"/>
          <w:lang w:val="en-GB"/>
        </w:rPr>
      </w:pPr>
    </w:p>
    <w:p w14:paraId="7C331ABE" w14:textId="77777777" w:rsidR="008F369D" w:rsidRPr="00F638AF" w:rsidRDefault="008F369D" w:rsidP="008F369D">
      <w:pPr>
        <w:rPr>
          <w:szCs w:val="22"/>
          <w:lang w:val="en-GB"/>
        </w:rPr>
      </w:pPr>
    </w:p>
    <w:p w14:paraId="7C331ABF" w14:textId="77777777" w:rsidR="008F369D" w:rsidRPr="00F638AF" w:rsidRDefault="00016F29" w:rsidP="00E06A78">
      <w:pPr>
        <w:keepNext/>
        <w:keepLines/>
        <w:ind w:left="567" w:hanging="567"/>
        <w:outlineLvl w:val="0"/>
        <w:rPr>
          <w:szCs w:val="22"/>
          <w:lang w:val="en-GB"/>
        </w:rPr>
      </w:pPr>
      <w:r w:rsidRPr="00F638AF">
        <w:rPr>
          <w:b/>
          <w:szCs w:val="22"/>
          <w:lang w:val="en-GB"/>
        </w:rPr>
        <w:t>9.</w:t>
      </w:r>
      <w:r w:rsidRPr="00F638AF">
        <w:rPr>
          <w:b/>
          <w:szCs w:val="22"/>
          <w:lang w:val="en-GB"/>
        </w:rPr>
        <w:tab/>
        <w:t>DATE OF FIRST AUTHORISATION/RENEWAL OF THE AUTHORISATION</w:t>
      </w:r>
    </w:p>
    <w:p w14:paraId="7C331AC0" w14:textId="77777777" w:rsidR="008F369D" w:rsidRPr="00F638AF" w:rsidRDefault="008F369D" w:rsidP="00E06A78">
      <w:pPr>
        <w:keepNext/>
        <w:keepLines/>
        <w:rPr>
          <w:szCs w:val="22"/>
          <w:lang w:val="en-GB"/>
        </w:rPr>
      </w:pPr>
    </w:p>
    <w:p w14:paraId="7C331AC1" w14:textId="77777777" w:rsidR="008F369D" w:rsidRPr="00F638AF" w:rsidRDefault="00016F29" w:rsidP="00E06A78">
      <w:pPr>
        <w:keepNext/>
        <w:keepLines/>
        <w:autoSpaceDE w:val="0"/>
        <w:autoSpaceDN w:val="0"/>
        <w:adjustRightInd w:val="0"/>
        <w:outlineLvl w:val="0"/>
        <w:rPr>
          <w:rFonts w:ascii="TimesNewRoman,Italic" w:eastAsia="MS Mincho" w:hAnsi="TimesNewRoman,Italic" w:cs="TimesNewRoman,Italic"/>
          <w:iCs/>
          <w:szCs w:val="22"/>
          <w:lang w:val="en-GB" w:eastAsia="zh-CN"/>
        </w:rPr>
      </w:pPr>
      <w:r w:rsidRPr="00F638AF">
        <w:rPr>
          <w:rFonts w:ascii="TimesNewRoman,Italic" w:eastAsia="MS Mincho" w:hAnsi="TimesNewRoman,Italic" w:cs="TimesNewRoman,Italic"/>
          <w:iCs/>
          <w:szCs w:val="22"/>
          <w:lang w:val="en-GB" w:eastAsia="zh-CN"/>
        </w:rPr>
        <w:t xml:space="preserve">Date of first authorisation: </w:t>
      </w:r>
      <w:r w:rsidRPr="00F638AF">
        <w:rPr>
          <w:szCs w:val="22"/>
          <w:lang w:val="en-GB"/>
        </w:rPr>
        <w:t xml:space="preserve">2 June 1998 </w:t>
      </w:r>
    </w:p>
    <w:p w14:paraId="7C331AC2" w14:textId="77777777" w:rsidR="008F369D" w:rsidRPr="00F638AF" w:rsidRDefault="00016F29" w:rsidP="008F369D">
      <w:pPr>
        <w:autoSpaceDE w:val="0"/>
        <w:autoSpaceDN w:val="0"/>
        <w:adjustRightInd w:val="0"/>
        <w:rPr>
          <w:rFonts w:ascii="TimesNewRoman,Italic" w:eastAsia="MS Mincho" w:hAnsi="TimesNewRoman,Italic" w:cs="TimesNewRoman,Italic"/>
          <w:sz w:val="20"/>
          <w:lang w:val="en-GB" w:eastAsia="zh-CN"/>
        </w:rPr>
      </w:pPr>
      <w:r w:rsidRPr="00F638AF">
        <w:rPr>
          <w:rFonts w:ascii="TimesNewRoman,Italic" w:eastAsia="MS Mincho" w:hAnsi="TimesNewRoman,Italic" w:cs="TimesNewRoman,Italic"/>
          <w:iCs/>
          <w:szCs w:val="22"/>
          <w:lang w:val="en-GB" w:eastAsia="zh-CN"/>
        </w:rPr>
        <w:t>Date of latest renewal:</w:t>
      </w:r>
      <w:r w:rsidRPr="00F638AF">
        <w:rPr>
          <w:szCs w:val="22"/>
          <w:lang w:val="en-GB"/>
        </w:rPr>
        <w:t xml:space="preserve"> 2 June 2008</w:t>
      </w:r>
    </w:p>
    <w:p w14:paraId="7C331AC3" w14:textId="77777777" w:rsidR="008F369D" w:rsidRPr="00F638AF" w:rsidRDefault="008F369D" w:rsidP="008F369D">
      <w:pPr>
        <w:rPr>
          <w:szCs w:val="22"/>
          <w:lang w:val="en-GB"/>
        </w:rPr>
      </w:pPr>
    </w:p>
    <w:p w14:paraId="7C331AC4" w14:textId="77777777" w:rsidR="008F369D" w:rsidRPr="00F638AF" w:rsidRDefault="008F369D" w:rsidP="008F369D">
      <w:pPr>
        <w:rPr>
          <w:szCs w:val="22"/>
          <w:lang w:val="en-GB"/>
        </w:rPr>
      </w:pPr>
    </w:p>
    <w:p w14:paraId="7C331AC5" w14:textId="77777777" w:rsidR="008F369D" w:rsidRPr="00F638AF" w:rsidRDefault="00016F29" w:rsidP="008F369D">
      <w:pPr>
        <w:keepNext/>
        <w:ind w:left="567" w:hanging="567"/>
        <w:outlineLvl w:val="0"/>
        <w:rPr>
          <w:b/>
          <w:szCs w:val="22"/>
          <w:lang w:val="en-GB"/>
        </w:rPr>
      </w:pPr>
      <w:r w:rsidRPr="00F638AF">
        <w:rPr>
          <w:b/>
          <w:szCs w:val="22"/>
          <w:lang w:val="en-GB"/>
        </w:rPr>
        <w:t>10.</w:t>
      </w:r>
      <w:r w:rsidRPr="00F638AF">
        <w:rPr>
          <w:b/>
          <w:szCs w:val="22"/>
          <w:lang w:val="en-GB"/>
        </w:rPr>
        <w:tab/>
        <w:t>DATE OF REVISION OF THE TEXT</w:t>
      </w:r>
    </w:p>
    <w:p w14:paraId="7C331AC6" w14:textId="77777777" w:rsidR="008F369D" w:rsidRPr="00F638AF" w:rsidRDefault="008F369D" w:rsidP="008F369D">
      <w:pPr>
        <w:rPr>
          <w:szCs w:val="22"/>
          <w:lang w:val="en-GB"/>
        </w:rPr>
      </w:pPr>
    </w:p>
    <w:p w14:paraId="7C331AC7" w14:textId="77777777" w:rsidR="008F369D" w:rsidRPr="00525A55" w:rsidRDefault="00016F29" w:rsidP="008F369D">
      <w:pPr>
        <w:autoSpaceDE w:val="0"/>
        <w:autoSpaceDN w:val="0"/>
        <w:adjustRightInd w:val="0"/>
        <w:rPr>
          <w:rFonts w:ascii="TimesNewRoman,Italic" w:eastAsia="MS Mincho" w:hAnsi="TimesNewRoman,Italic" w:cs="TimesNewRoman,Italic"/>
          <w:iCs/>
          <w:szCs w:val="22"/>
          <w:lang w:val="en-GB" w:eastAsia="zh-CN"/>
        </w:rPr>
      </w:pPr>
      <w:r w:rsidRPr="00F638AF">
        <w:rPr>
          <w:rFonts w:ascii="TimesNewRoman,Italic" w:eastAsia="MS Mincho" w:hAnsi="TimesNewRoman,Italic" w:cs="TimesNewRoman,Italic"/>
          <w:iCs/>
          <w:szCs w:val="22"/>
          <w:lang w:val="en-GB" w:eastAsia="zh-CN"/>
        </w:rPr>
        <w:t>Detailed information on this medicinal product is available on the website of the European Medicines Agency (EMA) http://www.ema.europa.eu/</w:t>
      </w:r>
    </w:p>
    <w:p w14:paraId="7C331AC8" w14:textId="77777777" w:rsidR="008F369D" w:rsidRPr="00EF300D" w:rsidRDefault="008F369D" w:rsidP="008F369D">
      <w:pPr>
        <w:autoSpaceDE w:val="0"/>
        <w:autoSpaceDN w:val="0"/>
        <w:adjustRightInd w:val="0"/>
        <w:rPr>
          <w:rFonts w:ascii="TimesNewRoman,Italic" w:eastAsia="MS Mincho" w:hAnsi="TimesNewRoman,Italic" w:cs="TimesNewRoman,Italic"/>
          <w:iCs/>
          <w:szCs w:val="22"/>
          <w:lang w:val="en-GB" w:eastAsia="zh-CN"/>
        </w:rPr>
      </w:pPr>
    </w:p>
    <w:p w14:paraId="7C331AC9" w14:textId="77777777" w:rsidR="008F369D" w:rsidRPr="00C501E3" w:rsidRDefault="00016F29" w:rsidP="006B49B7">
      <w:pPr>
        <w:ind w:left="567" w:hanging="567"/>
        <w:rPr>
          <w:szCs w:val="22"/>
          <w:lang w:val="en-GB"/>
        </w:rPr>
      </w:pPr>
      <w:r w:rsidRPr="00B74C6D">
        <w:rPr>
          <w:b/>
          <w:szCs w:val="22"/>
          <w:lang w:val="en-GB"/>
        </w:rPr>
        <w:br w:type="page"/>
      </w:r>
      <w:r w:rsidRPr="00C501E3">
        <w:rPr>
          <w:b/>
          <w:szCs w:val="22"/>
          <w:lang w:val="en-GB"/>
        </w:rPr>
        <w:t>1.</w:t>
      </w:r>
      <w:r w:rsidRPr="00C501E3">
        <w:rPr>
          <w:b/>
          <w:szCs w:val="22"/>
          <w:lang w:val="en-GB"/>
        </w:rPr>
        <w:tab/>
        <w:t>NAME OF THE MEDICINAL PRODUCT</w:t>
      </w:r>
    </w:p>
    <w:p w14:paraId="7C331ACA" w14:textId="77777777" w:rsidR="008F369D" w:rsidRPr="00C501E3" w:rsidRDefault="008F369D" w:rsidP="008F369D">
      <w:pPr>
        <w:rPr>
          <w:szCs w:val="22"/>
          <w:lang w:val="en-GB"/>
        </w:rPr>
      </w:pPr>
    </w:p>
    <w:p w14:paraId="7C331ACB" w14:textId="77777777" w:rsidR="008F369D" w:rsidRPr="00C501E3" w:rsidRDefault="00016F29" w:rsidP="008F369D">
      <w:pPr>
        <w:outlineLvl w:val="0"/>
        <w:rPr>
          <w:szCs w:val="22"/>
          <w:lang w:val="en-GB"/>
        </w:rPr>
      </w:pPr>
      <w:r w:rsidRPr="00C501E3">
        <w:rPr>
          <w:szCs w:val="22"/>
          <w:lang w:val="en-GB"/>
        </w:rPr>
        <w:t>MabThera 1400 mg solution for subcutaneous injection</w:t>
      </w:r>
    </w:p>
    <w:p w14:paraId="7C331ACC" w14:textId="77777777" w:rsidR="008F369D" w:rsidRPr="00C501E3" w:rsidRDefault="008F369D" w:rsidP="008F369D">
      <w:pPr>
        <w:outlineLvl w:val="0"/>
        <w:rPr>
          <w:szCs w:val="22"/>
          <w:lang w:val="en-GB"/>
        </w:rPr>
      </w:pPr>
    </w:p>
    <w:p w14:paraId="7C331ACD" w14:textId="77777777" w:rsidR="008F369D" w:rsidRPr="00C501E3" w:rsidRDefault="008F369D" w:rsidP="008F369D">
      <w:pPr>
        <w:rPr>
          <w:szCs w:val="22"/>
          <w:lang w:val="en-GB"/>
        </w:rPr>
      </w:pPr>
    </w:p>
    <w:p w14:paraId="7C331ACE" w14:textId="77777777" w:rsidR="008F369D" w:rsidRPr="00C501E3" w:rsidRDefault="00016F29" w:rsidP="008F369D">
      <w:pPr>
        <w:ind w:left="567" w:hanging="567"/>
        <w:outlineLvl w:val="0"/>
        <w:rPr>
          <w:szCs w:val="22"/>
          <w:lang w:val="en-GB"/>
        </w:rPr>
      </w:pPr>
      <w:r w:rsidRPr="00C501E3">
        <w:rPr>
          <w:b/>
          <w:szCs w:val="22"/>
          <w:lang w:val="en-GB"/>
        </w:rPr>
        <w:t>2.</w:t>
      </w:r>
      <w:r w:rsidRPr="00C501E3">
        <w:rPr>
          <w:b/>
          <w:szCs w:val="22"/>
          <w:lang w:val="en-GB"/>
        </w:rPr>
        <w:tab/>
        <w:t>QUALITATIVE AND QUANTITATIVE COMPOSITION</w:t>
      </w:r>
    </w:p>
    <w:p w14:paraId="7C331ACF" w14:textId="77777777" w:rsidR="008F369D" w:rsidRPr="00C501E3" w:rsidRDefault="008F369D" w:rsidP="008F369D">
      <w:pPr>
        <w:rPr>
          <w:i/>
          <w:szCs w:val="22"/>
          <w:lang w:val="en-GB"/>
        </w:rPr>
      </w:pPr>
    </w:p>
    <w:p w14:paraId="7C331AD0" w14:textId="77777777" w:rsidR="008F369D" w:rsidRPr="00C501E3" w:rsidRDefault="00016F29" w:rsidP="008F369D">
      <w:pPr>
        <w:outlineLvl w:val="0"/>
        <w:rPr>
          <w:szCs w:val="22"/>
          <w:lang w:val="en-GB"/>
        </w:rPr>
      </w:pPr>
      <w:r w:rsidRPr="00C501E3">
        <w:rPr>
          <w:szCs w:val="22"/>
          <w:lang w:val="en-GB"/>
        </w:rPr>
        <w:t>Each mL contains 120 mg of rituximab.</w:t>
      </w:r>
    </w:p>
    <w:p w14:paraId="7C331AD1" w14:textId="77777777" w:rsidR="008F369D" w:rsidRPr="00C501E3" w:rsidRDefault="008F369D" w:rsidP="008F369D">
      <w:pPr>
        <w:rPr>
          <w:szCs w:val="22"/>
          <w:lang w:val="en-GB"/>
        </w:rPr>
      </w:pPr>
    </w:p>
    <w:p w14:paraId="7C331AD2" w14:textId="77777777" w:rsidR="008F369D" w:rsidRPr="00C501E3" w:rsidRDefault="00016F29" w:rsidP="008F369D">
      <w:pPr>
        <w:outlineLvl w:val="0"/>
        <w:rPr>
          <w:szCs w:val="22"/>
          <w:lang w:val="en-GB"/>
        </w:rPr>
      </w:pPr>
      <w:r w:rsidRPr="00C501E3">
        <w:rPr>
          <w:szCs w:val="22"/>
          <w:lang w:val="en-GB"/>
        </w:rPr>
        <w:t>Each vial contain</w:t>
      </w:r>
      <w:r w:rsidRPr="00C501E3">
        <w:rPr>
          <w:b/>
          <w:szCs w:val="22"/>
          <w:lang w:val="en-GB"/>
        </w:rPr>
        <w:t>s</w:t>
      </w:r>
      <w:r w:rsidRPr="00C501E3">
        <w:rPr>
          <w:szCs w:val="22"/>
          <w:lang w:val="en-GB"/>
        </w:rPr>
        <w:t xml:space="preserve"> 1400 mg/11.7 mL rituximab.</w:t>
      </w:r>
    </w:p>
    <w:p w14:paraId="7C331AD3" w14:textId="77777777" w:rsidR="008F369D" w:rsidRPr="00C501E3" w:rsidRDefault="008F369D" w:rsidP="008F369D">
      <w:pPr>
        <w:rPr>
          <w:szCs w:val="22"/>
          <w:lang w:val="en-GB"/>
        </w:rPr>
      </w:pPr>
    </w:p>
    <w:p w14:paraId="7C331AD4" w14:textId="77777777" w:rsidR="008D0B9A" w:rsidRDefault="00016F29" w:rsidP="008D0B9A">
      <w:pPr>
        <w:rPr>
          <w:szCs w:val="22"/>
          <w:lang w:val="en-GB"/>
        </w:rPr>
      </w:pPr>
      <w:r w:rsidRPr="00091EB5">
        <w:rPr>
          <w:szCs w:val="22"/>
          <w:lang w:val="en-GB"/>
        </w:rPr>
        <w:t>Rituximab is a genetically engineered chimeric mouse/human monoclonal antibody representing a glycosylated immunoglobulin with human IgG1 constant regions and murine light</w:t>
      </w:r>
      <w:r w:rsidR="000A6DDA" w:rsidRPr="00091EB5">
        <w:rPr>
          <w:szCs w:val="22"/>
          <w:lang w:val="en-GB"/>
        </w:rPr>
        <w:noBreakHyphen/>
      </w:r>
      <w:r w:rsidRPr="00091EB5">
        <w:rPr>
          <w:szCs w:val="22"/>
          <w:lang w:val="en-GB"/>
        </w:rPr>
        <w:t>chain and heavy</w:t>
      </w:r>
      <w:r w:rsidR="000A6DDA" w:rsidRPr="00091EB5">
        <w:rPr>
          <w:szCs w:val="22"/>
          <w:lang w:val="en-GB"/>
        </w:rPr>
        <w:noBreakHyphen/>
      </w:r>
      <w:r w:rsidRPr="00091EB5">
        <w:rPr>
          <w:szCs w:val="22"/>
          <w:lang w:val="en-GB"/>
        </w:rPr>
        <w:t>chain variable region sequences. The antibody is produced by mammalian (Chinese hamster ovary)</w:t>
      </w:r>
      <w:r w:rsidRPr="00C501E3">
        <w:rPr>
          <w:szCs w:val="22"/>
          <w:lang w:val="en-GB"/>
        </w:rPr>
        <w:t xml:space="preserve"> cell suspension culture and purified by affinity chromatography and ion exchange, including specific viral inactivation and removal procedures.</w:t>
      </w:r>
      <w:r w:rsidRPr="008D0B9A">
        <w:rPr>
          <w:szCs w:val="22"/>
          <w:lang w:val="en-GB"/>
        </w:rPr>
        <w:t xml:space="preserve"> </w:t>
      </w:r>
    </w:p>
    <w:p w14:paraId="7C331AD5" w14:textId="77777777" w:rsidR="008D0B9A" w:rsidRDefault="008D0B9A" w:rsidP="008D0B9A">
      <w:pPr>
        <w:rPr>
          <w:szCs w:val="22"/>
          <w:lang w:val="en-GB"/>
        </w:rPr>
      </w:pPr>
    </w:p>
    <w:p w14:paraId="7C331AD6" w14:textId="77777777" w:rsidR="008F369D" w:rsidRPr="00C501E3" w:rsidRDefault="00016F29" w:rsidP="00E06A78">
      <w:pPr>
        <w:rPr>
          <w:szCs w:val="22"/>
          <w:lang w:val="en-GB"/>
        </w:rPr>
      </w:pPr>
      <w:r w:rsidRPr="00C501E3">
        <w:rPr>
          <w:szCs w:val="22"/>
          <w:lang w:val="en-GB"/>
        </w:rPr>
        <w:t xml:space="preserve">For the full list of excipients, see section 6.1. </w:t>
      </w:r>
    </w:p>
    <w:p w14:paraId="7C331AD7" w14:textId="77777777" w:rsidR="008F369D" w:rsidRPr="00C501E3" w:rsidRDefault="008F369D" w:rsidP="008F369D">
      <w:pPr>
        <w:rPr>
          <w:szCs w:val="22"/>
          <w:lang w:val="en-GB"/>
        </w:rPr>
      </w:pPr>
    </w:p>
    <w:p w14:paraId="7C331AD8" w14:textId="77777777" w:rsidR="008F369D" w:rsidRPr="00C501E3" w:rsidRDefault="008F369D" w:rsidP="008F369D">
      <w:pPr>
        <w:rPr>
          <w:szCs w:val="22"/>
          <w:lang w:val="en-GB"/>
        </w:rPr>
      </w:pPr>
    </w:p>
    <w:p w14:paraId="7C331AD9" w14:textId="77777777" w:rsidR="008F369D" w:rsidRPr="00C501E3" w:rsidRDefault="00016F29" w:rsidP="008F369D">
      <w:pPr>
        <w:ind w:left="567" w:hanging="567"/>
        <w:outlineLvl w:val="0"/>
        <w:rPr>
          <w:caps/>
          <w:szCs w:val="22"/>
          <w:lang w:val="en-GB"/>
        </w:rPr>
      </w:pPr>
      <w:r w:rsidRPr="00C501E3">
        <w:rPr>
          <w:b/>
          <w:szCs w:val="22"/>
          <w:lang w:val="en-GB"/>
        </w:rPr>
        <w:t>3.</w:t>
      </w:r>
      <w:r w:rsidRPr="00C501E3">
        <w:rPr>
          <w:b/>
          <w:szCs w:val="22"/>
          <w:lang w:val="en-GB"/>
        </w:rPr>
        <w:tab/>
        <w:t xml:space="preserve">PHARMACEUTICAL </w:t>
      </w:r>
      <w:r w:rsidRPr="00C501E3">
        <w:rPr>
          <w:b/>
          <w:caps/>
          <w:szCs w:val="22"/>
          <w:lang w:val="en-GB"/>
        </w:rPr>
        <w:t>form</w:t>
      </w:r>
    </w:p>
    <w:p w14:paraId="7C331ADA" w14:textId="77777777" w:rsidR="008F369D" w:rsidRPr="00C501E3" w:rsidRDefault="008F369D" w:rsidP="008F369D">
      <w:pPr>
        <w:rPr>
          <w:szCs w:val="22"/>
          <w:lang w:val="en-GB"/>
        </w:rPr>
      </w:pPr>
    </w:p>
    <w:p w14:paraId="7C331ADB" w14:textId="77777777" w:rsidR="008F369D" w:rsidRPr="00C501E3" w:rsidRDefault="00016F29" w:rsidP="008F369D">
      <w:pPr>
        <w:outlineLvl w:val="0"/>
        <w:rPr>
          <w:szCs w:val="22"/>
          <w:lang w:val="en-GB"/>
        </w:rPr>
      </w:pPr>
      <w:r w:rsidRPr="00C501E3">
        <w:rPr>
          <w:lang w:val="en-GB"/>
        </w:rPr>
        <w:t>Solution for injection</w:t>
      </w:r>
      <w:r w:rsidRPr="00C501E3">
        <w:rPr>
          <w:szCs w:val="22"/>
          <w:lang w:val="en-GB"/>
        </w:rPr>
        <w:t>.</w:t>
      </w:r>
    </w:p>
    <w:p w14:paraId="7C331ADC" w14:textId="77777777" w:rsidR="008F369D" w:rsidRPr="00C501E3" w:rsidRDefault="008F369D" w:rsidP="008F369D">
      <w:pPr>
        <w:rPr>
          <w:szCs w:val="22"/>
          <w:lang w:val="en-GB"/>
        </w:rPr>
      </w:pPr>
    </w:p>
    <w:p w14:paraId="7C331ADD" w14:textId="77777777" w:rsidR="008F369D" w:rsidRPr="00C501E3" w:rsidRDefault="00016F29" w:rsidP="005B2928">
      <w:pPr>
        <w:autoSpaceDE w:val="0"/>
        <w:autoSpaceDN w:val="0"/>
        <w:adjustRightInd w:val="0"/>
        <w:rPr>
          <w:szCs w:val="22"/>
          <w:lang w:val="en-GB"/>
        </w:rPr>
      </w:pPr>
      <w:r w:rsidRPr="00C501E3">
        <w:rPr>
          <w:szCs w:val="22"/>
          <w:lang w:val="en-GB"/>
        </w:rPr>
        <w:t>Clear to opalescent, colourless to yellowish liquid</w:t>
      </w:r>
      <w:r w:rsidR="00142420">
        <w:rPr>
          <w:szCs w:val="22"/>
          <w:lang w:val="en-GB"/>
        </w:rPr>
        <w:t xml:space="preserve"> </w:t>
      </w:r>
      <w:r w:rsidR="004B6851">
        <w:rPr>
          <w:szCs w:val="22"/>
          <w:lang w:val="en-GB"/>
        </w:rPr>
        <w:t>with pH of 5.</w:t>
      </w:r>
      <w:r w:rsidR="004B6851" w:rsidRPr="00FD5E47">
        <w:rPr>
          <w:szCs w:val="22"/>
          <w:lang w:val="en-GB"/>
        </w:rPr>
        <w:t>2 – 5.8</w:t>
      </w:r>
      <w:r w:rsidR="004B6851">
        <w:rPr>
          <w:szCs w:val="22"/>
          <w:lang w:val="en-GB"/>
        </w:rPr>
        <w:t xml:space="preserve"> and osmolality of </w:t>
      </w:r>
      <w:r w:rsidR="004B6851" w:rsidRPr="002130CF">
        <w:rPr>
          <w:szCs w:val="22"/>
          <w:lang w:val="en-GB"/>
        </w:rPr>
        <w:t xml:space="preserve">300 - 400 </w:t>
      </w:r>
      <w:r w:rsidR="004B6851">
        <w:rPr>
          <w:szCs w:val="22"/>
          <w:lang w:val="en-GB"/>
        </w:rPr>
        <w:t>mOsm</w:t>
      </w:r>
      <w:r w:rsidR="002667BA">
        <w:rPr>
          <w:szCs w:val="22"/>
          <w:lang w:val="en-GB"/>
        </w:rPr>
        <w:t>o</w:t>
      </w:r>
      <w:r w:rsidR="004A0FA1">
        <w:rPr>
          <w:szCs w:val="22"/>
          <w:lang w:val="en-GB"/>
        </w:rPr>
        <w:t>l</w:t>
      </w:r>
      <w:r w:rsidR="007845EA">
        <w:rPr>
          <w:szCs w:val="22"/>
          <w:lang w:val="en-GB"/>
        </w:rPr>
        <w:t>/kg</w:t>
      </w:r>
      <w:r w:rsidR="007830E0" w:rsidRPr="00C501E3">
        <w:rPr>
          <w:szCs w:val="22"/>
          <w:lang w:val="en-GB"/>
        </w:rPr>
        <w:t>.</w:t>
      </w:r>
      <w:r w:rsidRPr="00C501E3">
        <w:rPr>
          <w:szCs w:val="22"/>
          <w:lang w:val="en-GB" w:eastAsia="en-GB"/>
        </w:rPr>
        <w:t xml:space="preserve"> </w:t>
      </w:r>
    </w:p>
    <w:p w14:paraId="7C331ADE" w14:textId="77777777" w:rsidR="008F369D" w:rsidRPr="00C501E3" w:rsidRDefault="008F369D" w:rsidP="008F369D">
      <w:pPr>
        <w:rPr>
          <w:bCs/>
          <w:caps/>
          <w:szCs w:val="22"/>
          <w:lang w:val="en-GB"/>
        </w:rPr>
      </w:pPr>
    </w:p>
    <w:p w14:paraId="7C331ADF" w14:textId="77777777" w:rsidR="008F369D" w:rsidRPr="00C501E3" w:rsidRDefault="008F369D" w:rsidP="008F369D">
      <w:pPr>
        <w:rPr>
          <w:bCs/>
          <w:caps/>
          <w:szCs w:val="22"/>
          <w:lang w:val="en-GB"/>
        </w:rPr>
      </w:pPr>
    </w:p>
    <w:p w14:paraId="7C331AE0" w14:textId="77777777" w:rsidR="008F369D" w:rsidRPr="00C501E3" w:rsidRDefault="00016F29" w:rsidP="008F369D">
      <w:pPr>
        <w:ind w:left="567" w:hanging="567"/>
        <w:outlineLvl w:val="0"/>
        <w:rPr>
          <w:caps/>
          <w:szCs w:val="22"/>
          <w:lang w:val="en-GB"/>
        </w:rPr>
      </w:pPr>
      <w:r w:rsidRPr="00C501E3">
        <w:rPr>
          <w:b/>
          <w:caps/>
          <w:szCs w:val="22"/>
          <w:lang w:val="en-GB"/>
        </w:rPr>
        <w:t>4.</w:t>
      </w:r>
      <w:r w:rsidRPr="00C501E3">
        <w:rPr>
          <w:b/>
          <w:caps/>
          <w:szCs w:val="22"/>
          <w:lang w:val="en-GB"/>
        </w:rPr>
        <w:tab/>
        <w:t>Clinical particulars</w:t>
      </w:r>
    </w:p>
    <w:p w14:paraId="7C331AE1" w14:textId="77777777" w:rsidR="008F369D" w:rsidRPr="00C501E3" w:rsidRDefault="008F369D" w:rsidP="008F369D">
      <w:pPr>
        <w:ind w:left="567" w:hanging="567"/>
        <w:rPr>
          <w:szCs w:val="22"/>
          <w:lang w:val="en-GB"/>
        </w:rPr>
      </w:pPr>
    </w:p>
    <w:p w14:paraId="7C331AE2" w14:textId="77777777" w:rsidR="008F369D" w:rsidRPr="00C501E3" w:rsidRDefault="00016F29" w:rsidP="008F369D">
      <w:pPr>
        <w:ind w:left="567" w:hanging="567"/>
        <w:outlineLvl w:val="0"/>
        <w:rPr>
          <w:b/>
          <w:szCs w:val="22"/>
          <w:lang w:val="en-GB"/>
        </w:rPr>
      </w:pPr>
      <w:r w:rsidRPr="00C501E3">
        <w:rPr>
          <w:b/>
          <w:szCs w:val="22"/>
          <w:lang w:val="en-GB"/>
        </w:rPr>
        <w:t>4.1</w:t>
      </w:r>
      <w:r w:rsidRPr="00C501E3">
        <w:rPr>
          <w:b/>
          <w:szCs w:val="22"/>
          <w:lang w:val="en-GB"/>
        </w:rPr>
        <w:tab/>
        <w:t>Therapeutic indications</w:t>
      </w:r>
    </w:p>
    <w:p w14:paraId="7C331AE3" w14:textId="77777777" w:rsidR="008F369D" w:rsidRPr="00C501E3" w:rsidRDefault="008F369D" w:rsidP="008F369D">
      <w:pPr>
        <w:autoSpaceDE w:val="0"/>
        <w:autoSpaceDN w:val="0"/>
        <w:adjustRightInd w:val="0"/>
        <w:jc w:val="both"/>
        <w:rPr>
          <w:szCs w:val="22"/>
          <w:lang w:val="en-GB" w:eastAsia="en-GB"/>
        </w:rPr>
      </w:pPr>
    </w:p>
    <w:p w14:paraId="7C331AE4" w14:textId="77777777" w:rsidR="008F369D" w:rsidRPr="001D1B3C" w:rsidRDefault="00016F29" w:rsidP="008F369D">
      <w:pPr>
        <w:rPr>
          <w:szCs w:val="22"/>
          <w:lang w:val="en-GB" w:eastAsia="en-GB"/>
        </w:rPr>
      </w:pPr>
      <w:r w:rsidRPr="001D1B3C">
        <w:rPr>
          <w:szCs w:val="22"/>
          <w:lang w:val="en-GB" w:eastAsia="en-GB"/>
        </w:rPr>
        <w:t xml:space="preserve">MabThera is indicated in adults for </w:t>
      </w:r>
      <w:r w:rsidRPr="001D1B3C">
        <w:rPr>
          <w:szCs w:val="22"/>
          <w:lang w:val="en-GB"/>
        </w:rPr>
        <w:t>Non</w:t>
      </w:r>
      <w:r w:rsidR="000A6DDA" w:rsidRPr="001D1B3C">
        <w:rPr>
          <w:szCs w:val="22"/>
          <w:lang w:val="en-GB"/>
        </w:rPr>
        <w:noBreakHyphen/>
      </w:r>
      <w:r w:rsidRPr="001D1B3C">
        <w:rPr>
          <w:szCs w:val="22"/>
          <w:lang w:val="en-GB"/>
        </w:rPr>
        <w:t>Hodgkin’s lymphoma (NHL)</w:t>
      </w:r>
      <w:r w:rsidRPr="001D1B3C">
        <w:rPr>
          <w:szCs w:val="22"/>
          <w:lang w:val="en-GB" w:eastAsia="en-GB"/>
        </w:rPr>
        <w:t xml:space="preserve">: </w:t>
      </w:r>
    </w:p>
    <w:p w14:paraId="7C331AE5" w14:textId="77777777" w:rsidR="00BE1B78" w:rsidRPr="001D1B3C" w:rsidRDefault="00BE1B78" w:rsidP="008F369D">
      <w:pPr>
        <w:rPr>
          <w:b/>
          <w:szCs w:val="22"/>
          <w:lang w:val="en-GB"/>
        </w:rPr>
      </w:pPr>
    </w:p>
    <w:p w14:paraId="7C331AE6" w14:textId="77777777" w:rsidR="008F369D" w:rsidRPr="001D1B3C" w:rsidRDefault="00016F29" w:rsidP="008F369D">
      <w:pPr>
        <w:rPr>
          <w:szCs w:val="22"/>
          <w:lang w:val="en-GB"/>
        </w:rPr>
      </w:pPr>
      <w:r w:rsidRPr="001D1B3C">
        <w:rPr>
          <w:snapToGrid w:val="0"/>
          <w:szCs w:val="22"/>
          <w:lang w:val="en-GB" w:eastAsia="en-US"/>
        </w:rPr>
        <w:t>MabThera is indicated for the treatment of previously untreated patients with stage III</w:t>
      </w:r>
      <w:r w:rsidR="000A6DDA" w:rsidRPr="001D1B3C">
        <w:rPr>
          <w:snapToGrid w:val="0"/>
          <w:szCs w:val="22"/>
          <w:lang w:val="en-GB" w:eastAsia="en-US"/>
        </w:rPr>
        <w:noBreakHyphen/>
      </w:r>
      <w:r w:rsidRPr="001D1B3C">
        <w:rPr>
          <w:snapToGrid w:val="0"/>
          <w:szCs w:val="22"/>
          <w:lang w:val="en-GB" w:eastAsia="en-US"/>
        </w:rPr>
        <w:t xml:space="preserve">IV follicular lymphoma in combination with chemotherapy. </w:t>
      </w:r>
    </w:p>
    <w:p w14:paraId="7C331AE7" w14:textId="77777777" w:rsidR="008F369D" w:rsidRPr="001D1B3C" w:rsidRDefault="008F369D" w:rsidP="008F369D">
      <w:pPr>
        <w:rPr>
          <w:szCs w:val="22"/>
          <w:lang w:val="en-GB"/>
        </w:rPr>
      </w:pPr>
    </w:p>
    <w:p w14:paraId="7C331AE8" w14:textId="77777777" w:rsidR="008F369D" w:rsidRPr="001D1B3C" w:rsidRDefault="00016F29" w:rsidP="008F369D">
      <w:pPr>
        <w:rPr>
          <w:lang w:val="en-GB"/>
        </w:rPr>
      </w:pPr>
      <w:r w:rsidRPr="001D1B3C">
        <w:rPr>
          <w:snapToGrid w:val="0"/>
          <w:szCs w:val="22"/>
          <w:lang w:val="en-GB" w:eastAsia="en-US"/>
        </w:rPr>
        <w:t>MabThera maintenance therapy is indicated for the treatment of follicular lymphoma patients responding to induction therapy.</w:t>
      </w:r>
      <w:r w:rsidRPr="001D1B3C">
        <w:rPr>
          <w:lang w:val="en-GB"/>
        </w:rPr>
        <w:t xml:space="preserve"> </w:t>
      </w:r>
    </w:p>
    <w:p w14:paraId="7C331AE9" w14:textId="77777777" w:rsidR="008F369D" w:rsidRPr="001D1B3C" w:rsidRDefault="008F369D" w:rsidP="008F369D">
      <w:pPr>
        <w:rPr>
          <w:szCs w:val="22"/>
          <w:lang w:val="en-GB"/>
        </w:rPr>
      </w:pPr>
    </w:p>
    <w:p w14:paraId="7C331AEA" w14:textId="77777777" w:rsidR="008F369D" w:rsidRPr="00C501E3" w:rsidRDefault="00016F29" w:rsidP="008F369D">
      <w:pPr>
        <w:autoSpaceDE w:val="0"/>
        <w:autoSpaceDN w:val="0"/>
        <w:adjustRightInd w:val="0"/>
        <w:rPr>
          <w:snapToGrid w:val="0"/>
          <w:szCs w:val="22"/>
          <w:lang w:val="en-GB"/>
        </w:rPr>
      </w:pPr>
      <w:r w:rsidRPr="001D1B3C">
        <w:rPr>
          <w:szCs w:val="22"/>
          <w:lang w:val="en-GB"/>
        </w:rPr>
        <w:t>MabThera is indicated for the treatment of patients with CD20 positive diffuse large B cell non</w:t>
      </w:r>
      <w:r w:rsidR="000A6DDA" w:rsidRPr="001D1B3C">
        <w:rPr>
          <w:szCs w:val="22"/>
          <w:lang w:val="en-GB"/>
        </w:rPr>
        <w:noBreakHyphen/>
      </w:r>
      <w:r w:rsidRPr="001D1B3C">
        <w:rPr>
          <w:szCs w:val="22"/>
          <w:lang w:val="en-GB"/>
        </w:rPr>
        <w:t xml:space="preserve">Hodgkin’s lymphoma in combination with </w:t>
      </w:r>
      <w:r w:rsidRPr="001D1B3C">
        <w:rPr>
          <w:rFonts w:eastAsia="PMingLiU"/>
          <w:szCs w:val="22"/>
          <w:lang w:val="en-GB" w:eastAsia="zh-CN"/>
        </w:rPr>
        <w:t>CHOP (cyclophosphamide, doxorubicin, vincristine,</w:t>
      </w:r>
      <w:r w:rsidRPr="00C501E3">
        <w:rPr>
          <w:rFonts w:eastAsia="PMingLiU"/>
          <w:szCs w:val="22"/>
          <w:lang w:val="en-GB" w:eastAsia="zh-CN"/>
        </w:rPr>
        <w:t xml:space="preserve"> prednisolone)</w:t>
      </w:r>
      <w:r w:rsidRPr="00C501E3">
        <w:rPr>
          <w:szCs w:val="22"/>
          <w:lang w:val="en-GB"/>
        </w:rPr>
        <w:t xml:space="preserve"> chemotherapy</w:t>
      </w:r>
      <w:r w:rsidRPr="00C501E3">
        <w:rPr>
          <w:snapToGrid w:val="0"/>
          <w:szCs w:val="22"/>
          <w:lang w:val="en-GB"/>
        </w:rPr>
        <w:t xml:space="preserve">. </w:t>
      </w:r>
    </w:p>
    <w:p w14:paraId="7C331AEB" w14:textId="77777777" w:rsidR="008F369D" w:rsidRPr="00C501E3" w:rsidRDefault="008F369D" w:rsidP="008F369D">
      <w:pPr>
        <w:rPr>
          <w:rFonts w:eastAsia="PMingLiU"/>
          <w:lang w:val="en-GB" w:eastAsia="zh-CN"/>
        </w:rPr>
      </w:pPr>
    </w:p>
    <w:p w14:paraId="7C331AEC" w14:textId="77777777" w:rsidR="008F369D" w:rsidRPr="00C501E3" w:rsidRDefault="00016F29" w:rsidP="008F369D">
      <w:pPr>
        <w:ind w:left="567" w:hanging="567"/>
        <w:outlineLvl w:val="0"/>
        <w:rPr>
          <w:szCs w:val="22"/>
          <w:lang w:val="en-GB"/>
        </w:rPr>
      </w:pPr>
      <w:r w:rsidRPr="00C501E3">
        <w:rPr>
          <w:b/>
          <w:szCs w:val="22"/>
          <w:lang w:val="en-GB"/>
        </w:rPr>
        <w:t>4.2</w:t>
      </w:r>
      <w:r w:rsidRPr="00C501E3">
        <w:rPr>
          <w:b/>
          <w:szCs w:val="22"/>
          <w:lang w:val="en-GB"/>
        </w:rPr>
        <w:tab/>
        <w:t>Posology and method of administration</w:t>
      </w:r>
    </w:p>
    <w:p w14:paraId="7C331AED" w14:textId="77777777" w:rsidR="008F369D" w:rsidRPr="00C501E3" w:rsidRDefault="008F369D" w:rsidP="008F369D">
      <w:pPr>
        <w:rPr>
          <w:b/>
          <w:i/>
          <w:szCs w:val="22"/>
          <w:lang w:val="en-GB"/>
        </w:rPr>
      </w:pPr>
    </w:p>
    <w:p w14:paraId="7C331AEE" w14:textId="77777777" w:rsidR="008F369D" w:rsidRPr="00C501E3" w:rsidRDefault="00016F29" w:rsidP="008F369D">
      <w:pPr>
        <w:rPr>
          <w:szCs w:val="22"/>
          <w:lang w:val="en-GB"/>
        </w:rPr>
      </w:pPr>
      <w:r w:rsidRPr="00C501E3">
        <w:rPr>
          <w:rFonts w:eastAsia="SimSun"/>
          <w:szCs w:val="22"/>
          <w:lang w:val="en-GB" w:eastAsia="zh-CN"/>
        </w:rPr>
        <w:t xml:space="preserve">MabThera </w:t>
      </w:r>
      <w:r w:rsidRPr="00C501E3">
        <w:rPr>
          <w:szCs w:val="22"/>
          <w:lang w:val="en-GB"/>
        </w:rPr>
        <w:t xml:space="preserve">should be administered under the close supervision of an experienced </w:t>
      </w:r>
      <w:r w:rsidRPr="00C501E3">
        <w:rPr>
          <w:rFonts w:eastAsia="SimSun"/>
          <w:szCs w:val="22"/>
          <w:lang w:val="en-GB" w:eastAsia="zh-CN"/>
        </w:rPr>
        <w:t>healthcare professional</w:t>
      </w:r>
      <w:r w:rsidRPr="00C501E3">
        <w:rPr>
          <w:szCs w:val="22"/>
          <w:lang w:val="en-GB"/>
        </w:rPr>
        <w:t xml:space="preserve">, and in an environment where full resuscitation facilities are immediately available (see section 4.4). </w:t>
      </w:r>
    </w:p>
    <w:p w14:paraId="7C331AEF" w14:textId="77777777" w:rsidR="008F369D" w:rsidRPr="00521B47" w:rsidRDefault="008F369D" w:rsidP="008F369D">
      <w:pPr>
        <w:tabs>
          <w:tab w:val="left" w:pos="3720"/>
        </w:tabs>
        <w:rPr>
          <w:szCs w:val="22"/>
          <w:lang w:val="en-GB"/>
        </w:rPr>
      </w:pPr>
    </w:p>
    <w:p w14:paraId="7C331AF0" w14:textId="77777777" w:rsidR="008F369D" w:rsidRPr="00521B47" w:rsidRDefault="00016F29" w:rsidP="008F369D">
      <w:pPr>
        <w:outlineLvl w:val="0"/>
        <w:rPr>
          <w:szCs w:val="22"/>
          <w:lang w:val="en-GB"/>
        </w:rPr>
      </w:pPr>
      <w:r w:rsidRPr="00521B47">
        <w:rPr>
          <w:szCs w:val="22"/>
          <w:lang w:val="en-GB"/>
        </w:rPr>
        <w:t>Premedication consisting of an anti</w:t>
      </w:r>
      <w:r w:rsidR="000A6DDA" w:rsidRPr="00521B47">
        <w:rPr>
          <w:szCs w:val="22"/>
          <w:lang w:val="en-GB"/>
        </w:rPr>
        <w:noBreakHyphen/>
      </w:r>
      <w:r w:rsidRPr="00521B47">
        <w:rPr>
          <w:szCs w:val="22"/>
          <w:lang w:val="en-GB"/>
        </w:rPr>
        <w:t>pyretic and an antihistaminic, e.g. paracetamol and diphenhydramine, should always be given before each administration of MabThera.</w:t>
      </w:r>
    </w:p>
    <w:p w14:paraId="7C331AF1" w14:textId="77777777" w:rsidR="008F369D" w:rsidRPr="00521B47" w:rsidRDefault="008F369D" w:rsidP="008F369D">
      <w:pPr>
        <w:outlineLvl w:val="0"/>
        <w:rPr>
          <w:szCs w:val="22"/>
          <w:lang w:val="en-GB"/>
        </w:rPr>
      </w:pPr>
    </w:p>
    <w:p w14:paraId="7C331AF2" w14:textId="77777777" w:rsidR="008F369D" w:rsidRPr="00521B47" w:rsidRDefault="00016F29" w:rsidP="008F369D">
      <w:pPr>
        <w:rPr>
          <w:b/>
          <w:szCs w:val="22"/>
          <w:lang w:val="en-GB"/>
        </w:rPr>
      </w:pPr>
      <w:r w:rsidRPr="00521B47">
        <w:rPr>
          <w:szCs w:val="22"/>
          <w:lang w:val="en-GB"/>
        </w:rPr>
        <w:t>Premedication with glucocorticoids should be considered if MabThera is not given in combination with glucocorticoid</w:t>
      </w:r>
      <w:r w:rsidR="000A6DDA" w:rsidRPr="00521B47">
        <w:rPr>
          <w:szCs w:val="22"/>
          <w:lang w:val="en-GB"/>
        </w:rPr>
        <w:noBreakHyphen/>
      </w:r>
      <w:r w:rsidRPr="00521B47">
        <w:rPr>
          <w:szCs w:val="22"/>
          <w:lang w:val="en-GB"/>
        </w:rPr>
        <w:t>containing chemotherapy.</w:t>
      </w:r>
      <w:r w:rsidRPr="00521B47">
        <w:rPr>
          <w:b/>
          <w:szCs w:val="22"/>
          <w:lang w:val="en-GB"/>
        </w:rPr>
        <w:t xml:space="preserve"> </w:t>
      </w:r>
    </w:p>
    <w:p w14:paraId="7C331AF3" w14:textId="77777777" w:rsidR="008F369D" w:rsidRPr="00521B47" w:rsidRDefault="008F369D" w:rsidP="008F369D">
      <w:pPr>
        <w:rPr>
          <w:b/>
          <w:szCs w:val="22"/>
          <w:lang w:val="en-GB"/>
        </w:rPr>
      </w:pPr>
    </w:p>
    <w:p w14:paraId="7C331AF4" w14:textId="77777777" w:rsidR="008F369D" w:rsidRPr="00521B47" w:rsidRDefault="00016F29" w:rsidP="008F369D">
      <w:pPr>
        <w:keepNext/>
        <w:keepLines/>
        <w:outlineLvl w:val="0"/>
        <w:rPr>
          <w:rFonts w:eastAsia="SimSun"/>
          <w:szCs w:val="22"/>
          <w:u w:val="single"/>
          <w:lang w:val="en-GB" w:eastAsia="zh-CN"/>
        </w:rPr>
      </w:pPr>
      <w:r w:rsidRPr="00521B47">
        <w:rPr>
          <w:rFonts w:eastAsia="SimSun"/>
          <w:szCs w:val="22"/>
          <w:u w:val="single"/>
          <w:lang w:val="en-GB" w:eastAsia="zh-CN"/>
        </w:rPr>
        <w:t>Posology</w:t>
      </w:r>
    </w:p>
    <w:p w14:paraId="7C331AF5" w14:textId="77777777" w:rsidR="008F369D" w:rsidRPr="00C501E3" w:rsidRDefault="008F369D" w:rsidP="008F369D">
      <w:pPr>
        <w:keepNext/>
        <w:keepLines/>
        <w:rPr>
          <w:rFonts w:cs="Arial"/>
          <w:lang w:val="en-GB"/>
        </w:rPr>
      </w:pPr>
    </w:p>
    <w:p w14:paraId="7C331AF6" w14:textId="77777777" w:rsidR="008F369D" w:rsidRPr="00C501E3" w:rsidRDefault="00016F29" w:rsidP="008F369D">
      <w:pPr>
        <w:rPr>
          <w:rFonts w:cs="Arial"/>
          <w:lang w:val="en-GB"/>
        </w:rPr>
      </w:pPr>
      <w:r w:rsidRPr="00C501E3">
        <w:rPr>
          <w:rFonts w:cs="Arial"/>
          <w:lang w:val="en-GB"/>
        </w:rPr>
        <w:t>The recommended dose of MabThera</w:t>
      </w:r>
      <w:r w:rsidRPr="00C501E3">
        <w:rPr>
          <w:bCs/>
          <w:iCs/>
          <w:szCs w:val="22"/>
          <w:lang w:val="en-GB"/>
        </w:rPr>
        <w:t xml:space="preserve"> </w:t>
      </w:r>
      <w:r w:rsidRPr="00C501E3">
        <w:rPr>
          <w:rFonts w:eastAsia="SimSun"/>
          <w:szCs w:val="22"/>
          <w:lang w:val="en-GB" w:eastAsia="zh-CN"/>
        </w:rPr>
        <w:t xml:space="preserve">subcutaneous formulation used for </w:t>
      </w:r>
      <w:r w:rsidRPr="00C501E3">
        <w:rPr>
          <w:bCs/>
          <w:iCs/>
          <w:szCs w:val="22"/>
          <w:lang w:val="en-GB"/>
        </w:rPr>
        <w:t>adult</w:t>
      </w:r>
      <w:r w:rsidRPr="00C501E3">
        <w:rPr>
          <w:rFonts w:cs="Arial"/>
          <w:lang w:val="en-GB"/>
        </w:rPr>
        <w:t xml:space="preserve"> patients is a subcutaneous injection at a fixed dose of 1400 mg irrespective of the patient’s body surface area. </w:t>
      </w:r>
    </w:p>
    <w:p w14:paraId="7C331AF7" w14:textId="77777777" w:rsidR="008F369D" w:rsidRPr="00C501E3" w:rsidRDefault="008F369D" w:rsidP="008F369D">
      <w:pPr>
        <w:outlineLvl w:val="0"/>
        <w:rPr>
          <w:rFonts w:eastAsia="SimSun"/>
          <w:szCs w:val="22"/>
          <w:lang w:val="en-GB" w:eastAsia="zh-CN"/>
        </w:rPr>
      </w:pPr>
    </w:p>
    <w:p w14:paraId="7C331AF8" w14:textId="77777777" w:rsidR="008F369D" w:rsidRPr="00C501E3" w:rsidRDefault="00016F29" w:rsidP="005B2928">
      <w:pPr>
        <w:keepNext/>
        <w:outlineLvl w:val="0"/>
        <w:rPr>
          <w:bCs/>
          <w:iCs/>
          <w:szCs w:val="22"/>
          <w:lang w:val="en-GB"/>
        </w:rPr>
      </w:pPr>
      <w:r w:rsidRPr="00C501E3">
        <w:rPr>
          <w:szCs w:val="22"/>
          <w:lang w:val="en-GB"/>
        </w:rPr>
        <w:t>Before starting MabThera subcutaneous injections, a</w:t>
      </w:r>
      <w:r w:rsidRPr="00C501E3">
        <w:rPr>
          <w:rFonts w:cs="Arial"/>
          <w:szCs w:val="22"/>
          <w:lang w:val="en-GB"/>
        </w:rPr>
        <w:t xml:space="preserve">ll patients must always receive beforehand, a full dose of MabThera by </w:t>
      </w:r>
      <w:r w:rsidRPr="00C501E3">
        <w:rPr>
          <w:bCs/>
          <w:iCs/>
          <w:szCs w:val="22"/>
          <w:lang w:val="en-GB"/>
        </w:rPr>
        <w:t>intravenous infusion, using MabThera intravenous formulation (see section 4.4).</w:t>
      </w:r>
    </w:p>
    <w:p w14:paraId="7C331AF9" w14:textId="77777777" w:rsidR="008F369D" w:rsidRPr="00C501E3" w:rsidRDefault="008F369D" w:rsidP="008F369D">
      <w:pPr>
        <w:keepNext/>
        <w:jc w:val="both"/>
        <w:outlineLvl w:val="0"/>
        <w:rPr>
          <w:bCs/>
          <w:iCs/>
          <w:szCs w:val="22"/>
          <w:lang w:val="en-GB"/>
        </w:rPr>
      </w:pPr>
    </w:p>
    <w:p w14:paraId="7C331AFA" w14:textId="77777777" w:rsidR="008F369D" w:rsidRPr="00C501E3" w:rsidRDefault="00016F29" w:rsidP="005B2928">
      <w:pPr>
        <w:keepNext/>
        <w:outlineLvl w:val="0"/>
        <w:rPr>
          <w:szCs w:val="22"/>
          <w:lang w:val="en-GB"/>
        </w:rPr>
      </w:pPr>
      <w:r w:rsidRPr="00C501E3">
        <w:rPr>
          <w:szCs w:val="22"/>
          <w:lang w:val="en-GB"/>
        </w:rPr>
        <w:t xml:space="preserve">If patients were not able to receive one full MabThera intravenous infusion dose prior to the switch, they should continue the subsequent cycles with MabThera intravenous formulation until a full intravenous dose is successfully administered. </w:t>
      </w:r>
    </w:p>
    <w:p w14:paraId="7C331AFB" w14:textId="77777777" w:rsidR="008F369D" w:rsidRPr="00C501E3" w:rsidRDefault="00016F29" w:rsidP="008F369D">
      <w:pPr>
        <w:rPr>
          <w:bCs/>
          <w:iCs/>
          <w:szCs w:val="22"/>
          <w:lang w:val="en-GB"/>
        </w:rPr>
      </w:pPr>
      <w:r w:rsidRPr="00C501E3">
        <w:rPr>
          <w:bCs/>
          <w:iCs/>
          <w:szCs w:val="22"/>
          <w:lang w:val="en-GB"/>
        </w:rPr>
        <w:t>Therefore, the switch to MabThera subcutaneous formulation can only occur at the second or subsequent cycles of treatment.</w:t>
      </w:r>
    </w:p>
    <w:p w14:paraId="7C331AFC" w14:textId="77777777" w:rsidR="008F369D" w:rsidRPr="00C501E3" w:rsidRDefault="008F369D" w:rsidP="008F369D">
      <w:pPr>
        <w:rPr>
          <w:rFonts w:cs="Arial"/>
          <w:szCs w:val="22"/>
          <w:lang w:val="en-GB"/>
        </w:rPr>
      </w:pPr>
    </w:p>
    <w:p w14:paraId="7C331AFD" w14:textId="77777777" w:rsidR="008F369D" w:rsidRPr="006651D5" w:rsidRDefault="00016F29" w:rsidP="008F369D">
      <w:pPr>
        <w:rPr>
          <w:rFonts w:eastAsia="SimSun"/>
          <w:szCs w:val="24"/>
          <w:lang w:val="en-GB" w:eastAsia="zh-CN"/>
        </w:rPr>
      </w:pPr>
      <w:r w:rsidRPr="00C501E3">
        <w:rPr>
          <w:rFonts w:eastAsia="SimSun"/>
          <w:szCs w:val="24"/>
          <w:lang w:val="en-GB" w:eastAsia="zh-CN"/>
        </w:rPr>
        <w:t xml:space="preserve">It is important to check the medicinal product labels to ensure that the appropriate formulation (intravenous or subcutaneous </w:t>
      </w:r>
      <w:r w:rsidRPr="006651D5">
        <w:rPr>
          <w:rFonts w:eastAsia="SimSun"/>
          <w:szCs w:val="24"/>
          <w:lang w:val="en-GB" w:eastAsia="zh-CN"/>
        </w:rPr>
        <w:t xml:space="preserve">formulation) </w:t>
      </w:r>
      <w:r w:rsidR="0057352B" w:rsidRPr="006651D5">
        <w:rPr>
          <w:rFonts w:eastAsia="SimSun"/>
          <w:szCs w:val="24"/>
          <w:lang w:val="en-GB" w:eastAsia="zh-CN"/>
        </w:rPr>
        <w:t xml:space="preserve">and strength </w:t>
      </w:r>
      <w:r w:rsidRPr="006651D5">
        <w:rPr>
          <w:rFonts w:eastAsia="SimSun"/>
          <w:szCs w:val="24"/>
          <w:lang w:val="en-GB" w:eastAsia="zh-CN"/>
        </w:rPr>
        <w:t>is being given to the patient, as prescribed.</w:t>
      </w:r>
    </w:p>
    <w:p w14:paraId="7C331AFE" w14:textId="77777777" w:rsidR="008F369D" w:rsidRPr="006651D5" w:rsidRDefault="008F369D" w:rsidP="008F369D">
      <w:pPr>
        <w:rPr>
          <w:rFonts w:eastAsia="SimSun"/>
          <w:szCs w:val="24"/>
          <w:lang w:val="en-GB" w:eastAsia="zh-CN"/>
        </w:rPr>
      </w:pPr>
    </w:p>
    <w:p w14:paraId="7C331AFF" w14:textId="77777777" w:rsidR="008F369D" w:rsidRPr="00C501E3" w:rsidRDefault="00016F29" w:rsidP="008F369D">
      <w:pPr>
        <w:suppressLineNumbers/>
        <w:autoSpaceDE w:val="0"/>
        <w:autoSpaceDN w:val="0"/>
        <w:adjustRightInd w:val="0"/>
        <w:rPr>
          <w:rFonts w:eastAsia="SimSun"/>
          <w:szCs w:val="24"/>
          <w:lang w:val="en-GB" w:eastAsia="zh-CN"/>
        </w:rPr>
      </w:pPr>
      <w:r w:rsidRPr="006651D5">
        <w:rPr>
          <w:rFonts w:eastAsia="SimSun"/>
          <w:szCs w:val="24"/>
          <w:lang w:val="en-GB" w:eastAsia="zh-CN"/>
        </w:rPr>
        <w:t xml:space="preserve">MabThera </w:t>
      </w:r>
      <w:r w:rsidRPr="006651D5">
        <w:rPr>
          <w:rFonts w:eastAsia="SimSun"/>
          <w:szCs w:val="22"/>
          <w:lang w:val="en-GB" w:eastAsia="zh-CN"/>
        </w:rPr>
        <w:t xml:space="preserve">subcutaneous formulation </w:t>
      </w:r>
      <w:r w:rsidRPr="006651D5">
        <w:rPr>
          <w:rFonts w:eastAsia="SimSun"/>
          <w:szCs w:val="24"/>
          <w:lang w:val="en-GB" w:eastAsia="zh-CN"/>
        </w:rPr>
        <w:t xml:space="preserve">is not intended for intravenous administration and should be given via subcutaneous injection only. </w:t>
      </w:r>
      <w:r w:rsidR="0057352B" w:rsidRPr="006651D5">
        <w:rPr>
          <w:rFonts w:eastAsia="SimSun"/>
          <w:szCs w:val="24"/>
          <w:lang w:val="en-GB" w:eastAsia="zh-CN"/>
        </w:rPr>
        <w:t xml:space="preserve">The 1400 mg </w:t>
      </w:r>
      <w:r w:rsidR="004A2A4C" w:rsidRPr="006651D5">
        <w:rPr>
          <w:rFonts w:eastAsia="SimSun"/>
          <w:szCs w:val="24"/>
          <w:lang w:val="en-GB" w:eastAsia="zh-CN"/>
        </w:rPr>
        <w:t xml:space="preserve">strength </w:t>
      </w:r>
      <w:r w:rsidR="0057352B" w:rsidRPr="006651D5">
        <w:rPr>
          <w:rFonts w:eastAsia="SimSun"/>
          <w:szCs w:val="24"/>
          <w:lang w:val="en-GB" w:eastAsia="zh-CN"/>
        </w:rPr>
        <w:t xml:space="preserve">is intended for subcutaneous use in </w:t>
      </w:r>
      <w:r w:rsidR="0057352B" w:rsidRPr="006651D5">
        <w:rPr>
          <w:snapToGrid w:val="0"/>
          <w:szCs w:val="22"/>
          <w:lang w:val="en-GB"/>
        </w:rPr>
        <w:t>non Hodgkin lymphoma</w:t>
      </w:r>
      <w:r w:rsidR="0057352B" w:rsidRPr="006651D5">
        <w:rPr>
          <w:rFonts w:eastAsia="SimSun"/>
          <w:szCs w:val="24"/>
          <w:lang w:val="en-GB" w:eastAsia="zh-CN"/>
        </w:rPr>
        <w:t xml:space="preserve"> (NHL) only.</w:t>
      </w:r>
    </w:p>
    <w:p w14:paraId="7C331B00" w14:textId="77777777" w:rsidR="008F369D" w:rsidRPr="00C501E3" w:rsidRDefault="008F369D" w:rsidP="008F369D">
      <w:pPr>
        <w:rPr>
          <w:szCs w:val="22"/>
          <w:lang w:val="en-GB"/>
        </w:rPr>
      </w:pPr>
    </w:p>
    <w:p w14:paraId="7C331B01" w14:textId="77777777" w:rsidR="008F369D" w:rsidRPr="00401CB0" w:rsidRDefault="00016F29" w:rsidP="008F369D">
      <w:pPr>
        <w:outlineLvl w:val="0"/>
        <w:rPr>
          <w:i/>
          <w:szCs w:val="22"/>
          <w:lang w:val="en-GB"/>
        </w:rPr>
      </w:pPr>
      <w:r w:rsidRPr="00401CB0">
        <w:rPr>
          <w:i/>
          <w:szCs w:val="22"/>
          <w:lang w:val="en-GB"/>
        </w:rPr>
        <w:t>Follicular non</w:t>
      </w:r>
      <w:r w:rsidR="000A6DDA" w:rsidRPr="00401CB0">
        <w:rPr>
          <w:i/>
          <w:szCs w:val="22"/>
          <w:lang w:val="en-GB"/>
        </w:rPr>
        <w:noBreakHyphen/>
      </w:r>
      <w:r w:rsidRPr="00401CB0">
        <w:rPr>
          <w:i/>
          <w:szCs w:val="22"/>
          <w:lang w:val="en-GB"/>
        </w:rPr>
        <w:t>Hodgkin's lymphoma</w:t>
      </w:r>
    </w:p>
    <w:p w14:paraId="7C331B02" w14:textId="77777777" w:rsidR="008F369D" w:rsidRPr="00C501E3" w:rsidRDefault="008F369D" w:rsidP="008F369D">
      <w:pPr>
        <w:outlineLvl w:val="0"/>
        <w:rPr>
          <w:i/>
          <w:szCs w:val="22"/>
          <w:lang w:val="en-GB"/>
        </w:rPr>
      </w:pPr>
    </w:p>
    <w:p w14:paraId="7C331B03" w14:textId="77777777" w:rsidR="008F369D" w:rsidRPr="00C501E3" w:rsidRDefault="00016F29" w:rsidP="008F369D">
      <w:pPr>
        <w:outlineLvl w:val="0"/>
        <w:rPr>
          <w:szCs w:val="22"/>
          <w:lang w:val="en-GB"/>
        </w:rPr>
      </w:pPr>
      <w:r w:rsidRPr="00C501E3">
        <w:rPr>
          <w:szCs w:val="22"/>
          <w:lang w:val="en-GB"/>
        </w:rPr>
        <w:t>Combination therapy</w:t>
      </w:r>
    </w:p>
    <w:p w14:paraId="7C331B04" w14:textId="77777777" w:rsidR="008F369D" w:rsidRPr="00C501E3" w:rsidRDefault="00016F29" w:rsidP="008F369D">
      <w:pPr>
        <w:rPr>
          <w:szCs w:val="22"/>
          <w:lang w:val="en-GB"/>
        </w:rPr>
      </w:pPr>
      <w:r w:rsidRPr="00C501E3">
        <w:rPr>
          <w:szCs w:val="22"/>
          <w:lang w:val="en-GB"/>
        </w:rPr>
        <w:t xml:space="preserve">The recommended dose of MabThera in combination with chemotherapy for induction treatment of previously untreated or relapsed/ refractory patients with follicular lymphoma is: </w:t>
      </w:r>
      <w:r w:rsidRPr="00C501E3">
        <w:rPr>
          <w:rFonts w:eastAsia="SimSun"/>
          <w:szCs w:val="22"/>
          <w:lang w:val="en-GB" w:eastAsia="zh-CN"/>
        </w:rPr>
        <w:t xml:space="preserve">first cycle with MabThera </w:t>
      </w:r>
      <w:r w:rsidRPr="00C501E3">
        <w:rPr>
          <w:bCs/>
          <w:iCs/>
          <w:szCs w:val="22"/>
          <w:lang w:val="en-GB"/>
        </w:rPr>
        <w:t>intravenous formulation</w:t>
      </w:r>
      <w:r w:rsidRPr="00C501E3">
        <w:rPr>
          <w:rFonts w:eastAsia="SimSun"/>
          <w:szCs w:val="22"/>
          <w:lang w:val="en-GB" w:eastAsia="zh-CN"/>
        </w:rPr>
        <w:t xml:space="preserve"> </w:t>
      </w:r>
      <w:r w:rsidRPr="00C501E3">
        <w:rPr>
          <w:szCs w:val="22"/>
          <w:lang w:val="en-GB"/>
        </w:rPr>
        <w:t>375 mg/m</w:t>
      </w:r>
      <w:r w:rsidRPr="00C501E3">
        <w:rPr>
          <w:szCs w:val="22"/>
          <w:vertAlign w:val="superscript"/>
          <w:lang w:val="en-GB"/>
        </w:rPr>
        <w:t>2</w:t>
      </w:r>
      <w:r w:rsidRPr="00C501E3">
        <w:rPr>
          <w:szCs w:val="22"/>
          <w:lang w:val="en-GB"/>
        </w:rPr>
        <w:t xml:space="preserve"> body surface area, </w:t>
      </w:r>
      <w:r w:rsidRPr="00C501E3">
        <w:rPr>
          <w:rFonts w:eastAsia="SimSun"/>
          <w:szCs w:val="22"/>
          <w:lang w:val="en-GB" w:eastAsia="zh-CN"/>
        </w:rPr>
        <w:t xml:space="preserve">followed by subsequent cycles with MabThera subcutaneous formulation injected at a fixed dose of 1400 mg per cycle </w:t>
      </w:r>
      <w:r w:rsidRPr="00C501E3">
        <w:rPr>
          <w:lang w:val="en-GB"/>
        </w:rPr>
        <w:t>for up to 8cycles.</w:t>
      </w:r>
    </w:p>
    <w:p w14:paraId="7C331B05" w14:textId="77777777" w:rsidR="008F369D" w:rsidRPr="00C501E3" w:rsidRDefault="008F369D" w:rsidP="008F369D">
      <w:pPr>
        <w:tabs>
          <w:tab w:val="left" w:pos="567"/>
        </w:tabs>
        <w:spacing w:line="260" w:lineRule="exact"/>
        <w:rPr>
          <w:szCs w:val="22"/>
          <w:lang w:val="en-GB" w:eastAsia="en-US"/>
        </w:rPr>
      </w:pPr>
    </w:p>
    <w:p w14:paraId="7C331B06" w14:textId="77777777" w:rsidR="008F369D" w:rsidRPr="00C501E3" w:rsidRDefault="00016F29" w:rsidP="008F369D">
      <w:pPr>
        <w:tabs>
          <w:tab w:val="left" w:pos="567"/>
        </w:tabs>
        <w:spacing w:line="260" w:lineRule="exact"/>
        <w:rPr>
          <w:szCs w:val="22"/>
          <w:lang w:val="en-GB" w:eastAsia="en-US"/>
        </w:rPr>
      </w:pPr>
      <w:r w:rsidRPr="00C501E3">
        <w:rPr>
          <w:szCs w:val="22"/>
          <w:lang w:val="en-GB" w:eastAsia="en-US"/>
        </w:rPr>
        <w:t>MabThera should be administered on day 1 of each chemotherapy cycle, after administration of the glucocorticoid component of the chemotherapy if applicable.</w:t>
      </w:r>
    </w:p>
    <w:p w14:paraId="7C331B07" w14:textId="77777777" w:rsidR="008F369D" w:rsidRPr="00C501E3" w:rsidRDefault="008F369D" w:rsidP="008F369D">
      <w:pPr>
        <w:rPr>
          <w:szCs w:val="22"/>
          <w:lang w:val="en-GB"/>
        </w:rPr>
      </w:pPr>
    </w:p>
    <w:p w14:paraId="7C331B08" w14:textId="77777777" w:rsidR="008F369D" w:rsidRPr="00C501E3" w:rsidRDefault="00016F29" w:rsidP="008F369D">
      <w:pPr>
        <w:outlineLvl w:val="0"/>
        <w:rPr>
          <w:szCs w:val="22"/>
          <w:lang w:val="en-GB"/>
        </w:rPr>
      </w:pPr>
      <w:r w:rsidRPr="00C501E3">
        <w:rPr>
          <w:szCs w:val="22"/>
          <w:lang w:val="en-GB"/>
        </w:rPr>
        <w:t>Maintenance therapy</w:t>
      </w:r>
    </w:p>
    <w:p w14:paraId="7C331B09" w14:textId="77777777" w:rsidR="008F369D" w:rsidRPr="00C501E3" w:rsidRDefault="00016F29" w:rsidP="008F369D">
      <w:pPr>
        <w:ind w:left="720"/>
        <w:rPr>
          <w:szCs w:val="22"/>
          <w:lang w:val="en-GB"/>
        </w:rPr>
      </w:pPr>
      <w:r w:rsidRPr="00E06A78">
        <w:rPr>
          <w:rFonts w:ascii="Symbol" w:hAnsi="Symbol"/>
          <w:lang w:val="en-GB"/>
        </w:rPr>
        <w:sym w:font="Symbol" w:char="F0B7"/>
      </w:r>
      <w:r w:rsidRPr="00C501E3">
        <w:rPr>
          <w:szCs w:val="22"/>
          <w:lang w:val="en-GB"/>
        </w:rPr>
        <w:tab/>
        <w:t>Previously untreated follicular lymphoma</w:t>
      </w:r>
    </w:p>
    <w:p w14:paraId="7C331B0A" w14:textId="77777777" w:rsidR="008F369D" w:rsidRPr="00C501E3" w:rsidRDefault="00016F29" w:rsidP="008F369D">
      <w:pPr>
        <w:tabs>
          <w:tab w:val="left" w:pos="567"/>
        </w:tabs>
        <w:spacing w:line="260" w:lineRule="exact"/>
        <w:rPr>
          <w:lang w:val="en-GB" w:eastAsia="en-US"/>
        </w:rPr>
      </w:pPr>
      <w:r w:rsidRPr="00C501E3">
        <w:rPr>
          <w:szCs w:val="22"/>
          <w:lang w:val="en-GB" w:eastAsia="en-US"/>
        </w:rPr>
        <w:t xml:space="preserve">The recommended dose of MabThera </w:t>
      </w:r>
      <w:r w:rsidRPr="00C501E3">
        <w:rPr>
          <w:rFonts w:eastAsia="SimSun"/>
          <w:szCs w:val="22"/>
          <w:lang w:val="en-GB" w:eastAsia="zh-CN"/>
        </w:rPr>
        <w:t xml:space="preserve">subcutaneous formulation </w:t>
      </w:r>
      <w:r w:rsidRPr="00C501E3">
        <w:rPr>
          <w:szCs w:val="22"/>
          <w:lang w:val="en-GB" w:eastAsia="en-US"/>
        </w:rPr>
        <w:t xml:space="preserve">used as a maintenance treatment for patients with previously untreated follicular lymphoma who have responded to induction treatment is: </w:t>
      </w:r>
    </w:p>
    <w:p w14:paraId="7C331B0B" w14:textId="77777777" w:rsidR="008F369D" w:rsidRPr="00C501E3" w:rsidRDefault="00016F29" w:rsidP="008F369D">
      <w:pPr>
        <w:rPr>
          <w:lang w:val="en-GB"/>
        </w:rPr>
      </w:pPr>
      <w:r w:rsidRPr="00C501E3">
        <w:rPr>
          <w:rFonts w:eastAsia="SimSun"/>
          <w:szCs w:val="22"/>
          <w:lang w:val="en-GB" w:eastAsia="zh-CN"/>
        </w:rPr>
        <w:t xml:space="preserve">1400 mg once </w:t>
      </w:r>
      <w:r w:rsidRPr="00C501E3">
        <w:rPr>
          <w:lang w:val="en-GB" w:eastAsia="en-US"/>
        </w:rPr>
        <w:t xml:space="preserve">every 2 </w:t>
      </w:r>
      <w:r w:rsidRPr="00C501E3">
        <w:rPr>
          <w:szCs w:val="22"/>
          <w:lang w:val="en-GB" w:eastAsia="en-US"/>
        </w:rPr>
        <w:t>months (starting 2 months after the last dose of induction therapy) until disease</w:t>
      </w:r>
      <w:r w:rsidRPr="00C501E3">
        <w:rPr>
          <w:lang w:val="en-GB" w:eastAsia="en-US"/>
        </w:rPr>
        <w:t xml:space="preserve"> progression or for a maximum period of two years</w:t>
      </w:r>
      <w:r w:rsidR="008D0B9A">
        <w:rPr>
          <w:lang w:val="en-GB" w:eastAsia="en-US"/>
        </w:rPr>
        <w:t xml:space="preserve"> (12 administrations in total)</w:t>
      </w:r>
      <w:r w:rsidRPr="00C501E3">
        <w:rPr>
          <w:lang w:val="en-GB"/>
        </w:rPr>
        <w:t>.</w:t>
      </w:r>
    </w:p>
    <w:p w14:paraId="7C331B0C" w14:textId="77777777" w:rsidR="008F369D" w:rsidRPr="00C501E3" w:rsidRDefault="008F369D" w:rsidP="008F369D">
      <w:pPr>
        <w:rPr>
          <w:szCs w:val="22"/>
          <w:lang w:val="en-GB"/>
        </w:rPr>
      </w:pPr>
    </w:p>
    <w:p w14:paraId="7C331B0D" w14:textId="77777777" w:rsidR="008F369D" w:rsidRPr="00C501E3" w:rsidRDefault="00016F29" w:rsidP="008F369D">
      <w:pPr>
        <w:ind w:left="720"/>
        <w:outlineLvl w:val="0"/>
        <w:rPr>
          <w:szCs w:val="22"/>
          <w:lang w:val="en-GB"/>
        </w:rPr>
      </w:pPr>
      <w:r w:rsidRPr="00E06A78">
        <w:rPr>
          <w:rFonts w:ascii="Symbol" w:hAnsi="Symbol"/>
          <w:lang w:val="en-GB"/>
        </w:rPr>
        <w:sym w:font="Symbol" w:char="F0B7"/>
      </w:r>
      <w:r w:rsidRPr="00C501E3">
        <w:rPr>
          <w:szCs w:val="22"/>
          <w:lang w:val="en-GB"/>
        </w:rPr>
        <w:tab/>
        <w:t>Relapsed/refractory follicular lymphoma</w:t>
      </w:r>
    </w:p>
    <w:p w14:paraId="7C331B0E" w14:textId="77777777" w:rsidR="008F369D" w:rsidRPr="00C501E3" w:rsidRDefault="00016F29" w:rsidP="005B2928">
      <w:pPr>
        <w:tabs>
          <w:tab w:val="left" w:pos="567"/>
        </w:tabs>
        <w:spacing w:line="260" w:lineRule="exact"/>
        <w:rPr>
          <w:szCs w:val="22"/>
          <w:lang w:val="en-GB" w:eastAsia="en-US"/>
        </w:rPr>
      </w:pPr>
      <w:r w:rsidRPr="00C501E3">
        <w:rPr>
          <w:szCs w:val="22"/>
          <w:lang w:val="en-GB" w:eastAsia="en-US"/>
        </w:rPr>
        <w:t xml:space="preserve">The recommended dose of MabThera </w:t>
      </w:r>
      <w:r w:rsidRPr="00C501E3">
        <w:rPr>
          <w:rFonts w:eastAsia="SimSun"/>
          <w:szCs w:val="22"/>
          <w:lang w:val="en-GB" w:eastAsia="zh-CN"/>
        </w:rPr>
        <w:t xml:space="preserve">subcutaneous formulation </w:t>
      </w:r>
      <w:r w:rsidRPr="00C501E3">
        <w:rPr>
          <w:szCs w:val="22"/>
          <w:lang w:val="en-GB" w:eastAsia="en-US"/>
        </w:rPr>
        <w:t>used as a maintenance treatment for patients with relapsed/refractory follicular lymphoma who have responded to induction treatment is:</w:t>
      </w:r>
    </w:p>
    <w:p w14:paraId="7C331B0F" w14:textId="77777777" w:rsidR="008F369D" w:rsidRPr="00C501E3" w:rsidRDefault="00016F29" w:rsidP="008F369D">
      <w:pPr>
        <w:rPr>
          <w:lang w:val="en-GB"/>
        </w:rPr>
      </w:pPr>
      <w:r w:rsidRPr="00C501E3">
        <w:rPr>
          <w:rFonts w:eastAsia="SimSun"/>
          <w:szCs w:val="22"/>
          <w:lang w:val="en-GB" w:eastAsia="zh-CN"/>
        </w:rPr>
        <w:t xml:space="preserve">1400 mg </w:t>
      </w:r>
      <w:r w:rsidRPr="00C501E3">
        <w:rPr>
          <w:lang w:val="en-GB" w:eastAsia="en-US"/>
        </w:rPr>
        <w:t xml:space="preserve">once every 3 months </w:t>
      </w:r>
      <w:r w:rsidRPr="00C501E3">
        <w:rPr>
          <w:szCs w:val="22"/>
          <w:lang w:val="en-GB" w:eastAsia="en-US"/>
        </w:rPr>
        <w:t>(starting 3 months after the last dose of induction therapy)</w:t>
      </w:r>
      <w:r w:rsidRPr="00C501E3">
        <w:rPr>
          <w:lang w:val="en-GB" w:eastAsia="en-US"/>
        </w:rPr>
        <w:t xml:space="preserve"> until disease progression or for a maximum period of two years</w:t>
      </w:r>
      <w:r w:rsidR="008D0B9A">
        <w:rPr>
          <w:lang w:val="en-GB" w:eastAsia="en-US"/>
        </w:rPr>
        <w:t xml:space="preserve"> (8 administrations in total)</w:t>
      </w:r>
      <w:r w:rsidRPr="00C501E3">
        <w:rPr>
          <w:lang w:val="en-GB" w:eastAsia="en-US"/>
        </w:rPr>
        <w:t xml:space="preserve">. </w:t>
      </w:r>
    </w:p>
    <w:p w14:paraId="7C331B10" w14:textId="77777777" w:rsidR="008F369D" w:rsidRPr="00C501E3" w:rsidRDefault="008F369D" w:rsidP="008F369D">
      <w:pPr>
        <w:rPr>
          <w:szCs w:val="22"/>
          <w:lang w:val="en-GB"/>
        </w:rPr>
      </w:pPr>
    </w:p>
    <w:p w14:paraId="7C331B11" w14:textId="77777777" w:rsidR="008F369D" w:rsidRPr="00542BBE" w:rsidRDefault="00016F29" w:rsidP="008F369D">
      <w:pPr>
        <w:outlineLvl w:val="0"/>
        <w:rPr>
          <w:i/>
          <w:szCs w:val="22"/>
          <w:lang w:val="en-GB"/>
        </w:rPr>
      </w:pPr>
      <w:r w:rsidRPr="00542BBE">
        <w:rPr>
          <w:i/>
          <w:szCs w:val="22"/>
          <w:lang w:val="en-GB"/>
        </w:rPr>
        <w:t>Diffuse large B cell non</w:t>
      </w:r>
      <w:r w:rsidR="000A6DDA" w:rsidRPr="00542BBE">
        <w:rPr>
          <w:i/>
          <w:szCs w:val="22"/>
          <w:lang w:val="en-GB"/>
        </w:rPr>
        <w:noBreakHyphen/>
      </w:r>
      <w:r w:rsidRPr="00542BBE">
        <w:rPr>
          <w:i/>
          <w:szCs w:val="22"/>
          <w:lang w:val="en-GB"/>
        </w:rPr>
        <w:t>Hodgkin's lymphoma</w:t>
      </w:r>
    </w:p>
    <w:p w14:paraId="7C331B12" w14:textId="77777777" w:rsidR="008F369D" w:rsidRPr="00C501E3" w:rsidRDefault="008F369D" w:rsidP="008F369D">
      <w:pPr>
        <w:outlineLvl w:val="0"/>
        <w:rPr>
          <w:i/>
          <w:szCs w:val="22"/>
          <w:lang w:val="en-GB"/>
        </w:rPr>
      </w:pPr>
    </w:p>
    <w:p w14:paraId="7C331B13" w14:textId="77777777" w:rsidR="008F369D" w:rsidRPr="00C501E3" w:rsidRDefault="00016F29" w:rsidP="008F369D">
      <w:pPr>
        <w:tabs>
          <w:tab w:val="left" w:pos="567"/>
        </w:tabs>
        <w:spacing w:line="260" w:lineRule="exact"/>
        <w:rPr>
          <w:szCs w:val="22"/>
          <w:lang w:val="en-GB" w:eastAsia="en-US"/>
        </w:rPr>
      </w:pPr>
      <w:r w:rsidRPr="00C501E3">
        <w:rPr>
          <w:szCs w:val="22"/>
          <w:lang w:val="en-GB" w:eastAsia="en-US"/>
        </w:rPr>
        <w:t xml:space="preserve">MabThera should be used in combination with CHOP chemotherapy. The recommended dose is: </w:t>
      </w:r>
      <w:r w:rsidRPr="00C501E3">
        <w:rPr>
          <w:rFonts w:eastAsia="SimSun"/>
          <w:szCs w:val="22"/>
          <w:lang w:val="en-GB" w:eastAsia="zh-CN"/>
        </w:rPr>
        <w:t xml:space="preserve">first cycle, MabThera </w:t>
      </w:r>
      <w:r w:rsidRPr="00C501E3">
        <w:rPr>
          <w:bCs/>
          <w:iCs/>
          <w:szCs w:val="22"/>
          <w:lang w:val="en-GB" w:eastAsia="en-US"/>
        </w:rPr>
        <w:t>intravenous formulation:</w:t>
      </w:r>
      <w:r w:rsidRPr="00C501E3">
        <w:rPr>
          <w:rFonts w:eastAsia="SimSun"/>
          <w:szCs w:val="22"/>
          <w:lang w:val="en-GB" w:eastAsia="zh-CN"/>
        </w:rPr>
        <w:t xml:space="preserve"> </w:t>
      </w:r>
      <w:r w:rsidRPr="00C501E3">
        <w:rPr>
          <w:szCs w:val="22"/>
          <w:lang w:val="en-GB" w:eastAsia="en-US"/>
        </w:rPr>
        <w:t>375 mg/m</w:t>
      </w:r>
      <w:r w:rsidRPr="00C501E3">
        <w:rPr>
          <w:szCs w:val="22"/>
          <w:vertAlign w:val="superscript"/>
          <w:lang w:val="en-GB" w:eastAsia="en-US"/>
        </w:rPr>
        <w:t>2</w:t>
      </w:r>
      <w:r w:rsidRPr="00C501E3">
        <w:rPr>
          <w:szCs w:val="22"/>
          <w:lang w:val="en-GB" w:eastAsia="en-US"/>
        </w:rPr>
        <w:t xml:space="preserve"> body surface area, </w:t>
      </w:r>
      <w:r w:rsidRPr="00C501E3">
        <w:rPr>
          <w:rFonts w:eastAsia="SimSun"/>
          <w:szCs w:val="22"/>
          <w:lang w:val="en-GB" w:eastAsia="zh-CN"/>
        </w:rPr>
        <w:t>followed by</w:t>
      </w:r>
      <w:r w:rsidRPr="00C501E3">
        <w:rPr>
          <w:szCs w:val="22"/>
          <w:lang w:val="en-GB" w:eastAsia="en-US"/>
        </w:rPr>
        <w:t xml:space="preserve"> </w:t>
      </w:r>
      <w:r w:rsidRPr="00C501E3">
        <w:rPr>
          <w:rFonts w:eastAsia="SimSun"/>
          <w:szCs w:val="22"/>
          <w:lang w:val="en-GB" w:eastAsia="zh-CN"/>
        </w:rPr>
        <w:t xml:space="preserve">subsequent cycles with MabThera subcutaneous formulation injected at a fixed dose of 1400 mg per cycle. In total: </w:t>
      </w:r>
      <w:r w:rsidRPr="00C501E3">
        <w:rPr>
          <w:szCs w:val="22"/>
          <w:lang w:val="en-GB" w:eastAsia="en-US"/>
        </w:rPr>
        <w:t>8 cycles.</w:t>
      </w:r>
    </w:p>
    <w:p w14:paraId="7C331B14" w14:textId="77777777" w:rsidR="008F369D" w:rsidRPr="00C501E3" w:rsidRDefault="008F369D" w:rsidP="008F369D">
      <w:pPr>
        <w:tabs>
          <w:tab w:val="left" w:pos="567"/>
        </w:tabs>
        <w:spacing w:line="260" w:lineRule="exact"/>
        <w:rPr>
          <w:szCs w:val="22"/>
          <w:lang w:val="en-GB" w:eastAsia="en-US"/>
        </w:rPr>
      </w:pPr>
    </w:p>
    <w:p w14:paraId="7C331B15" w14:textId="77777777" w:rsidR="008F369D" w:rsidRPr="00C501E3" w:rsidRDefault="00016F29" w:rsidP="008F369D">
      <w:pPr>
        <w:tabs>
          <w:tab w:val="left" w:pos="567"/>
        </w:tabs>
        <w:spacing w:line="260" w:lineRule="exact"/>
        <w:rPr>
          <w:szCs w:val="22"/>
          <w:lang w:val="en-GB" w:eastAsia="en-US"/>
        </w:rPr>
      </w:pPr>
      <w:r w:rsidRPr="00C501E3">
        <w:rPr>
          <w:szCs w:val="22"/>
          <w:lang w:val="en-GB" w:eastAsia="en-US"/>
        </w:rPr>
        <w:t>MabThera is administered on day 1 of each chemotherapy cycle after intravenous infusion of the glucocorticoid component of CHOP.</w:t>
      </w:r>
    </w:p>
    <w:p w14:paraId="7C331B16" w14:textId="77777777" w:rsidR="008F369D" w:rsidRPr="00C501E3" w:rsidRDefault="008F369D" w:rsidP="008F369D">
      <w:pPr>
        <w:tabs>
          <w:tab w:val="left" w:pos="567"/>
        </w:tabs>
        <w:spacing w:line="260" w:lineRule="exact"/>
        <w:rPr>
          <w:szCs w:val="22"/>
          <w:lang w:val="en-GB" w:eastAsia="en-US"/>
        </w:rPr>
      </w:pPr>
    </w:p>
    <w:p w14:paraId="7C331B17" w14:textId="77777777" w:rsidR="008F369D" w:rsidRPr="00C00418" w:rsidRDefault="00016F29" w:rsidP="008F369D">
      <w:pPr>
        <w:rPr>
          <w:snapToGrid w:val="0"/>
          <w:szCs w:val="22"/>
          <w:lang w:val="en-GB" w:eastAsia="en-US"/>
        </w:rPr>
      </w:pPr>
      <w:r w:rsidRPr="00C00418">
        <w:rPr>
          <w:szCs w:val="22"/>
          <w:lang w:val="en-GB" w:eastAsia="en-US"/>
        </w:rPr>
        <w:t xml:space="preserve">Safety and efficacy of </w:t>
      </w:r>
      <w:r w:rsidRPr="00C00418">
        <w:rPr>
          <w:snapToGrid w:val="0"/>
          <w:szCs w:val="22"/>
          <w:lang w:val="en-GB" w:eastAsia="en-US"/>
        </w:rPr>
        <w:t>MabThera have not been established in combination with other chemotherapies in diffuse large B cell non</w:t>
      </w:r>
      <w:r w:rsidR="000A6DDA" w:rsidRPr="00C00418">
        <w:rPr>
          <w:snapToGrid w:val="0"/>
          <w:szCs w:val="22"/>
          <w:lang w:val="en-GB" w:eastAsia="en-US"/>
        </w:rPr>
        <w:noBreakHyphen/>
      </w:r>
      <w:r w:rsidRPr="00C00418">
        <w:rPr>
          <w:snapToGrid w:val="0"/>
          <w:szCs w:val="22"/>
          <w:lang w:val="en-GB" w:eastAsia="en-US"/>
        </w:rPr>
        <w:t>Hodgkin’s lymphoma.</w:t>
      </w:r>
    </w:p>
    <w:p w14:paraId="7C331B18" w14:textId="77777777" w:rsidR="008F369D" w:rsidRPr="00C501E3" w:rsidRDefault="008F369D" w:rsidP="008F369D">
      <w:pPr>
        <w:rPr>
          <w:szCs w:val="22"/>
          <w:lang w:val="en-GB"/>
        </w:rPr>
      </w:pPr>
    </w:p>
    <w:p w14:paraId="7C331B19" w14:textId="77777777" w:rsidR="008F369D" w:rsidRPr="00C501E3" w:rsidRDefault="00016F29" w:rsidP="008F369D">
      <w:pPr>
        <w:tabs>
          <w:tab w:val="left" w:pos="567"/>
        </w:tabs>
        <w:spacing w:line="260" w:lineRule="exact"/>
        <w:outlineLvl w:val="0"/>
        <w:rPr>
          <w:szCs w:val="22"/>
          <w:u w:val="single"/>
          <w:lang w:val="en-GB" w:eastAsia="en-US"/>
        </w:rPr>
      </w:pPr>
      <w:r w:rsidRPr="00C501E3">
        <w:rPr>
          <w:szCs w:val="22"/>
          <w:u w:val="single"/>
          <w:lang w:val="en-GB" w:eastAsia="en-US"/>
        </w:rPr>
        <w:t>Dose adjustments during treatment</w:t>
      </w:r>
    </w:p>
    <w:p w14:paraId="7C331B1A" w14:textId="77777777" w:rsidR="008F369D" w:rsidRPr="00C501E3" w:rsidRDefault="008F369D" w:rsidP="008F369D">
      <w:pPr>
        <w:tabs>
          <w:tab w:val="left" w:pos="567"/>
        </w:tabs>
        <w:spacing w:line="260" w:lineRule="exact"/>
        <w:outlineLvl w:val="0"/>
        <w:rPr>
          <w:szCs w:val="22"/>
          <w:lang w:val="en-GB" w:eastAsia="en-US"/>
        </w:rPr>
      </w:pPr>
    </w:p>
    <w:p w14:paraId="7C331B1B" w14:textId="77777777" w:rsidR="008F369D" w:rsidRPr="00C501E3" w:rsidRDefault="00016F29" w:rsidP="008F369D">
      <w:pPr>
        <w:ind w:left="567" w:hanging="567"/>
        <w:outlineLvl w:val="0"/>
        <w:rPr>
          <w:szCs w:val="22"/>
          <w:lang w:val="en-GB"/>
        </w:rPr>
      </w:pPr>
      <w:r w:rsidRPr="00C501E3">
        <w:rPr>
          <w:szCs w:val="22"/>
          <w:lang w:val="en-GB"/>
        </w:rPr>
        <w:t>No dose reductions of MabThera are recommended. When MabThera is given in combination with</w:t>
      </w:r>
    </w:p>
    <w:p w14:paraId="7C331B1C" w14:textId="77777777" w:rsidR="008F369D" w:rsidRPr="00C501E3" w:rsidRDefault="00016F29" w:rsidP="008F369D">
      <w:pPr>
        <w:ind w:left="567" w:hanging="567"/>
        <w:outlineLvl w:val="0"/>
        <w:rPr>
          <w:szCs w:val="22"/>
          <w:lang w:val="en-GB"/>
        </w:rPr>
      </w:pPr>
      <w:r w:rsidRPr="00C501E3">
        <w:rPr>
          <w:szCs w:val="22"/>
          <w:lang w:val="en-GB"/>
        </w:rPr>
        <w:t>chemotherapy, standard dose reductions for the chemotherapeutic medicinal products should be</w:t>
      </w:r>
    </w:p>
    <w:p w14:paraId="7C331B1D" w14:textId="77777777" w:rsidR="008F369D" w:rsidRPr="00C501E3" w:rsidRDefault="00016F29" w:rsidP="008F369D">
      <w:pPr>
        <w:rPr>
          <w:szCs w:val="22"/>
          <w:lang w:val="en-GB"/>
        </w:rPr>
      </w:pPr>
      <w:r w:rsidRPr="00C501E3">
        <w:rPr>
          <w:szCs w:val="22"/>
          <w:lang w:val="en-GB"/>
        </w:rPr>
        <w:t>applied (see section 4.8).</w:t>
      </w:r>
    </w:p>
    <w:p w14:paraId="7C331B1E" w14:textId="77777777" w:rsidR="008F369D" w:rsidRPr="00C501E3" w:rsidRDefault="008F369D" w:rsidP="008F369D">
      <w:pPr>
        <w:rPr>
          <w:szCs w:val="22"/>
          <w:lang w:val="en-GB"/>
        </w:rPr>
      </w:pPr>
    </w:p>
    <w:p w14:paraId="7C331B1F" w14:textId="77777777" w:rsidR="008F369D" w:rsidRPr="00C501E3" w:rsidRDefault="00016F29" w:rsidP="008F369D">
      <w:pPr>
        <w:ind w:left="567" w:hanging="567"/>
        <w:outlineLvl w:val="0"/>
        <w:rPr>
          <w:szCs w:val="22"/>
          <w:u w:val="single"/>
          <w:lang w:val="en-GB"/>
        </w:rPr>
      </w:pPr>
      <w:r w:rsidRPr="00C501E3">
        <w:rPr>
          <w:szCs w:val="22"/>
          <w:u w:val="single"/>
          <w:lang w:val="en-GB"/>
        </w:rPr>
        <w:t>Special populations</w:t>
      </w:r>
    </w:p>
    <w:p w14:paraId="7C331B20" w14:textId="77777777" w:rsidR="008F369D" w:rsidRPr="00C501E3" w:rsidRDefault="008F369D" w:rsidP="008F369D">
      <w:pPr>
        <w:rPr>
          <w:b/>
          <w:szCs w:val="22"/>
          <w:lang w:val="en-GB"/>
        </w:rPr>
      </w:pPr>
    </w:p>
    <w:p w14:paraId="7C331B21" w14:textId="77777777" w:rsidR="008F369D" w:rsidRPr="00C501E3" w:rsidRDefault="00016F29" w:rsidP="008F369D">
      <w:pPr>
        <w:outlineLvl w:val="0"/>
        <w:rPr>
          <w:szCs w:val="22"/>
          <w:lang w:val="en-GB"/>
        </w:rPr>
      </w:pPr>
      <w:r w:rsidRPr="00C501E3">
        <w:rPr>
          <w:i/>
          <w:szCs w:val="22"/>
          <w:lang w:val="en-GB"/>
        </w:rPr>
        <w:t>Paediatric population</w:t>
      </w:r>
    </w:p>
    <w:p w14:paraId="7C331B22" w14:textId="77777777" w:rsidR="008F369D" w:rsidRPr="00C501E3" w:rsidRDefault="00016F29" w:rsidP="008F369D">
      <w:pPr>
        <w:rPr>
          <w:szCs w:val="22"/>
          <w:lang w:val="en-GB"/>
        </w:rPr>
      </w:pPr>
      <w:r w:rsidRPr="00C501E3">
        <w:rPr>
          <w:szCs w:val="22"/>
          <w:lang w:val="en-GB"/>
        </w:rPr>
        <w:t>The safety and efficacy of MabThera in children below 18 years has not been established. No data are available.</w:t>
      </w:r>
    </w:p>
    <w:p w14:paraId="7C331B23" w14:textId="77777777" w:rsidR="008F369D" w:rsidRPr="00C501E3" w:rsidRDefault="008F369D" w:rsidP="008F369D">
      <w:pPr>
        <w:rPr>
          <w:szCs w:val="22"/>
          <w:lang w:val="en-GB"/>
        </w:rPr>
      </w:pPr>
    </w:p>
    <w:p w14:paraId="7C331B24" w14:textId="77777777" w:rsidR="008F369D" w:rsidRPr="00C501E3" w:rsidRDefault="00016F29" w:rsidP="008F369D">
      <w:pPr>
        <w:outlineLvl w:val="0"/>
        <w:rPr>
          <w:i/>
          <w:szCs w:val="22"/>
          <w:lang w:val="en-GB"/>
        </w:rPr>
      </w:pPr>
      <w:r w:rsidRPr="00C501E3">
        <w:rPr>
          <w:i/>
          <w:szCs w:val="22"/>
          <w:lang w:val="en-GB"/>
        </w:rPr>
        <w:t>Elderly</w:t>
      </w:r>
    </w:p>
    <w:p w14:paraId="7C331B25" w14:textId="77777777" w:rsidR="008F369D" w:rsidRPr="00C501E3" w:rsidRDefault="00016F29" w:rsidP="008F369D">
      <w:pPr>
        <w:rPr>
          <w:szCs w:val="22"/>
          <w:lang w:val="en-GB"/>
        </w:rPr>
      </w:pPr>
      <w:r w:rsidRPr="00C501E3">
        <w:rPr>
          <w:szCs w:val="22"/>
          <w:lang w:val="en-GB"/>
        </w:rPr>
        <w:t xml:space="preserve">No dose adjustment is required in elderly patients (aged &gt;65 years). </w:t>
      </w:r>
    </w:p>
    <w:p w14:paraId="7C331B26" w14:textId="77777777" w:rsidR="008F369D" w:rsidRPr="00C501E3" w:rsidRDefault="008F369D" w:rsidP="008F369D">
      <w:pPr>
        <w:rPr>
          <w:szCs w:val="22"/>
          <w:lang w:val="en-GB"/>
        </w:rPr>
      </w:pPr>
    </w:p>
    <w:p w14:paraId="7C331B27" w14:textId="77777777" w:rsidR="008F369D" w:rsidRPr="00C501E3" w:rsidRDefault="00016F29" w:rsidP="008F369D">
      <w:pPr>
        <w:ind w:left="567" w:hanging="567"/>
        <w:outlineLvl w:val="0"/>
        <w:rPr>
          <w:szCs w:val="22"/>
          <w:u w:val="single"/>
          <w:lang w:val="en-GB"/>
        </w:rPr>
      </w:pPr>
      <w:r w:rsidRPr="00C501E3">
        <w:rPr>
          <w:szCs w:val="22"/>
          <w:u w:val="single"/>
          <w:lang w:val="en-GB"/>
        </w:rPr>
        <w:t>Method of administration</w:t>
      </w:r>
    </w:p>
    <w:p w14:paraId="7C331B28" w14:textId="77777777" w:rsidR="008F369D" w:rsidRPr="00C501E3" w:rsidRDefault="008F369D" w:rsidP="008F369D">
      <w:pPr>
        <w:outlineLvl w:val="0"/>
        <w:rPr>
          <w:szCs w:val="22"/>
          <w:lang w:val="en-GB"/>
        </w:rPr>
      </w:pPr>
    </w:p>
    <w:p w14:paraId="7C331B29" w14:textId="77777777" w:rsidR="008F369D" w:rsidRPr="006651D5" w:rsidRDefault="00016F29" w:rsidP="008F369D">
      <w:pPr>
        <w:rPr>
          <w:szCs w:val="22"/>
          <w:lang w:val="en-GB"/>
        </w:rPr>
      </w:pPr>
      <w:r w:rsidRPr="00C501E3">
        <w:rPr>
          <w:i/>
          <w:szCs w:val="22"/>
          <w:lang w:val="en-GB"/>
        </w:rPr>
        <w:t xml:space="preserve">Subcutaneous </w:t>
      </w:r>
      <w:r w:rsidRPr="006651D5">
        <w:rPr>
          <w:i/>
          <w:szCs w:val="22"/>
          <w:lang w:val="en-GB"/>
        </w:rPr>
        <w:t>injections:</w:t>
      </w:r>
    </w:p>
    <w:p w14:paraId="7C331B2A" w14:textId="77777777" w:rsidR="008F369D" w:rsidRPr="00C501E3" w:rsidRDefault="00016F29" w:rsidP="008F369D">
      <w:pPr>
        <w:rPr>
          <w:lang w:val="en-GB"/>
        </w:rPr>
      </w:pPr>
      <w:r w:rsidRPr="006651D5">
        <w:rPr>
          <w:rFonts w:eastAsia="SimSun"/>
          <w:szCs w:val="22"/>
          <w:lang w:val="en-GB" w:eastAsia="zh-CN"/>
        </w:rPr>
        <w:t>MabThera</w:t>
      </w:r>
      <w:r w:rsidRPr="00C501E3">
        <w:rPr>
          <w:rFonts w:eastAsia="SimSun"/>
          <w:szCs w:val="22"/>
          <w:lang w:val="en-GB" w:eastAsia="zh-CN"/>
        </w:rPr>
        <w:t xml:space="preserve"> </w:t>
      </w:r>
      <w:r w:rsidR="00E0550E" w:rsidRPr="006651D5">
        <w:rPr>
          <w:rFonts w:eastAsia="SimSun"/>
          <w:szCs w:val="22"/>
          <w:lang w:val="en-GB" w:eastAsia="zh-CN"/>
        </w:rPr>
        <w:t>1400 mg</w:t>
      </w:r>
      <w:r w:rsidR="00E0550E">
        <w:rPr>
          <w:rFonts w:eastAsia="SimSun"/>
          <w:szCs w:val="22"/>
          <w:lang w:val="en-GB" w:eastAsia="zh-CN"/>
        </w:rPr>
        <w:t xml:space="preserve"> </w:t>
      </w:r>
      <w:r w:rsidRPr="00C501E3">
        <w:rPr>
          <w:bCs/>
          <w:iCs/>
          <w:szCs w:val="22"/>
          <w:lang w:val="en-GB"/>
        </w:rPr>
        <w:t xml:space="preserve">subcutaneous formulation </w:t>
      </w:r>
      <w:r w:rsidRPr="00C501E3">
        <w:rPr>
          <w:rFonts w:eastAsia="SimSun"/>
          <w:szCs w:val="22"/>
          <w:lang w:val="en-GB" w:eastAsia="zh-CN"/>
        </w:rPr>
        <w:t xml:space="preserve">should be administered as subcutaneous injection only, </w:t>
      </w:r>
      <w:r w:rsidRPr="00C501E3">
        <w:rPr>
          <w:bCs/>
          <w:iCs/>
          <w:szCs w:val="22"/>
          <w:lang w:val="en-GB"/>
        </w:rPr>
        <w:t xml:space="preserve">over approximately 5 minutes. </w:t>
      </w:r>
      <w:r w:rsidRPr="00C501E3">
        <w:rPr>
          <w:iCs/>
          <w:szCs w:val="22"/>
          <w:lang w:val="en-GB"/>
        </w:rPr>
        <w:t>The hypodermic injection needle must only be attached to the syringe immediately prior to administration to avoid potential needle clogging.</w:t>
      </w:r>
    </w:p>
    <w:p w14:paraId="7C331B2B" w14:textId="77777777" w:rsidR="008F369D" w:rsidRPr="00C501E3" w:rsidRDefault="008F369D" w:rsidP="008F369D">
      <w:pPr>
        <w:rPr>
          <w:rFonts w:cs="Arial"/>
          <w:lang w:val="en-GB"/>
        </w:rPr>
      </w:pPr>
    </w:p>
    <w:p w14:paraId="7C331B2C" w14:textId="77777777" w:rsidR="008F369D" w:rsidRPr="00C501E3" w:rsidRDefault="00016F29" w:rsidP="008F369D">
      <w:pPr>
        <w:rPr>
          <w:rFonts w:cs="Arial"/>
          <w:lang w:val="en-GB"/>
        </w:rPr>
      </w:pPr>
      <w:r w:rsidRPr="00C501E3">
        <w:rPr>
          <w:rFonts w:cs="Arial"/>
          <w:lang w:val="en-GB"/>
        </w:rPr>
        <w:t>MabThera subcutaneous formulation should be injected subcutaneously into the abdominal wall and never into areas where the skin is red, bruised, tender, hard or areas where there are moles or scars.</w:t>
      </w:r>
    </w:p>
    <w:p w14:paraId="7C331B2D" w14:textId="77777777" w:rsidR="008F369D" w:rsidRPr="00C501E3" w:rsidRDefault="008F369D" w:rsidP="008F369D">
      <w:pPr>
        <w:shd w:val="clear" w:color="auto" w:fill="FFFFFF"/>
        <w:rPr>
          <w:color w:val="222222"/>
          <w:szCs w:val="22"/>
          <w:lang w:val="en-GB" w:eastAsia="en-US"/>
        </w:rPr>
      </w:pPr>
    </w:p>
    <w:p w14:paraId="7C331B2E" w14:textId="77777777" w:rsidR="008F369D" w:rsidRPr="00C501E3" w:rsidRDefault="00016F29" w:rsidP="008F369D">
      <w:pPr>
        <w:shd w:val="clear" w:color="auto" w:fill="FFFFFF"/>
        <w:rPr>
          <w:color w:val="222222"/>
          <w:szCs w:val="22"/>
          <w:lang w:val="en-GB" w:eastAsia="en-US"/>
        </w:rPr>
      </w:pPr>
      <w:r w:rsidRPr="00C501E3">
        <w:rPr>
          <w:rFonts w:cs="Arial"/>
          <w:lang w:val="en-GB"/>
        </w:rPr>
        <w:t>No data are available on performing the injection in other sites of the body, therefore injections should be restricted to the abdominal wall.</w:t>
      </w:r>
    </w:p>
    <w:p w14:paraId="7C331B2F" w14:textId="77777777" w:rsidR="008F369D" w:rsidRPr="00C501E3" w:rsidRDefault="008F369D" w:rsidP="008F369D">
      <w:pPr>
        <w:rPr>
          <w:rFonts w:eastAsia="SimSun"/>
          <w:szCs w:val="22"/>
          <w:lang w:val="en-GB" w:eastAsia="zh-CN"/>
        </w:rPr>
      </w:pPr>
    </w:p>
    <w:p w14:paraId="7C331B30" w14:textId="77777777" w:rsidR="008F369D" w:rsidRPr="00C501E3" w:rsidRDefault="00016F29" w:rsidP="008F369D">
      <w:pPr>
        <w:rPr>
          <w:rFonts w:eastAsia="SimSun"/>
          <w:szCs w:val="22"/>
          <w:lang w:val="en-GB" w:eastAsia="zh-CN"/>
        </w:rPr>
      </w:pPr>
      <w:r w:rsidRPr="00C501E3">
        <w:rPr>
          <w:rFonts w:eastAsia="SimSun"/>
          <w:szCs w:val="22"/>
          <w:lang w:val="en-GB" w:eastAsia="zh-CN"/>
        </w:rPr>
        <w:t xml:space="preserve">During the treatment course with MabThera </w:t>
      </w:r>
      <w:r w:rsidRPr="00C501E3">
        <w:rPr>
          <w:bCs/>
          <w:iCs/>
          <w:szCs w:val="22"/>
          <w:lang w:val="en-GB"/>
        </w:rPr>
        <w:t>subcutaneous formulation</w:t>
      </w:r>
      <w:r w:rsidRPr="00C501E3">
        <w:rPr>
          <w:rFonts w:eastAsia="SimSun"/>
          <w:szCs w:val="22"/>
          <w:lang w:val="en-GB" w:eastAsia="zh-CN"/>
        </w:rPr>
        <w:t>, other medicinal products for subcutaneous administration should preferably be given at different sites.</w:t>
      </w:r>
    </w:p>
    <w:p w14:paraId="7C331B31" w14:textId="77777777" w:rsidR="008F369D" w:rsidRPr="00C501E3" w:rsidRDefault="008F369D" w:rsidP="008F369D">
      <w:pPr>
        <w:rPr>
          <w:rFonts w:eastAsia="SimSun"/>
          <w:szCs w:val="22"/>
          <w:lang w:val="en-GB" w:eastAsia="zh-CN"/>
        </w:rPr>
      </w:pPr>
    </w:p>
    <w:p w14:paraId="7C331B32" w14:textId="77777777" w:rsidR="008F369D" w:rsidRPr="00C501E3" w:rsidRDefault="00016F29" w:rsidP="008F369D">
      <w:pPr>
        <w:suppressLineNumbers/>
        <w:autoSpaceDE w:val="0"/>
        <w:autoSpaceDN w:val="0"/>
        <w:adjustRightInd w:val="0"/>
        <w:rPr>
          <w:rFonts w:eastAsia="SimSun"/>
          <w:szCs w:val="22"/>
          <w:lang w:val="en-GB" w:eastAsia="zh-CN"/>
        </w:rPr>
      </w:pPr>
      <w:r w:rsidRPr="00C501E3">
        <w:rPr>
          <w:rFonts w:eastAsia="SimSun"/>
          <w:szCs w:val="22"/>
          <w:lang w:val="en-GB" w:eastAsia="zh-CN"/>
        </w:rPr>
        <w:t>If an injection is interrupted it can be resumed at the same site or another location may be used, if appropriate.</w:t>
      </w:r>
    </w:p>
    <w:p w14:paraId="7C331B33" w14:textId="77777777" w:rsidR="008F369D" w:rsidRPr="00C501E3" w:rsidRDefault="008F369D" w:rsidP="008F369D">
      <w:pPr>
        <w:suppressLineNumbers/>
        <w:autoSpaceDE w:val="0"/>
        <w:autoSpaceDN w:val="0"/>
        <w:adjustRightInd w:val="0"/>
        <w:rPr>
          <w:rFonts w:eastAsia="SimSun"/>
          <w:szCs w:val="22"/>
          <w:lang w:val="en-GB" w:eastAsia="zh-CN"/>
        </w:rPr>
      </w:pPr>
    </w:p>
    <w:p w14:paraId="7C331B34" w14:textId="77777777" w:rsidR="008F369D" w:rsidRPr="00C501E3" w:rsidRDefault="00016F29" w:rsidP="008F369D">
      <w:pPr>
        <w:keepNext/>
        <w:keepLines/>
        <w:rPr>
          <w:strike/>
          <w:szCs w:val="22"/>
          <w:lang w:val="en-GB"/>
        </w:rPr>
      </w:pPr>
      <w:r w:rsidRPr="00C501E3">
        <w:rPr>
          <w:i/>
          <w:szCs w:val="22"/>
          <w:lang w:val="en-GB"/>
        </w:rPr>
        <w:t>Intravenous infusion administration:</w:t>
      </w:r>
      <w:r w:rsidRPr="00C501E3">
        <w:rPr>
          <w:szCs w:val="22"/>
          <w:lang w:val="en-GB"/>
        </w:rPr>
        <w:t xml:space="preserve"> </w:t>
      </w:r>
    </w:p>
    <w:p w14:paraId="7C331B35" w14:textId="77777777" w:rsidR="008F369D" w:rsidRPr="00C501E3" w:rsidRDefault="00016F29" w:rsidP="008F369D">
      <w:pPr>
        <w:rPr>
          <w:szCs w:val="22"/>
          <w:lang w:val="en-GB"/>
        </w:rPr>
      </w:pPr>
      <w:r w:rsidRPr="00C501E3">
        <w:rPr>
          <w:szCs w:val="22"/>
          <w:lang w:val="en-GB"/>
        </w:rPr>
        <w:t>The Summary of Product Characteristics (SmPC) of MabThera100 mg and 500 mg concentrate for solution for infusion should be referred to for information on dosing instructions and method of administration.</w:t>
      </w:r>
    </w:p>
    <w:p w14:paraId="7C331B36" w14:textId="77777777" w:rsidR="008F369D" w:rsidRPr="00C501E3" w:rsidRDefault="008F369D" w:rsidP="008F369D">
      <w:pPr>
        <w:rPr>
          <w:szCs w:val="22"/>
          <w:lang w:val="en-GB"/>
        </w:rPr>
      </w:pPr>
    </w:p>
    <w:p w14:paraId="7C331B37" w14:textId="77777777" w:rsidR="008F369D" w:rsidRPr="00C501E3" w:rsidRDefault="00016F29" w:rsidP="008F369D">
      <w:pPr>
        <w:ind w:left="567" w:hanging="567"/>
        <w:outlineLvl w:val="0"/>
        <w:rPr>
          <w:szCs w:val="22"/>
          <w:lang w:val="en-GB"/>
        </w:rPr>
      </w:pPr>
      <w:r w:rsidRPr="00C501E3">
        <w:rPr>
          <w:b/>
          <w:szCs w:val="22"/>
          <w:lang w:val="en-GB"/>
        </w:rPr>
        <w:t>4.3</w:t>
      </w:r>
      <w:r w:rsidRPr="00C501E3">
        <w:rPr>
          <w:b/>
          <w:szCs w:val="22"/>
          <w:lang w:val="en-GB"/>
        </w:rPr>
        <w:tab/>
        <w:t>Contraindications</w:t>
      </w:r>
    </w:p>
    <w:p w14:paraId="7C331B38" w14:textId="77777777" w:rsidR="008F369D" w:rsidRPr="00C501E3" w:rsidRDefault="008F369D" w:rsidP="008F369D">
      <w:pPr>
        <w:ind w:left="567" w:hanging="567"/>
        <w:rPr>
          <w:szCs w:val="22"/>
          <w:lang w:val="en-GB"/>
        </w:rPr>
      </w:pPr>
    </w:p>
    <w:p w14:paraId="7C331B39" w14:textId="77777777" w:rsidR="008F369D" w:rsidRPr="00C501E3" w:rsidRDefault="00016F29" w:rsidP="008F369D">
      <w:pPr>
        <w:outlineLvl w:val="0"/>
        <w:rPr>
          <w:szCs w:val="22"/>
          <w:lang w:val="en-GB"/>
        </w:rPr>
      </w:pPr>
      <w:r w:rsidRPr="00C501E3">
        <w:rPr>
          <w:szCs w:val="22"/>
          <w:lang w:val="en-GB"/>
        </w:rPr>
        <w:t xml:space="preserve">Hypersensitivity to the active substance or to </w:t>
      </w:r>
      <w:r w:rsidRPr="00C501E3">
        <w:rPr>
          <w:lang w:val="en-GB"/>
        </w:rPr>
        <w:t>murine proteins, hyaluronidase or to any of the other excipients listed in section 6</w:t>
      </w:r>
      <w:r w:rsidRPr="00C501E3">
        <w:rPr>
          <w:szCs w:val="22"/>
          <w:lang w:val="en-GB"/>
        </w:rPr>
        <w:t xml:space="preserve">.1. </w:t>
      </w:r>
    </w:p>
    <w:p w14:paraId="7C331B3A" w14:textId="77777777" w:rsidR="008F369D" w:rsidRPr="00C501E3" w:rsidRDefault="008F369D" w:rsidP="008F369D">
      <w:pPr>
        <w:outlineLvl w:val="0"/>
        <w:rPr>
          <w:szCs w:val="22"/>
          <w:lang w:val="en-GB"/>
        </w:rPr>
      </w:pPr>
    </w:p>
    <w:p w14:paraId="7C331B3B" w14:textId="77777777" w:rsidR="008F369D" w:rsidRPr="00C501E3" w:rsidRDefault="00016F29" w:rsidP="008F369D">
      <w:pPr>
        <w:outlineLvl w:val="0"/>
        <w:rPr>
          <w:szCs w:val="22"/>
          <w:lang w:val="en-GB"/>
        </w:rPr>
      </w:pPr>
      <w:r w:rsidRPr="00C501E3">
        <w:rPr>
          <w:szCs w:val="22"/>
          <w:lang w:val="en-GB"/>
        </w:rPr>
        <w:t>Active, severe infections (see section 4.4).</w:t>
      </w:r>
    </w:p>
    <w:p w14:paraId="7C331B3C" w14:textId="77777777" w:rsidR="008F369D" w:rsidRPr="00C501E3" w:rsidRDefault="008F369D" w:rsidP="008F369D">
      <w:pPr>
        <w:outlineLvl w:val="0"/>
        <w:rPr>
          <w:szCs w:val="22"/>
          <w:lang w:val="en-GB"/>
        </w:rPr>
      </w:pPr>
    </w:p>
    <w:p w14:paraId="7C331B3D" w14:textId="77777777" w:rsidR="008F369D" w:rsidRPr="00C501E3" w:rsidRDefault="00016F29" w:rsidP="008F369D">
      <w:pPr>
        <w:ind w:left="567" w:hanging="567"/>
        <w:outlineLvl w:val="0"/>
        <w:rPr>
          <w:lang w:val="en-GB"/>
        </w:rPr>
      </w:pPr>
      <w:r w:rsidRPr="00C501E3">
        <w:rPr>
          <w:lang w:val="en-GB"/>
        </w:rPr>
        <w:t>Patients in a severely immunocompromised state.</w:t>
      </w:r>
    </w:p>
    <w:p w14:paraId="7C331B3E" w14:textId="77777777" w:rsidR="008F369D" w:rsidRPr="00C501E3" w:rsidRDefault="008F369D" w:rsidP="008F369D">
      <w:pPr>
        <w:rPr>
          <w:szCs w:val="22"/>
          <w:lang w:val="en-GB"/>
        </w:rPr>
      </w:pPr>
    </w:p>
    <w:p w14:paraId="7C331B3F" w14:textId="77777777" w:rsidR="008F369D" w:rsidRPr="00C501E3" w:rsidRDefault="00016F29" w:rsidP="008F369D">
      <w:pPr>
        <w:keepNext/>
        <w:keepLines/>
        <w:ind w:left="567" w:hanging="567"/>
        <w:outlineLvl w:val="0"/>
        <w:rPr>
          <w:b/>
          <w:szCs w:val="22"/>
          <w:lang w:val="en-GB"/>
        </w:rPr>
      </w:pPr>
      <w:r w:rsidRPr="00C501E3">
        <w:rPr>
          <w:b/>
          <w:szCs w:val="22"/>
          <w:lang w:val="en-GB"/>
        </w:rPr>
        <w:t>4.4</w:t>
      </w:r>
      <w:r w:rsidRPr="00C501E3">
        <w:rPr>
          <w:b/>
          <w:szCs w:val="22"/>
          <w:lang w:val="en-GB"/>
        </w:rPr>
        <w:tab/>
        <w:t>Special warnings and precautions for use</w:t>
      </w:r>
    </w:p>
    <w:p w14:paraId="7C331B40" w14:textId="77777777" w:rsidR="008F369D" w:rsidRPr="00C501E3" w:rsidRDefault="008F369D" w:rsidP="008F369D">
      <w:pPr>
        <w:rPr>
          <w:lang w:val="en-GB"/>
        </w:rPr>
      </w:pPr>
    </w:p>
    <w:p w14:paraId="7C331B41" w14:textId="77777777" w:rsidR="00807DC7" w:rsidRPr="00E06A78" w:rsidRDefault="00016F29" w:rsidP="00E06A78">
      <w:pPr>
        <w:widowControl w:val="0"/>
        <w:rPr>
          <w:u w:val="single"/>
          <w:lang w:val="en-GB"/>
        </w:rPr>
      </w:pPr>
      <w:r w:rsidRPr="00E06A78">
        <w:rPr>
          <w:u w:val="single"/>
          <w:lang w:val="en-GB"/>
        </w:rPr>
        <w:t>T</w:t>
      </w:r>
      <w:r w:rsidR="00C20CA0">
        <w:rPr>
          <w:u w:val="single"/>
          <w:lang w:val="en-GB"/>
        </w:rPr>
        <w:t>r</w:t>
      </w:r>
      <w:r w:rsidRPr="00E06A78">
        <w:rPr>
          <w:u w:val="single"/>
          <w:lang w:val="en-GB"/>
        </w:rPr>
        <w:t>ac</w:t>
      </w:r>
      <w:r w:rsidR="00C20CA0">
        <w:rPr>
          <w:u w:val="single"/>
          <w:lang w:val="en-GB"/>
        </w:rPr>
        <w:t>ea</w:t>
      </w:r>
      <w:r w:rsidRPr="00E06A78">
        <w:rPr>
          <w:u w:val="single"/>
          <w:lang w:val="en-GB"/>
        </w:rPr>
        <w:t>bility</w:t>
      </w:r>
    </w:p>
    <w:p w14:paraId="7C331B42" w14:textId="77777777" w:rsidR="008F369D" w:rsidRPr="006651D5" w:rsidRDefault="00016F29" w:rsidP="00E06A78">
      <w:pPr>
        <w:widowControl w:val="0"/>
        <w:rPr>
          <w:lang w:val="en-GB"/>
        </w:rPr>
      </w:pPr>
      <w:r w:rsidRPr="006651D5">
        <w:rPr>
          <w:lang w:val="en-GB"/>
        </w:rPr>
        <w:t>In order to improve</w:t>
      </w:r>
      <w:r w:rsidRPr="001F63EB">
        <w:rPr>
          <w:lang w:val="en-GB"/>
        </w:rPr>
        <w:t xml:space="preserve"> traceability of biological medicinal products</w:t>
      </w:r>
      <w:r w:rsidRPr="005E4C1A">
        <w:rPr>
          <w:bCs/>
          <w:lang w:val="en-GB"/>
        </w:rPr>
        <w:t>, </w:t>
      </w:r>
      <w:r w:rsidRPr="00A3054B">
        <w:rPr>
          <w:lang w:val="en-GB"/>
        </w:rPr>
        <w:t>the tradename </w:t>
      </w:r>
      <w:r w:rsidR="004A2A4C" w:rsidRPr="006651D5">
        <w:rPr>
          <w:lang w:val="en-GB"/>
        </w:rPr>
        <w:t xml:space="preserve">and </w:t>
      </w:r>
      <w:r w:rsidR="00947AD1" w:rsidRPr="006651D5">
        <w:rPr>
          <w:lang w:val="en-GB"/>
        </w:rPr>
        <w:t>batch number</w:t>
      </w:r>
      <w:r w:rsidRPr="001F63EB">
        <w:rPr>
          <w:lang w:val="en-GB"/>
        </w:rPr>
        <w:t xml:space="preserve"> of the administered product should be clearly recorded.</w:t>
      </w:r>
    </w:p>
    <w:p w14:paraId="7C331B43" w14:textId="77777777" w:rsidR="008F369D" w:rsidRPr="006651D5" w:rsidRDefault="008F369D" w:rsidP="00E06A78">
      <w:pPr>
        <w:widowControl w:val="0"/>
        <w:ind w:left="567" w:hanging="567"/>
        <w:outlineLvl w:val="0"/>
        <w:rPr>
          <w:b/>
          <w:szCs w:val="22"/>
          <w:lang w:val="en-GB"/>
        </w:rPr>
      </w:pPr>
    </w:p>
    <w:p w14:paraId="7C331B44" w14:textId="77777777" w:rsidR="008F369D" w:rsidRPr="00C501E3" w:rsidRDefault="00016F29" w:rsidP="00E06A78">
      <w:pPr>
        <w:keepNext/>
        <w:keepLines/>
        <w:rPr>
          <w:szCs w:val="22"/>
          <w:lang w:val="en-GB"/>
        </w:rPr>
      </w:pPr>
      <w:r w:rsidRPr="006651D5">
        <w:rPr>
          <w:szCs w:val="22"/>
          <w:lang w:val="en-GB"/>
        </w:rPr>
        <w:t>The information provided in the section 4.4 pertains to the use of MabThera subcutaneous formulation in the approved indication</w:t>
      </w:r>
      <w:r w:rsidR="004A2A4C" w:rsidRPr="006651D5">
        <w:rPr>
          <w:szCs w:val="22"/>
          <w:lang w:val="en-GB"/>
        </w:rPr>
        <w:t>s</w:t>
      </w:r>
      <w:r w:rsidRPr="006651D5">
        <w:rPr>
          <w:szCs w:val="22"/>
          <w:lang w:val="en-GB"/>
        </w:rPr>
        <w:t xml:space="preserve"> </w:t>
      </w:r>
      <w:r w:rsidRPr="006651D5">
        <w:rPr>
          <w:i/>
          <w:szCs w:val="22"/>
          <w:lang w:val="en-GB"/>
        </w:rPr>
        <w:t>Treatment of non</w:t>
      </w:r>
      <w:r w:rsidR="00C273AD">
        <w:rPr>
          <w:i/>
          <w:szCs w:val="22"/>
          <w:lang w:val="en-GB"/>
        </w:rPr>
        <w:t>-</w:t>
      </w:r>
      <w:r w:rsidR="007830E0" w:rsidRPr="006651D5">
        <w:rPr>
          <w:i/>
          <w:szCs w:val="22"/>
          <w:lang w:val="en-GB"/>
        </w:rPr>
        <w:t>Hodgkin</w:t>
      </w:r>
      <w:r w:rsidR="00C273AD">
        <w:rPr>
          <w:i/>
          <w:szCs w:val="22"/>
          <w:lang w:val="en-GB"/>
        </w:rPr>
        <w:t>’s</w:t>
      </w:r>
      <w:r w:rsidRPr="006651D5">
        <w:rPr>
          <w:i/>
          <w:szCs w:val="22"/>
          <w:lang w:val="en-GB"/>
        </w:rPr>
        <w:t xml:space="preserve"> lymphoma</w:t>
      </w:r>
      <w:r w:rsidR="004A2A4C" w:rsidRPr="006651D5">
        <w:rPr>
          <w:i/>
          <w:szCs w:val="22"/>
          <w:lang w:val="en-GB"/>
        </w:rPr>
        <w:t xml:space="preserve"> (strength 1400 mg) and Treatment of Chronic Lymphocytic Leuk</w:t>
      </w:r>
      <w:r w:rsidR="006174ED" w:rsidRPr="006651D5">
        <w:rPr>
          <w:i/>
          <w:szCs w:val="22"/>
          <w:lang w:val="en-GB"/>
        </w:rPr>
        <w:t>a</w:t>
      </w:r>
      <w:r w:rsidR="004A2A4C" w:rsidRPr="006651D5">
        <w:rPr>
          <w:i/>
          <w:szCs w:val="22"/>
          <w:lang w:val="en-GB"/>
        </w:rPr>
        <w:t xml:space="preserve">emia </w:t>
      </w:r>
      <w:r w:rsidR="004A2A4C" w:rsidRPr="006651D5">
        <w:rPr>
          <w:szCs w:val="22"/>
          <w:lang w:val="en-GB"/>
        </w:rPr>
        <w:t>(strength 1600 mg)</w:t>
      </w:r>
      <w:r w:rsidRPr="006651D5">
        <w:rPr>
          <w:szCs w:val="22"/>
          <w:lang w:val="en-GB"/>
        </w:rPr>
        <w:t>. For</w:t>
      </w:r>
      <w:r w:rsidRPr="00C501E3">
        <w:rPr>
          <w:szCs w:val="22"/>
          <w:lang w:val="en-GB"/>
        </w:rPr>
        <w:t xml:space="preserve"> information related to the other indications, please refer to the SmPC of MabThera intravenous formulation. </w:t>
      </w:r>
    </w:p>
    <w:p w14:paraId="7C331B45" w14:textId="77777777" w:rsidR="008F369D" w:rsidRPr="00C501E3" w:rsidRDefault="008F369D" w:rsidP="008F369D">
      <w:pPr>
        <w:rPr>
          <w:b/>
          <w:szCs w:val="22"/>
          <w:lang w:val="en-GB"/>
        </w:rPr>
      </w:pPr>
    </w:p>
    <w:p w14:paraId="7C331B46" w14:textId="77777777" w:rsidR="008F369D" w:rsidRPr="00C501E3" w:rsidRDefault="00016F29" w:rsidP="008F369D">
      <w:pPr>
        <w:rPr>
          <w:b/>
          <w:szCs w:val="22"/>
          <w:lang w:val="en-GB"/>
        </w:rPr>
      </w:pPr>
      <w:r w:rsidRPr="00D41902">
        <w:rPr>
          <w:lang w:val="en-GB"/>
        </w:rPr>
        <w:t>The use of MabThera subcutaneous formulation as monotherapy in patients with stage III</w:t>
      </w:r>
      <w:r w:rsidR="000A6DDA" w:rsidRPr="00D41902">
        <w:rPr>
          <w:lang w:val="en-GB"/>
        </w:rPr>
        <w:noBreakHyphen/>
      </w:r>
      <w:r w:rsidRPr="00D41902">
        <w:rPr>
          <w:lang w:val="en-GB"/>
        </w:rPr>
        <w:t>IV</w:t>
      </w:r>
      <w:r w:rsidRPr="00C501E3">
        <w:rPr>
          <w:lang w:val="en-GB"/>
        </w:rPr>
        <w:t xml:space="preserve"> follicular lymphoma who are chemoresistant or are in their second or subsequent relapse after chemotherapy cannot be recommended as the safety of the once weekly subcutaneous</w:t>
      </w:r>
      <w:r w:rsidRPr="00C501E3">
        <w:t xml:space="preserve"> </w:t>
      </w:r>
      <w:r w:rsidRPr="00C501E3">
        <w:rPr>
          <w:lang w:val="en-GB"/>
        </w:rPr>
        <w:t>administration has not been established.</w:t>
      </w:r>
    </w:p>
    <w:p w14:paraId="7C331B47" w14:textId="77777777" w:rsidR="008F369D" w:rsidRPr="00C501E3" w:rsidRDefault="008F369D" w:rsidP="008F369D">
      <w:pPr>
        <w:keepNext/>
        <w:keepLines/>
        <w:ind w:left="567" w:hanging="567"/>
        <w:outlineLvl w:val="0"/>
        <w:rPr>
          <w:b/>
          <w:szCs w:val="22"/>
          <w:lang w:val="en-GB"/>
        </w:rPr>
      </w:pPr>
    </w:p>
    <w:p w14:paraId="7C331B48" w14:textId="77777777" w:rsidR="008F369D" w:rsidRPr="00C501E3" w:rsidRDefault="00016F29" w:rsidP="008F369D">
      <w:pPr>
        <w:keepNext/>
        <w:keepLines/>
        <w:ind w:left="567" w:hanging="567"/>
        <w:rPr>
          <w:szCs w:val="22"/>
          <w:u w:val="single"/>
          <w:lang w:val="en-GB"/>
        </w:rPr>
      </w:pPr>
      <w:r w:rsidRPr="00C501E3">
        <w:rPr>
          <w:szCs w:val="22"/>
          <w:u w:val="single"/>
          <w:lang w:val="en-GB"/>
        </w:rPr>
        <w:t>Progressive multifocal leukoencephalopathy</w:t>
      </w:r>
    </w:p>
    <w:p w14:paraId="7C331B49" w14:textId="77777777" w:rsidR="008F369D" w:rsidRPr="00C501E3" w:rsidRDefault="008F369D" w:rsidP="008F369D">
      <w:pPr>
        <w:keepNext/>
        <w:keepLines/>
        <w:ind w:left="567" w:hanging="567"/>
        <w:rPr>
          <w:szCs w:val="22"/>
          <w:lang w:val="en-GB"/>
        </w:rPr>
      </w:pPr>
    </w:p>
    <w:p w14:paraId="7C331B4A" w14:textId="77777777" w:rsidR="008F369D" w:rsidRPr="00C501E3" w:rsidRDefault="00016F29" w:rsidP="008F369D">
      <w:pPr>
        <w:rPr>
          <w:szCs w:val="22"/>
          <w:lang w:val="en-GB"/>
        </w:rPr>
      </w:pPr>
      <w:r w:rsidRPr="00C501E3">
        <w:rPr>
          <w:szCs w:val="22"/>
          <w:lang w:val="en-GB"/>
        </w:rPr>
        <w:t xml:space="preserve">Use of MabThera may be associated with an increased risk of progressive multifocal leukoencephalopathy (PML). </w:t>
      </w:r>
      <w:r w:rsidRPr="00C501E3">
        <w:rPr>
          <w:iCs/>
          <w:szCs w:val="22"/>
          <w:lang w:val="en-GB"/>
        </w:rPr>
        <w:t xml:space="preserve">Patients must be monitored at regular intervals for any new or worsening neurological symptoms or signs that may be suggestive of PML. If PML is suspected, further dosing must be suspended until PML has been excluded. </w:t>
      </w:r>
      <w:r w:rsidRPr="00C501E3">
        <w:rPr>
          <w:szCs w:val="22"/>
          <w:lang w:val="en-GB"/>
        </w:rPr>
        <w:t>The clinician should evaluate the patient to determine if the symptoms are indicative of neurological dysfunction, and if so, whether these symptoms are possibly suggestive of PML. Consultation with a neurologist should be considered as clinically indicated.</w:t>
      </w:r>
    </w:p>
    <w:p w14:paraId="7C331B4B" w14:textId="77777777" w:rsidR="008F369D" w:rsidRPr="00C501E3" w:rsidRDefault="008F369D" w:rsidP="008F369D">
      <w:pPr>
        <w:rPr>
          <w:szCs w:val="22"/>
          <w:lang w:val="en-GB"/>
        </w:rPr>
      </w:pPr>
    </w:p>
    <w:p w14:paraId="7C331B4C" w14:textId="77777777" w:rsidR="008F369D" w:rsidRPr="00C501E3" w:rsidRDefault="00016F29" w:rsidP="008F369D">
      <w:pPr>
        <w:rPr>
          <w:szCs w:val="22"/>
          <w:lang w:val="en-GB"/>
        </w:rPr>
      </w:pPr>
      <w:r w:rsidRPr="00C501E3">
        <w:rPr>
          <w:szCs w:val="22"/>
          <w:lang w:val="en-GB"/>
        </w:rPr>
        <w:t xml:space="preserve">If any doubt exists, further evaluation, including MRI scan preferably with contrast, cerebrospinal fluid (CSF) testing for JC Viral DNA and repeat neurological assessments, should be considered. </w:t>
      </w:r>
    </w:p>
    <w:p w14:paraId="7C331B4D" w14:textId="77777777" w:rsidR="008F369D" w:rsidRPr="00C501E3" w:rsidRDefault="008F369D" w:rsidP="008F369D">
      <w:pPr>
        <w:autoSpaceDE w:val="0"/>
        <w:autoSpaceDN w:val="0"/>
        <w:adjustRightInd w:val="0"/>
        <w:rPr>
          <w:iCs/>
          <w:szCs w:val="22"/>
          <w:lang w:val="en-GB"/>
        </w:rPr>
      </w:pPr>
    </w:p>
    <w:p w14:paraId="7C331B4E" w14:textId="77777777" w:rsidR="008F369D" w:rsidRPr="00C501E3" w:rsidRDefault="00016F29" w:rsidP="008F369D">
      <w:pPr>
        <w:keepNext/>
        <w:keepLines/>
        <w:autoSpaceDE w:val="0"/>
        <w:autoSpaceDN w:val="0"/>
        <w:adjustRightInd w:val="0"/>
        <w:rPr>
          <w:szCs w:val="22"/>
          <w:lang w:val="en-GB"/>
        </w:rPr>
      </w:pPr>
      <w:r w:rsidRPr="00C501E3">
        <w:rPr>
          <w:iCs/>
          <w:szCs w:val="22"/>
          <w:lang w:val="en-GB"/>
        </w:rPr>
        <w:t xml:space="preserve">The physician should be particularly alert to symptoms suggestive of PML that the patient may not notice (e.g. cognitive, neurological or psychiatric symptoms). </w:t>
      </w:r>
      <w:r w:rsidRPr="00C501E3">
        <w:rPr>
          <w:szCs w:val="22"/>
          <w:lang w:val="en-GB"/>
        </w:rPr>
        <w:t>Patients should also be advised to inform their partner or caregivers about their treatment, since they may notice symptoms that the patient is not aware of.</w:t>
      </w:r>
    </w:p>
    <w:p w14:paraId="7C331B4F" w14:textId="77777777" w:rsidR="008F369D" w:rsidRPr="00C501E3" w:rsidRDefault="008F369D" w:rsidP="008F369D">
      <w:pPr>
        <w:autoSpaceDE w:val="0"/>
        <w:autoSpaceDN w:val="0"/>
        <w:adjustRightInd w:val="0"/>
        <w:rPr>
          <w:szCs w:val="22"/>
          <w:lang w:val="en-GB"/>
        </w:rPr>
      </w:pPr>
    </w:p>
    <w:p w14:paraId="7C331B50" w14:textId="77777777" w:rsidR="008F369D" w:rsidRPr="00C501E3" w:rsidRDefault="00016F29" w:rsidP="008F369D">
      <w:pPr>
        <w:rPr>
          <w:iCs/>
          <w:szCs w:val="22"/>
          <w:lang w:val="en-GB"/>
        </w:rPr>
      </w:pPr>
      <w:r w:rsidRPr="00C501E3">
        <w:rPr>
          <w:iCs/>
          <w:szCs w:val="22"/>
          <w:lang w:val="en-GB"/>
        </w:rPr>
        <w:t xml:space="preserve">If a patient develops PML, the dosing of MabThera must be permanently discontinued. </w:t>
      </w:r>
    </w:p>
    <w:p w14:paraId="7C331B51" w14:textId="77777777" w:rsidR="008F369D" w:rsidRPr="00C501E3" w:rsidRDefault="008F369D" w:rsidP="008F369D">
      <w:pPr>
        <w:rPr>
          <w:szCs w:val="22"/>
          <w:lang w:val="en-GB"/>
        </w:rPr>
      </w:pPr>
    </w:p>
    <w:p w14:paraId="7C331B52" w14:textId="77777777" w:rsidR="008F369D" w:rsidRPr="00C501E3" w:rsidRDefault="00016F29" w:rsidP="008F369D">
      <w:pPr>
        <w:outlineLvl w:val="0"/>
        <w:rPr>
          <w:szCs w:val="22"/>
          <w:lang w:val="en-GB"/>
        </w:rPr>
      </w:pPr>
      <w:r w:rsidRPr="00C501E3">
        <w:rPr>
          <w:szCs w:val="22"/>
          <w:lang w:val="en-GB"/>
        </w:rPr>
        <w:t>Following reconstitution of the immune system in immunocompromised patients with PML, stabilisation or improved outcome has been seen. It remains unknown if early detection of PML and suspension of MabThera therapy may lead to similar stabilisation or improved outcome.</w:t>
      </w:r>
    </w:p>
    <w:p w14:paraId="7C331B53" w14:textId="77777777" w:rsidR="008F369D" w:rsidRPr="00C501E3" w:rsidRDefault="008F369D" w:rsidP="008F369D">
      <w:pPr>
        <w:outlineLvl w:val="0"/>
        <w:rPr>
          <w:b/>
          <w:szCs w:val="22"/>
          <w:lang w:val="en-GB"/>
        </w:rPr>
      </w:pPr>
    </w:p>
    <w:p w14:paraId="7C331B54" w14:textId="77777777" w:rsidR="008F369D" w:rsidRPr="00ED2646" w:rsidRDefault="00016F29" w:rsidP="008F369D">
      <w:pPr>
        <w:rPr>
          <w:szCs w:val="22"/>
          <w:u w:val="single"/>
          <w:lang w:val="en-GB"/>
        </w:rPr>
      </w:pPr>
      <w:r w:rsidRPr="00ED2646">
        <w:rPr>
          <w:szCs w:val="22"/>
          <w:u w:val="single"/>
          <w:lang w:val="en-GB"/>
        </w:rPr>
        <w:t>Infusion/Administration</w:t>
      </w:r>
      <w:r w:rsidR="000A6DDA" w:rsidRPr="00ED2646">
        <w:rPr>
          <w:szCs w:val="22"/>
          <w:u w:val="single"/>
          <w:lang w:val="en-GB"/>
        </w:rPr>
        <w:noBreakHyphen/>
      </w:r>
      <w:r w:rsidRPr="00ED2646">
        <w:rPr>
          <w:szCs w:val="22"/>
          <w:u w:val="single"/>
          <w:lang w:val="en-GB"/>
        </w:rPr>
        <w:t>related reactions</w:t>
      </w:r>
    </w:p>
    <w:p w14:paraId="7C331B55" w14:textId="77777777" w:rsidR="008F369D" w:rsidRPr="00ED2646" w:rsidRDefault="008F369D" w:rsidP="008F369D">
      <w:pPr>
        <w:rPr>
          <w:szCs w:val="22"/>
          <w:lang w:val="en-GB"/>
        </w:rPr>
      </w:pPr>
    </w:p>
    <w:p w14:paraId="7C331B56" w14:textId="77777777" w:rsidR="008F369D" w:rsidRPr="00ED2646" w:rsidRDefault="00016F29" w:rsidP="008F369D">
      <w:pPr>
        <w:rPr>
          <w:lang w:val="en-GB"/>
        </w:rPr>
      </w:pPr>
      <w:r w:rsidRPr="00ED2646">
        <w:rPr>
          <w:lang w:val="en-GB"/>
        </w:rPr>
        <w:t>MabThera is associated with infusion/administration</w:t>
      </w:r>
      <w:r w:rsidR="000A6DDA" w:rsidRPr="00ED2646">
        <w:rPr>
          <w:lang w:val="en-GB"/>
        </w:rPr>
        <w:noBreakHyphen/>
      </w:r>
      <w:r w:rsidRPr="00ED2646">
        <w:rPr>
          <w:lang w:val="en-GB"/>
        </w:rPr>
        <w:t>related reactions, which may be related to release of cytokines and/or other chemical mediators. Cytokine release syndrome may be clinically indistinguishable from acute hypersensitivity reactions.</w:t>
      </w:r>
    </w:p>
    <w:p w14:paraId="7C331B57" w14:textId="77777777" w:rsidR="008F369D" w:rsidRPr="00ED2646" w:rsidRDefault="008F369D" w:rsidP="008F369D">
      <w:pPr>
        <w:rPr>
          <w:lang w:val="en-GB"/>
        </w:rPr>
      </w:pPr>
    </w:p>
    <w:p w14:paraId="7C331B58" w14:textId="77777777" w:rsidR="008F369D" w:rsidRPr="00ED2646" w:rsidRDefault="00016F29" w:rsidP="008F369D">
      <w:pPr>
        <w:rPr>
          <w:lang w:val="en-GB"/>
        </w:rPr>
      </w:pPr>
      <w:r w:rsidRPr="00ED2646">
        <w:rPr>
          <w:lang w:val="en-GB"/>
        </w:rPr>
        <w:t>This set of reactions which includes syndrome of cytokine release, tumor lysis syndrome and anaphylactic and hypersensitivity reactions are described below. They are not specifically related to the route of administration of MabThera and can be observed with both formulations.</w:t>
      </w:r>
    </w:p>
    <w:p w14:paraId="7C331B59" w14:textId="77777777" w:rsidR="008F369D" w:rsidRPr="00ED2646" w:rsidRDefault="008F369D" w:rsidP="008F369D">
      <w:pPr>
        <w:rPr>
          <w:lang w:val="en-GB"/>
        </w:rPr>
      </w:pPr>
    </w:p>
    <w:p w14:paraId="7C331B5A" w14:textId="77777777" w:rsidR="008F369D" w:rsidRPr="00C501E3" w:rsidRDefault="00016F29" w:rsidP="008F369D">
      <w:pPr>
        <w:rPr>
          <w:rFonts w:cs="Arial"/>
          <w:lang w:val="en-GB"/>
        </w:rPr>
      </w:pPr>
      <w:r w:rsidRPr="00ED2646">
        <w:rPr>
          <w:lang w:val="en-GB"/>
        </w:rPr>
        <w:t>Severe infusion</w:t>
      </w:r>
      <w:r w:rsidR="000A6DDA" w:rsidRPr="00ED2646">
        <w:rPr>
          <w:lang w:val="en-GB"/>
        </w:rPr>
        <w:noBreakHyphen/>
      </w:r>
      <w:r w:rsidRPr="00ED2646">
        <w:rPr>
          <w:lang w:val="en-GB"/>
        </w:rPr>
        <w:t>related reactions with fatal outcome have been reported during post</w:t>
      </w:r>
      <w:r w:rsidR="000A6DDA" w:rsidRPr="00ED2646">
        <w:rPr>
          <w:lang w:val="en-GB"/>
        </w:rPr>
        <w:noBreakHyphen/>
      </w:r>
      <w:r w:rsidRPr="00ED2646">
        <w:rPr>
          <w:lang w:val="en-GB"/>
        </w:rPr>
        <w:t>marketing use</w:t>
      </w:r>
      <w:r w:rsidRPr="00C501E3">
        <w:rPr>
          <w:lang w:val="en-GB"/>
        </w:rPr>
        <w:t xml:space="preserve"> of the MabThera </w:t>
      </w:r>
      <w:r w:rsidRPr="006651D5">
        <w:rPr>
          <w:lang w:val="en-GB"/>
        </w:rPr>
        <w:t xml:space="preserve">intravenous formulation, with an onset ranging within 30 minutes to 2 hours after starting the first MabThera </w:t>
      </w:r>
      <w:r w:rsidR="006071D8" w:rsidRPr="006651D5">
        <w:rPr>
          <w:lang w:val="en-GB"/>
        </w:rPr>
        <w:t>intravenous</w:t>
      </w:r>
      <w:r w:rsidRPr="006651D5">
        <w:rPr>
          <w:lang w:val="en-GB"/>
        </w:rPr>
        <w:t xml:space="preserve"> infusion. They were characterized by pulmonary events and in some cases included rapid tumour lysis and features</w:t>
      </w:r>
      <w:r w:rsidRPr="00C501E3">
        <w:rPr>
          <w:lang w:val="en-GB"/>
        </w:rPr>
        <w:t xml:space="preserve"> of tumour lysis syndrome in addition to fever, chills, rigors, hypotension, urticaria, angioedema and other symptoms (see section 4.8).</w:t>
      </w:r>
    </w:p>
    <w:p w14:paraId="7C331B5B" w14:textId="77777777" w:rsidR="008F369D" w:rsidRPr="00C501E3" w:rsidRDefault="008F369D" w:rsidP="008F369D">
      <w:pPr>
        <w:rPr>
          <w:szCs w:val="22"/>
          <w:lang w:val="en-GB"/>
        </w:rPr>
      </w:pPr>
    </w:p>
    <w:p w14:paraId="7C331B5C" w14:textId="77777777" w:rsidR="008F369D" w:rsidRPr="00C501E3" w:rsidRDefault="00016F29" w:rsidP="008F369D">
      <w:pPr>
        <w:rPr>
          <w:szCs w:val="22"/>
          <w:lang w:val="en-GB"/>
        </w:rPr>
      </w:pPr>
      <w:r w:rsidRPr="00C501E3">
        <w:rPr>
          <w:szCs w:val="22"/>
          <w:lang w:val="en-GB"/>
        </w:rPr>
        <w:t xml:space="preserve">Severe cytokine release syndrome is characterised by severe dyspnea, often accompanied by bronchospasm and hypoxia, in addition to fever, chills, rigors, urticaria, and angioedema. This syndrome may be associated with some features of tumour lysis syndrome such as hyperuricaemia, hyperkalaemia, hypocalcaemia, hyperphosphaetemia, acute renal failure, elevated lactate dehydrogenase (LDH) and may be associated with acute respiratory failure and death. The acute respiratory failure may be accompanied by events such as pulmonary interstitial infiltration or oedema, </w:t>
      </w:r>
      <w:r w:rsidRPr="00FE0AF5">
        <w:rPr>
          <w:szCs w:val="22"/>
          <w:lang w:val="en-GB"/>
        </w:rPr>
        <w:t>visible on a chest X</w:t>
      </w:r>
      <w:r w:rsidR="000A6DDA" w:rsidRPr="00FE0AF5">
        <w:rPr>
          <w:szCs w:val="22"/>
          <w:lang w:val="en-GB"/>
        </w:rPr>
        <w:noBreakHyphen/>
      </w:r>
      <w:r w:rsidRPr="00FE0AF5">
        <w:rPr>
          <w:szCs w:val="22"/>
          <w:lang w:val="en-GB"/>
        </w:rPr>
        <w:t>ray. The syndrome frequently manifests itself within one or two hours of</w:t>
      </w:r>
      <w:r w:rsidRPr="00C501E3">
        <w:rPr>
          <w:szCs w:val="22"/>
          <w:lang w:val="en-GB"/>
        </w:rPr>
        <w:t xml:space="preserve"> initiating the first infusion. Patients with a history of pulmonary insufficiency or those with pulmonary tumour infiltration may be at greater risk of poor outcome and should be treated with increased caution. Patients who develop severe cytokine release syndrome should have their infusion interrupted immediately (see section 4.2) and should receive aggressive symptomatic treatment. Since initial improvement of clinical symptoms may be followed by deterioration, these patients should be closely monitored until tumour lysis syndrome and pulmonary infiltration have been resolved or ruled out. Further treatment of patients after complete resolution of signs and symptoms has rarely resulted in repeated severe cytokine release syndrome. </w:t>
      </w:r>
    </w:p>
    <w:p w14:paraId="7C331B5D" w14:textId="77777777" w:rsidR="008F369D" w:rsidRPr="00C501E3" w:rsidRDefault="008F369D" w:rsidP="008F369D">
      <w:pPr>
        <w:keepNext/>
        <w:jc w:val="both"/>
        <w:rPr>
          <w:rFonts w:cs="Arial"/>
          <w:color w:val="222222"/>
          <w:shd w:val="clear" w:color="auto" w:fill="FFFFFF"/>
          <w:lang w:val="en-GB"/>
        </w:rPr>
      </w:pPr>
    </w:p>
    <w:p w14:paraId="7C331B5E" w14:textId="77777777" w:rsidR="008F369D" w:rsidRPr="00C501E3" w:rsidRDefault="00016F29" w:rsidP="002C6ABF">
      <w:pPr>
        <w:keepNext/>
        <w:rPr>
          <w:szCs w:val="22"/>
          <w:lang w:val="en-GB"/>
        </w:rPr>
      </w:pPr>
      <w:r w:rsidRPr="00C501E3">
        <w:rPr>
          <w:szCs w:val="22"/>
          <w:lang w:val="en-GB"/>
        </w:rPr>
        <w:t>Patients with a high tumour burden or with a high number (≥25 x 10</w:t>
      </w:r>
      <w:r w:rsidRPr="00C501E3">
        <w:rPr>
          <w:szCs w:val="22"/>
          <w:vertAlign w:val="superscript"/>
          <w:lang w:val="en-GB"/>
        </w:rPr>
        <w:t>9</w:t>
      </w:r>
      <w:r w:rsidRPr="00C501E3">
        <w:rPr>
          <w:szCs w:val="22"/>
          <w:lang w:val="en-GB"/>
        </w:rPr>
        <w:t xml:space="preserve">/L) of circulating malignant cells, who may be at higher risk of especially severe cytokine release syndrome, </w:t>
      </w:r>
      <w:r w:rsidRPr="006651D5">
        <w:rPr>
          <w:szCs w:val="22"/>
          <w:lang w:val="en-GB"/>
        </w:rPr>
        <w:t xml:space="preserve">should </w:t>
      </w:r>
      <w:r w:rsidR="00AB0BDA" w:rsidRPr="006651D5">
        <w:rPr>
          <w:szCs w:val="22"/>
          <w:lang w:val="en-GB"/>
        </w:rPr>
        <w:t xml:space="preserve"> </w:t>
      </w:r>
      <w:r w:rsidRPr="006651D5">
        <w:rPr>
          <w:szCs w:val="22"/>
          <w:lang w:val="en-GB"/>
        </w:rPr>
        <w:t>be treated</w:t>
      </w:r>
      <w:r w:rsidRPr="00C501E3">
        <w:rPr>
          <w:szCs w:val="22"/>
          <w:lang w:val="en-GB"/>
        </w:rPr>
        <w:t xml:space="preserve"> with extreme caution. These patients should be very closely monitored throughout the first infusion. Consideration should be given to the use of a reduced infusion rate for the first infusion in these patients or a split dosing over two days during the first cycle</w:t>
      </w:r>
      <w:r w:rsidRPr="00C501E3">
        <w:rPr>
          <w:lang w:val="en-GB"/>
        </w:rPr>
        <w:t xml:space="preserve"> and any subsequent cycles if the lymphocyte count is still &gt;25 x 10</w:t>
      </w:r>
      <w:r w:rsidRPr="00C501E3">
        <w:rPr>
          <w:vertAlign w:val="superscript"/>
          <w:lang w:val="en-GB"/>
        </w:rPr>
        <w:t>9</w:t>
      </w:r>
      <w:r w:rsidRPr="00C501E3">
        <w:rPr>
          <w:lang w:val="en-GB"/>
        </w:rPr>
        <w:t>/L</w:t>
      </w:r>
      <w:r w:rsidRPr="00C501E3">
        <w:rPr>
          <w:szCs w:val="22"/>
          <w:lang w:val="en-GB"/>
        </w:rPr>
        <w:t>.</w:t>
      </w:r>
    </w:p>
    <w:p w14:paraId="7C331B5F" w14:textId="77777777" w:rsidR="008F369D" w:rsidRPr="00C501E3" w:rsidRDefault="008F369D" w:rsidP="008F369D">
      <w:pPr>
        <w:keepNext/>
        <w:jc w:val="both"/>
        <w:rPr>
          <w:rFonts w:cs="Arial"/>
          <w:color w:val="222222"/>
          <w:shd w:val="clear" w:color="auto" w:fill="FFFFFF"/>
          <w:lang w:val="en-GB"/>
        </w:rPr>
      </w:pPr>
    </w:p>
    <w:p w14:paraId="7C331B60" w14:textId="77777777" w:rsidR="008F369D" w:rsidRPr="00C501E3" w:rsidRDefault="00016F29" w:rsidP="008F369D">
      <w:pPr>
        <w:rPr>
          <w:szCs w:val="22"/>
          <w:lang w:val="en-GB"/>
        </w:rPr>
      </w:pPr>
      <w:r w:rsidRPr="00C501E3">
        <w:rPr>
          <w:szCs w:val="22"/>
          <w:lang w:val="en-GB"/>
        </w:rPr>
        <w:t>Anaphylactic and other hypersensitivity reactions have been reported following the intravenous administration of proteins to patients. In contrast to cytokine release syndrome, true hypersensitivity reactions typically occur within minutes after starting infusion. Medicinal products for the treatment of hypersensitivity reactions, e.g., epinephrine (adrenaline), antihistamines and glucocorticoids, should be available for immediate use in the event of an allergic reaction during administration of MabThera. Clinical manifestations of anaphylaxis may appear similar to clinical manifestations of the cytokine release syndrome (described above). Reactions attributed to hypersensitivity have been reported less frequently than those attributed to cytokine release.</w:t>
      </w:r>
    </w:p>
    <w:p w14:paraId="7C331B61" w14:textId="77777777" w:rsidR="008F369D" w:rsidRPr="00C501E3" w:rsidRDefault="008F369D" w:rsidP="008F369D">
      <w:pPr>
        <w:keepNext/>
        <w:jc w:val="both"/>
        <w:rPr>
          <w:rFonts w:cs="Arial"/>
          <w:color w:val="222222"/>
          <w:shd w:val="clear" w:color="auto" w:fill="FFFFFF"/>
          <w:lang w:val="en-GB"/>
        </w:rPr>
      </w:pPr>
    </w:p>
    <w:p w14:paraId="7C331B62" w14:textId="77777777" w:rsidR="008F369D" w:rsidRPr="00BC0662" w:rsidRDefault="00016F29" w:rsidP="008F369D">
      <w:pPr>
        <w:rPr>
          <w:szCs w:val="22"/>
          <w:lang w:val="en-GB"/>
        </w:rPr>
      </w:pPr>
      <w:r w:rsidRPr="00BC0662">
        <w:rPr>
          <w:szCs w:val="22"/>
          <w:lang w:val="en-GB"/>
        </w:rPr>
        <w:t>Additional reactions reported in some cases were myocardial infarction, atrial fibrillation, pulmonary oedema and acute reversible thrombocytopenia.</w:t>
      </w:r>
    </w:p>
    <w:p w14:paraId="7C331B63" w14:textId="77777777" w:rsidR="008F369D" w:rsidRPr="00BC0662" w:rsidRDefault="008F369D" w:rsidP="008F369D">
      <w:pPr>
        <w:rPr>
          <w:szCs w:val="22"/>
          <w:lang w:val="en-GB"/>
        </w:rPr>
      </w:pPr>
    </w:p>
    <w:p w14:paraId="7C331B64" w14:textId="77777777" w:rsidR="008F369D" w:rsidRPr="00BC0662" w:rsidRDefault="00016F29" w:rsidP="005B2928">
      <w:pPr>
        <w:keepNext/>
        <w:rPr>
          <w:color w:val="222222"/>
          <w:shd w:val="clear" w:color="auto" w:fill="FFFFFF"/>
          <w:lang w:val="en-GB"/>
        </w:rPr>
      </w:pPr>
      <w:r w:rsidRPr="00BC0662">
        <w:rPr>
          <w:szCs w:val="22"/>
          <w:lang w:val="en-GB"/>
        </w:rPr>
        <w:t>Since hypotension may occur during MabThera administration, consideration should be given to withholding anti</w:t>
      </w:r>
      <w:r w:rsidR="000A6DDA" w:rsidRPr="00BC0662">
        <w:rPr>
          <w:szCs w:val="22"/>
          <w:lang w:val="en-GB"/>
        </w:rPr>
        <w:noBreakHyphen/>
      </w:r>
      <w:r w:rsidRPr="00BC0662">
        <w:rPr>
          <w:szCs w:val="22"/>
          <w:lang w:val="en-GB"/>
        </w:rPr>
        <w:t>hypertensive medicines 12 hours prior to giving MabThera.</w:t>
      </w:r>
    </w:p>
    <w:p w14:paraId="7C331B65" w14:textId="77777777" w:rsidR="008F369D" w:rsidRPr="00BC0662" w:rsidRDefault="008F369D" w:rsidP="008F369D">
      <w:pPr>
        <w:keepNext/>
        <w:jc w:val="both"/>
        <w:rPr>
          <w:color w:val="222222"/>
          <w:shd w:val="clear" w:color="auto" w:fill="FFFFFF"/>
          <w:lang w:val="en-GB"/>
        </w:rPr>
      </w:pPr>
    </w:p>
    <w:p w14:paraId="7C331B66" w14:textId="77777777" w:rsidR="008F369D" w:rsidRPr="00BC0662" w:rsidRDefault="00016F29" w:rsidP="005B2928">
      <w:pPr>
        <w:keepNext/>
        <w:rPr>
          <w:szCs w:val="22"/>
          <w:lang w:val="en-GB"/>
        </w:rPr>
      </w:pPr>
      <w:r w:rsidRPr="00BC0662">
        <w:rPr>
          <w:szCs w:val="22"/>
          <w:lang w:val="en-GB"/>
        </w:rPr>
        <w:t>Infusion related adverse reactions of all kinds have been observed in 77% of patients treated with MabThera intravenous formulation (including cytokine release syndrome accompanied by hypotension and bronchospasm in 10 % of patients) see section 4.8. These symptoms are usually reversible with interruption of MabThera infusion and administration of an anti</w:t>
      </w:r>
      <w:r w:rsidR="000A6DDA" w:rsidRPr="00BC0662">
        <w:rPr>
          <w:szCs w:val="22"/>
          <w:lang w:val="en-GB"/>
        </w:rPr>
        <w:noBreakHyphen/>
      </w:r>
      <w:r w:rsidRPr="00BC0662">
        <w:rPr>
          <w:szCs w:val="22"/>
          <w:lang w:val="en-GB"/>
        </w:rPr>
        <w:t>pyretic, an antihistaminic, and, occasionally, oxygen, intravenous saline or bronchodilators, and glucocorticoids if required. Please see cytokine release syndrome above for severe reactions.</w:t>
      </w:r>
    </w:p>
    <w:p w14:paraId="7C331B67" w14:textId="77777777" w:rsidR="008F369D" w:rsidRPr="00C501E3" w:rsidRDefault="008F369D" w:rsidP="008F369D">
      <w:pPr>
        <w:keepNext/>
        <w:jc w:val="both"/>
        <w:rPr>
          <w:rFonts w:cs="Arial"/>
          <w:color w:val="222222"/>
          <w:shd w:val="clear" w:color="auto" w:fill="FFFFFF"/>
          <w:lang w:val="en-GB"/>
        </w:rPr>
      </w:pPr>
    </w:p>
    <w:p w14:paraId="7C331B68" w14:textId="77777777" w:rsidR="008F369D" w:rsidRPr="00C501E3" w:rsidRDefault="00016F29" w:rsidP="008F369D">
      <w:pPr>
        <w:rPr>
          <w:lang w:val="en-GB"/>
        </w:rPr>
      </w:pPr>
      <w:r w:rsidRPr="00C501E3">
        <w:rPr>
          <w:lang w:val="en-GB"/>
        </w:rPr>
        <w:t xml:space="preserve">Administration related reactions have been </w:t>
      </w:r>
      <w:r w:rsidRPr="006651D5">
        <w:rPr>
          <w:lang w:val="en-GB"/>
        </w:rPr>
        <w:t xml:space="preserve">observed in </w:t>
      </w:r>
      <w:r w:rsidR="00D91B56" w:rsidRPr="006651D5">
        <w:rPr>
          <w:lang w:val="en-GB"/>
        </w:rPr>
        <w:t xml:space="preserve">up to 50% of </w:t>
      </w:r>
      <w:r w:rsidRPr="006651D5">
        <w:rPr>
          <w:lang w:val="en-GB"/>
        </w:rPr>
        <w:t>patients</w:t>
      </w:r>
      <w:r w:rsidRPr="00C501E3">
        <w:rPr>
          <w:lang w:val="en-GB"/>
        </w:rPr>
        <w:t xml:space="preserve"> treated with Mab</w:t>
      </w:r>
      <w:r>
        <w:rPr>
          <w:lang w:val="en-GB"/>
        </w:rPr>
        <w:t>T</w:t>
      </w:r>
      <w:r w:rsidRPr="00C501E3">
        <w:rPr>
          <w:lang w:val="en-GB"/>
        </w:rPr>
        <w:t>hera subcutaneous formulation in clinical trials. The reactions occurring within 24 hours of the subcutaneous injection consisted primarily of erythema pruritus, rash and injections site reactions such as pain, swelling and redness and were generally of mild or moderate (grade 1 or 2) and transient nature</w:t>
      </w:r>
      <w:r>
        <w:rPr>
          <w:lang w:val="en-GB"/>
        </w:rPr>
        <w:t xml:space="preserve"> (see section 4.8)</w:t>
      </w:r>
      <w:r w:rsidRPr="00C501E3">
        <w:rPr>
          <w:lang w:val="en-GB"/>
        </w:rPr>
        <w:t>.</w:t>
      </w:r>
    </w:p>
    <w:p w14:paraId="7C331B69" w14:textId="77777777" w:rsidR="008F369D" w:rsidRPr="00C501E3" w:rsidRDefault="008F369D" w:rsidP="008F369D">
      <w:pPr>
        <w:rPr>
          <w:b/>
          <w:lang w:val="en-GB"/>
        </w:rPr>
      </w:pPr>
    </w:p>
    <w:p w14:paraId="7C331B6A" w14:textId="77777777" w:rsidR="008F369D" w:rsidRPr="00C501E3" w:rsidRDefault="00016F29" w:rsidP="00E06A78">
      <w:pPr>
        <w:rPr>
          <w:szCs w:val="22"/>
          <w:lang w:val="en-GB"/>
        </w:rPr>
      </w:pPr>
      <w:r w:rsidRPr="00C501E3">
        <w:rPr>
          <w:lang w:val="en-GB"/>
        </w:rPr>
        <w:t xml:space="preserve">Local cutaneous reactions were very common in patients receiving MabThera subcutaneous in clinical trials.  Symptoms included pain, swelling, induration, haemorrhage, erythema, pruritus and rash (see section 4.8). Some local cutaneous reactions occurred more than 24 hours after the </w:t>
      </w:r>
      <w:r w:rsidRPr="00C501E3">
        <w:rPr>
          <w:szCs w:val="22"/>
          <w:lang w:val="en-GB"/>
        </w:rPr>
        <w:t xml:space="preserve">MabThera subcutaneous </w:t>
      </w:r>
      <w:r w:rsidRPr="00C501E3">
        <w:rPr>
          <w:lang w:val="en-GB"/>
        </w:rPr>
        <w:t>administration. The majority of local cutaneous reactions seen following administration of MabThera subcutaneous formulation was mild or moderate and resolved without any specific treatment</w:t>
      </w:r>
      <w:r w:rsidRPr="00C501E3">
        <w:rPr>
          <w:szCs w:val="22"/>
          <w:lang w:val="en-GB"/>
        </w:rPr>
        <w:t>.</w:t>
      </w:r>
    </w:p>
    <w:p w14:paraId="7C331B6B" w14:textId="77777777" w:rsidR="008F369D" w:rsidRPr="00C501E3" w:rsidRDefault="008F369D" w:rsidP="00E06A78">
      <w:pPr>
        <w:jc w:val="both"/>
        <w:rPr>
          <w:rFonts w:cs="Arial"/>
          <w:color w:val="222222"/>
          <w:shd w:val="clear" w:color="auto" w:fill="FFFFFF"/>
          <w:lang w:val="en-GB"/>
        </w:rPr>
      </w:pPr>
    </w:p>
    <w:p w14:paraId="7C331B6C" w14:textId="77777777" w:rsidR="008F369D" w:rsidRPr="00C501E3" w:rsidRDefault="00016F29" w:rsidP="00CE5D57">
      <w:pPr>
        <w:keepNext/>
        <w:rPr>
          <w:szCs w:val="22"/>
          <w:lang w:val="en-GB"/>
        </w:rPr>
      </w:pPr>
      <w:r w:rsidRPr="00C501E3">
        <w:rPr>
          <w:rFonts w:cs="Arial"/>
          <w:color w:val="222222"/>
          <w:shd w:val="clear" w:color="auto" w:fill="FFFFFF"/>
          <w:lang w:val="en-GB"/>
        </w:rPr>
        <w:t>Before starting MabThera subcutaneous injections, all patients must always receive beforehand, a full dose of MabThera by intravenous infusion, using MabThera intravenous formulation. The highest risk of experiencing an administration related reaction is generally observed at cycle one. Beginning the therapy with MabThera intravenous infusion would allow a better handling of the administration reactions by slowing or stopping the intravenous infusion. </w:t>
      </w:r>
    </w:p>
    <w:p w14:paraId="7C331B6D" w14:textId="77777777" w:rsidR="008F369D" w:rsidRPr="00C501E3" w:rsidRDefault="008F369D" w:rsidP="008F369D">
      <w:pPr>
        <w:keepNext/>
        <w:jc w:val="both"/>
        <w:rPr>
          <w:szCs w:val="22"/>
          <w:lang w:val="en-GB"/>
        </w:rPr>
      </w:pPr>
    </w:p>
    <w:p w14:paraId="7C331B6E" w14:textId="77777777" w:rsidR="008F369D" w:rsidRPr="00C501E3" w:rsidRDefault="00016F29" w:rsidP="008F369D">
      <w:pPr>
        <w:rPr>
          <w:sz w:val="24"/>
          <w:szCs w:val="24"/>
          <w:lang w:val="en-GB" w:eastAsia="en-US"/>
        </w:rPr>
      </w:pPr>
      <w:r w:rsidRPr="00C501E3">
        <w:rPr>
          <w:szCs w:val="22"/>
          <w:lang w:val="en-GB"/>
        </w:rPr>
        <w:t>If patients were not able to receive one full MabThera intravenous infusion dose prior to the switch, they should continue the subsequent cycles with MabThera intravenous formulation until a full intravenous dose is successfully administered. Therefore, the switch to MabThera subcutaneous formulation can only occur at the second or subsequent cycles of treatment.</w:t>
      </w:r>
    </w:p>
    <w:p w14:paraId="7C331B6F" w14:textId="77777777" w:rsidR="008F369D" w:rsidRPr="00C501E3" w:rsidRDefault="008F369D" w:rsidP="008F369D">
      <w:pPr>
        <w:rPr>
          <w:rFonts w:eastAsia="SimSun"/>
          <w:szCs w:val="22"/>
          <w:lang w:val="en-GB" w:eastAsia="zh-CN"/>
        </w:rPr>
      </w:pPr>
    </w:p>
    <w:p w14:paraId="7C331B70" w14:textId="77777777" w:rsidR="008F369D" w:rsidRPr="00C501E3" w:rsidRDefault="00016F29" w:rsidP="008F369D">
      <w:pPr>
        <w:rPr>
          <w:rFonts w:eastAsia="SimSun"/>
          <w:szCs w:val="22"/>
          <w:lang w:val="en-GB" w:eastAsia="zh-CN"/>
        </w:rPr>
      </w:pPr>
      <w:r w:rsidRPr="00C501E3">
        <w:rPr>
          <w:rFonts w:eastAsia="SimSun"/>
          <w:szCs w:val="22"/>
          <w:lang w:val="en-GB" w:eastAsia="zh-CN"/>
        </w:rPr>
        <w:t xml:space="preserve">As with the intravenous formulation, MabThera </w:t>
      </w:r>
      <w:r w:rsidRPr="00C501E3">
        <w:rPr>
          <w:bCs/>
          <w:iCs/>
          <w:szCs w:val="22"/>
          <w:lang w:val="en-GB"/>
        </w:rPr>
        <w:t xml:space="preserve">subcutaneous formulation </w:t>
      </w:r>
      <w:r w:rsidRPr="00C501E3">
        <w:rPr>
          <w:rFonts w:eastAsia="SimSun"/>
          <w:szCs w:val="22"/>
          <w:lang w:val="en-GB" w:eastAsia="zh-CN"/>
        </w:rPr>
        <w:t xml:space="preserve">should be administered in an environment where full resuscitation facilities are immediately available and under the close supervision of an experienced healthcare professional. Premedication consisting of an analgesic/antipyretic and an antihistamine should always be administered before each dose of MabThera </w:t>
      </w:r>
      <w:r w:rsidRPr="00C501E3">
        <w:rPr>
          <w:bCs/>
          <w:iCs/>
          <w:szCs w:val="22"/>
          <w:lang w:val="en-GB"/>
        </w:rPr>
        <w:t>subcutaneous formulation</w:t>
      </w:r>
      <w:r w:rsidRPr="00C501E3">
        <w:rPr>
          <w:rFonts w:eastAsia="SimSun"/>
          <w:szCs w:val="22"/>
          <w:lang w:val="en-GB" w:eastAsia="zh-CN"/>
        </w:rPr>
        <w:t>. Premedication with glucocorticoids should also be considered.</w:t>
      </w:r>
    </w:p>
    <w:p w14:paraId="7C331B71" w14:textId="77777777" w:rsidR="008F369D" w:rsidRPr="00C501E3" w:rsidRDefault="008F369D" w:rsidP="008F369D">
      <w:pPr>
        <w:jc w:val="both"/>
        <w:rPr>
          <w:rFonts w:eastAsia="SimSun"/>
          <w:szCs w:val="22"/>
          <w:lang w:val="en-GB" w:eastAsia="zh-CN"/>
        </w:rPr>
      </w:pPr>
    </w:p>
    <w:p w14:paraId="7C331B72" w14:textId="77777777" w:rsidR="008F369D" w:rsidRPr="00C501E3" w:rsidRDefault="00016F29" w:rsidP="008F369D">
      <w:pPr>
        <w:rPr>
          <w:rFonts w:eastAsia="SimSun"/>
          <w:szCs w:val="22"/>
          <w:lang w:val="en-GB" w:eastAsia="zh-CN"/>
        </w:rPr>
      </w:pPr>
      <w:r w:rsidRPr="00C501E3">
        <w:rPr>
          <w:rFonts w:cs="Arial"/>
          <w:bCs/>
          <w:iCs/>
          <w:color w:val="222222"/>
          <w:szCs w:val="22"/>
          <w:shd w:val="clear" w:color="auto" w:fill="FFFFFF"/>
          <w:lang w:val="en-GB"/>
        </w:rPr>
        <w:t>Patients should be observed for at least 15 minutes following MabThera subcutaneous administration. A longer period may be appropriate in patients with an increased risk of hypersensitivity reactions.</w:t>
      </w:r>
    </w:p>
    <w:p w14:paraId="7C331B73" w14:textId="77777777" w:rsidR="008F369D" w:rsidRPr="00C501E3" w:rsidRDefault="008F369D" w:rsidP="008F369D">
      <w:pPr>
        <w:rPr>
          <w:rFonts w:eastAsia="SimSun"/>
          <w:szCs w:val="22"/>
          <w:lang w:val="en-GB" w:eastAsia="zh-CN"/>
        </w:rPr>
      </w:pPr>
    </w:p>
    <w:p w14:paraId="7C331B74" w14:textId="77777777" w:rsidR="008F369D" w:rsidRPr="00C501E3" w:rsidRDefault="00016F29" w:rsidP="008F369D">
      <w:pPr>
        <w:rPr>
          <w:rFonts w:cs="Arial"/>
          <w:bCs/>
          <w:iCs/>
          <w:color w:val="222222"/>
          <w:szCs w:val="22"/>
          <w:shd w:val="clear" w:color="auto" w:fill="FFFFFF"/>
          <w:lang w:val="en-GB"/>
        </w:rPr>
      </w:pPr>
      <w:r w:rsidRPr="00C501E3">
        <w:rPr>
          <w:rFonts w:cs="Arial"/>
          <w:bCs/>
          <w:iCs/>
          <w:color w:val="222222"/>
          <w:szCs w:val="22"/>
          <w:lang w:val="en-GB"/>
        </w:rPr>
        <w:t>Patients should be instructed to contact their treating physician immediately if symptoms that are suggestive of severe hypersensitivity or cytokine release syndrome occur at any time after medicinal product administration.</w:t>
      </w:r>
    </w:p>
    <w:p w14:paraId="7C331B75" w14:textId="77777777" w:rsidR="008F369D" w:rsidRPr="00C501E3" w:rsidRDefault="008F369D" w:rsidP="008F369D">
      <w:pPr>
        <w:rPr>
          <w:szCs w:val="22"/>
          <w:lang w:val="en-GB"/>
        </w:rPr>
      </w:pPr>
    </w:p>
    <w:p w14:paraId="7C331B76" w14:textId="77777777" w:rsidR="008F369D" w:rsidRPr="00C501E3" w:rsidRDefault="00016F29" w:rsidP="008F369D">
      <w:pPr>
        <w:rPr>
          <w:szCs w:val="22"/>
          <w:u w:val="single"/>
          <w:lang w:val="en-GB"/>
        </w:rPr>
      </w:pPr>
      <w:r w:rsidRPr="00C501E3">
        <w:rPr>
          <w:szCs w:val="22"/>
          <w:u w:val="single"/>
          <w:lang w:val="en-GB"/>
        </w:rPr>
        <w:t>Cardiac disorders</w:t>
      </w:r>
    </w:p>
    <w:p w14:paraId="7C331B77" w14:textId="77777777" w:rsidR="008F369D" w:rsidRPr="00C501E3" w:rsidRDefault="008F369D" w:rsidP="008F369D">
      <w:pPr>
        <w:rPr>
          <w:i/>
          <w:szCs w:val="22"/>
          <w:lang w:val="en-GB"/>
        </w:rPr>
      </w:pPr>
    </w:p>
    <w:p w14:paraId="7C331B78" w14:textId="77777777" w:rsidR="008F369D" w:rsidRPr="00C501E3" w:rsidRDefault="00016F29" w:rsidP="008F369D">
      <w:pPr>
        <w:rPr>
          <w:szCs w:val="22"/>
          <w:lang w:val="en-GB"/>
        </w:rPr>
      </w:pPr>
      <w:r w:rsidRPr="00C501E3">
        <w:rPr>
          <w:szCs w:val="22"/>
          <w:lang w:val="en-GB"/>
        </w:rPr>
        <w:t>Angina pectoris, cardiac arrhythmias</w:t>
      </w:r>
      <w:r w:rsidRPr="00C501E3">
        <w:rPr>
          <w:b/>
          <w:szCs w:val="22"/>
          <w:lang w:val="en-GB"/>
        </w:rPr>
        <w:t xml:space="preserve"> </w:t>
      </w:r>
      <w:r w:rsidRPr="00C501E3">
        <w:rPr>
          <w:szCs w:val="22"/>
          <w:lang w:val="en-GB"/>
        </w:rPr>
        <w:t>such as atrial flutter and fibrillation, heart failure and/or myocardial infarction have occurred in patients treated with MabThera. Therefore patients with a history of cardiac disease and/or cardiotoxic chemotherapy should be monitored closely.</w:t>
      </w:r>
    </w:p>
    <w:p w14:paraId="7C331B79" w14:textId="77777777" w:rsidR="008F369D" w:rsidRPr="00C501E3" w:rsidRDefault="008F369D" w:rsidP="008F369D">
      <w:pPr>
        <w:rPr>
          <w:b/>
          <w:szCs w:val="22"/>
          <w:lang w:val="en-GB"/>
        </w:rPr>
      </w:pPr>
    </w:p>
    <w:p w14:paraId="7C331B7A" w14:textId="77777777" w:rsidR="008F369D" w:rsidRPr="00C501E3" w:rsidRDefault="00016F29" w:rsidP="008F369D">
      <w:pPr>
        <w:rPr>
          <w:szCs w:val="22"/>
          <w:u w:val="single"/>
          <w:lang w:val="en-GB"/>
        </w:rPr>
      </w:pPr>
      <w:r w:rsidRPr="00C501E3">
        <w:rPr>
          <w:szCs w:val="22"/>
          <w:u w:val="single"/>
          <w:lang w:val="en-GB"/>
        </w:rPr>
        <w:t>Haematological toxicities</w:t>
      </w:r>
    </w:p>
    <w:p w14:paraId="7C331B7B" w14:textId="77777777" w:rsidR="008F369D" w:rsidRPr="00C501E3" w:rsidRDefault="008F369D" w:rsidP="008F369D">
      <w:pPr>
        <w:rPr>
          <w:i/>
          <w:szCs w:val="22"/>
          <w:lang w:val="en-GB"/>
        </w:rPr>
      </w:pPr>
    </w:p>
    <w:p w14:paraId="7C331B7C" w14:textId="77777777" w:rsidR="008F369D" w:rsidRPr="00C501E3" w:rsidRDefault="00016F29" w:rsidP="008F369D">
      <w:pPr>
        <w:rPr>
          <w:szCs w:val="22"/>
          <w:lang w:val="en-GB"/>
        </w:rPr>
      </w:pPr>
      <w:r w:rsidRPr="00C501E3">
        <w:rPr>
          <w:szCs w:val="22"/>
          <w:lang w:val="en-GB"/>
        </w:rPr>
        <w:t>Although MabThera is not myelosuppressive in monotherapy, caution should be exercised when considering treatment of patients with neutrophils &lt; 1.5 x 10</w:t>
      </w:r>
      <w:r w:rsidRPr="00C501E3">
        <w:rPr>
          <w:szCs w:val="22"/>
          <w:vertAlign w:val="superscript"/>
          <w:lang w:val="en-GB"/>
        </w:rPr>
        <w:t>9</w:t>
      </w:r>
      <w:r w:rsidRPr="00C501E3">
        <w:rPr>
          <w:szCs w:val="22"/>
          <w:lang w:val="en-GB"/>
        </w:rPr>
        <w:t>/L and/or platelet counts &lt; 75 x 10</w:t>
      </w:r>
      <w:r w:rsidRPr="00C501E3">
        <w:rPr>
          <w:szCs w:val="22"/>
          <w:vertAlign w:val="superscript"/>
          <w:lang w:val="en-GB"/>
        </w:rPr>
        <w:t>9</w:t>
      </w:r>
      <w:r w:rsidRPr="00C501E3">
        <w:rPr>
          <w:szCs w:val="22"/>
          <w:lang w:val="en-GB"/>
        </w:rPr>
        <w:t>/L as clinical experience in this population is limited</w:t>
      </w:r>
      <w:r w:rsidRPr="00C501E3">
        <w:rPr>
          <w:i/>
          <w:szCs w:val="22"/>
          <w:lang w:val="en-GB"/>
        </w:rPr>
        <w:t xml:space="preserve">. </w:t>
      </w:r>
      <w:r w:rsidRPr="00C501E3">
        <w:rPr>
          <w:szCs w:val="22"/>
          <w:lang w:val="en-GB"/>
        </w:rPr>
        <w:t>The MabThera intravenous formulation has been used in 21 patients who underwent autologous bone marrow transplantation and other risk groups with a presumable reduced bone marrow function without inducing myelotoxicity.</w:t>
      </w:r>
    </w:p>
    <w:p w14:paraId="7C331B7D" w14:textId="77777777" w:rsidR="008F369D" w:rsidRPr="00C501E3" w:rsidRDefault="008F369D" w:rsidP="008F369D">
      <w:pPr>
        <w:rPr>
          <w:szCs w:val="22"/>
          <w:lang w:val="en-GB"/>
        </w:rPr>
      </w:pPr>
    </w:p>
    <w:p w14:paraId="7C331B7E" w14:textId="77777777" w:rsidR="008F369D" w:rsidRPr="00C501E3" w:rsidRDefault="00016F29" w:rsidP="008F369D">
      <w:pPr>
        <w:rPr>
          <w:szCs w:val="22"/>
          <w:lang w:val="en-GB"/>
        </w:rPr>
      </w:pPr>
      <w:r w:rsidRPr="00C501E3">
        <w:rPr>
          <w:szCs w:val="22"/>
          <w:lang w:val="en-GB"/>
        </w:rPr>
        <w:t xml:space="preserve">Regular full blood counts, including neutrophil and platelet counts, should be performed during MabThera therapy. </w:t>
      </w:r>
    </w:p>
    <w:p w14:paraId="7C331B7F" w14:textId="77777777" w:rsidR="008F369D" w:rsidRPr="00C501E3" w:rsidRDefault="008F369D" w:rsidP="008F369D">
      <w:pPr>
        <w:rPr>
          <w:rFonts w:eastAsia="MS Mincho"/>
          <w:szCs w:val="22"/>
          <w:lang w:val="en-GB"/>
        </w:rPr>
      </w:pPr>
    </w:p>
    <w:p w14:paraId="7C331B80" w14:textId="77777777" w:rsidR="008F369D" w:rsidRPr="00C501E3" w:rsidRDefault="00016F29" w:rsidP="008F369D">
      <w:pPr>
        <w:rPr>
          <w:rFonts w:eastAsia="MS Mincho"/>
          <w:szCs w:val="22"/>
          <w:u w:val="single"/>
          <w:lang w:val="en-GB"/>
        </w:rPr>
      </w:pPr>
      <w:r w:rsidRPr="00C501E3">
        <w:rPr>
          <w:rFonts w:eastAsia="MS Mincho"/>
          <w:szCs w:val="22"/>
          <w:u w:val="single"/>
          <w:lang w:val="en-GB"/>
        </w:rPr>
        <w:t>Infections</w:t>
      </w:r>
    </w:p>
    <w:p w14:paraId="7C331B81" w14:textId="77777777" w:rsidR="008F369D" w:rsidRPr="00C501E3" w:rsidRDefault="008F369D" w:rsidP="008F369D">
      <w:pPr>
        <w:rPr>
          <w:rFonts w:eastAsia="MS Mincho"/>
          <w:i/>
          <w:szCs w:val="22"/>
          <w:lang w:val="en-GB"/>
        </w:rPr>
      </w:pPr>
    </w:p>
    <w:p w14:paraId="7C331B82" w14:textId="77777777" w:rsidR="008F369D" w:rsidRPr="00C501E3" w:rsidRDefault="00016F29" w:rsidP="008F369D">
      <w:pPr>
        <w:rPr>
          <w:szCs w:val="22"/>
          <w:lang w:val="en-GB"/>
        </w:rPr>
      </w:pPr>
      <w:r w:rsidRPr="00C501E3">
        <w:rPr>
          <w:szCs w:val="22"/>
          <w:lang w:val="en-GB"/>
        </w:rPr>
        <w:t>Serious infections, including fatalities, can occur during therapy with MabThera</w:t>
      </w:r>
      <w:r w:rsidRPr="00C501E3">
        <w:rPr>
          <w:rFonts w:hAnsi="Times New Roman Bold"/>
          <w:szCs w:val="22"/>
          <w:lang w:val="en-GB"/>
        </w:rPr>
        <w:t xml:space="preserve"> (see section 4.8).</w:t>
      </w:r>
      <w:r w:rsidRPr="00C501E3">
        <w:rPr>
          <w:rFonts w:ascii="Times New Roman Bold" w:hAnsi="Times New Roman Bold"/>
          <w:b/>
          <w:i/>
          <w:szCs w:val="22"/>
          <w:lang w:val="en-GB"/>
        </w:rPr>
        <w:t xml:space="preserve"> </w:t>
      </w:r>
      <w:r w:rsidRPr="00C501E3">
        <w:rPr>
          <w:szCs w:val="22"/>
          <w:lang w:val="en-GB"/>
        </w:rPr>
        <w:t>MabThera should not be administered to patients with an active, severe infection (e.g. tuberculosis, sepsis and opportunistic infections, see section 4.3).</w:t>
      </w:r>
    </w:p>
    <w:p w14:paraId="7C331B83" w14:textId="77777777" w:rsidR="008F369D" w:rsidRPr="00C501E3" w:rsidRDefault="008F369D" w:rsidP="008F369D">
      <w:pPr>
        <w:rPr>
          <w:szCs w:val="22"/>
          <w:lang w:val="en-GB"/>
        </w:rPr>
      </w:pPr>
    </w:p>
    <w:p w14:paraId="7C331B84" w14:textId="77777777" w:rsidR="008F369D" w:rsidRPr="00C501E3" w:rsidRDefault="00016F29" w:rsidP="008F369D">
      <w:pPr>
        <w:rPr>
          <w:szCs w:val="22"/>
          <w:lang w:val="en-GB"/>
        </w:rPr>
      </w:pPr>
      <w:r w:rsidRPr="00C501E3">
        <w:rPr>
          <w:szCs w:val="22"/>
          <w:lang w:val="en-GB"/>
        </w:rPr>
        <w:t xml:space="preserve">Physicians should exercise caution when considering the use of MabThera in patients with a history of recurring or chronic infections or with underlying conditions which may further predispose patients to serious infection (see section 4.8). </w:t>
      </w:r>
    </w:p>
    <w:p w14:paraId="7C331B85" w14:textId="77777777" w:rsidR="008F369D" w:rsidRPr="00C501E3" w:rsidRDefault="008F369D" w:rsidP="008F369D">
      <w:pPr>
        <w:rPr>
          <w:rFonts w:eastAsia="MS Mincho"/>
          <w:szCs w:val="22"/>
          <w:lang w:val="en-GB"/>
        </w:rPr>
      </w:pPr>
    </w:p>
    <w:p w14:paraId="7C331B86" w14:textId="77777777" w:rsidR="008F369D" w:rsidRPr="00C501E3" w:rsidRDefault="00016F29" w:rsidP="008F369D">
      <w:pPr>
        <w:rPr>
          <w:rFonts w:eastAsia="MS Mincho"/>
          <w:szCs w:val="22"/>
          <w:lang w:val="en-GB"/>
        </w:rPr>
      </w:pPr>
      <w:r w:rsidRPr="00EB66AE">
        <w:rPr>
          <w:rFonts w:eastAsia="MS Mincho"/>
          <w:szCs w:val="22"/>
          <w:lang w:val="en-GB"/>
        </w:rPr>
        <w:t>Cases of hepatitis B reactivation have been reported in patients receiving the MabThera intravenous formulation including fulminant hepatitis with fatal outcome. The majority of these patients were also exposed to cytotoxic chemotherapy</w:t>
      </w:r>
      <w:r w:rsidRPr="00EB66AE">
        <w:rPr>
          <w:rFonts w:eastAsia="MS Mincho"/>
          <w:lang w:val="en-GB"/>
        </w:rPr>
        <w:t>.</w:t>
      </w:r>
      <w:r w:rsidRPr="00EB66AE">
        <w:rPr>
          <w:rFonts w:eastAsia="MS Mincho"/>
          <w:szCs w:val="22"/>
          <w:lang w:val="en-GB"/>
        </w:rPr>
        <w:t xml:space="preserve"> </w:t>
      </w:r>
      <w:r w:rsidRPr="00EB66AE">
        <w:rPr>
          <w:rFonts w:eastAsia="MS Mincho"/>
          <w:lang w:val="en-GB"/>
        </w:rPr>
        <w:t>Hepatitis B virus (HBV) screening should be performed in all patients before initiation of treatment with MabThera. At minimum this should include HBsAg</w:t>
      </w:r>
      <w:r w:rsidR="000A6DDA" w:rsidRPr="00EB66AE">
        <w:rPr>
          <w:rFonts w:eastAsia="MS Mincho"/>
          <w:lang w:val="en-GB"/>
        </w:rPr>
        <w:noBreakHyphen/>
      </w:r>
      <w:r w:rsidRPr="00EB66AE">
        <w:rPr>
          <w:rFonts w:eastAsia="MS Mincho"/>
          <w:lang w:val="en-GB"/>
        </w:rPr>
        <w:t>status and HBcAb</w:t>
      </w:r>
      <w:r w:rsidR="000A6DDA" w:rsidRPr="00EB66AE">
        <w:rPr>
          <w:rFonts w:eastAsia="MS Mincho"/>
          <w:lang w:val="en-GB"/>
        </w:rPr>
        <w:noBreakHyphen/>
      </w:r>
      <w:r w:rsidRPr="00EB66AE">
        <w:rPr>
          <w:rFonts w:eastAsia="MS Mincho"/>
          <w:lang w:val="en-GB"/>
        </w:rPr>
        <w:t>status.</w:t>
      </w:r>
      <w:r w:rsidR="00D47EAB">
        <w:rPr>
          <w:rFonts w:eastAsia="MS Mincho"/>
          <w:lang w:val="en-GB"/>
        </w:rPr>
        <w:t xml:space="preserve"> </w:t>
      </w:r>
      <w:r w:rsidRPr="00EB66AE">
        <w:rPr>
          <w:rFonts w:eastAsia="MS Mincho"/>
          <w:lang w:val="en-GB"/>
        </w:rPr>
        <w:t>These can be complemented with other appropriate markers as per local</w:t>
      </w:r>
      <w:r w:rsidRPr="00C501E3">
        <w:rPr>
          <w:rFonts w:eastAsia="MS Mincho"/>
          <w:lang w:val="en-GB"/>
        </w:rPr>
        <w:t xml:space="preserve"> guidelines. Patients with active hepatitis B disease should not be treated with MabThera. Patients with positive hepatitis B serology (either HBsAg or HBcAb) should consult liver disease experts before start of treatment and should be monitored and managed following local medical standards to prevent hepatitis B reactivation.</w:t>
      </w:r>
      <w:r w:rsidRPr="00C501E3">
        <w:rPr>
          <w:rFonts w:eastAsia="MS Mincho"/>
          <w:szCs w:val="22"/>
          <w:lang w:val="en-GB"/>
        </w:rPr>
        <w:t xml:space="preserve"> </w:t>
      </w:r>
    </w:p>
    <w:p w14:paraId="7C331B87" w14:textId="77777777" w:rsidR="008F369D" w:rsidRPr="00C501E3" w:rsidRDefault="008F369D" w:rsidP="008F369D">
      <w:pPr>
        <w:rPr>
          <w:szCs w:val="22"/>
          <w:lang w:val="en-GB"/>
        </w:rPr>
      </w:pPr>
    </w:p>
    <w:p w14:paraId="7C331B88" w14:textId="77777777" w:rsidR="008F369D" w:rsidRPr="00DF1191" w:rsidRDefault="00016F29" w:rsidP="008F369D">
      <w:pPr>
        <w:rPr>
          <w:lang w:val="en-GB"/>
        </w:rPr>
      </w:pPr>
      <w:r w:rsidRPr="00DF1191">
        <w:rPr>
          <w:lang w:val="en-GB"/>
        </w:rPr>
        <w:t>Very rare cases of PML have been reported during post</w:t>
      </w:r>
      <w:r w:rsidR="000A6DDA" w:rsidRPr="00DF1191">
        <w:rPr>
          <w:lang w:val="en-GB"/>
        </w:rPr>
        <w:noBreakHyphen/>
      </w:r>
      <w:r w:rsidRPr="00DF1191">
        <w:rPr>
          <w:lang w:val="en-GB"/>
        </w:rPr>
        <w:t xml:space="preserve">marketing use of </w:t>
      </w:r>
      <w:r w:rsidRPr="00DF1191">
        <w:rPr>
          <w:rFonts w:eastAsia="MS Mincho"/>
          <w:szCs w:val="22"/>
          <w:lang w:val="en-GB"/>
        </w:rPr>
        <w:t>the MabThera intravenous formulation</w:t>
      </w:r>
      <w:r w:rsidRPr="00DF1191">
        <w:rPr>
          <w:lang w:val="en-GB"/>
        </w:rPr>
        <w:t xml:space="preserve"> in NHL (see section 4.8). The majority of patients had received rituximab in combination with chemotherapy or as part of a hematopoietic stem cell transplant. </w:t>
      </w:r>
    </w:p>
    <w:p w14:paraId="7C331B89" w14:textId="77777777" w:rsidR="008F369D" w:rsidRPr="00DF1191" w:rsidRDefault="008F369D" w:rsidP="008F369D">
      <w:pPr>
        <w:rPr>
          <w:szCs w:val="22"/>
          <w:lang w:val="en-GB"/>
        </w:rPr>
      </w:pPr>
    </w:p>
    <w:p w14:paraId="7C331B8A" w14:textId="77777777" w:rsidR="008F369D" w:rsidRPr="00DF1191" w:rsidRDefault="00016F29" w:rsidP="008F369D">
      <w:pPr>
        <w:keepNext/>
        <w:keepLines/>
        <w:rPr>
          <w:szCs w:val="22"/>
          <w:u w:val="single"/>
          <w:lang w:val="en-GB"/>
        </w:rPr>
      </w:pPr>
      <w:r w:rsidRPr="00DF1191">
        <w:rPr>
          <w:szCs w:val="22"/>
          <w:u w:val="single"/>
          <w:lang w:val="en-GB"/>
        </w:rPr>
        <w:t>Immunisation</w:t>
      </w:r>
    </w:p>
    <w:p w14:paraId="7C331B8B" w14:textId="77777777" w:rsidR="008F369D" w:rsidRPr="00DF1191" w:rsidRDefault="008F369D" w:rsidP="008F369D">
      <w:pPr>
        <w:keepNext/>
        <w:keepLines/>
        <w:rPr>
          <w:szCs w:val="22"/>
          <w:u w:val="single"/>
          <w:lang w:val="en-GB"/>
        </w:rPr>
      </w:pPr>
    </w:p>
    <w:p w14:paraId="7C331B8C" w14:textId="77777777" w:rsidR="008F369D" w:rsidRPr="00DF1191" w:rsidRDefault="00016F29" w:rsidP="008F369D">
      <w:pPr>
        <w:rPr>
          <w:szCs w:val="22"/>
          <w:lang w:val="en-GB"/>
        </w:rPr>
      </w:pPr>
      <w:r w:rsidRPr="00DF1191">
        <w:rPr>
          <w:lang w:val="en-GB"/>
        </w:rPr>
        <w:t xml:space="preserve">The safety of immunisation with </w:t>
      </w:r>
      <w:r w:rsidRPr="00DF1191">
        <w:rPr>
          <w:szCs w:val="22"/>
          <w:lang w:val="en-GB"/>
        </w:rPr>
        <w:t>live viral vaccines, following MabThera therapy has not been studied for NHL patients</w:t>
      </w:r>
      <w:r w:rsidRPr="00DF1191">
        <w:rPr>
          <w:i/>
          <w:szCs w:val="22"/>
          <w:lang w:val="en-GB"/>
        </w:rPr>
        <w:t xml:space="preserve"> </w:t>
      </w:r>
      <w:r w:rsidRPr="00DF1191">
        <w:rPr>
          <w:szCs w:val="22"/>
          <w:lang w:val="en-GB"/>
        </w:rPr>
        <w:t>and vaccination with live virus vaccines is not recommended. Patients treated with MabThera may receive non</w:t>
      </w:r>
      <w:r w:rsidR="000A6DDA" w:rsidRPr="00DF1191">
        <w:rPr>
          <w:szCs w:val="22"/>
          <w:lang w:val="en-GB"/>
        </w:rPr>
        <w:noBreakHyphen/>
      </w:r>
      <w:r w:rsidRPr="00DF1191">
        <w:rPr>
          <w:szCs w:val="22"/>
          <w:lang w:val="en-GB"/>
        </w:rPr>
        <w:t>live vaccinations</w:t>
      </w:r>
      <w:r w:rsidR="007B5727">
        <w:rPr>
          <w:szCs w:val="22"/>
          <w:lang w:val="en-GB"/>
        </w:rPr>
        <w:t>;</w:t>
      </w:r>
      <w:r w:rsidR="007830E0" w:rsidRPr="00DF1191">
        <w:rPr>
          <w:szCs w:val="22"/>
          <w:lang w:val="en-GB"/>
        </w:rPr>
        <w:t xml:space="preserve"> </w:t>
      </w:r>
      <w:r w:rsidR="007B5727">
        <w:rPr>
          <w:szCs w:val="22"/>
          <w:lang w:val="en-GB"/>
        </w:rPr>
        <w:t>h</w:t>
      </w:r>
      <w:r w:rsidR="007830E0" w:rsidRPr="00DF1191">
        <w:rPr>
          <w:szCs w:val="22"/>
          <w:lang w:val="en-GB"/>
        </w:rPr>
        <w:t>owever</w:t>
      </w:r>
      <w:r w:rsidR="008602AD">
        <w:rPr>
          <w:szCs w:val="22"/>
          <w:lang w:val="en-GB"/>
        </w:rPr>
        <w:t>,</w:t>
      </w:r>
      <w:r w:rsidRPr="00DF1191">
        <w:rPr>
          <w:szCs w:val="22"/>
          <w:lang w:val="en-GB"/>
        </w:rPr>
        <w:t xml:space="preserve"> with non</w:t>
      </w:r>
      <w:r w:rsidR="000A6DDA" w:rsidRPr="00DF1191">
        <w:rPr>
          <w:szCs w:val="22"/>
          <w:lang w:val="en-GB"/>
        </w:rPr>
        <w:noBreakHyphen/>
      </w:r>
      <w:r w:rsidRPr="00DF1191">
        <w:rPr>
          <w:szCs w:val="22"/>
          <w:lang w:val="en-GB"/>
        </w:rPr>
        <w:t>live vaccines response rates may be reduced. In a non</w:t>
      </w:r>
      <w:r w:rsidR="000A6DDA" w:rsidRPr="00DF1191">
        <w:rPr>
          <w:szCs w:val="22"/>
          <w:lang w:val="en-GB"/>
        </w:rPr>
        <w:noBreakHyphen/>
      </w:r>
      <w:r w:rsidRPr="00DF1191">
        <w:rPr>
          <w:szCs w:val="22"/>
          <w:lang w:val="en-GB"/>
        </w:rPr>
        <w:t>randomized study, patients with relapsed low</w:t>
      </w:r>
      <w:r w:rsidR="000A6DDA" w:rsidRPr="00DF1191">
        <w:rPr>
          <w:szCs w:val="22"/>
          <w:lang w:val="en-GB"/>
        </w:rPr>
        <w:noBreakHyphen/>
      </w:r>
      <w:r w:rsidRPr="00DF1191">
        <w:rPr>
          <w:szCs w:val="22"/>
          <w:lang w:val="en-GB"/>
        </w:rPr>
        <w:t xml:space="preserve">grade NHL who received </w:t>
      </w:r>
      <w:r w:rsidRPr="00DF1191">
        <w:rPr>
          <w:rFonts w:eastAsia="MS Mincho"/>
          <w:szCs w:val="22"/>
          <w:lang w:val="en-GB"/>
        </w:rPr>
        <w:t xml:space="preserve">the MabThera intravenous formulation as </w:t>
      </w:r>
      <w:r w:rsidRPr="00DF1191">
        <w:rPr>
          <w:szCs w:val="22"/>
          <w:lang w:val="en-GB"/>
        </w:rPr>
        <w:t>monotherapy when compared to healthy untreated controls had a lower rate of response to vaccination with tetanus recall antigen (16% vs. 81%) and Keyhole Limpet Haemocyanin (KLH) neoantigen (4% vs. 69% when assessed for &gt;2</w:t>
      </w:r>
      <w:r w:rsidR="000A6DDA" w:rsidRPr="00DF1191">
        <w:rPr>
          <w:szCs w:val="22"/>
          <w:lang w:val="en-GB"/>
        </w:rPr>
        <w:noBreakHyphen/>
      </w:r>
      <w:r w:rsidRPr="00DF1191">
        <w:rPr>
          <w:szCs w:val="22"/>
          <w:lang w:val="en-GB"/>
        </w:rPr>
        <w:t xml:space="preserve">fold increase in antibody titer). </w:t>
      </w:r>
    </w:p>
    <w:p w14:paraId="7C331B8D" w14:textId="77777777" w:rsidR="008F369D" w:rsidRPr="00C501E3" w:rsidRDefault="008F369D" w:rsidP="008F369D">
      <w:pPr>
        <w:rPr>
          <w:szCs w:val="22"/>
          <w:lang w:val="en-GB"/>
        </w:rPr>
      </w:pPr>
    </w:p>
    <w:p w14:paraId="7C331B8E" w14:textId="77777777" w:rsidR="008F369D" w:rsidRPr="00F325B9" w:rsidRDefault="00016F29" w:rsidP="008F369D">
      <w:pPr>
        <w:rPr>
          <w:szCs w:val="22"/>
          <w:lang w:val="en-GB"/>
        </w:rPr>
      </w:pPr>
      <w:r w:rsidRPr="00F325B9">
        <w:rPr>
          <w:lang w:val="en-GB"/>
        </w:rPr>
        <w:t>Mean pre</w:t>
      </w:r>
      <w:r w:rsidR="000A6DDA" w:rsidRPr="00F325B9">
        <w:rPr>
          <w:lang w:val="en-GB"/>
        </w:rPr>
        <w:noBreakHyphen/>
      </w:r>
      <w:r w:rsidRPr="00F325B9">
        <w:rPr>
          <w:lang w:val="en-GB"/>
        </w:rPr>
        <w:t xml:space="preserve">therapeutic antibody titers against a panel of antigens (Streptococcus pneumoniae, influenza A, mumps, rubella and varicella) were maintained for at least 6 months after treatment with MabThera. </w:t>
      </w:r>
    </w:p>
    <w:p w14:paraId="7C331B8F" w14:textId="77777777" w:rsidR="008F369D" w:rsidRPr="00C501E3" w:rsidRDefault="008F369D" w:rsidP="008F369D">
      <w:pPr>
        <w:rPr>
          <w:szCs w:val="22"/>
          <w:lang w:val="en-GB"/>
        </w:rPr>
      </w:pPr>
    </w:p>
    <w:p w14:paraId="7C331B90" w14:textId="77777777" w:rsidR="008F369D" w:rsidRPr="00C501E3" w:rsidRDefault="00016F29" w:rsidP="008F369D">
      <w:pPr>
        <w:keepNext/>
        <w:keepLines/>
        <w:rPr>
          <w:iCs/>
          <w:u w:val="single"/>
          <w:lang w:val="en-GB"/>
        </w:rPr>
      </w:pPr>
      <w:r w:rsidRPr="00C501E3">
        <w:rPr>
          <w:iCs/>
          <w:u w:val="single"/>
          <w:lang w:val="en-GB"/>
        </w:rPr>
        <w:t>Skin reactions</w:t>
      </w:r>
    </w:p>
    <w:p w14:paraId="7C331B91" w14:textId="77777777" w:rsidR="008F369D" w:rsidRPr="00C501E3" w:rsidRDefault="008F369D" w:rsidP="008F369D">
      <w:pPr>
        <w:keepNext/>
        <w:keepLines/>
        <w:rPr>
          <w:iCs/>
          <w:lang w:val="en-GB"/>
        </w:rPr>
      </w:pPr>
    </w:p>
    <w:p w14:paraId="7C331B92" w14:textId="77777777" w:rsidR="008F369D" w:rsidRPr="00F325B9" w:rsidRDefault="00016F29" w:rsidP="008F369D">
      <w:pPr>
        <w:keepNext/>
        <w:keepLines/>
        <w:rPr>
          <w:iCs/>
          <w:lang w:val="en-GB"/>
        </w:rPr>
      </w:pPr>
      <w:r w:rsidRPr="00F325B9">
        <w:rPr>
          <w:iCs/>
          <w:lang w:val="en-GB"/>
        </w:rPr>
        <w:t xml:space="preserve">Severe skin reactions such as Toxic Epidermal Necrolysis (Lyell’s Syndrome) and Stevens </w:t>
      </w:r>
      <w:r w:rsidR="000A6DDA" w:rsidRPr="00F325B9">
        <w:rPr>
          <w:iCs/>
          <w:lang w:val="en-GB"/>
        </w:rPr>
        <w:noBreakHyphen/>
      </w:r>
      <w:r w:rsidRPr="00F325B9">
        <w:rPr>
          <w:iCs/>
          <w:lang w:val="en-GB"/>
        </w:rPr>
        <w:t xml:space="preserve"> Johnson syndrome, some with fatal outcome, have been reported</w:t>
      </w:r>
      <w:r w:rsidRPr="00F325B9">
        <w:rPr>
          <w:i/>
          <w:iCs/>
          <w:lang w:val="en-GB"/>
        </w:rPr>
        <w:t xml:space="preserve"> </w:t>
      </w:r>
      <w:r w:rsidRPr="00F325B9">
        <w:rPr>
          <w:iCs/>
          <w:lang w:val="en-GB"/>
        </w:rPr>
        <w:t>(see section 4.8).</w:t>
      </w:r>
      <w:r w:rsidRPr="00F325B9">
        <w:rPr>
          <w:i/>
          <w:iCs/>
          <w:lang w:val="en-GB"/>
        </w:rPr>
        <w:t xml:space="preserve"> </w:t>
      </w:r>
      <w:r w:rsidRPr="00F325B9">
        <w:rPr>
          <w:iCs/>
          <w:lang w:val="en-GB"/>
        </w:rPr>
        <w:t>In case of such an event, with suspected relationship to MabThera, treatment should be permanently discontinued.</w:t>
      </w:r>
    </w:p>
    <w:p w14:paraId="7C331B93" w14:textId="77777777" w:rsidR="008F369D" w:rsidRPr="00F325B9" w:rsidRDefault="008F369D" w:rsidP="008F369D">
      <w:pPr>
        <w:tabs>
          <w:tab w:val="left" w:pos="789"/>
        </w:tabs>
        <w:rPr>
          <w:szCs w:val="22"/>
          <w:lang w:val="en-GB"/>
        </w:rPr>
      </w:pPr>
    </w:p>
    <w:p w14:paraId="7C331B94" w14:textId="77777777" w:rsidR="008F369D" w:rsidRPr="00F325B9" w:rsidRDefault="00016F29" w:rsidP="008F369D">
      <w:pPr>
        <w:keepNext/>
        <w:keepLines/>
        <w:ind w:left="567" w:hanging="567"/>
        <w:outlineLvl w:val="0"/>
        <w:rPr>
          <w:szCs w:val="22"/>
          <w:lang w:val="en-GB"/>
        </w:rPr>
      </w:pPr>
      <w:r w:rsidRPr="00F325B9">
        <w:rPr>
          <w:b/>
          <w:szCs w:val="22"/>
          <w:lang w:val="en-GB"/>
        </w:rPr>
        <w:t>4.5</w:t>
      </w:r>
      <w:r w:rsidRPr="00F325B9">
        <w:rPr>
          <w:b/>
          <w:szCs w:val="22"/>
          <w:lang w:val="en-GB"/>
        </w:rPr>
        <w:tab/>
        <w:t>Interaction with other medicinal products and other forms of interaction</w:t>
      </w:r>
    </w:p>
    <w:p w14:paraId="7C331B95" w14:textId="77777777" w:rsidR="008F369D" w:rsidRPr="00F325B9" w:rsidRDefault="008F369D" w:rsidP="008F369D">
      <w:pPr>
        <w:keepNext/>
        <w:keepLines/>
        <w:rPr>
          <w:szCs w:val="22"/>
          <w:lang w:val="en-GB"/>
        </w:rPr>
      </w:pPr>
    </w:p>
    <w:p w14:paraId="7C331B96" w14:textId="77777777" w:rsidR="008F369D" w:rsidRPr="00F325B9" w:rsidRDefault="00016F29" w:rsidP="008F369D">
      <w:pPr>
        <w:keepNext/>
        <w:keepLines/>
        <w:outlineLvl w:val="0"/>
        <w:rPr>
          <w:szCs w:val="22"/>
          <w:lang w:val="en-GB"/>
        </w:rPr>
      </w:pPr>
      <w:r w:rsidRPr="00F325B9">
        <w:rPr>
          <w:szCs w:val="22"/>
          <w:lang w:val="en-GB"/>
        </w:rPr>
        <w:t xml:space="preserve">Currently, there are limited data on possible drug interactions with MabThera. </w:t>
      </w:r>
    </w:p>
    <w:p w14:paraId="7C331B97" w14:textId="77777777" w:rsidR="008F369D" w:rsidRPr="00F325B9" w:rsidRDefault="008F369D" w:rsidP="008F369D">
      <w:pPr>
        <w:rPr>
          <w:lang w:val="en-GB"/>
        </w:rPr>
      </w:pPr>
    </w:p>
    <w:p w14:paraId="7C331B98" w14:textId="77777777" w:rsidR="008F369D" w:rsidRPr="00F325B9" w:rsidRDefault="00016F29" w:rsidP="008F369D">
      <w:pPr>
        <w:rPr>
          <w:lang w:val="en-GB"/>
        </w:rPr>
      </w:pPr>
      <w:r w:rsidRPr="00F325B9">
        <w:rPr>
          <w:lang w:val="en-GB"/>
        </w:rPr>
        <w:t>Co</w:t>
      </w:r>
      <w:r w:rsidR="000A6DDA" w:rsidRPr="00F325B9">
        <w:rPr>
          <w:lang w:val="en-GB"/>
        </w:rPr>
        <w:noBreakHyphen/>
      </w:r>
      <w:r w:rsidRPr="00F325B9">
        <w:rPr>
          <w:lang w:val="en-GB"/>
        </w:rPr>
        <w:t xml:space="preserve">administration with MabThera </w:t>
      </w:r>
      <w:r w:rsidRPr="00F325B9">
        <w:rPr>
          <w:rFonts w:eastAsia="SimSun"/>
          <w:lang w:val="en-GB" w:eastAsia="zh-CN"/>
        </w:rPr>
        <w:t>did not appear to have an</w:t>
      </w:r>
      <w:r w:rsidRPr="00F325B9">
        <w:rPr>
          <w:lang w:val="en-GB"/>
        </w:rPr>
        <w:t xml:space="preserve"> effect on the pharmacokinetics of fludarabine </w:t>
      </w:r>
      <w:r w:rsidRPr="00F325B9">
        <w:rPr>
          <w:rFonts w:eastAsia="SimSun"/>
          <w:lang w:val="en-GB" w:eastAsia="zh-CN"/>
        </w:rPr>
        <w:t>or</w:t>
      </w:r>
      <w:r w:rsidRPr="00F325B9">
        <w:rPr>
          <w:lang w:val="en-GB"/>
        </w:rPr>
        <w:t xml:space="preserve"> cyclophosphamide. In addition, there was no apparent effect of fludarabine and cyclophosphamide on the pharmacokinetics of </w:t>
      </w:r>
      <w:r w:rsidRPr="00F325B9">
        <w:rPr>
          <w:szCs w:val="22"/>
          <w:lang w:val="en-GB"/>
        </w:rPr>
        <w:t>MabThera</w:t>
      </w:r>
      <w:r w:rsidRPr="00F325B9">
        <w:rPr>
          <w:lang w:val="en-GB"/>
        </w:rPr>
        <w:t>.</w:t>
      </w:r>
    </w:p>
    <w:p w14:paraId="7C331B99" w14:textId="77777777" w:rsidR="008F369D" w:rsidRPr="00F325B9" w:rsidRDefault="008F369D" w:rsidP="008F369D">
      <w:pPr>
        <w:rPr>
          <w:szCs w:val="22"/>
          <w:lang w:val="en-GB"/>
        </w:rPr>
      </w:pPr>
    </w:p>
    <w:p w14:paraId="7C331B9A" w14:textId="77777777" w:rsidR="008F369D" w:rsidRPr="00C501E3" w:rsidRDefault="00016F29" w:rsidP="008F369D">
      <w:pPr>
        <w:rPr>
          <w:szCs w:val="22"/>
          <w:lang w:val="en-GB"/>
        </w:rPr>
      </w:pPr>
      <w:r w:rsidRPr="008B1AB9">
        <w:rPr>
          <w:szCs w:val="22"/>
          <w:lang w:val="en-GB"/>
        </w:rPr>
        <w:t>Patients with human anti</w:t>
      </w:r>
      <w:r w:rsidR="000A6DDA" w:rsidRPr="008B1AB9">
        <w:rPr>
          <w:szCs w:val="22"/>
          <w:lang w:val="en-GB"/>
        </w:rPr>
        <w:noBreakHyphen/>
      </w:r>
      <w:r w:rsidRPr="008B1AB9">
        <w:rPr>
          <w:szCs w:val="22"/>
          <w:lang w:val="en-GB"/>
        </w:rPr>
        <w:t xml:space="preserve">mouse antibody (HAMA) </w:t>
      </w:r>
      <w:r w:rsidR="004841DB">
        <w:rPr>
          <w:szCs w:val="22"/>
          <w:lang w:val="en-GB"/>
        </w:rPr>
        <w:t xml:space="preserve">or anti-drug antibody (ADA) </w:t>
      </w:r>
      <w:r w:rsidRPr="008B1AB9">
        <w:rPr>
          <w:szCs w:val="22"/>
          <w:lang w:val="en-GB"/>
        </w:rPr>
        <w:t>titres may have allergic or hypersensitivity reactions when treated with other diagnostic or therapeutic</w:t>
      </w:r>
      <w:r w:rsidRPr="00C501E3">
        <w:rPr>
          <w:szCs w:val="22"/>
          <w:lang w:val="en-GB"/>
        </w:rPr>
        <w:t xml:space="preserve"> monoclonal antibodies.</w:t>
      </w:r>
    </w:p>
    <w:p w14:paraId="7C331B9B" w14:textId="77777777" w:rsidR="008F369D" w:rsidRPr="00C501E3" w:rsidRDefault="008F369D" w:rsidP="008F369D">
      <w:pPr>
        <w:rPr>
          <w:szCs w:val="22"/>
          <w:lang w:val="en-GB"/>
        </w:rPr>
      </w:pPr>
    </w:p>
    <w:p w14:paraId="7C331B9C" w14:textId="77777777" w:rsidR="008F369D" w:rsidRPr="00C501E3" w:rsidRDefault="00016F29" w:rsidP="008F369D">
      <w:pPr>
        <w:rPr>
          <w:b/>
          <w:szCs w:val="22"/>
          <w:lang w:val="en-GB"/>
        </w:rPr>
      </w:pPr>
      <w:r w:rsidRPr="00C501E3">
        <w:rPr>
          <w:b/>
          <w:szCs w:val="22"/>
          <w:lang w:val="en-GB"/>
        </w:rPr>
        <w:t>4.6</w:t>
      </w:r>
      <w:r w:rsidRPr="00C501E3">
        <w:rPr>
          <w:b/>
          <w:szCs w:val="22"/>
          <w:lang w:val="en-GB"/>
        </w:rPr>
        <w:tab/>
      </w:r>
      <w:r w:rsidRPr="00C501E3">
        <w:rPr>
          <w:b/>
          <w:bCs/>
          <w:szCs w:val="22"/>
          <w:lang w:val="en-GB"/>
        </w:rPr>
        <w:t>Fertility,</w:t>
      </w:r>
      <w:r w:rsidRPr="00C501E3">
        <w:rPr>
          <w:b/>
          <w:szCs w:val="22"/>
          <w:lang w:val="en-GB"/>
        </w:rPr>
        <w:t xml:space="preserve"> pregnancy and lactation</w:t>
      </w:r>
    </w:p>
    <w:p w14:paraId="7C331B9D" w14:textId="77777777" w:rsidR="008F369D" w:rsidRPr="00C501E3" w:rsidRDefault="008F369D" w:rsidP="008F369D">
      <w:pPr>
        <w:rPr>
          <w:b/>
          <w:szCs w:val="22"/>
          <w:u w:val="single"/>
          <w:lang w:val="en-GB"/>
        </w:rPr>
      </w:pPr>
    </w:p>
    <w:p w14:paraId="7C331B9E" w14:textId="77777777" w:rsidR="008F369D" w:rsidRPr="00C501E3" w:rsidRDefault="00016F29" w:rsidP="008F369D">
      <w:pPr>
        <w:rPr>
          <w:szCs w:val="22"/>
          <w:u w:val="single"/>
          <w:lang w:val="en-GB"/>
        </w:rPr>
      </w:pPr>
      <w:r w:rsidRPr="00C501E3">
        <w:rPr>
          <w:szCs w:val="22"/>
          <w:u w:val="single"/>
          <w:lang w:val="en-GB"/>
        </w:rPr>
        <w:t>Contraception in males and females</w:t>
      </w:r>
    </w:p>
    <w:p w14:paraId="7C331B9F" w14:textId="77777777" w:rsidR="008F369D" w:rsidRPr="00C501E3" w:rsidRDefault="008F369D" w:rsidP="008F369D">
      <w:pPr>
        <w:rPr>
          <w:b/>
          <w:szCs w:val="22"/>
          <w:u w:val="single"/>
          <w:lang w:val="en-GB"/>
        </w:rPr>
      </w:pPr>
    </w:p>
    <w:p w14:paraId="7C331BA0" w14:textId="77777777" w:rsidR="008F369D" w:rsidRPr="00C501E3" w:rsidRDefault="00016F29" w:rsidP="008F369D">
      <w:pPr>
        <w:rPr>
          <w:lang w:val="en-GB"/>
        </w:rPr>
      </w:pPr>
      <w:r w:rsidRPr="00C501E3">
        <w:rPr>
          <w:lang w:val="en-GB"/>
        </w:rPr>
        <w:t>Due to the long retention time of rituximab in B cell depleted patients, women of childbearing potential must employ effective contraceptive methods during and for 12 months after treatment with MabThera.</w:t>
      </w:r>
    </w:p>
    <w:p w14:paraId="7C331BA1" w14:textId="77777777" w:rsidR="008F369D" w:rsidRPr="00C501E3" w:rsidRDefault="008F369D" w:rsidP="008F369D">
      <w:pPr>
        <w:ind w:left="567" w:hanging="567"/>
        <w:outlineLvl w:val="0"/>
        <w:rPr>
          <w:szCs w:val="22"/>
          <w:lang w:val="en-GB"/>
        </w:rPr>
      </w:pPr>
    </w:p>
    <w:p w14:paraId="7C331BA2" w14:textId="77777777" w:rsidR="008F369D" w:rsidRPr="00C501E3" w:rsidRDefault="00016F29" w:rsidP="008F369D">
      <w:pPr>
        <w:outlineLvl w:val="0"/>
        <w:rPr>
          <w:szCs w:val="22"/>
          <w:u w:val="single"/>
          <w:lang w:val="en-GB"/>
        </w:rPr>
      </w:pPr>
      <w:r w:rsidRPr="00C501E3">
        <w:rPr>
          <w:szCs w:val="22"/>
          <w:u w:val="single"/>
          <w:lang w:val="en-GB"/>
        </w:rPr>
        <w:t>Pregnancy</w:t>
      </w:r>
    </w:p>
    <w:p w14:paraId="7C331BA3" w14:textId="77777777" w:rsidR="008F369D" w:rsidRPr="00C501E3" w:rsidRDefault="008F369D" w:rsidP="008F369D">
      <w:pPr>
        <w:outlineLvl w:val="0"/>
        <w:rPr>
          <w:szCs w:val="22"/>
          <w:u w:val="single"/>
          <w:lang w:val="en-GB"/>
        </w:rPr>
      </w:pPr>
    </w:p>
    <w:p w14:paraId="7C331BA4" w14:textId="77777777" w:rsidR="008F369D" w:rsidRPr="00572D60" w:rsidRDefault="00016F29" w:rsidP="008F369D">
      <w:pPr>
        <w:rPr>
          <w:szCs w:val="22"/>
          <w:lang w:val="en-GB"/>
        </w:rPr>
      </w:pPr>
      <w:r w:rsidRPr="00572D60">
        <w:rPr>
          <w:szCs w:val="22"/>
          <w:lang w:val="en-GB"/>
        </w:rPr>
        <w:t>IgG immunoglobulins are known to cross the placental barrier.</w:t>
      </w:r>
    </w:p>
    <w:p w14:paraId="7C331BA5" w14:textId="77777777" w:rsidR="008F369D" w:rsidRPr="00572D60" w:rsidRDefault="008F369D" w:rsidP="008F369D">
      <w:pPr>
        <w:rPr>
          <w:szCs w:val="22"/>
          <w:lang w:val="en-GB"/>
        </w:rPr>
      </w:pPr>
    </w:p>
    <w:p w14:paraId="7C331BA6" w14:textId="77777777" w:rsidR="008F369D" w:rsidRPr="00572D60" w:rsidRDefault="00016F29" w:rsidP="008F369D">
      <w:pPr>
        <w:rPr>
          <w:szCs w:val="22"/>
          <w:lang w:val="en-GB"/>
        </w:rPr>
      </w:pPr>
      <w:r w:rsidRPr="00572D60">
        <w:rPr>
          <w:szCs w:val="22"/>
          <w:lang w:val="en-GB"/>
        </w:rPr>
        <w:t>B</w:t>
      </w:r>
      <w:r w:rsidR="000A6DDA" w:rsidRPr="00572D60">
        <w:rPr>
          <w:szCs w:val="22"/>
          <w:lang w:val="en-GB"/>
        </w:rPr>
        <w:noBreakHyphen/>
      </w:r>
      <w:r w:rsidRPr="00572D60">
        <w:rPr>
          <w:szCs w:val="22"/>
          <w:lang w:val="en-GB"/>
        </w:rPr>
        <w:t>cell levels in human neonates following maternal exposure to MabThera have not been studied in clinical trials. There are no adequate and well</w:t>
      </w:r>
      <w:r w:rsidR="000A6DDA" w:rsidRPr="00572D60">
        <w:rPr>
          <w:szCs w:val="22"/>
          <w:lang w:val="en-GB"/>
        </w:rPr>
        <w:noBreakHyphen/>
      </w:r>
      <w:r w:rsidRPr="00572D60">
        <w:rPr>
          <w:szCs w:val="22"/>
          <w:lang w:val="en-GB"/>
        </w:rPr>
        <w:t>controlled data from studies in pregnant women, however transient B</w:t>
      </w:r>
      <w:r w:rsidR="000A6DDA" w:rsidRPr="00572D60">
        <w:rPr>
          <w:szCs w:val="22"/>
          <w:lang w:val="en-GB"/>
        </w:rPr>
        <w:noBreakHyphen/>
      </w:r>
      <w:r w:rsidRPr="00572D60">
        <w:rPr>
          <w:szCs w:val="22"/>
          <w:lang w:val="en-GB"/>
        </w:rPr>
        <w:t>cell depletion and lymphocytopenia have been reported in some infants born to mothers exposed to MabThera during pregnancy. Similar effects have been observed in animal studies (see section 5.3).For these reasons MabThera should not be administered to pregnant women unless the possible benefit outweighs the potential risk.</w:t>
      </w:r>
    </w:p>
    <w:p w14:paraId="7C331BA7" w14:textId="77777777" w:rsidR="008F369D" w:rsidRPr="00572D60" w:rsidRDefault="008F369D" w:rsidP="008F369D">
      <w:pPr>
        <w:rPr>
          <w:szCs w:val="22"/>
          <w:lang w:val="en-GB"/>
        </w:rPr>
      </w:pPr>
    </w:p>
    <w:p w14:paraId="7C331BA8" w14:textId="77777777" w:rsidR="008F369D" w:rsidRPr="00572D60" w:rsidRDefault="00016F29" w:rsidP="008F369D">
      <w:pPr>
        <w:keepNext/>
        <w:keepLines/>
        <w:outlineLvl w:val="0"/>
        <w:rPr>
          <w:szCs w:val="22"/>
          <w:u w:val="single"/>
          <w:lang w:val="en-GB"/>
        </w:rPr>
      </w:pPr>
      <w:r w:rsidRPr="00572D60">
        <w:rPr>
          <w:szCs w:val="22"/>
          <w:u w:val="single"/>
          <w:lang w:val="en-GB"/>
        </w:rPr>
        <w:t>Breast</w:t>
      </w:r>
      <w:r w:rsidR="000A6DDA" w:rsidRPr="00572D60">
        <w:rPr>
          <w:szCs w:val="22"/>
          <w:u w:val="single"/>
          <w:lang w:val="en-GB"/>
        </w:rPr>
        <w:noBreakHyphen/>
      </w:r>
      <w:r w:rsidRPr="00572D60">
        <w:rPr>
          <w:szCs w:val="22"/>
          <w:u w:val="single"/>
          <w:lang w:val="en-GB"/>
        </w:rPr>
        <w:t>feeding</w:t>
      </w:r>
    </w:p>
    <w:p w14:paraId="7C331BA9" w14:textId="77777777" w:rsidR="008F369D" w:rsidRPr="00C501E3" w:rsidRDefault="008F369D" w:rsidP="008F369D">
      <w:pPr>
        <w:keepNext/>
        <w:keepLines/>
        <w:outlineLvl w:val="0"/>
        <w:rPr>
          <w:szCs w:val="22"/>
          <w:u w:val="single"/>
          <w:lang w:val="en-GB"/>
        </w:rPr>
      </w:pPr>
    </w:p>
    <w:p w14:paraId="7C331BAA" w14:textId="77777777" w:rsidR="008F369D" w:rsidRPr="00C501E3" w:rsidRDefault="00016F29" w:rsidP="008F369D">
      <w:pPr>
        <w:rPr>
          <w:lang w:val="en-GB"/>
        </w:rPr>
      </w:pPr>
      <w:r w:rsidRPr="00C501E3">
        <w:rPr>
          <w:szCs w:val="22"/>
          <w:lang w:val="en-GB"/>
        </w:rPr>
        <w:t xml:space="preserve">Whether rituximab is excreted in human milk is not known. However, because maternal IgG is excreted in human milk, and rituximab was detectable in milk from lactating monkeys, </w:t>
      </w:r>
      <w:r w:rsidRPr="00C501E3">
        <w:rPr>
          <w:lang w:val="en-GB"/>
        </w:rPr>
        <w:t>women should not breastfeed while treated with MabThera and for 12 months following MabThera treatment.</w:t>
      </w:r>
    </w:p>
    <w:p w14:paraId="7C331BAB" w14:textId="77777777" w:rsidR="008F369D" w:rsidRPr="00C501E3" w:rsidRDefault="008F369D" w:rsidP="008F369D">
      <w:pPr>
        <w:rPr>
          <w:lang w:val="en-GB"/>
        </w:rPr>
      </w:pPr>
    </w:p>
    <w:p w14:paraId="7C331BAC" w14:textId="77777777" w:rsidR="008F369D" w:rsidRPr="00C501E3" w:rsidRDefault="00016F29" w:rsidP="008F369D">
      <w:pPr>
        <w:rPr>
          <w:szCs w:val="22"/>
          <w:u w:val="single"/>
          <w:lang w:val="en-GB"/>
        </w:rPr>
      </w:pPr>
      <w:r w:rsidRPr="00C501E3">
        <w:rPr>
          <w:szCs w:val="22"/>
          <w:u w:val="single"/>
          <w:lang w:val="en-GB"/>
        </w:rPr>
        <w:t>Fertility</w:t>
      </w:r>
    </w:p>
    <w:p w14:paraId="7C331BAD" w14:textId="77777777" w:rsidR="008F369D" w:rsidRPr="00C501E3" w:rsidRDefault="008F369D" w:rsidP="008F369D">
      <w:pPr>
        <w:rPr>
          <w:szCs w:val="22"/>
          <w:u w:val="single"/>
          <w:lang w:val="en-GB"/>
        </w:rPr>
      </w:pPr>
    </w:p>
    <w:p w14:paraId="7C331BAE" w14:textId="77777777" w:rsidR="008F369D" w:rsidRPr="00C501E3" w:rsidRDefault="00016F29" w:rsidP="008F369D">
      <w:pPr>
        <w:rPr>
          <w:szCs w:val="22"/>
          <w:lang w:val="en-GB"/>
        </w:rPr>
      </w:pPr>
      <w:r w:rsidRPr="00C501E3">
        <w:rPr>
          <w:szCs w:val="22"/>
          <w:lang w:val="en-GB"/>
        </w:rPr>
        <w:t>Animal studies did not reveal deleterious effects of rituximab or recombinant human hyaluronidase (rHuPH20) on reproductive organs.</w:t>
      </w:r>
    </w:p>
    <w:p w14:paraId="7C331BAF" w14:textId="77777777" w:rsidR="008F369D" w:rsidRPr="00C501E3" w:rsidRDefault="008F369D" w:rsidP="008F369D">
      <w:pPr>
        <w:rPr>
          <w:b/>
          <w:szCs w:val="22"/>
          <w:lang w:val="en-GB"/>
        </w:rPr>
      </w:pPr>
    </w:p>
    <w:p w14:paraId="7C331BB0" w14:textId="77777777" w:rsidR="008F369D" w:rsidRPr="00C501E3" w:rsidRDefault="00016F29" w:rsidP="008F369D">
      <w:pPr>
        <w:ind w:left="567" w:hanging="567"/>
        <w:outlineLvl w:val="0"/>
        <w:rPr>
          <w:szCs w:val="22"/>
          <w:lang w:val="en-GB"/>
        </w:rPr>
      </w:pPr>
      <w:r w:rsidRPr="00C501E3">
        <w:rPr>
          <w:b/>
          <w:szCs w:val="22"/>
          <w:lang w:val="en-GB"/>
        </w:rPr>
        <w:t>4.7</w:t>
      </w:r>
      <w:r w:rsidRPr="00C501E3">
        <w:rPr>
          <w:b/>
          <w:szCs w:val="22"/>
          <w:lang w:val="en-GB"/>
        </w:rPr>
        <w:tab/>
        <w:t>Effects on ability to drive and use machines</w:t>
      </w:r>
    </w:p>
    <w:p w14:paraId="7C331BB1" w14:textId="77777777" w:rsidR="008F369D" w:rsidRPr="00C501E3" w:rsidRDefault="008F369D" w:rsidP="008F369D">
      <w:pPr>
        <w:rPr>
          <w:szCs w:val="22"/>
          <w:lang w:val="en-GB"/>
        </w:rPr>
      </w:pPr>
    </w:p>
    <w:p w14:paraId="7C331BB2" w14:textId="77777777" w:rsidR="008F369D" w:rsidRPr="00C501E3" w:rsidRDefault="00016F29" w:rsidP="008F369D">
      <w:pPr>
        <w:rPr>
          <w:szCs w:val="22"/>
          <w:lang w:val="en-GB"/>
        </w:rPr>
      </w:pPr>
      <w:r w:rsidRPr="00C501E3">
        <w:rPr>
          <w:szCs w:val="22"/>
          <w:lang w:val="en-GB"/>
        </w:rPr>
        <w:t>No studies on the effects of MabThera on the ability to drive and use machines have been performed, although the pharmacological activity and adverse reactions reported to date suggest that MabThera would have no or negligible influence on the ability to drive and use machines.</w:t>
      </w:r>
    </w:p>
    <w:p w14:paraId="7C331BB3" w14:textId="77777777" w:rsidR="008F369D" w:rsidRPr="00C501E3" w:rsidRDefault="008F369D" w:rsidP="008F369D">
      <w:pPr>
        <w:rPr>
          <w:szCs w:val="22"/>
          <w:lang w:val="en-GB"/>
        </w:rPr>
      </w:pPr>
    </w:p>
    <w:p w14:paraId="7C331BB4" w14:textId="77777777" w:rsidR="008F369D" w:rsidRPr="00C501E3" w:rsidRDefault="00016F29" w:rsidP="008F369D">
      <w:pPr>
        <w:ind w:left="567" w:hanging="567"/>
        <w:outlineLvl w:val="0"/>
        <w:rPr>
          <w:b/>
          <w:szCs w:val="22"/>
          <w:lang w:val="en-GB"/>
        </w:rPr>
      </w:pPr>
      <w:r w:rsidRPr="00C501E3">
        <w:rPr>
          <w:b/>
          <w:szCs w:val="22"/>
          <w:lang w:val="en-GB"/>
        </w:rPr>
        <w:t>4.8</w:t>
      </w:r>
      <w:r w:rsidRPr="00C501E3">
        <w:rPr>
          <w:b/>
          <w:szCs w:val="22"/>
          <w:lang w:val="en-GB"/>
        </w:rPr>
        <w:tab/>
        <w:t>Undesirable effects</w:t>
      </w:r>
    </w:p>
    <w:p w14:paraId="7C331BB5" w14:textId="77777777" w:rsidR="008F369D" w:rsidRPr="00C501E3" w:rsidRDefault="008F369D" w:rsidP="008F369D">
      <w:pPr>
        <w:rPr>
          <w:szCs w:val="22"/>
          <w:lang w:val="en-GB"/>
        </w:rPr>
      </w:pPr>
    </w:p>
    <w:p w14:paraId="7C331BB6" w14:textId="77777777" w:rsidR="008F369D" w:rsidRPr="00C501E3" w:rsidRDefault="00016F29" w:rsidP="008F369D">
      <w:pPr>
        <w:keepNext/>
        <w:keepLines/>
        <w:outlineLvl w:val="0"/>
        <w:rPr>
          <w:szCs w:val="22"/>
          <w:lang w:val="en-GB"/>
        </w:rPr>
      </w:pPr>
      <w:r w:rsidRPr="00C501E3">
        <w:rPr>
          <w:szCs w:val="22"/>
          <w:lang w:val="en-GB"/>
        </w:rPr>
        <w:t xml:space="preserve">The information provided in this section pertains to the use of MabThera in oncology. </w:t>
      </w:r>
    </w:p>
    <w:p w14:paraId="7C331BB7" w14:textId="77777777" w:rsidR="008F369D" w:rsidRPr="00C501E3" w:rsidRDefault="00016F29" w:rsidP="008F369D">
      <w:pPr>
        <w:rPr>
          <w:szCs w:val="22"/>
          <w:lang w:val="en-GB"/>
        </w:rPr>
      </w:pPr>
      <w:r w:rsidRPr="00C501E3">
        <w:rPr>
          <w:szCs w:val="22"/>
          <w:lang w:val="en-GB"/>
        </w:rPr>
        <w:t xml:space="preserve">For information related to the autoimmune indications, please refer to the SmPC of MabThera </w:t>
      </w:r>
      <w:r w:rsidRPr="006229C4">
        <w:rPr>
          <w:szCs w:val="22"/>
          <w:lang w:val="en-GB"/>
        </w:rPr>
        <w:t>intravenous</w:t>
      </w:r>
      <w:r w:rsidRPr="00C501E3">
        <w:rPr>
          <w:szCs w:val="22"/>
          <w:lang w:val="en-GB"/>
        </w:rPr>
        <w:t xml:space="preserve"> formulation.</w:t>
      </w:r>
    </w:p>
    <w:p w14:paraId="7C331BB8" w14:textId="77777777" w:rsidR="008F369D" w:rsidRPr="00C501E3" w:rsidRDefault="008F369D" w:rsidP="008F369D">
      <w:pPr>
        <w:rPr>
          <w:szCs w:val="22"/>
          <w:lang w:val="en-GB"/>
        </w:rPr>
      </w:pPr>
    </w:p>
    <w:p w14:paraId="7C331BB9" w14:textId="77777777" w:rsidR="008F369D" w:rsidRPr="00C501E3" w:rsidRDefault="00016F29" w:rsidP="008F369D">
      <w:pPr>
        <w:rPr>
          <w:rFonts w:cs="Arial"/>
          <w:u w:val="single"/>
          <w:lang w:val="en-GB"/>
        </w:rPr>
      </w:pPr>
      <w:r w:rsidRPr="00C501E3">
        <w:rPr>
          <w:rFonts w:cs="Arial"/>
          <w:u w:val="single"/>
          <w:lang w:val="en-GB"/>
        </w:rPr>
        <w:t>Summary of the safety profile</w:t>
      </w:r>
    </w:p>
    <w:p w14:paraId="7C331BBA" w14:textId="77777777" w:rsidR="008F369D" w:rsidRPr="00C501E3" w:rsidRDefault="008F369D" w:rsidP="008F369D">
      <w:pPr>
        <w:rPr>
          <w:rFonts w:cs="Arial"/>
          <w:lang w:val="en-GB"/>
        </w:rPr>
      </w:pPr>
    </w:p>
    <w:p w14:paraId="7C331BBB" w14:textId="77777777" w:rsidR="008F369D" w:rsidRPr="00E830E8" w:rsidRDefault="00016F29" w:rsidP="008F369D">
      <w:pPr>
        <w:rPr>
          <w:lang w:val="en-GB"/>
        </w:rPr>
      </w:pPr>
      <w:r w:rsidRPr="00C501E3">
        <w:rPr>
          <w:lang w:val="en-GB"/>
        </w:rPr>
        <w:t xml:space="preserve">During the development programme, the safety profile of MabThera subcutaneous formulation was comparable to that of the intravenous formulation with the exception of </w:t>
      </w:r>
      <w:r w:rsidRPr="00E830E8">
        <w:rPr>
          <w:lang w:val="en-GB"/>
        </w:rPr>
        <w:t xml:space="preserve">local </w:t>
      </w:r>
      <w:r w:rsidR="00883EC8" w:rsidRPr="00E830E8">
        <w:rPr>
          <w:lang w:val="en-GB"/>
        </w:rPr>
        <w:t>cutaneous</w:t>
      </w:r>
      <w:r w:rsidRPr="00E830E8">
        <w:rPr>
          <w:lang w:val="en-GB"/>
        </w:rPr>
        <w:t xml:space="preserve"> reactions. </w:t>
      </w:r>
    </w:p>
    <w:p w14:paraId="7C331BBC" w14:textId="77777777" w:rsidR="008F369D" w:rsidRPr="00C501E3" w:rsidRDefault="00016F29" w:rsidP="008F369D">
      <w:pPr>
        <w:rPr>
          <w:rFonts w:cs="Arial"/>
          <w:lang w:val="en-GB"/>
        </w:rPr>
      </w:pPr>
      <w:r w:rsidRPr="00E830E8">
        <w:rPr>
          <w:rFonts w:cs="Arial"/>
          <w:bCs/>
          <w:lang w:val="en-GB"/>
        </w:rPr>
        <w:t xml:space="preserve">Local </w:t>
      </w:r>
      <w:r w:rsidR="00883EC8" w:rsidRPr="00E830E8">
        <w:rPr>
          <w:rFonts w:cs="Arial"/>
          <w:bCs/>
          <w:lang w:val="en-GB"/>
        </w:rPr>
        <w:t xml:space="preserve">cutaneous reactions, including </w:t>
      </w:r>
      <w:r w:rsidR="00F36D34" w:rsidRPr="00E830E8">
        <w:rPr>
          <w:lang w:val="en-GB"/>
        </w:rPr>
        <w:t>injection site reactions</w:t>
      </w:r>
      <w:r w:rsidR="00F36D34" w:rsidRPr="00E830E8">
        <w:rPr>
          <w:rFonts w:cs="Arial"/>
          <w:bCs/>
          <w:lang w:val="en-GB"/>
        </w:rPr>
        <w:t xml:space="preserve"> </w:t>
      </w:r>
      <w:r w:rsidRPr="00E830E8">
        <w:rPr>
          <w:rFonts w:cs="Arial"/>
          <w:bCs/>
          <w:lang w:val="en-GB"/>
        </w:rPr>
        <w:t xml:space="preserve">were very common in patients receiving MabThera </w:t>
      </w:r>
      <w:r w:rsidRPr="00E830E8">
        <w:rPr>
          <w:lang w:val="en-GB"/>
        </w:rPr>
        <w:t>subcutaneous formulation</w:t>
      </w:r>
      <w:r w:rsidR="00883EC8" w:rsidRPr="00E830E8">
        <w:rPr>
          <w:rFonts w:cs="Arial"/>
          <w:bCs/>
          <w:lang w:val="en-GB"/>
        </w:rPr>
        <w:t>. In the phase 3 SABRINA trial (BO22334), local cutaneous reaction were</w:t>
      </w:r>
      <w:r w:rsidR="00F36D34" w:rsidRPr="00E830E8">
        <w:rPr>
          <w:rFonts w:cs="Arial"/>
          <w:bCs/>
          <w:lang w:val="en-GB"/>
        </w:rPr>
        <w:t xml:space="preserve"> reported in up to </w:t>
      </w:r>
      <w:r w:rsidR="00723108" w:rsidRPr="00E830E8">
        <w:rPr>
          <w:rFonts w:cs="Arial"/>
          <w:bCs/>
          <w:lang w:val="en-GB"/>
        </w:rPr>
        <w:t>2</w:t>
      </w:r>
      <w:r w:rsidR="00F36D34" w:rsidRPr="00E830E8">
        <w:rPr>
          <w:rFonts w:cs="Arial"/>
          <w:bCs/>
          <w:lang w:val="en-GB"/>
        </w:rPr>
        <w:t>0% of patients</w:t>
      </w:r>
      <w:r w:rsidR="00723108" w:rsidRPr="00E830E8">
        <w:rPr>
          <w:rFonts w:cs="Arial"/>
          <w:bCs/>
          <w:lang w:val="en-GB"/>
        </w:rPr>
        <w:t xml:space="preserve"> receiving subcuta</w:t>
      </w:r>
      <w:r w:rsidR="00DC1B1D" w:rsidRPr="00E830E8">
        <w:rPr>
          <w:rFonts w:cs="Arial"/>
          <w:bCs/>
          <w:lang w:val="en-GB"/>
        </w:rPr>
        <w:t>ne</w:t>
      </w:r>
      <w:r w:rsidR="00723108" w:rsidRPr="00E830E8">
        <w:rPr>
          <w:rFonts w:cs="Arial"/>
          <w:bCs/>
          <w:lang w:val="en-GB"/>
        </w:rPr>
        <w:t>ous MabThera. The most common local cutaneous reaction</w:t>
      </w:r>
      <w:r w:rsidR="00DC1B1D" w:rsidRPr="00E830E8">
        <w:rPr>
          <w:rFonts w:cs="Arial"/>
          <w:bCs/>
          <w:lang w:val="en-GB"/>
        </w:rPr>
        <w:t>s</w:t>
      </w:r>
      <w:r w:rsidR="00723108" w:rsidRPr="00E830E8">
        <w:rPr>
          <w:rFonts w:cs="Arial"/>
          <w:bCs/>
          <w:lang w:val="en-GB"/>
        </w:rPr>
        <w:t xml:space="preserve"> in the Mabthera subcuta</w:t>
      </w:r>
      <w:r w:rsidR="00DC1B1D" w:rsidRPr="00E830E8">
        <w:rPr>
          <w:rFonts w:cs="Arial"/>
          <w:bCs/>
          <w:lang w:val="en-GB"/>
        </w:rPr>
        <w:t>ne</w:t>
      </w:r>
      <w:r w:rsidR="00723108" w:rsidRPr="00E830E8">
        <w:rPr>
          <w:rFonts w:cs="Arial"/>
          <w:bCs/>
          <w:lang w:val="en-GB"/>
        </w:rPr>
        <w:t>ous arm were injection erythema (13%), injection pain (7%) and injection site oedema (4%)</w:t>
      </w:r>
      <w:r w:rsidR="00F36D34" w:rsidRPr="00E830E8">
        <w:rPr>
          <w:rFonts w:cs="Arial"/>
          <w:bCs/>
          <w:lang w:val="en-GB"/>
        </w:rPr>
        <w:t>.</w:t>
      </w:r>
      <w:r w:rsidR="00723108" w:rsidRPr="00E830E8">
        <w:rPr>
          <w:rFonts w:cs="Arial"/>
          <w:bCs/>
          <w:lang w:val="en-GB"/>
        </w:rPr>
        <w:t>Events</w:t>
      </w:r>
      <w:r w:rsidR="00F36D34" w:rsidRPr="00E830E8">
        <w:rPr>
          <w:rFonts w:cs="Arial"/>
          <w:bCs/>
          <w:lang w:val="en-GB"/>
        </w:rPr>
        <w:t xml:space="preserve"> seen following subcutaneous administration were mild or moderate, apart from one patient who</w:t>
      </w:r>
      <w:r w:rsidR="00723108" w:rsidRPr="00E830E8">
        <w:rPr>
          <w:rFonts w:cs="Arial"/>
          <w:bCs/>
          <w:lang w:val="en-GB"/>
        </w:rPr>
        <w:t xml:space="preserve"> reported a local cutaneous reaction of Grade 3 intensity (injection site rash) following the first MabThera subcutaneous administration (Cycle 2). </w:t>
      </w:r>
      <w:r w:rsidR="00723108" w:rsidRPr="00535630">
        <w:rPr>
          <w:szCs w:val="22"/>
          <w:lang w:val="en-GB"/>
        </w:rPr>
        <w:t xml:space="preserve"> Local c</w:t>
      </w:r>
      <w:r w:rsidR="00723108" w:rsidRPr="00947AD1">
        <w:rPr>
          <w:szCs w:val="22"/>
          <w:lang w:val="en-GB"/>
        </w:rPr>
        <w:t>utaneous reactions of any grade in the MabThera subcutaneous arm were most common during the first subcutaneous cycle (Cycle 2), followed by the second, and the incidence decreased with subsequent injections.</w:t>
      </w:r>
    </w:p>
    <w:p w14:paraId="7C331BBD" w14:textId="77777777" w:rsidR="008F369D" w:rsidRPr="00C501E3" w:rsidRDefault="008F369D" w:rsidP="008F369D">
      <w:pPr>
        <w:rPr>
          <w:szCs w:val="22"/>
          <w:lang w:val="en-GB"/>
        </w:rPr>
      </w:pPr>
    </w:p>
    <w:p w14:paraId="7C331BBE" w14:textId="77777777" w:rsidR="008F369D" w:rsidRPr="00C501E3" w:rsidRDefault="00016F29" w:rsidP="008F369D">
      <w:pPr>
        <w:outlineLvl w:val="0"/>
        <w:rPr>
          <w:i/>
          <w:szCs w:val="22"/>
          <w:lang w:val="en-GB"/>
        </w:rPr>
      </w:pPr>
      <w:r w:rsidRPr="00C501E3">
        <w:rPr>
          <w:rFonts w:cs="Arial"/>
          <w:i/>
          <w:u w:val="single"/>
          <w:lang w:val="en-GB"/>
        </w:rPr>
        <w:t>Adverse reactions reported in MabThera subcutaneous formulation usage</w:t>
      </w:r>
    </w:p>
    <w:p w14:paraId="7C331BBF" w14:textId="77777777" w:rsidR="008F369D" w:rsidRPr="00C501E3" w:rsidRDefault="008F369D" w:rsidP="008F369D">
      <w:pPr>
        <w:outlineLvl w:val="0"/>
        <w:rPr>
          <w:i/>
          <w:szCs w:val="22"/>
          <w:lang w:val="en-GB"/>
        </w:rPr>
      </w:pPr>
    </w:p>
    <w:p w14:paraId="7C331BC0" w14:textId="77777777" w:rsidR="008F369D" w:rsidRPr="00D2203C" w:rsidRDefault="00016F29" w:rsidP="008F369D">
      <w:pPr>
        <w:rPr>
          <w:rFonts w:eastAsia="SimSun"/>
          <w:sz w:val="24"/>
          <w:szCs w:val="24"/>
          <w:lang w:val="en-GB" w:eastAsia="zh-CN"/>
        </w:rPr>
      </w:pPr>
      <w:r w:rsidRPr="00D2203C">
        <w:rPr>
          <w:szCs w:val="22"/>
          <w:lang w:val="en-GB"/>
        </w:rPr>
        <w:t xml:space="preserve">The risk of acute </w:t>
      </w:r>
      <w:r w:rsidR="00723108" w:rsidRPr="00D2203C">
        <w:rPr>
          <w:szCs w:val="22"/>
          <w:lang w:val="en-GB"/>
        </w:rPr>
        <w:t>administration</w:t>
      </w:r>
      <w:r w:rsidR="000A6DDA" w:rsidRPr="00D2203C">
        <w:rPr>
          <w:szCs w:val="22"/>
          <w:lang w:val="en-GB"/>
        </w:rPr>
        <w:noBreakHyphen/>
      </w:r>
      <w:r w:rsidR="00723108" w:rsidRPr="00D2203C">
        <w:rPr>
          <w:szCs w:val="22"/>
          <w:lang w:val="en-GB"/>
        </w:rPr>
        <w:t xml:space="preserve">related </w:t>
      </w:r>
      <w:r w:rsidRPr="00D2203C">
        <w:rPr>
          <w:szCs w:val="22"/>
          <w:lang w:val="en-GB"/>
        </w:rPr>
        <w:t>reactions associated with the subcutaneous formulation of MabThera was assessed in two open</w:t>
      </w:r>
      <w:r w:rsidR="000A6DDA" w:rsidRPr="00D2203C">
        <w:rPr>
          <w:szCs w:val="22"/>
          <w:lang w:val="en-GB"/>
        </w:rPr>
        <w:noBreakHyphen/>
      </w:r>
      <w:r w:rsidRPr="00D2203C">
        <w:rPr>
          <w:szCs w:val="22"/>
          <w:lang w:val="en-GB"/>
        </w:rPr>
        <w:t>label trials involving patients with follicular lymphoma during induction and maintenance (SABRINA</w:t>
      </w:r>
      <w:r w:rsidR="00E7685C" w:rsidRPr="00D2203C">
        <w:rPr>
          <w:szCs w:val="22"/>
          <w:lang w:val="en-GB"/>
        </w:rPr>
        <w:t>/</w:t>
      </w:r>
      <w:r w:rsidRPr="00D2203C">
        <w:rPr>
          <w:szCs w:val="22"/>
          <w:lang w:val="en-GB"/>
        </w:rPr>
        <w:t>BO22334) and during maintenance only (SparkThera</w:t>
      </w:r>
      <w:r w:rsidR="00E7685C" w:rsidRPr="00D2203C">
        <w:rPr>
          <w:szCs w:val="22"/>
          <w:lang w:val="en-GB"/>
        </w:rPr>
        <w:t>/</w:t>
      </w:r>
      <w:r w:rsidRPr="00D2203C">
        <w:rPr>
          <w:szCs w:val="22"/>
          <w:lang w:val="en-GB"/>
        </w:rPr>
        <w:t xml:space="preserve">BP22333). </w:t>
      </w:r>
      <w:r w:rsidRPr="00D2203C">
        <w:rPr>
          <w:rFonts w:eastAsia="SimSun"/>
          <w:szCs w:val="22"/>
          <w:lang w:val="en-GB" w:eastAsia="zh-CN"/>
        </w:rPr>
        <w:t>In</w:t>
      </w:r>
      <w:r w:rsidR="00723108" w:rsidRPr="00D2203C">
        <w:rPr>
          <w:szCs w:val="22"/>
          <w:lang w:val="en-GB"/>
        </w:rPr>
        <w:t>SABRINA</w:t>
      </w:r>
      <w:r w:rsidRPr="00D2203C">
        <w:rPr>
          <w:rFonts w:eastAsia="SimSun"/>
          <w:szCs w:val="22"/>
          <w:lang w:val="en-GB" w:eastAsia="zh-CN"/>
        </w:rPr>
        <w:t>, severe administration</w:t>
      </w:r>
      <w:r w:rsidR="000A6DDA" w:rsidRPr="00D2203C">
        <w:rPr>
          <w:rFonts w:eastAsia="SimSun"/>
          <w:szCs w:val="22"/>
          <w:lang w:val="en-GB" w:eastAsia="zh-CN"/>
        </w:rPr>
        <w:noBreakHyphen/>
      </w:r>
      <w:r w:rsidRPr="00D2203C">
        <w:rPr>
          <w:rFonts w:eastAsia="SimSun"/>
          <w:szCs w:val="22"/>
          <w:lang w:val="en-GB" w:eastAsia="zh-CN"/>
        </w:rPr>
        <w:t xml:space="preserve">related reactions (grade≥3) were reported in two patients </w:t>
      </w:r>
      <w:r w:rsidR="00A00586" w:rsidRPr="00D2203C">
        <w:rPr>
          <w:rFonts w:eastAsia="SimSun"/>
          <w:szCs w:val="22"/>
          <w:lang w:val="en-GB" w:eastAsia="zh-CN"/>
        </w:rPr>
        <w:t xml:space="preserve">(2%) </w:t>
      </w:r>
      <w:r w:rsidRPr="00D2203C">
        <w:rPr>
          <w:rFonts w:eastAsia="SimSun"/>
          <w:szCs w:val="22"/>
          <w:lang w:val="en-GB" w:eastAsia="zh-CN"/>
        </w:rPr>
        <w:t xml:space="preserve">following administration of MabThera </w:t>
      </w:r>
      <w:r w:rsidR="00190901" w:rsidRPr="00D2203C">
        <w:rPr>
          <w:szCs w:val="22"/>
          <w:lang w:val="en-GB"/>
        </w:rPr>
        <w:t>subcutaneous formulation</w:t>
      </w:r>
      <w:r w:rsidR="00FE7D5D" w:rsidRPr="00D2203C">
        <w:rPr>
          <w:szCs w:val="22"/>
          <w:lang w:val="en-GB"/>
        </w:rPr>
        <w:t>.</w:t>
      </w:r>
      <w:r w:rsidR="00190901" w:rsidRPr="00D2203C">
        <w:rPr>
          <w:szCs w:val="22"/>
          <w:lang w:val="en-GB"/>
        </w:rPr>
        <w:t xml:space="preserve"> </w:t>
      </w:r>
      <w:r w:rsidR="00A00586" w:rsidRPr="00D2203C">
        <w:rPr>
          <w:szCs w:val="22"/>
          <w:lang w:val="en-GB"/>
        </w:rPr>
        <w:t xml:space="preserve">These events were Grade 3 injection site rash and dry mouth. </w:t>
      </w:r>
      <w:r w:rsidRPr="00D2203C">
        <w:rPr>
          <w:rFonts w:eastAsia="SimSun"/>
          <w:szCs w:val="22"/>
          <w:lang w:val="en-GB" w:eastAsia="zh-CN"/>
        </w:rPr>
        <w:t>In</w:t>
      </w:r>
      <w:r w:rsidR="00A00586" w:rsidRPr="00D2203C">
        <w:rPr>
          <w:szCs w:val="22"/>
          <w:lang w:val="en-GB"/>
        </w:rPr>
        <w:t>SparkThera</w:t>
      </w:r>
      <w:r w:rsidRPr="00D2203C">
        <w:rPr>
          <w:rFonts w:eastAsia="SimSun"/>
          <w:szCs w:val="22"/>
          <w:lang w:val="en-GB" w:eastAsia="zh-CN"/>
        </w:rPr>
        <w:t>, no severe administration</w:t>
      </w:r>
      <w:r w:rsidR="000A6DDA" w:rsidRPr="00D2203C">
        <w:rPr>
          <w:rFonts w:eastAsia="SimSun"/>
          <w:szCs w:val="22"/>
          <w:lang w:val="en-GB" w:eastAsia="zh-CN"/>
        </w:rPr>
        <w:noBreakHyphen/>
      </w:r>
      <w:r w:rsidRPr="00D2203C">
        <w:rPr>
          <w:rFonts w:eastAsia="SimSun"/>
          <w:szCs w:val="22"/>
          <w:lang w:val="en-GB" w:eastAsia="zh-CN"/>
        </w:rPr>
        <w:t>related reactions were reported.</w:t>
      </w:r>
    </w:p>
    <w:p w14:paraId="7C331BC1" w14:textId="77777777" w:rsidR="008F369D" w:rsidRPr="00D2203C" w:rsidRDefault="008F369D" w:rsidP="008F369D">
      <w:pPr>
        <w:rPr>
          <w:lang w:val="en-GB"/>
        </w:rPr>
      </w:pPr>
    </w:p>
    <w:p w14:paraId="7C331BC2" w14:textId="77777777" w:rsidR="008F369D" w:rsidRPr="00D2203C" w:rsidRDefault="00016F29" w:rsidP="008F369D">
      <w:pPr>
        <w:rPr>
          <w:i/>
          <w:u w:val="single"/>
          <w:lang w:val="en-GB"/>
        </w:rPr>
      </w:pPr>
      <w:r w:rsidRPr="00D2203C">
        <w:rPr>
          <w:i/>
          <w:u w:val="single"/>
          <w:lang w:val="en-GB"/>
        </w:rPr>
        <w:t>Adverse reactions reported in MabThera intravenous formulation usage</w:t>
      </w:r>
    </w:p>
    <w:p w14:paraId="7C331BC3" w14:textId="77777777" w:rsidR="008F369D" w:rsidRPr="00D2203C" w:rsidRDefault="008F369D" w:rsidP="008F369D">
      <w:pPr>
        <w:rPr>
          <w:i/>
          <w:lang w:val="en-GB"/>
        </w:rPr>
      </w:pPr>
    </w:p>
    <w:p w14:paraId="7C331BC4" w14:textId="77777777" w:rsidR="008F369D" w:rsidRPr="00D2203C" w:rsidRDefault="00016F29" w:rsidP="008F369D">
      <w:pPr>
        <w:outlineLvl w:val="0"/>
        <w:rPr>
          <w:i/>
          <w:szCs w:val="22"/>
          <w:lang w:val="en-GB"/>
        </w:rPr>
      </w:pPr>
      <w:r w:rsidRPr="00D2203C">
        <w:rPr>
          <w:i/>
          <w:szCs w:val="22"/>
          <w:lang w:val="en-GB"/>
        </w:rPr>
        <w:t>Experience from non</w:t>
      </w:r>
      <w:r w:rsidR="000A6DDA" w:rsidRPr="00D2203C">
        <w:rPr>
          <w:i/>
          <w:szCs w:val="22"/>
          <w:lang w:val="en-GB"/>
        </w:rPr>
        <w:noBreakHyphen/>
      </w:r>
      <w:r w:rsidRPr="00D2203C">
        <w:rPr>
          <w:i/>
          <w:szCs w:val="22"/>
          <w:lang w:val="en-GB"/>
        </w:rPr>
        <w:t>Hodgkin’s lymphoma and chronic lymphocytic leukaemia</w:t>
      </w:r>
    </w:p>
    <w:p w14:paraId="7C331BC5" w14:textId="77777777" w:rsidR="008F369D" w:rsidRPr="00D2203C" w:rsidRDefault="008F369D" w:rsidP="008F369D">
      <w:pPr>
        <w:rPr>
          <w:szCs w:val="22"/>
          <w:lang w:val="en-GB"/>
        </w:rPr>
      </w:pPr>
    </w:p>
    <w:p w14:paraId="7C331BC6" w14:textId="77777777" w:rsidR="008F369D" w:rsidRPr="00D2203C" w:rsidRDefault="00016F29" w:rsidP="008F369D">
      <w:pPr>
        <w:rPr>
          <w:szCs w:val="22"/>
          <w:lang w:val="en-GB"/>
        </w:rPr>
      </w:pPr>
      <w:r w:rsidRPr="00D2203C">
        <w:rPr>
          <w:szCs w:val="22"/>
          <w:lang w:val="en-GB"/>
        </w:rPr>
        <w:t>The overall safety profile of MabThera in non</w:t>
      </w:r>
      <w:r w:rsidR="000A6DDA" w:rsidRPr="00D2203C">
        <w:rPr>
          <w:szCs w:val="22"/>
          <w:lang w:val="en-GB"/>
        </w:rPr>
        <w:noBreakHyphen/>
      </w:r>
      <w:r w:rsidRPr="00D2203C">
        <w:rPr>
          <w:szCs w:val="22"/>
          <w:lang w:val="en-GB"/>
        </w:rPr>
        <w:t xml:space="preserve">Hodgkin’s lymphoma and </w:t>
      </w:r>
      <w:r w:rsidR="007D4E4A" w:rsidRPr="00D2203C">
        <w:rPr>
          <w:szCs w:val="22"/>
          <w:lang w:val="en-GB"/>
        </w:rPr>
        <w:t>CLL</w:t>
      </w:r>
      <w:r w:rsidRPr="00D2203C">
        <w:rPr>
          <w:szCs w:val="22"/>
          <w:lang w:val="en-GB"/>
        </w:rPr>
        <w:t xml:space="preserve"> is based on data from patients from clinical trials and from post</w:t>
      </w:r>
      <w:r w:rsidR="000A6DDA" w:rsidRPr="00D2203C">
        <w:rPr>
          <w:szCs w:val="22"/>
          <w:lang w:val="en-GB"/>
        </w:rPr>
        <w:noBreakHyphen/>
      </w:r>
      <w:r w:rsidRPr="00D2203C">
        <w:rPr>
          <w:szCs w:val="22"/>
          <w:lang w:val="en-GB"/>
        </w:rPr>
        <w:t xml:space="preserve">marketing surveillance. These patients were treated either with MabThera monotherapy (as induction treatment or maintenance treatment following induction treatment) or in combination with chemotherapy. </w:t>
      </w:r>
    </w:p>
    <w:p w14:paraId="7C331BC7" w14:textId="77777777" w:rsidR="008F369D" w:rsidRPr="00D2203C" w:rsidRDefault="008F369D" w:rsidP="008F369D">
      <w:pPr>
        <w:rPr>
          <w:szCs w:val="22"/>
          <w:lang w:val="en-GB"/>
        </w:rPr>
      </w:pPr>
    </w:p>
    <w:p w14:paraId="7C331BC8" w14:textId="77777777" w:rsidR="008F369D" w:rsidRPr="00D2203C" w:rsidRDefault="00016F29" w:rsidP="008F369D">
      <w:pPr>
        <w:rPr>
          <w:szCs w:val="22"/>
          <w:lang w:val="en-GB"/>
        </w:rPr>
      </w:pPr>
      <w:r w:rsidRPr="00D2203C">
        <w:rPr>
          <w:szCs w:val="22"/>
          <w:lang w:val="en-GB"/>
        </w:rPr>
        <w:t>The most frequently observed adverse reactions (ADRs) in patients receiving MabThera were infusion</w:t>
      </w:r>
      <w:r w:rsidR="000A6DDA" w:rsidRPr="00D2203C">
        <w:rPr>
          <w:szCs w:val="22"/>
          <w:lang w:val="en-GB"/>
        </w:rPr>
        <w:noBreakHyphen/>
      </w:r>
      <w:r w:rsidRPr="00D2203C">
        <w:rPr>
          <w:szCs w:val="22"/>
          <w:lang w:val="en-GB"/>
        </w:rPr>
        <w:t>related reactions which occurred in the majority of patients during the first infusion. The incidence of infusion</w:t>
      </w:r>
      <w:r w:rsidR="000A6DDA" w:rsidRPr="00D2203C">
        <w:rPr>
          <w:szCs w:val="22"/>
          <w:lang w:val="en-GB"/>
        </w:rPr>
        <w:noBreakHyphen/>
      </w:r>
      <w:r w:rsidRPr="00D2203C">
        <w:rPr>
          <w:szCs w:val="22"/>
          <w:lang w:val="en-GB"/>
        </w:rPr>
        <w:t>related symptoms decreases substantially with subsequent infusions and is less than 1 % after eight doses of MabThera.</w:t>
      </w:r>
    </w:p>
    <w:p w14:paraId="7C331BC9" w14:textId="77777777" w:rsidR="008F369D" w:rsidRPr="00D2203C" w:rsidRDefault="00016F29" w:rsidP="001200D0">
      <w:pPr>
        <w:rPr>
          <w:lang w:val="en-GB"/>
        </w:rPr>
      </w:pPr>
      <w:r w:rsidRPr="00D2203C">
        <w:rPr>
          <w:lang w:val="en-GB"/>
        </w:rPr>
        <w:tab/>
      </w:r>
    </w:p>
    <w:p w14:paraId="7C331BCA" w14:textId="77777777" w:rsidR="008F369D" w:rsidRPr="00D2203C" w:rsidRDefault="00016F29" w:rsidP="008F369D">
      <w:pPr>
        <w:rPr>
          <w:szCs w:val="22"/>
          <w:lang w:val="en-GB"/>
        </w:rPr>
      </w:pPr>
      <w:r w:rsidRPr="00D2203C">
        <w:rPr>
          <w:szCs w:val="22"/>
          <w:lang w:val="en-GB"/>
        </w:rPr>
        <w:t>Infectious events (predominantly bacterial and viral) occurred in approximately 30</w:t>
      </w:r>
      <w:r w:rsidR="000A6DDA" w:rsidRPr="00D2203C">
        <w:rPr>
          <w:szCs w:val="22"/>
          <w:lang w:val="en-GB"/>
        </w:rPr>
        <w:noBreakHyphen/>
      </w:r>
      <w:r w:rsidRPr="00D2203C">
        <w:rPr>
          <w:szCs w:val="22"/>
          <w:lang w:val="en-GB"/>
        </w:rPr>
        <w:t>55 % of patients</w:t>
      </w:r>
      <w:r w:rsidRPr="00C501E3">
        <w:rPr>
          <w:szCs w:val="22"/>
          <w:lang w:val="en-GB"/>
        </w:rPr>
        <w:t xml:space="preserve"> </w:t>
      </w:r>
      <w:r w:rsidRPr="00D2203C">
        <w:rPr>
          <w:szCs w:val="22"/>
          <w:lang w:val="en-GB"/>
        </w:rPr>
        <w:t>during clinical trials in patients with NHL and in 30</w:t>
      </w:r>
      <w:r w:rsidR="000A6DDA" w:rsidRPr="00D2203C">
        <w:rPr>
          <w:szCs w:val="22"/>
          <w:lang w:val="en-GB"/>
        </w:rPr>
        <w:noBreakHyphen/>
      </w:r>
      <w:r w:rsidRPr="00D2203C">
        <w:rPr>
          <w:szCs w:val="22"/>
          <w:lang w:val="en-GB"/>
        </w:rPr>
        <w:t>50 % of patients during clinical trial in patients with CLL.</w:t>
      </w:r>
    </w:p>
    <w:p w14:paraId="7C331BCB" w14:textId="77777777" w:rsidR="008F369D" w:rsidRPr="00D2203C" w:rsidRDefault="008F369D" w:rsidP="008F369D">
      <w:pPr>
        <w:rPr>
          <w:szCs w:val="22"/>
          <w:lang w:val="en-GB"/>
        </w:rPr>
      </w:pPr>
    </w:p>
    <w:p w14:paraId="7C331BCC" w14:textId="77777777" w:rsidR="008F369D" w:rsidRPr="00D2203C" w:rsidRDefault="00016F29" w:rsidP="008F369D">
      <w:pPr>
        <w:rPr>
          <w:szCs w:val="22"/>
          <w:lang w:val="en-GB"/>
        </w:rPr>
      </w:pPr>
      <w:r w:rsidRPr="00D2203C">
        <w:rPr>
          <w:szCs w:val="22"/>
          <w:lang w:val="en-GB"/>
        </w:rPr>
        <w:t>The most frequent reported or observed serious adverse reactions were:</w:t>
      </w:r>
    </w:p>
    <w:p w14:paraId="7C331BCD" w14:textId="77777777" w:rsidR="008F369D" w:rsidRPr="00C501E3" w:rsidRDefault="00016F29" w:rsidP="008F369D">
      <w:pPr>
        <w:ind w:left="567" w:hanging="567"/>
        <w:rPr>
          <w:szCs w:val="22"/>
          <w:lang w:val="en-GB"/>
        </w:rPr>
      </w:pPr>
      <w:r w:rsidRPr="00E06A78">
        <w:rPr>
          <w:rFonts w:ascii="Symbol" w:hAnsi="Symbol"/>
          <w:lang w:val="en-GB"/>
        </w:rPr>
        <w:sym w:font="Symbol" w:char="F0B7"/>
      </w:r>
      <w:r w:rsidRPr="00D2203C">
        <w:rPr>
          <w:szCs w:val="22"/>
          <w:lang w:val="en-GB"/>
        </w:rPr>
        <w:tab/>
        <w:t>Infusion</w:t>
      </w:r>
      <w:r w:rsidR="000A6DDA" w:rsidRPr="00D2203C">
        <w:rPr>
          <w:szCs w:val="22"/>
          <w:lang w:val="en-GB"/>
        </w:rPr>
        <w:noBreakHyphen/>
      </w:r>
      <w:r w:rsidRPr="00D2203C">
        <w:rPr>
          <w:szCs w:val="22"/>
          <w:lang w:val="en-GB"/>
        </w:rPr>
        <w:t>related reactions (including cytokine</w:t>
      </w:r>
      <w:r w:rsidR="000A6DDA" w:rsidRPr="00D2203C">
        <w:rPr>
          <w:szCs w:val="22"/>
          <w:lang w:val="en-GB"/>
        </w:rPr>
        <w:noBreakHyphen/>
      </w:r>
      <w:r w:rsidRPr="00D2203C">
        <w:rPr>
          <w:szCs w:val="22"/>
          <w:lang w:val="en-GB"/>
        </w:rPr>
        <w:t>release syndrome, tumour</w:t>
      </w:r>
      <w:r w:rsidR="000A6DDA" w:rsidRPr="00D2203C">
        <w:rPr>
          <w:szCs w:val="22"/>
          <w:lang w:val="en-GB"/>
        </w:rPr>
        <w:noBreakHyphen/>
      </w:r>
      <w:r w:rsidRPr="00D2203C">
        <w:rPr>
          <w:szCs w:val="22"/>
          <w:lang w:val="en-GB"/>
        </w:rPr>
        <w:t>lysis syndrome), see</w:t>
      </w:r>
      <w:r w:rsidRPr="00C501E3">
        <w:rPr>
          <w:szCs w:val="22"/>
          <w:lang w:val="en-GB"/>
        </w:rPr>
        <w:t xml:space="preserve"> section 4.4.</w:t>
      </w:r>
    </w:p>
    <w:p w14:paraId="7C331BCE" w14:textId="77777777" w:rsidR="008F369D" w:rsidRPr="00C501E3" w:rsidRDefault="00016F29" w:rsidP="008F369D">
      <w:pPr>
        <w:ind w:left="567" w:hanging="567"/>
        <w:rPr>
          <w:szCs w:val="22"/>
          <w:lang w:val="en-GB"/>
        </w:rPr>
      </w:pPr>
      <w:r w:rsidRPr="00E06A78">
        <w:rPr>
          <w:rFonts w:ascii="Symbol" w:hAnsi="Symbol"/>
          <w:lang w:val="en-GB"/>
        </w:rPr>
        <w:sym w:font="Symbol" w:char="F0B7"/>
      </w:r>
      <w:r w:rsidRPr="00C501E3">
        <w:rPr>
          <w:szCs w:val="22"/>
          <w:lang w:val="en-GB"/>
        </w:rPr>
        <w:tab/>
        <w:t>Infections, see section 4.4.</w:t>
      </w:r>
    </w:p>
    <w:p w14:paraId="7C331BCF" w14:textId="77777777" w:rsidR="008F369D" w:rsidRPr="00C501E3" w:rsidRDefault="00016F29" w:rsidP="008F369D">
      <w:pPr>
        <w:ind w:left="567" w:hanging="567"/>
        <w:rPr>
          <w:szCs w:val="22"/>
          <w:lang w:val="en-GB"/>
        </w:rPr>
      </w:pPr>
      <w:r w:rsidRPr="00E06A78">
        <w:rPr>
          <w:rFonts w:ascii="Symbol" w:hAnsi="Symbol"/>
          <w:lang w:val="en-GB"/>
        </w:rPr>
        <w:sym w:font="Symbol" w:char="F0B7"/>
      </w:r>
      <w:r w:rsidRPr="00C501E3">
        <w:rPr>
          <w:szCs w:val="22"/>
          <w:lang w:val="en-GB"/>
        </w:rPr>
        <w:tab/>
        <w:t>Cardiovascular disorders, see section 4.4.</w:t>
      </w:r>
    </w:p>
    <w:p w14:paraId="7C331BD0" w14:textId="77777777" w:rsidR="008F369D" w:rsidRPr="00C501E3" w:rsidRDefault="008F369D" w:rsidP="008F369D">
      <w:pPr>
        <w:ind w:left="567" w:hanging="567"/>
        <w:rPr>
          <w:szCs w:val="22"/>
          <w:lang w:val="en-GB"/>
        </w:rPr>
      </w:pPr>
    </w:p>
    <w:p w14:paraId="7C331BD1" w14:textId="77777777" w:rsidR="008F369D" w:rsidRPr="00C501E3" w:rsidRDefault="00016F29" w:rsidP="008F369D">
      <w:pPr>
        <w:rPr>
          <w:szCs w:val="22"/>
          <w:lang w:val="en-GB"/>
        </w:rPr>
      </w:pPr>
      <w:r w:rsidRPr="00C501E3">
        <w:rPr>
          <w:szCs w:val="22"/>
          <w:lang w:val="en-GB"/>
        </w:rPr>
        <w:t>Other serious ADRs reported include hepatitis B reactivation and PML (see section 4.4.).</w:t>
      </w:r>
    </w:p>
    <w:p w14:paraId="7C331BD2" w14:textId="77777777" w:rsidR="008F369D" w:rsidRPr="00C501E3" w:rsidRDefault="008F369D" w:rsidP="008F369D">
      <w:pPr>
        <w:rPr>
          <w:szCs w:val="22"/>
          <w:lang w:val="en-GB"/>
        </w:rPr>
      </w:pPr>
    </w:p>
    <w:p w14:paraId="7C331BD3" w14:textId="77777777" w:rsidR="008F369D" w:rsidRPr="00C501E3" w:rsidRDefault="00016F29" w:rsidP="008F369D">
      <w:pPr>
        <w:outlineLvl w:val="0"/>
        <w:rPr>
          <w:szCs w:val="22"/>
          <w:lang w:val="en-GB"/>
        </w:rPr>
      </w:pPr>
      <w:r w:rsidRPr="00C501E3">
        <w:rPr>
          <w:szCs w:val="22"/>
          <w:lang w:val="en-GB"/>
        </w:rPr>
        <w:t>The frequencies of ADRs reported with MabThera alone or in combination with chemotherapy are summarised in Table 1. Frequencies are defined as very common (</w:t>
      </w:r>
      <w:r w:rsidRPr="00E06A78">
        <w:rPr>
          <w:rFonts w:ascii="Symbol" w:hAnsi="Symbol"/>
          <w:lang w:val="en-GB"/>
        </w:rPr>
        <w:sym w:font="Symbol" w:char="F0B3"/>
      </w:r>
      <w:r w:rsidRPr="00C501E3">
        <w:rPr>
          <w:szCs w:val="22"/>
          <w:lang w:val="en-GB"/>
        </w:rPr>
        <w:t xml:space="preserve"> 1/10), common  (</w:t>
      </w:r>
      <w:r w:rsidRPr="00E06A78">
        <w:rPr>
          <w:rFonts w:ascii="Symbol" w:hAnsi="Symbol"/>
          <w:lang w:val="en-GB"/>
        </w:rPr>
        <w:sym w:font="Symbol" w:char="F0B3"/>
      </w:r>
      <w:r w:rsidRPr="00C501E3">
        <w:rPr>
          <w:szCs w:val="22"/>
          <w:lang w:val="en-GB"/>
        </w:rPr>
        <w:t> 1/100 to &lt; 1/10), uncommon  (</w:t>
      </w:r>
      <w:r w:rsidRPr="00E06A78">
        <w:rPr>
          <w:rFonts w:ascii="Symbol" w:hAnsi="Symbol"/>
          <w:lang w:val="en-GB"/>
        </w:rPr>
        <w:sym w:font="Symbol" w:char="F0B3"/>
      </w:r>
      <w:r w:rsidRPr="00C501E3">
        <w:rPr>
          <w:szCs w:val="22"/>
          <w:lang w:val="en-GB"/>
        </w:rPr>
        <w:t>  1/1,000 to &lt; 1/100), rare (</w:t>
      </w:r>
      <w:r w:rsidRPr="00E06A78">
        <w:rPr>
          <w:rFonts w:ascii="Symbol" w:hAnsi="Symbol"/>
          <w:lang w:val="en-GB"/>
        </w:rPr>
        <w:sym w:font="Symbol" w:char="F0B3"/>
      </w:r>
      <w:r w:rsidRPr="00C501E3">
        <w:rPr>
          <w:szCs w:val="22"/>
          <w:lang w:val="en-GB"/>
        </w:rPr>
        <w:t xml:space="preserve"> 1/10,000 to &lt; 1/1000), very rare </w:t>
      </w:r>
      <w:r w:rsidRPr="006229C4">
        <w:rPr>
          <w:szCs w:val="22"/>
          <w:lang w:val="en-GB"/>
        </w:rPr>
        <w:t>(</w:t>
      </w:r>
      <w:r w:rsidRPr="00C501E3">
        <w:rPr>
          <w:szCs w:val="22"/>
          <w:lang w:val="en-GB"/>
        </w:rPr>
        <w:t>&lt; 1/10,000) and not known (cannot be estimated from the available data).</w:t>
      </w:r>
      <w:r w:rsidR="00634306" w:rsidRPr="00634306">
        <w:rPr>
          <w:szCs w:val="22"/>
          <w:lang w:val="en-GB"/>
        </w:rPr>
        <w:t xml:space="preserve"> </w:t>
      </w:r>
      <w:r w:rsidR="00634306" w:rsidRPr="00C501E3">
        <w:rPr>
          <w:szCs w:val="22"/>
          <w:lang w:val="en-GB"/>
        </w:rPr>
        <w:t>Within each frequency grouping, undesirable effects are presented in order of decreasing seriousness.</w:t>
      </w:r>
    </w:p>
    <w:p w14:paraId="7C331BD4" w14:textId="77777777" w:rsidR="008F369D" w:rsidRPr="00C501E3" w:rsidRDefault="008F369D" w:rsidP="008F369D">
      <w:pPr>
        <w:outlineLvl w:val="0"/>
        <w:rPr>
          <w:szCs w:val="22"/>
          <w:lang w:val="en-GB"/>
        </w:rPr>
      </w:pPr>
    </w:p>
    <w:p w14:paraId="7C331BD5" w14:textId="77777777" w:rsidR="008F369D" w:rsidRPr="00C501E3" w:rsidRDefault="00016F29" w:rsidP="008F369D">
      <w:pPr>
        <w:outlineLvl w:val="0"/>
        <w:rPr>
          <w:szCs w:val="22"/>
          <w:lang w:val="en-GB"/>
        </w:rPr>
      </w:pPr>
      <w:r w:rsidRPr="003A16C3">
        <w:rPr>
          <w:szCs w:val="22"/>
          <w:lang w:val="en-GB"/>
        </w:rPr>
        <w:t>The ADRs identified only during post</w:t>
      </w:r>
      <w:r w:rsidR="000A6DDA" w:rsidRPr="003A16C3">
        <w:rPr>
          <w:szCs w:val="22"/>
          <w:lang w:val="en-GB"/>
        </w:rPr>
        <w:noBreakHyphen/>
      </w:r>
      <w:r w:rsidRPr="003A16C3">
        <w:rPr>
          <w:szCs w:val="22"/>
          <w:lang w:val="en-GB"/>
        </w:rPr>
        <w:t>marketing surveillance, and for which a frequency could not be</w:t>
      </w:r>
      <w:r w:rsidRPr="00C501E3">
        <w:rPr>
          <w:szCs w:val="22"/>
          <w:lang w:val="en-GB"/>
        </w:rPr>
        <w:t xml:space="preserve"> estimated, are listed under “not known”.</w:t>
      </w:r>
    </w:p>
    <w:p w14:paraId="7C331BD6" w14:textId="77777777" w:rsidR="008F369D" w:rsidRPr="00C501E3" w:rsidRDefault="008F369D" w:rsidP="008F369D">
      <w:pPr>
        <w:outlineLvl w:val="0"/>
        <w:rPr>
          <w:szCs w:val="22"/>
          <w:lang w:val="en-GB"/>
        </w:rPr>
      </w:pPr>
    </w:p>
    <w:p w14:paraId="7C331BD7" w14:textId="77777777" w:rsidR="008F369D" w:rsidRPr="00C501E3" w:rsidRDefault="00016F29" w:rsidP="008F369D">
      <w:pPr>
        <w:outlineLvl w:val="0"/>
        <w:rPr>
          <w:szCs w:val="22"/>
          <w:u w:val="single"/>
          <w:lang w:val="en-GB"/>
        </w:rPr>
      </w:pPr>
      <w:r w:rsidRPr="00C501E3">
        <w:rPr>
          <w:szCs w:val="22"/>
          <w:u w:val="single"/>
          <w:lang w:val="en-GB"/>
        </w:rPr>
        <w:t>Tabulated list of adverse reactions</w:t>
      </w:r>
    </w:p>
    <w:p w14:paraId="7C331BD8" w14:textId="77777777" w:rsidR="008F369D" w:rsidRPr="00C501E3" w:rsidRDefault="008F369D" w:rsidP="008F369D">
      <w:pPr>
        <w:rPr>
          <w:b/>
          <w:szCs w:val="22"/>
          <w:lang w:val="en-GB"/>
        </w:rPr>
      </w:pPr>
    </w:p>
    <w:p w14:paraId="7C331BD9" w14:textId="77777777" w:rsidR="008F369D" w:rsidRPr="00C501E3" w:rsidRDefault="00016F29" w:rsidP="008F369D">
      <w:pPr>
        <w:keepNext/>
        <w:ind w:left="1134" w:hanging="1134"/>
        <w:rPr>
          <w:b/>
          <w:szCs w:val="22"/>
          <w:lang w:val="en-GB"/>
        </w:rPr>
      </w:pPr>
      <w:r w:rsidRPr="00C501E3">
        <w:rPr>
          <w:b/>
          <w:szCs w:val="22"/>
          <w:lang w:val="en-GB"/>
        </w:rPr>
        <w:t>Table 1</w:t>
      </w:r>
      <w:r w:rsidRPr="00C501E3">
        <w:rPr>
          <w:b/>
          <w:szCs w:val="22"/>
          <w:lang w:val="en-GB"/>
        </w:rPr>
        <w:tab/>
        <w:t xml:space="preserve">ADRs reported in clinical trials or during postmarketing surveillance in patients with NHL and CLL disease treated with MabThera monotherapy/maintenance or in combination with chemotherapy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9"/>
        <w:gridCol w:w="1332"/>
        <w:gridCol w:w="1406"/>
        <w:gridCol w:w="1330"/>
        <w:gridCol w:w="1008"/>
        <w:gridCol w:w="1328"/>
        <w:gridCol w:w="1408"/>
      </w:tblGrid>
      <w:tr w:rsidR="003A788B" w14:paraId="7C331BE1" w14:textId="77777777" w:rsidTr="00E06A78">
        <w:trPr>
          <w:cantSplit/>
          <w:tblHeader/>
        </w:trPr>
        <w:tc>
          <w:tcPr>
            <w:tcW w:w="689" w:type="pct"/>
            <w:vAlign w:val="center"/>
          </w:tcPr>
          <w:p w14:paraId="7C331BDA" w14:textId="77777777" w:rsidR="008F369D" w:rsidRPr="00C501E3" w:rsidRDefault="00016F29" w:rsidP="008919D7">
            <w:pPr>
              <w:keepNext/>
              <w:spacing w:before="100" w:beforeAutospacing="1" w:after="100" w:afterAutospacing="1"/>
              <w:jc w:val="center"/>
              <w:rPr>
                <w:rFonts w:eastAsia="MS Mincho"/>
                <w:sz w:val="18"/>
                <w:szCs w:val="18"/>
                <w:lang w:val="en-GB" w:eastAsia="zh-CN" w:bidi="th-TH"/>
              </w:rPr>
            </w:pPr>
            <w:r>
              <w:rPr>
                <w:rFonts w:eastAsia="MS Mincho"/>
                <w:b/>
                <w:bCs/>
                <w:sz w:val="18"/>
                <w:szCs w:val="18"/>
                <w:lang w:val="en-GB" w:eastAsia="zh-CN" w:bidi="th-TH"/>
              </w:rPr>
              <w:t xml:space="preserve">MedDRA </w:t>
            </w:r>
            <w:r w:rsidRPr="00C501E3">
              <w:rPr>
                <w:rFonts w:eastAsia="MS Mincho"/>
                <w:b/>
                <w:bCs/>
                <w:sz w:val="18"/>
                <w:szCs w:val="18"/>
                <w:lang w:val="en-GB" w:eastAsia="zh-CN" w:bidi="th-TH"/>
              </w:rPr>
              <w:t>System Organ Class</w:t>
            </w:r>
          </w:p>
        </w:tc>
        <w:tc>
          <w:tcPr>
            <w:tcW w:w="735" w:type="pct"/>
            <w:vAlign w:val="center"/>
          </w:tcPr>
          <w:p w14:paraId="7C331BDB" w14:textId="77777777" w:rsidR="008F369D" w:rsidRPr="00C501E3" w:rsidRDefault="00016F29" w:rsidP="008919D7">
            <w:pPr>
              <w:keepNext/>
              <w:jc w:val="center"/>
              <w:rPr>
                <w:b/>
                <w:sz w:val="18"/>
                <w:szCs w:val="18"/>
                <w:lang w:val="en-GB"/>
              </w:rPr>
            </w:pPr>
            <w:r w:rsidRPr="00C501E3">
              <w:rPr>
                <w:b/>
                <w:sz w:val="18"/>
                <w:szCs w:val="18"/>
                <w:lang w:val="en-GB"/>
              </w:rPr>
              <w:t>Very Common</w:t>
            </w:r>
          </w:p>
        </w:tc>
        <w:tc>
          <w:tcPr>
            <w:tcW w:w="776" w:type="pct"/>
            <w:vAlign w:val="center"/>
          </w:tcPr>
          <w:p w14:paraId="7C331BDC" w14:textId="77777777" w:rsidR="008F369D" w:rsidRPr="00C501E3" w:rsidRDefault="00016F29" w:rsidP="008919D7">
            <w:pPr>
              <w:keepNext/>
              <w:jc w:val="center"/>
              <w:rPr>
                <w:b/>
                <w:sz w:val="18"/>
                <w:szCs w:val="18"/>
                <w:lang w:val="en-GB"/>
              </w:rPr>
            </w:pPr>
            <w:r w:rsidRPr="00C501E3">
              <w:rPr>
                <w:b/>
                <w:sz w:val="18"/>
                <w:szCs w:val="18"/>
                <w:lang w:val="en-GB"/>
              </w:rPr>
              <w:t>Common</w:t>
            </w:r>
          </w:p>
        </w:tc>
        <w:tc>
          <w:tcPr>
            <w:tcW w:w="734" w:type="pct"/>
            <w:vAlign w:val="center"/>
          </w:tcPr>
          <w:p w14:paraId="7C331BDD" w14:textId="77777777" w:rsidR="008F369D" w:rsidRPr="00C501E3" w:rsidRDefault="00016F29" w:rsidP="008919D7">
            <w:pPr>
              <w:keepNext/>
              <w:jc w:val="center"/>
              <w:rPr>
                <w:b/>
                <w:sz w:val="18"/>
                <w:szCs w:val="18"/>
                <w:lang w:val="en-GB"/>
              </w:rPr>
            </w:pPr>
            <w:r w:rsidRPr="00C501E3">
              <w:rPr>
                <w:b/>
                <w:sz w:val="18"/>
                <w:szCs w:val="18"/>
                <w:lang w:val="en-GB"/>
              </w:rPr>
              <w:t>Uncommon</w:t>
            </w:r>
          </w:p>
        </w:tc>
        <w:tc>
          <w:tcPr>
            <w:tcW w:w="556" w:type="pct"/>
            <w:vAlign w:val="center"/>
          </w:tcPr>
          <w:p w14:paraId="7C331BDE" w14:textId="77777777" w:rsidR="008F369D" w:rsidRPr="00C501E3" w:rsidRDefault="00016F29" w:rsidP="008919D7">
            <w:pPr>
              <w:keepNext/>
              <w:jc w:val="center"/>
              <w:rPr>
                <w:b/>
                <w:sz w:val="18"/>
                <w:szCs w:val="18"/>
                <w:lang w:val="en-GB"/>
              </w:rPr>
            </w:pPr>
            <w:r w:rsidRPr="00C501E3">
              <w:rPr>
                <w:b/>
                <w:sz w:val="18"/>
                <w:szCs w:val="18"/>
                <w:lang w:val="en-GB"/>
              </w:rPr>
              <w:t>Rare</w:t>
            </w:r>
          </w:p>
        </w:tc>
        <w:tc>
          <w:tcPr>
            <w:tcW w:w="733" w:type="pct"/>
            <w:vAlign w:val="center"/>
          </w:tcPr>
          <w:p w14:paraId="7C331BDF" w14:textId="77777777" w:rsidR="008F369D" w:rsidRPr="00C501E3" w:rsidRDefault="00016F29" w:rsidP="008919D7">
            <w:pPr>
              <w:keepNext/>
              <w:jc w:val="center"/>
              <w:rPr>
                <w:b/>
                <w:sz w:val="18"/>
                <w:szCs w:val="18"/>
                <w:lang w:val="en-GB"/>
              </w:rPr>
            </w:pPr>
            <w:r w:rsidRPr="00C501E3">
              <w:rPr>
                <w:b/>
                <w:sz w:val="18"/>
                <w:szCs w:val="18"/>
                <w:lang w:val="en-GB"/>
              </w:rPr>
              <w:t>Very Rare</w:t>
            </w:r>
          </w:p>
        </w:tc>
        <w:tc>
          <w:tcPr>
            <w:tcW w:w="778" w:type="pct"/>
            <w:vAlign w:val="center"/>
          </w:tcPr>
          <w:p w14:paraId="7C331BE0" w14:textId="77777777" w:rsidR="008F369D" w:rsidRPr="00C501E3" w:rsidRDefault="00016F29" w:rsidP="008919D7">
            <w:pPr>
              <w:keepNext/>
              <w:jc w:val="center"/>
              <w:rPr>
                <w:b/>
                <w:sz w:val="18"/>
                <w:szCs w:val="18"/>
                <w:lang w:val="en-GB"/>
              </w:rPr>
            </w:pPr>
            <w:r w:rsidRPr="00C501E3">
              <w:rPr>
                <w:b/>
                <w:sz w:val="18"/>
                <w:szCs w:val="18"/>
                <w:lang w:val="en-GB"/>
              </w:rPr>
              <w:t>Not known</w:t>
            </w:r>
          </w:p>
        </w:tc>
      </w:tr>
      <w:tr w:rsidR="003A788B" w14:paraId="7C331BEA" w14:textId="77777777" w:rsidTr="00E06A78">
        <w:trPr>
          <w:cantSplit/>
        </w:trPr>
        <w:tc>
          <w:tcPr>
            <w:tcW w:w="689" w:type="pct"/>
          </w:tcPr>
          <w:p w14:paraId="7C331BE2" w14:textId="77777777" w:rsidR="008F369D" w:rsidRPr="00C501E3" w:rsidRDefault="00016F29" w:rsidP="008919D7">
            <w:pPr>
              <w:rPr>
                <w:sz w:val="18"/>
                <w:szCs w:val="18"/>
                <w:lang w:val="en-GB"/>
              </w:rPr>
            </w:pPr>
            <w:r w:rsidRPr="00C501E3">
              <w:rPr>
                <w:b/>
                <w:sz w:val="18"/>
                <w:szCs w:val="18"/>
                <w:lang w:val="en-GB"/>
              </w:rPr>
              <w:t>Infections and infestations</w:t>
            </w:r>
          </w:p>
        </w:tc>
        <w:tc>
          <w:tcPr>
            <w:tcW w:w="735" w:type="pct"/>
          </w:tcPr>
          <w:p w14:paraId="7C331BE3" w14:textId="77777777" w:rsidR="008F369D" w:rsidRPr="00C501E3" w:rsidRDefault="00016F29" w:rsidP="008919D7">
            <w:pPr>
              <w:rPr>
                <w:sz w:val="18"/>
                <w:szCs w:val="18"/>
                <w:lang w:val="en-GB"/>
              </w:rPr>
            </w:pPr>
            <w:r w:rsidRPr="00C501E3">
              <w:rPr>
                <w:sz w:val="18"/>
                <w:szCs w:val="18"/>
                <w:lang w:val="en-GB"/>
              </w:rPr>
              <w:t xml:space="preserve">bacterial infections, viral infections, </w:t>
            </w:r>
            <w:r w:rsidRPr="00C501E3">
              <w:rPr>
                <w:sz w:val="18"/>
                <w:szCs w:val="18"/>
                <w:vertAlign w:val="superscript"/>
                <w:lang w:val="en-GB"/>
              </w:rPr>
              <w:t>+</w:t>
            </w:r>
            <w:r w:rsidRPr="00C501E3">
              <w:rPr>
                <w:sz w:val="18"/>
                <w:szCs w:val="18"/>
                <w:lang w:val="en-GB"/>
              </w:rPr>
              <w:t xml:space="preserve">bronchitis </w:t>
            </w:r>
          </w:p>
          <w:p w14:paraId="7C331BE4" w14:textId="77777777" w:rsidR="008F369D" w:rsidRPr="00C501E3" w:rsidRDefault="008F369D" w:rsidP="008919D7">
            <w:pPr>
              <w:rPr>
                <w:sz w:val="18"/>
                <w:szCs w:val="18"/>
                <w:lang w:val="en-GB"/>
              </w:rPr>
            </w:pPr>
          </w:p>
        </w:tc>
        <w:tc>
          <w:tcPr>
            <w:tcW w:w="776" w:type="pct"/>
          </w:tcPr>
          <w:p w14:paraId="7C331BE5" w14:textId="77777777" w:rsidR="008F369D" w:rsidRPr="00C501E3" w:rsidRDefault="00016F29" w:rsidP="008919D7">
            <w:pPr>
              <w:rPr>
                <w:sz w:val="18"/>
                <w:szCs w:val="18"/>
                <w:lang w:val="en-GB"/>
              </w:rPr>
            </w:pPr>
            <w:r w:rsidRPr="00C501E3">
              <w:rPr>
                <w:sz w:val="18"/>
                <w:szCs w:val="18"/>
                <w:lang w:val="en-GB"/>
              </w:rPr>
              <w:t xml:space="preserve">sepsis, </w:t>
            </w:r>
            <w:r w:rsidRPr="00C501E3">
              <w:rPr>
                <w:sz w:val="18"/>
                <w:szCs w:val="18"/>
                <w:vertAlign w:val="superscript"/>
                <w:lang w:val="en-GB"/>
              </w:rPr>
              <w:t>+</w:t>
            </w:r>
            <w:r w:rsidRPr="00C501E3">
              <w:rPr>
                <w:sz w:val="18"/>
                <w:szCs w:val="18"/>
                <w:lang w:val="en-GB"/>
              </w:rPr>
              <w:t xml:space="preserve">pneumonia, </w:t>
            </w:r>
            <w:r w:rsidRPr="00C501E3">
              <w:rPr>
                <w:sz w:val="18"/>
                <w:szCs w:val="18"/>
                <w:vertAlign w:val="superscript"/>
                <w:lang w:val="en-GB"/>
              </w:rPr>
              <w:t>+</w:t>
            </w:r>
            <w:r w:rsidRPr="00C501E3">
              <w:rPr>
                <w:sz w:val="18"/>
                <w:szCs w:val="18"/>
                <w:lang w:val="en-GB"/>
              </w:rPr>
              <w:t xml:space="preserve">febrile infection, </w:t>
            </w:r>
            <w:r w:rsidRPr="00C501E3">
              <w:rPr>
                <w:sz w:val="18"/>
                <w:szCs w:val="18"/>
                <w:vertAlign w:val="superscript"/>
                <w:lang w:val="en-GB"/>
              </w:rPr>
              <w:t>+</w:t>
            </w:r>
            <w:r w:rsidRPr="00C501E3">
              <w:rPr>
                <w:sz w:val="18"/>
                <w:szCs w:val="18"/>
                <w:lang w:val="en-GB"/>
              </w:rPr>
              <w:t xml:space="preserve">herpes zoster, </w:t>
            </w:r>
            <w:r w:rsidRPr="00C501E3">
              <w:rPr>
                <w:sz w:val="18"/>
                <w:szCs w:val="18"/>
                <w:vertAlign w:val="superscript"/>
                <w:lang w:val="en-GB"/>
              </w:rPr>
              <w:t>+</w:t>
            </w:r>
            <w:r w:rsidRPr="00C501E3">
              <w:rPr>
                <w:sz w:val="18"/>
                <w:szCs w:val="18"/>
                <w:lang w:val="en-GB"/>
              </w:rPr>
              <w:t xml:space="preserve">respiratory tract infection, fungal infections, infections of unknown aetiology, </w:t>
            </w:r>
            <w:r w:rsidRPr="00C501E3">
              <w:rPr>
                <w:sz w:val="18"/>
                <w:szCs w:val="18"/>
                <w:vertAlign w:val="superscript"/>
                <w:lang w:val="en-GB"/>
              </w:rPr>
              <w:t>+</w:t>
            </w:r>
            <w:r w:rsidRPr="00C501E3">
              <w:rPr>
                <w:sz w:val="18"/>
                <w:szCs w:val="18"/>
                <w:lang w:val="en-GB"/>
              </w:rPr>
              <w:t xml:space="preserve">acute bronchitis, </w:t>
            </w:r>
            <w:r w:rsidRPr="00C501E3">
              <w:rPr>
                <w:sz w:val="18"/>
                <w:szCs w:val="18"/>
                <w:vertAlign w:val="superscript"/>
                <w:lang w:val="en-GB"/>
              </w:rPr>
              <w:t>+</w:t>
            </w:r>
            <w:r w:rsidRPr="00C501E3">
              <w:rPr>
                <w:sz w:val="18"/>
                <w:szCs w:val="18"/>
                <w:lang w:val="en-GB"/>
              </w:rPr>
              <w:t>sinusitis,</w:t>
            </w:r>
            <w:r w:rsidRPr="00C501E3">
              <w:rPr>
                <w:snapToGrid w:val="0"/>
                <w:sz w:val="18"/>
                <w:szCs w:val="18"/>
                <w:lang w:val="en-GB" w:eastAsia="en-US"/>
              </w:rPr>
              <w:t xml:space="preserve"> h</w:t>
            </w:r>
            <w:r w:rsidRPr="00C501E3">
              <w:rPr>
                <w:rFonts w:eastAsia="MS Mincho"/>
                <w:sz w:val="18"/>
                <w:szCs w:val="18"/>
                <w:lang w:val="en-GB"/>
              </w:rPr>
              <w:t>epatitis B</w:t>
            </w:r>
            <w:r w:rsidRPr="00C501E3">
              <w:rPr>
                <w:snapToGrid w:val="0"/>
                <w:sz w:val="18"/>
                <w:szCs w:val="18"/>
                <w:vertAlign w:val="superscript"/>
                <w:lang w:val="en-GB" w:eastAsia="en-US"/>
              </w:rPr>
              <w:t>1</w:t>
            </w:r>
            <w:r w:rsidRPr="00C501E3">
              <w:rPr>
                <w:sz w:val="18"/>
                <w:szCs w:val="18"/>
                <w:vertAlign w:val="superscript"/>
                <w:lang w:val="en-GB"/>
              </w:rPr>
              <w:t xml:space="preserve"> </w:t>
            </w:r>
          </w:p>
        </w:tc>
        <w:tc>
          <w:tcPr>
            <w:tcW w:w="734" w:type="pct"/>
          </w:tcPr>
          <w:p w14:paraId="7C331BE6" w14:textId="77777777" w:rsidR="008F369D" w:rsidRPr="00C501E3" w:rsidRDefault="008F369D" w:rsidP="008919D7">
            <w:pPr>
              <w:rPr>
                <w:sz w:val="18"/>
                <w:szCs w:val="18"/>
                <w:lang w:val="en-GB"/>
              </w:rPr>
            </w:pPr>
          </w:p>
        </w:tc>
        <w:tc>
          <w:tcPr>
            <w:tcW w:w="556" w:type="pct"/>
          </w:tcPr>
          <w:p w14:paraId="7C331BE7" w14:textId="77777777" w:rsidR="008F369D" w:rsidRPr="00C501E3" w:rsidRDefault="00016F29" w:rsidP="008919D7">
            <w:pPr>
              <w:rPr>
                <w:snapToGrid w:val="0"/>
                <w:sz w:val="18"/>
                <w:szCs w:val="18"/>
                <w:lang w:val="en-GB" w:eastAsia="en-US"/>
              </w:rPr>
            </w:pPr>
            <w:r w:rsidRPr="00C501E3">
              <w:rPr>
                <w:snapToGrid w:val="0"/>
                <w:sz w:val="18"/>
                <w:szCs w:val="18"/>
                <w:lang w:val="en-GB" w:eastAsia="en-US"/>
              </w:rPr>
              <w:t>serious viral infection</w:t>
            </w:r>
            <w:r w:rsidRPr="00C501E3">
              <w:rPr>
                <w:snapToGrid w:val="0"/>
                <w:sz w:val="18"/>
                <w:szCs w:val="18"/>
                <w:vertAlign w:val="superscript"/>
                <w:lang w:val="en-GB" w:eastAsia="en-US"/>
              </w:rPr>
              <w:t>2</w:t>
            </w:r>
          </w:p>
        </w:tc>
        <w:tc>
          <w:tcPr>
            <w:tcW w:w="733" w:type="pct"/>
          </w:tcPr>
          <w:p w14:paraId="7C331BE8" w14:textId="77777777" w:rsidR="008F369D" w:rsidRPr="00C501E3" w:rsidRDefault="008F369D" w:rsidP="008919D7">
            <w:pPr>
              <w:rPr>
                <w:snapToGrid w:val="0"/>
                <w:sz w:val="18"/>
                <w:szCs w:val="18"/>
                <w:lang w:val="en-GB" w:eastAsia="en-US"/>
              </w:rPr>
            </w:pPr>
          </w:p>
        </w:tc>
        <w:tc>
          <w:tcPr>
            <w:tcW w:w="778" w:type="pct"/>
          </w:tcPr>
          <w:p w14:paraId="7C331BE9" w14:textId="77777777" w:rsidR="008F369D" w:rsidRPr="00C501E3" w:rsidRDefault="008F369D" w:rsidP="008919D7">
            <w:pPr>
              <w:rPr>
                <w:sz w:val="18"/>
                <w:szCs w:val="18"/>
                <w:lang w:val="en-GB"/>
              </w:rPr>
            </w:pPr>
          </w:p>
        </w:tc>
      </w:tr>
      <w:tr w:rsidR="003A788B" w14:paraId="7C331BF4" w14:textId="77777777" w:rsidTr="00E06A78">
        <w:trPr>
          <w:cantSplit/>
        </w:trPr>
        <w:tc>
          <w:tcPr>
            <w:tcW w:w="689" w:type="pct"/>
          </w:tcPr>
          <w:p w14:paraId="7C331BEB" w14:textId="77777777" w:rsidR="008F369D" w:rsidRPr="00C501E3" w:rsidRDefault="00016F29" w:rsidP="008919D7">
            <w:pPr>
              <w:rPr>
                <w:sz w:val="18"/>
                <w:szCs w:val="18"/>
                <w:lang w:val="en-GB"/>
              </w:rPr>
            </w:pPr>
            <w:r w:rsidRPr="00C501E3">
              <w:rPr>
                <w:b/>
                <w:sz w:val="18"/>
                <w:szCs w:val="18"/>
                <w:lang w:val="en-GB"/>
              </w:rPr>
              <w:t>Blood and lymphatic system disorders</w:t>
            </w:r>
          </w:p>
        </w:tc>
        <w:tc>
          <w:tcPr>
            <w:tcW w:w="735" w:type="pct"/>
          </w:tcPr>
          <w:p w14:paraId="7C331BEC" w14:textId="77777777" w:rsidR="008F369D" w:rsidRPr="00C501E3" w:rsidRDefault="00016F29" w:rsidP="008919D7">
            <w:pPr>
              <w:rPr>
                <w:sz w:val="18"/>
                <w:szCs w:val="18"/>
                <w:lang w:val="en-GB"/>
              </w:rPr>
            </w:pPr>
            <w:r w:rsidRPr="00C501E3">
              <w:rPr>
                <w:sz w:val="18"/>
                <w:szCs w:val="18"/>
                <w:lang w:val="en-GB"/>
              </w:rPr>
              <w:t xml:space="preserve">neutropenia, leucopenia, </w:t>
            </w:r>
            <w:r w:rsidRPr="00C501E3">
              <w:rPr>
                <w:sz w:val="18"/>
                <w:szCs w:val="18"/>
                <w:vertAlign w:val="superscript"/>
                <w:lang w:val="en-GB"/>
              </w:rPr>
              <w:t>+</w:t>
            </w:r>
            <w:r w:rsidRPr="00C501E3">
              <w:rPr>
                <w:sz w:val="18"/>
                <w:szCs w:val="18"/>
                <w:lang w:val="en-GB"/>
              </w:rPr>
              <w:t xml:space="preserve">febrile neutropenia, </w:t>
            </w:r>
            <w:r w:rsidRPr="00C501E3">
              <w:rPr>
                <w:sz w:val="18"/>
                <w:szCs w:val="18"/>
                <w:vertAlign w:val="superscript"/>
                <w:lang w:val="en-GB"/>
              </w:rPr>
              <w:t>+</w:t>
            </w:r>
            <w:r w:rsidRPr="00C501E3">
              <w:rPr>
                <w:sz w:val="18"/>
                <w:szCs w:val="18"/>
                <w:lang w:val="en-GB"/>
              </w:rPr>
              <w:t>thrombocytopenia</w:t>
            </w:r>
          </w:p>
          <w:p w14:paraId="7C331BED" w14:textId="77777777" w:rsidR="008F369D" w:rsidRPr="00C501E3" w:rsidRDefault="008F369D" w:rsidP="008919D7">
            <w:pPr>
              <w:rPr>
                <w:sz w:val="18"/>
                <w:szCs w:val="18"/>
                <w:lang w:val="en-GB"/>
              </w:rPr>
            </w:pPr>
          </w:p>
        </w:tc>
        <w:tc>
          <w:tcPr>
            <w:tcW w:w="776" w:type="pct"/>
          </w:tcPr>
          <w:p w14:paraId="7C331BEE" w14:textId="77777777" w:rsidR="008F369D" w:rsidRPr="00C501E3" w:rsidRDefault="00016F29" w:rsidP="008919D7">
            <w:pPr>
              <w:rPr>
                <w:sz w:val="18"/>
                <w:szCs w:val="18"/>
                <w:lang w:val="en-GB"/>
              </w:rPr>
            </w:pPr>
            <w:r w:rsidRPr="00C501E3">
              <w:rPr>
                <w:sz w:val="18"/>
                <w:szCs w:val="18"/>
                <w:lang w:val="en-GB"/>
              </w:rPr>
              <w:t xml:space="preserve">anaemia, </w:t>
            </w:r>
          </w:p>
          <w:p w14:paraId="7C331BEF" w14:textId="77777777" w:rsidR="008F369D" w:rsidRPr="00C501E3" w:rsidRDefault="00016F29" w:rsidP="008919D7">
            <w:pPr>
              <w:rPr>
                <w:sz w:val="18"/>
                <w:szCs w:val="18"/>
                <w:lang w:val="en-GB"/>
              </w:rPr>
            </w:pPr>
            <w:r w:rsidRPr="00C501E3">
              <w:rPr>
                <w:sz w:val="18"/>
                <w:szCs w:val="18"/>
                <w:vertAlign w:val="superscript"/>
                <w:lang w:val="en-GB"/>
              </w:rPr>
              <w:t>+</w:t>
            </w:r>
            <w:r w:rsidRPr="00C501E3">
              <w:rPr>
                <w:sz w:val="18"/>
                <w:szCs w:val="18"/>
                <w:lang w:val="en-GB"/>
              </w:rPr>
              <w:t xml:space="preserve">pancytopenia, </w:t>
            </w:r>
            <w:r w:rsidRPr="00C501E3">
              <w:rPr>
                <w:sz w:val="18"/>
                <w:szCs w:val="18"/>
                <w:vertAlign w:val="superscript"/>
                <w:lang w:val="en-GB"/>
              </w:rPr>
              <w:t>+</w:t>
            </w:r>
            <w:r w:rsidRPr="00C501E3">
              <w:rPr>
                <w:sz w:val="18"/>
                <w:szCs w:val="18"/>
                <w:lang w:val="en-GB"/>
              </w:rPr>
              <w:t>granulocytopenia</w:t>
            </w:r>
          </w:p>
        </w:tc>
        <w:tc>
          <w:tcPr>
            <w:tcW w:w="734" w:type="pct"/>
          </w:tcPr>
          <w:p w14:paraId="7C331BF0" w14:textId="77777777" w:rsidR="008F369D" w:rsidRPr="00C501E3" w:rsidRDefault="00016F29" w:rsidP="008919D7">
            <w:pPr>
              <w:rPr>
                <w:sz w:val="18"/>
                <w:szCs w:val="18"/>
                <w:lang w:val="en-GB"/>
              </w:rPr>
            </w:pPr>
            <w:r w:rsidRPr="00C501E3">
              <w:rPr>
                <w:sz w:val="18"/>
                <w:szCs w:val="18"/>
                <w:lang w:val="en-GB"/>
              </w:rPr>
              <w:t>coagulation disorders, aplastic anaemia, haemolytic anaemia, lymphadenopathy</w:t>
            </w:r>
          </w:p>
        </w:tc>
        <w:tc>
          <w:tcPr>
            <w:tcW w:w="556" w:type="pct"/>
          </w:tcPr>
          <w:p w14:paraId="7C331BF1" w14:textId="77777777" w:rsidR="008F369D" w:rsidRPr="00C501E3" w:rsidRDefault="008F369D" w:rsidP="008919D7">
            <w:pPr>
              <w:rPr>
                <w:snapToGrid w:val="0"/>
                <w:sz w:val="18"/>
                <w:szCs w:val="18"/>
                <w:lang w:val="en-GB" w:eastAsia="en-US"/>
              </w:rPr>
            </w:pPr>
          </w:p>
        </w:tc>
        <w:tc>
          <w:tcPr>
            <w:tcW w:w="733" w:type="pct"/>
          </w:tcPr>
          <w:p w14:paraId="7C331BF2" w14:textId="77777777" w:rsidR="008F369D" w:rsidRPr="00C501E3" w:rsidRDefault="00016F29" w:rsidP="008919D7">
            <w:pPr>
              <w:rPr>
                <w:snapToGrid w:val="0"/>
                <w:sz w:val="18"/>
                <w:szCs w:val="18"/>
                <w:lang w:val="en-GB" w:eastAsia="en-US"/>
              </w:rPr>
            </w:pPr>
            <w:r w:rsidRPr="00C501E3">
              <w:rPr>
                <w:rFonts w:eastAsia="Arial Unicode MS"/>
                <w:sz w:val="18"/>
                <w:szCs w:val="18"/>
                <w:lang w:val="en-GB"/>
              </w:rPr>
              <w:t>transient increase in serum IgM levels</w:t>
            </w:r>
            <w:r w:rsidRPr="00C501E3">
              <w:rPr>
                <w:snapToGrid w:val="0"/>
                <w:sz w:val="18"/>
                <w:szCs w:val="18"/>
                <w:vertAlign w:val="superscript"/>
                <w:lang w:val="en-GB" w:eastAsia="en-US"/>
              </w:rPr>
              <w:t>3</w:t>
            </w:r>
          </w:p>
        </w:tc>
        <w:tc>
          <w:tcPr>
            <w:tcW w:w="778" w:type="pct"/>
          </w:tcPr>
          <w:p w14:paraId="7C331BF3" w14:textId="77777777" w:rsidR="008F369D" w:rsidRPr="00C501E3" w:rsidRDefault="00016F29" w:rsidP="008919D7">
            <w:pPr>
              <w:rPr>
                <w:sz w:val="18"/>
                <w:szCs w:val="18"/>
                <w:lang w:val="en-GB"/>
              </w:rPr>
            </w:pPr>
            <w:r w:rsidRPr="00C501E3">
              <w:rPr>
                <w:snapToGrid w:val="0"/>
                <w:sz w:val="18"/>
                <w:szCs w:val="18"/>
                <w:lang w:val="en-GB" w:eastAsia="en-US"/>
              </w:rPr>
              <w:t>late neutropenia</w:t>
            </w:r>
            <w:r w:rsidRPr="00C501E3">
              <w:rPr>
                <w:snapToGrid w:val="0"/>
                <w:sz w:val="18"/>
                <w:szCs w:val="18"/>
                <w:vertAlign w:val="superscript"/>
                <w:lang w:val="en-GB" w:eastAsia="en-US"/>
              </w:rPr>
              <w:t>3</w:t>
            </w:r>
          </w:p>
        </w:tc>
      </w:tr>
      <w:tr w:rsidR="003A788B" w14:paraId="7C331BFE" w14:textId="77777777" w:rsidTr="00E06A78">
        <w:trPr>
          <w:cantSplit/>
        </w:trPr>
        <w:tc>
          <w:tcPr>
            <w:tcW w:w="689" w:type="pct"/>
          </w:tcPr>
          <w:p w14:paraId="7C331BF5" w14:textId="77777777" w:rsidR="008F369D" w:rsidRPr="00C501E3" w:rsidRDefault="00016F29" w:rsidP="008919D7">
            <w:pPr>
              <w:rPr>
                <w:sz w:val="18"/>
                <w:szCs w:val="18"/>
                <w:lang w:val="en-GB"/>
              </w:rPr>
            </w:pPr>
            <w:r w:rsidRPr="00C501E3">
              <w:rPr>
                <w:b/>
                <w:sz w:val="18"/>
                <w:szCs w:val="18"/>
                <w:lang w:val="en-GB"/>
              </w:rPr>
              <w:t>Immune system disorders</w:t>
            </w:r>
          </w:p>
        </w:tc>
        <w:tc>
          <w:tcPr>
            <w:tcW w:w="735" w:type="pct"/>
          </w:tcPr>
          <w:p w14:paraId="7C331BF6" w14:textId="77777777" w:rsidR="008F369D" w:rsidRPr="00C501E3" w:rsidRDefault="00016F29" w:rsidP="008919D7">
            <w:pPr>
              <w:rPr>
                <w:sz w:val="18"/>
                <w:szCs w:val="18"/>
                <w:lang w:val="en-GB"/>
              </w:rPr>
            </w:pPr>
            <w:r w:rsidRPr="00C501E3">
              <w:rPr>
                <w:snapToGrid w:val="0"/>
                <w:sz w:val="18"/>
                <w:szCs w:val="18"/>
                <w:lang w:val="en-GB" w:eastAsia="en-US"/>
              </w:rPr>
              <w:t>infusion related reactions</w:t>
            </w:r>
            <w:r w:rsidRPr="00C501E3">
              <w:rPr>
                <w:snapToGrid w:val="0"/>
                <w:sz w:val="18"/>
                <w:szCs w:val="18"/>
                <w:vertAlign w:val="superscript"/>
                <w:lang w:val="en-GB" w:eastAsia="en-US"/>
              </w:rPr>
              <w:t>4</w:t>
            </w:r>
            <w:r w:rsidRPr="00C501E3">
              <w:rPr>
                <w:snapToGrid w:val="0"/>
                <w:sz w:val="18"/>
                <w:szCs w:val="18"/>
                <w:lang w:val="en-GB" w:eastAsia="en-US"/>
              </w:rPr>
              <w:t>,</w:t>
            </w:r>
          </w:p>
          <w:p w14:paraId="7C331BF7" w14:textId="77777777" w:rsidR="008F369D" w:rsidRPr="00C501E3" w:rsidRDefault="00016F29" w:rsidP="008919D7">
            <w:pPr>
              <w:rPr>
                <w:sz w:val="18"/>
                <w:szCs w:val="18"/>
                <w:lang w:val="en-GB"/>
              </w:rPr>
            </w:pPr>
            <w:r w:rsidRPr="00C501E3">
              <w:rPr>
                <w:sz w:val="18"/>
                <w:szCs w:val="18"/>
                <w:lang w:val="en-GB"/>
              </w:rPr>
              <w:t>angioedema</w:t>
            </w:r>
          </w:p>
        </w:tc>
        <w:tc>
          <w:tcPr>
            <w:tcW w:w="776" w:type="pct"/>
          </w:tcPr>
          <w:p w14:paraId="7C331BF8" w14:textId="77777777" w:rsidR="008F369D" w:rsidRPr="00C501E3" w:rsidRDefault="00016F29" w:rsidP="008919D7">
            <w:pPr>
              <w:rPr>
                <w:sz w:val="18"/>
                <w:szCs w:val="18"/>
                <w:lang w:val="en-GB"/>
              </w:rPr>
            </w:pPr>
            <w:r w:rsidRPr="00C501E3">
              <w:rPr>
                <w:sz w:val="18"/>
                <w:szCs w:val="18"/>
                <w:lang w:val="en-GB"/>
              </w:rPr>
              <w:t>hypersensitivity</w:t>
            </w:r>
          </w:p>
        </w:tc>
        <w:tc>
          <w:tcPr>
            <w:tcW w:w="734" w:type="pct"/>
          </w:tcPr>
          <w:p w14:paraId="7C331BF9" w14:textId="77777777" w:rsidR="008F369D" w:rsidRPr="00C501E3" w:rsidRDefault="008F369D" w:rsidP="008919D7">
            <w:pPr>
              <w:rPr>
                <w:sz w:val="18"/>
                <w:szCs w:val="18"/>
                <w:lang w:val="en-GB"/>
              </w:rPr>
            </w:pPr>
          </w:p>
        </w:tc>
        <w:tc>
          <w:tcPr>
            <w:tcW w:w="556" w:type="pct"/>
          </w:tcPr>
          <w:p w14:paraId="7C331BFA" w14:textId="77777777" w:rsidR="008F369D" w:rsidRPr="00C501E3" w:rsidRDefault="00016F29" w:rsidP="008919D7">
            <w:pPr>
              <w:rPr>
                <w:snapToGrid w:val="0"/>
                <w:sz w:val="18"/>
                <w:szCs w:val="18"/>
                <w:lang w:val="en-GB" w:eastAsia="en-US"/>
              </w:rPr>
            </w:pPr>
            <w:r w:rsidRPr="00C501E3">
              <w:rPr>
                <w:snapToGrid w:val="0"/>
                <w:sz w:val="18"/>
                <w:szCs w:val="18"/>
                <w:lang w:val="en-GB" w:eastAsia="en-US"/>
              </w:rPr>
              <w:t>anaphylaxis</w:t>
            </w:r>
          </w:p>
        </w:tc>
        <w:tc>
          <w:tcPr>
            <w:tcW w:w="733" w:type="pct"/>
          </w:tcPr>
          <w:p w14:paraId="7C331BFB" w14:textId="77777777" w:rsidR="008F369D" w:rsidRPr="00C501E3" w:rsidRDefault="00016F29" w:rsidP="008919D7">
            <w:pPr>
              <w:rPr>
                <w:snapToGrid w:val="0"/>
                <w:sz w:val="18"/>
                <w:szCs w:val="18"/>
                <w:lang w:val="en-GB" w:eastAsia="en-US"/>
              </w:rPr>
            </w:pPr>
            <w:r w:rsidRPr="00C501E3">
              <w:rPr>
                <w:snapToGrid w:val="0"/>
                <w:sz w:val="18"/>
                <w:szCs w:val="18"/>
                <w:lang w:val="en-GB" w:eastAsia="en-US"/>
              </w:rPr>
              <w:t>tumour lysis syndrome,</w:t>
            </w:r>
          </w:p>
          <w:p w14:paraId="7C331BFC" w14:textId="77777777" w:rsidR="008F369D" w:rsidRPr="00C501E3" w:rsidRDefault="00016F29" w:rsidP="008919D7">
            <w:pPr>
              <w:rPr>
                <w:snapToGrid w:val="0"/>
                <w:sz w:val="18"/>
                <w:szCs w:val="18"/>
                <w:lang w:val="en-GB" w:eastAsia="en-US"/>
              </w:rPr>
            </w:pPr>
            <w:r w:rsidRPr="00C501E3">
              <w:rPr>
                <w:snapToGrid w:val="0"/>
                <w:sz w:val="18"/>
                <w:szCs w:val="18"/>
                <w:lang w:val="en-GB" w:eastAsia="en-US"/>
              </w:rPr>
              <w:t>cytokine release syndrome</w:t>
            </w:r>
            <w:r w:rsidRPr="00C501E3">
              <w:rPr>
                <w:snapToGrid w:val="0"/>
                <w:sz w:val="18"/>
                <w:szCs w:val="18"/>
                <w:vertAlign w:val="superscript"/>
                <w:lang w:val="en-GB" w:eastAsia="en-US"/>
              </w:rPr>
              <w:t>4</w:t>
            </w:r>
            <w:r w:rsidRPr="00C501E3">
              <w:rPr>
                <w:snapToGrid w:val="0"/>
                <w:sz w:val="18"/>
                <w:szCs w:val="18"/>
                <w:lang w:val="en-GB" w:eastAsia="en-US"/>
              </w:rPr>
              <w:t>, serum sickness</w:t>
            </w:r>
          </w:p>
        </w:tc>
        <w:tc>
          <w:tcPr>
            <w:tcW w:w="778" w:type="pct"/>
          </w:tcPr>
          <w:p w14:paraId="7C331BFD" w14:textId="77777777" w:rsidR="008F369D" w:rsidRPr="003A16C3" w:rsidRDefault="00016F29" w:rsidP="008919D7">
            <w:pPr>
              <w:rPr>
                <w:sz w:val="18"/>
                <w:szCs w:val="18"/>
                <w:lang w:val="en-GB"/>
              </w:rPr>
            </w:pPr>
            <w:r w:rsidRPr="003A16C3">
              <w:rPr>
                <w:snapToGrid w:val="0"/>
                <w:sz w:val="18"/>
                <w:szCs w:val="18"/>
                <w:lang w:val="en-GB" w:eastAsia="en-US"/>
              </w:rPr>
              <w:t>infusion</w:t>
            </w:r>
            <w:r w:rsidR="000A6DDA" w:rsidRPr="003A16C3">
              <w:rPr>
                <w:snapToGrid w:val="0"/>
                <w:sz w:val="18"/>
                <w:szCs w:val="18"/>
                <w:lang w:val="en-GB" w:eastAsia="en-US"/>
              </w:rPr>
              <w:noBreakHyphen/>
            </w:r>
            <w:r w:rsidRPr="003A16C3">
              <w:rPr>
                <w:snapToGrid w:val="0"/>
                <w:sz w:val="18"/>
                <w:szCs w:val="18"/>
                <w:lang w:val="en-GB" w:eastAsia="en-US"/>
              </w:rPr>
              <w:t>related acute reversible thrombocytopenia </w:t>
            </w:r>
            <w:r w:rsidRPr="003A16C3">
              <w:rPr>
                <w:snapToGrid w:val="0"/>
                <w:sz w:val="18"/>
                <w:szCs w:val="18"/>
                <w:vertAlign w:val="superscript"/>
                <w:lang w:val="en-GB" w:eastAsia="en-US"/>
              </w:rPr>
              <w:t>4</w:t>
            </w:r>
          </w:p>
        </w:tc>
      </w:tr>
      <w:tr w:rsidR="003A788B" w14:paraId="7C331C06" w14:textId="77777777" w:rsidTr="00E06A78">
        <w:trPr>
          <w:cantSplit/>
        </w:trPr>
        <w:tc>
          <w:tcPr>
            <w:tcW w:w="689" w:type="pct"/>
          </w:tcPr>
          <w:p w14:paraId="7C331BFF" w14:textId="77777777" w:rsidR="008F369D" w:rsidRPr="00C501E3" w:rsidRDefault="00016F29" w:rsidP="008919D7">
            <w:pPr>
              <w:rPr>
                <w:sz w:val="18"/>
                <w:szCs w:val="18"/>
                <w:lang w:val="en-GB"/>
              </w:rPr>
            </w:pPr>
            <w:r w:rsidRPr="00C501E3">
              <w:rPr>
                <w:b/>
                <w:sz w:val="18"/>
                <w:szCs w:val="18"/>
                <w:lang w:val="en-GB"/>
              </w:rPr>
              <w:t>Metabolism and nutrition disorders</w:t>
            </w:r>
          </w:p>
        </w:tc>
        <w:tc>
          <w:tcPr>
            <w:tcW w:w="735" w:type="pct"/>
          </w:tcPr>
          <w:p w14:paraId="7C331C00" w14:textId="77777777" w:rsidR="008F369D" w:rsidRPr="00C501E3" w:rsidRDefault="008F369D" w:rsidP="008919D7">
            <w:pPr>
              <w:rPr>
                <w:sz w:val="18"/>
                <w:szCs w:val="18"/>
                <w:lang w:val="en-GB"/>
              </w:rPr>
            </w:pPr>
          </w:p>
        </w:tc>
        <w:tc>
          <w:tcPr>
            <w:tcW w:w="776" w:type="pct"/>
          </w:tcPr>
          <w:p w14:paraId="7C331C01" w14:textId="77777777" w:rsidR="008F369D" w:rsidRPr="00C501E3" w:rsidRDefault="00016F29" w:rsidP="008919D7">
            <w:pPr>
              <w:rPr>
                <w:sz w:val="18"/>
                <w:szCs w:val="18"/>
                <w:lang w:val="en-GB"/>
              </w:rPr>
            </w:pPr>
            <w:r w:rsidRPr="00C501E3">
              <w:rPr>
                <w:sz w:val="18"/>
                <w:szCs w:val="18"/>
                <w:lang w:val="en-GB"/>
              </w:rPr>
              <w:t>hyperglycaemia, weight decrease, peripheral oedema, face oedema, increased LDH, hypocalcaemia</w:t>
            </w:r>
          </w:p>
        </w:tc>
        <w:tc>
          <w:tcPr>
            <w:tcW w:w="734" w:type="pct"/>
          </w:tcPr>
          <w:p w14:paraId="7C331C02" w14:textId="77777777" w:rsidR="008F369D" w:rsidRPr="00C501E3" w:rsidRDefault="008F369D" w:rsidP="008919D7">
            <w:pPr>
              <w:rPr>
                <w:sz w:val="18"/>
                <w:szCs w:val="18"/>
                <w:lang w:val="en-GB"/>
              </w:rPr>
            </w:pPr>
          </w:p>
        </w:tc>
        <w:tc>
          <w:tcPr>
            <w:tcW w:w="556" w:type="pct"/>
          </w:tcPr>
          <w:p w14:paraId="7C331C03" w14:textId="77777777" w:rsidR="008F369D" w:rsidRPr="00C501E3" w:rsidRDefault="008F369D" w:rsidP="008919D7">
            <w:pPr>
              <w:rPr>
                <w:sz w:val="18"/>
                <w:szCs w:val="18"/>
                <w:lang w:val="en-GB"/>
              </w:rPr>
            </w:pPr>
          </w:p>
        </w:tc>
        <w:tc>
          <w:tcPr>
            <w:tcW w:w="733" w:type="pct"/>
          </w:tcPr>
          <w:p w14:paraId="7C331C04" w14:textId="77777777" w:rsidR="008F369D" w:rsidRPr="00C501E3" w:rsidRDefault="008F369D" w:rsidP="008919D7">
            <w:pPr>
              <w:rPr>
                <w:sz w:val="18"/>
                <w:szCs w:val="18"/>
                <w:lang w:val="en-GB"/>
              </w:rPr>
            </w:pPr>
          </w:p>
        </w:tc>
        <w:tc>
          <w:tcPr>
            <w:tcW w:w="778" w:type="pct"/>
          </w:tcPr>
          <w:p w14:paraId="7C331C05" w14:textId="77777777" w:rsidR="008F369D" w:rsidRPr="00C501E3" w:rsidRDefault="008F369D" w:rsidP="008919D7">
            <w:pPr>
              <w:rPr>
                <w:sz w:val="18"/>
                <w:szCs w:val="18"/>
                <w:lang w:val="en-GB"/>
              </w:rPr>
            </w:pPr>
          </w:p>
        </w:tc>
      </w:tr>
      <w:tr w:rsidR="003A788B" w14:paraId="7C331C0E" w14:textId="77777777" w:rsidTr="00E06A78">
        <w:trPr>
          <w:cantSplit/>
        </w:trPr>
        <w:tc>
          <w:tcPr>
            <w:tcW w:w="689" w:type="pct"/>
          </w:tcPr>
          <w:p w14:paraId="7C331C07" w14:textId="77777777" w:rsidR="008F369D" w:rsidRPr="00C501E3" w:rsidRDefault="00016F29" w:rsidP="008919D7">
            <w:pPr>
              <w:rPr>
                <w:sz w:val="18"/>
                <w:szCs w:val="18"/>
                <w:lang w:val="en-GB"/>
              </w:rPr>
            </w:pPr>
            <w:r w:rsidRPr="00C501E3">
              <w:rPr>
                <w:b/>
                <w:sz w:val="18"/>
                <w:szCs w:val="18"/>
                <w:lang w:val="en-GB"/>
              </w:rPr>
              <w:t>Psychiatric disorders</w:t>
            </w:r>
          </w:p>
        </w:tc>
        <w:tc>
          <w:tcPr>
            <w:tcW w:w="735" w:type="pct"/>
          </w:tcPr>
          <w:p w14:paraId="7C331C08" w14:textId="77777777" w:rsidR="008F369D" w:rsidRPr="00C501E3" w:rsidRDefault="008F369D" w:rsidP="008919D7">
            <w:pPr>
              <w:rPr>
                <w:sz w:val="18"/>
                <w:szCs w:val="18"/>
                <w:lang w:val="en-GB"/>
              </w:rPr>
            </w:pPr>
          </w:p>
        </w:tc>
        <w:tc>
          <w:tcPr>
            <w:tcW w:w="776" w:type="pct"/>
          </w:tcPr>
          <w:p w14:paraId="7C331C09" w14:textId="77777777" w:rsidR="008F369D" w:rsidRPr="00C501E3" w:rsidRDefault="008F369D" w:rsidP="008919D7">
            <w:pPr>
              <w:rPr>
                <w:sz w:val="18"/>
                <w:szCs w:val="18"/>
                <w:lang w:val="en-GB"/>
              </w:rPr>
            </w:pPr>
          </w:p>
        </w:tc>
        <w:tc>
          <w:tcPr>
            <w:tcW w:w="734" w:type="pct"/>
          </w:tcPr>
          <w:p w14:paraId="7C331C0A" w14:textId="77777777" w:rsidR="008F369D" w:rsidRPr="00C501E3" w:rsidRDefault="00016F29" w:rsidP="008919D7">
            <w:pPr>
              <w:rPr>
                <w:sz w:val="18"/>
                <w:szCs w:val="18"/>
                <w:lang w:val="en-GB"/>
              </w:rPr>
            </w:pPr>
            <w:r w:rsidRPr="00C501E3">
              <w:rPr>
                <w:sz w:val="18"/>
                <w:szCs w:val="18"/>
                <w:lang w:val="en-GB"/>
              </w:rPr>
              <w:t>depression, nervousness,</w:t>
            </w:r>
          </w:p>
        </w:tc>
        <w:tc>
          <w:tcPr>
            <w:tcW w:w="556" w:type="pct"/>
          </w:tcPr>
          <w:p w14:paraId="7C331C0B" w14:textId="77777777" w:rsidR="008F369D" w:rsidRPr="00C501E3" w:rsidRDefault="008F369D" w:rsidP="008919D7">
            <w:pPr>
              <w:rPr>
                <w:sz w:val="18"/>
                <w:szCs w:val="18"/>
                <w:lang w:val="en-GB"/>
              </w:rPr>
            </w:pPr>
          </w:p>
        </w:tc>
        <w:tc>
          <w:tcPr>
            <w:tcW w:w="733" w:type="pct"/>
          </w:tcPr>
          <w:p w14:paraId="7C331C0C" w14:textId="77777777" w:rsidR="008F369D" w:rsidRPr="00C501E3" w:rsidRDefault="008F369D" w:rsidP="008919D7">
            <w:pPr>
              <w:rPr>
                <w:sz w:val="18"/>
                <w:szCs w:val="18"/>
                <w:lang w:val="en-GB"/>
              </w:rPr>
            </w:pPr>
          </w:p>
        </w:tc>
        <w:tc>
          <w:tcPr>
            <w:tcW w:w="778" w:type="pct"/>
          </w:tcPr>
          <w:p w14:paraId="7C331C0D" w14:textId="77777777" w:rsidR="008F369D" w:rsidRPr="00C501E3" w:rsidRDefault="008F369D" w:rsidP="008919D7">
            <w:pPr>
              <w:rPr>
                <w:sz w:val="18"/>
                <w:szCs w:val="18"/>
                <w:lang w:val="en-GB"/>
              </w:rPr>
            </w:pPr>
          </w:p>
        </w:tc>
      </w:tr>
      <w:tr w:rsidR="003A788B" w14:paraId="7C331C18" w14:textId="77777777" w:rsidTr="00E06A78">
        <w:trPr>
          <w:cantSplit/>
        </w:trPr>
        <w:tc>
          <w:tcPr>
            <w:tcW w:w="689" w:type="pct"/>
          </w:tcPr>
          <w:p w14:paraId="7C331C0F" w14:textId="77777777" w:rsidR="008F369D" w:rsidRPr="00C501E3" w:rsidRDefault="00016F29" w:rsidP="008919D7">
            <w:pPr>
              <w:rPr>
                <w:b/>
                <w:sz w:val="18"/>
                <w:szCs w:val="18"/>
                <w:lang w:val="en-GB"/>
              </w:rPr>
            </w:pPr>
            <w:r w:rsidRPr="00C501E3">
              <w:rPr>
                <w:b/>
                <w:sz w:val="18"/>
                <w:szCs w:val="18"/>
                <w:lang w:val="en-GB"/>
              </w:rPr>
              <w:t>Nervous system disorders</w:t>
            </w:r>
          </w:p>
        </w:tc>
        <w:tc>
          <w:tcPr>
            <w:tcW w:w="735" w:type="pct"/>
          </w:tcPr>
          <w:p w14:paraId="7C331C10" w14:textId="77777777" w:rsidR="008F369D" w:rsidRPr="00C501E3" w:rsidRDefault="008F369D" w:rsidP="008919D7">
            <w:pPr>
              <w:rPr>
                <w:sz w:val="18"/>
                <w:szCs w:val="18"/>
                <w:lang w:val="en-GB"/>
              </w:rPr>
            </w:pPr>
          </w:p>
        </w:tc>
        <w:tc>
          <w:tcPr>
            <w:tcW w:w="776" w:type="pct"/>
          </w:tcPr>
          <w:p w14:paraId="7C331C11" w14:textId="77777777" w:rsidR="008F369D" w:rsidRPr="00C501E3" w:rsidRDefault="00016F29" w:rsidP="008919D7">
            <w:pPr>
              <w:rPr>
                <w:sz w:val="18"/>
                <w:szCs w:val="18"/>
                <w:lang w:val="en-GB"/>
              </w:rPr>
            </w:pPr>
            <w:r w:rsidRPr="00C501E3">
              <w:rPr>
                <w:sz w:val="18"/>
                <w:szCs w:val="18"/>
                <w:lang w:val="en-GB"/>
              </w:rPr>
              <w:t>paraesthesia, hypoaesthesia, agitation, insomnia, vasodilatation, dizziness, anxiety</w:t>
            </w:r>
          </w:p>
        </w:tc>
        <w:tc>
          <w:tcPr>
            <w:tcW w:w="734" w:type="pct"/>
          </w:tcPr>
          <w:p w14:paraId="7C331C12" w14:textId="77777777" w:rsidR="008F369D" w:rsidRPr="00C501E3" w:rsidRDefault="00016F29" w:rsidP="008919D7">
            <w:pPr>
              <w:rPr>
                <w:sz w:val="18"/>
                <w:szCs w:val="18"/>
                <w:lang w:val="en-GB"/>
              </w:rPr>
            </w:pPr>
            <w:r w:rsidRPr="00C501E3">
              <w:rPr>
                <w:sz w:val="18"/>
                <w:szCs w:val="18"/>
                <w:lang w:val="en-GB"/>
              </w:rPr>
              <w:t>dysgeusia</w:t>
            </w:r>
          </w:p>
        </w:tc>
        <w:tc>
          <w:tcPr>
            <w:tcW w:w="556" w:type="pct"/>
          </w:tcPr>
          <w:p w14:paraId="7C331C13" w14:textId="77777777" w:rsidR="008F369D" w:rsidRPr="00C501E3" w:rsidRDefault="008F369D" w:rsidP="008919D7">
            <w:pPr>
              <w:rPr>
                <w:snapToGrid w:val="0"/>
                <w:sz w:val="18"/>
                <w:szCs w:val="18"/>
                <w:lang w:val="en-GB" w:eastAsia="en-US"/>
              </w:rPr>
            </w:pPr>
          </w:p>
        </w:tc>
        <w:tc>
          <w:tcPr>
            <w:tcW w:w="733" w:type="pct"/>
          </w:tcPr>
          <w:p w14:paraId="7C331C14" w14:textId="77777777" w:rsidR="008F369D" w:rsidRPr="00C501E3" w:rsidRDefault="00016F29" w:rsidP="008919D7">
            <w:pPr>
              <w:rPr>
                <w:snapToGrid w:val="0"/>
                <w:sz w:val="18"/>
                <w:szCs w:val="18"/>
                <w:lang w:val="en-GB" w:eastAsia="en-US"/>
              </w:rPr>
            </w:pPr>
            <w:r w:rsidRPr="00C501E3">
              <w:rPr>
                <w:snapToGrid w:val="0"/>
                <w:sz w:val="18"/>
                <w:szCs w:val="18"/>
                <w:lang w:val="en-GB" w:eastAsia="en-US"/>
              </w:rPr>
              <w:t>peripheral neuropathy,</w:t>
            </w:r>
          </w:p>
          <w:p w14:paraId="7C331C15" w14:textId="77777777" w:rsidR="008F369D" w:rsidRPr="00C501E3" w:rsidRDefault="00016F29" w:rsidP="008919D7">
            <w:pPr>
              <w:rPr>
                <w:snapToGrid w:val="0"/>
                <w:sz w:val="18"/>
                <w:szCs w:val="18"/>
                <w:lang w:val="en-GB" w:eastAsia="en-US"/>
              </w:rPr>
            </w:pPr>
            <w:r w:rsidRPr="00C501E3">
              <w:rPr>
                <w:snapToGrid w:val="0"/>
                <w:sz w:val="18"/>
                <w:szCs w:val="18"/>
                <w:lang w:val="en-GB" w:eastAsia="en-US"/>
              </w:rPr>
              <w:t>facial nerve palsy</w:t>
            </w:r>
            <w:r w:rsidRPr="00C501E3">
              <w:rPr>
                <w:snapToGrid w:val="0"/>
                <w:sz w:val="18"/>
                <w:szCs w:val="18"/>
                <w:vertAlign w:val="superscript"/>
                <w:lang w:val="en-GB" w:eastAsia="en-US"/>
              </w:rPr>
              <w:t>5</w:t>
            </w:r>
          </w:p>
        </w:tc>
        <w:tc>
          <w:tcPr>
            <w:tcW w:w="778" w:type="pct"/>
          </w:tcPr>
          <w:p w14:paraId="7C331C16" w14:textId="77777777" w:rsidR="008F369D" w:rsidRPr="00C501E3" w:rsidRDefault="00016F29" w:rsidP="008919D7">
            <w:pPr>
              <w:rPr>
                <w:snapToGrid w:val="0"/>
                <w:sz w:val="18"/>
                <w:szCs w:val="18"/>
                <w:lang w:val="en-GB" w:eastAsia="en-US"/>
              </w:rPr>
            </w:pPr>
            <w:r w:rsidRPr="00C501E3">
              <w:rPr>
                <w:snapToGrid w:val="0"/>
                <w:sz w:val="18"/>
                <w:szCs w:val="18"/>
                <w:lang w:val="en-GB" w:eastAsia="en-US"/>
              </w:rPr>
              <w:t>cranial neuropathy,</w:t>
            </w:r>
          </w:p>
          <w:p w14:paraId="7C331C17" w14:textId="77777777" w:rsidR="008F369D" w:rsidRPr="00C501E3" w:rsidRDefault="00016F29" w:rsidP="008919D7">
            <w:pPr>
              <w:rPr>
                <w:sz w:val="18"/>
                <w:szCs w:val="18"/>
                <w:lang w:val="en-GB"/>
              </w:rPr>
            </w:pPr>
            <w:r w:rsidRPr="00C501E3">
              <w:rPr>
                <w:snapToGrid w:val="0"/>
                <w:sz w:val="18"/>
                <w:szCs w:val="18"/>
                <w:lang w:val="en-GB" w:eastAsia="en-US"/>
              </w:rPr>
              <w:t>loss of other senses</w:t>
            </w:r>
            <w:r w:rsidRPr="00C501E3">
              <w:rPr>
                <w:snapToGrid w:val="0"/>
                <w:sz w:val="18"/>
                <w:szCs w:val="18"/>
                <w:vertAlign w:val="superscript"/>
                <w:lang w:val="en-GB" w:eastAsia="en-US"/>
              </w:rPr>
              <w:t>5</w:t>
            </w:r>
          </w:p>
        </w:tc>
      </w:tr>
      <w:tr w:rsidR="003A788B" w14:paraId="7C331C20" w14:textId="77777777" w:rsidTr="00E06A78">
        <w:trPr>
          <w:cantSplit/>
        </w:trPr>
        <w:tc>
          <w:tcPr>
            <w:tcW w:w="689" w:type="pct"/>
          </w:tcPr>
          <w:p w14:paraId="7C331C19" w14:textId="77777777" w:rsidR="008F369D" w:rsidRPr="00C501E3" w:rsidRDefault="00016F29" w:rsidP="008919D7">
            <w:pPr>
              <w:rPr>
                <w:sz w:val="18"/>
                <w:szCs w:val="18"/>
                <w:lang w:val="en-GB"/>
              </w:rPr>
            </w:pPr>
            <w:r w:rsidRPr="00C501E3">
              <w:rPr>
                <w:b/>
                <w:sz w:val="18"/>
                <w:szCs w:val="18"/>
                <w:lang w:val="en-GB"/>
              </w:rPr>
              <w:t>Eye disorders</w:t>
            </w:r>
          </w:p>
        </w:tc>
        <w:tc>
          <w:tcPr>
            <w:tcW w:w="735" w:type="pct"/>
          </w:tcPr>
          <w:p w14:paraId="7C331C1A" w14:textId="77777777" w:rsidR="008F369D" w:rsidRPr="00C501E3" w:rsidRDefault="008F369D" w:rsidP="008919D7">
            <w:pPr>
              <w:rPr>
                <w:sz w:val="18"/>
                <w:szCs w:val="18"/>
                <w:lang w:val="en-GB"/>
              </w:rPr>
            </w:pPr>
          </w:p>
        </w:tc>
        <w:tc>
          <w:tcPr>
            <w:tcW w:w="776" w:type="pct"/>
          </w:tcPr>
          <w:p w14:paraId="7C331C1B" w14:textId="77777777" w:rsidR="008F369D" w:rsidRPr="00C501E3" w:rsidRDefault="00016F29" w:rsidP="008919D7">
            <w:pPr>
              <w:rPr>
                <w:sz w:val="18"/>
                <w:szCs w:val="18"/>
                <w:lang w:val="en-GB"/>
              </w:rPr>
            </w:pPr>
            <w:r w:rsidRPr="00C501E3">
              <w:rPr>
                <w:sz w:val="18"/>
                <w:szCs w:val="18"/>
                <w:lang w:val="en-GB"/>
              </w:rPr>
              <w:t>lacrimation disorder, conjunctivitis</w:t>
            </w:r>
          </w:p>
        </w:tc>
        <w:tc>
          <w:tcPr>
            <w:tcW w:w="734" w:type="pct"/>
          </w:tcPr>
          <w:p w14:paraId="7C331C1C" w14:textId="77777777" w:rsidR="008F369D" w:rsidRPr="00C501E3" w:rsidRDefault="008F369D" w:rsidP="008919D7">
            <w:pPr>
              <w:rPr>
                <w:sz w:val="18"/>
                <w:szCs w:val="18"/>
                <w:lang w:val="en-GB"/>
              </w:rPr>
            </w:pPr>
          </w:p>
        </w:tc>
        <w:tc>
          <w:tcPr>
            <w:tcW w:w="556" w:type="pct"/>
          </w:tcPr>
          <w:p w14:paraId="7C331C1D" w14:textId="77777777" w:rsidR="008F369D" w:rsidRPr="00C501E3" w:rsidRDefault="008F369D" w:rsidP="008919D7">
            <w:pPr>
              <w:rPr>
                <w:snapToGrid w:val="0"/>
                <w:sz w:val="18"/>
                <w:szCs w:val="18"/>
                <w:lang w:val="en-GB" w:eastAsia="en-US"/>
              </w:rPr>
            </w:pPr>
          </w:p>
        </w:tc>
        <w:tc>
          <w:tcPr>
            <w:tcW w:w="733" w:type="pct"/>
          </w:tcPr>
          <w:p w14:paraId="7C331C1E" w14:textId="77777777" w:rsidR="008F369D" w:rsidRPr="00C501E3" w:rsidRDefault="00016F29" w:rsidP="008919D7">
            <w:pPr>
              <w:rPr>
                <w:snapToGrid w:val="0"/>
                <w:sz w:val="18"/>
                <w:szCs w:val="18"/>
                <w:lang w:val="en-GB" w:eastAsia="en-US"/>
              </w:rPr>
            </w:pPr>
            <w:r w:rsidRPr="00C501E3">
              <w:rPr>
                <w:snapToGrid w:val="0"/>
                <w:sz w:val="18"/>
                <w:szCs w:val="18"/>
                <w:lang w:val="en-GB" w:eastAsia="en-US"/>
              </w:rPr>
              <w:t>severe vision loss</w:t>
            </w:r>
            <w:r w:rsidRPr="00C501E3">
              <w:rPr>
                <w:snapToGrid w:val="0"/>
                <w:sz w:val="18"/>
                <w:szCs w:val="18"/>
                <w:vertAlign w:val="superscript"/>
                <w:lang w:val="en-GB" w:eastAsia="en-US"/>
              </w:rPr>
              <w:t>5</w:t>
            </w:r>
          </w:p>
        </w:tc>
        <w:tc>
          <w:tcPr>
            <w:tcW w:w="778" w:type="pct"/>
          </w:tcPr>
          <w:p w14:paraId="7C331C1F" w14:textId="77777777" w:rsidR="008F369D" w:rsidRPr="00C501E3" w:rsidRDefault="008F369D" w:rsidP="008919D7">
            <w:pPr>
              <w:rPr>
                <w:sz w:val="18"/>
                <w:szCs w:val="18"/>
                <w:lang w:val="en-GB"/>
              </w:rPr>
            </w:pPr>
          </w:p>
        </w:tc>
      </w:tr>
      <w:tr w:rsidR="003A788B" w14:paraId="7C331C28" w14:textId="77777777" w:rsidTr="00E06A78">
        <w:trPr>
          <w:cantSplit/>
        </w:trPr>
        <w:tc>
          <w:tcPr>
            <w:tcW w:w="689" w:type="pct"/>
          </w:tcPr>
          <w:p w14:paraId="7C331C21" w14:textId="77777777" w:rsidR="008F369D" w:rsidRPr="00C501E3" w:rsidRDefault="00016F29" w:rsidP="008919D7">
            <w:pPr>
              <w:rPr>
                <w:b/>
                <w:sz w:val="18"/>
                <w:szCs w:val="18"/>
                <w:lang w:val="en-GB"/>
              </w:rPr>
            </w:pPr>
            <w:r w:rsidRPr="00C501E3">
              <w:rPr>
                <w:b/>
                <w:sz w:val="18"/>
                <w:szCs w:val="18"/>
                <w:lang w:val="en-GB"/>
              </w:rPr>
              <w:t>Ear and labyrinth disorders</w:t>
            </w:r>
          </w:p>
        </w:tc>
        <w:tc>
          <w:tcPr>
            <w:tcW w:w="735" w:type="pct"/>
          </w:tcPr>
          <w:p w14:paraId="7C331C22" w14:textId="77777777" w:rsidR="008F369D" w:rsidRPr="00C501E3" w:rsidRDefault="008F369D" w:rsidP="008919D7">
            <w:pPr>
              <w:rPr>
                <w:sz w:val="18"/>
                <w:szCs w:val="18"/>
                <w:lang w:val="en-GB"/>
              </w:rPr>
            </w:pPr>
          </w:p>
        </w:tc>
        <w:tc>
          <w:tcPr>
            <w:tcW w:w="776" w:type="pct"/>
          </w:tcPr>
          <w:p w14:paraId="7C331C23" w14:textId="77777777" w:rsidR="008F369D" w:rsidRPr="00C501E3" w:rsidRDefault="00016F29" w:rsidP="008919D7">
            <w:pPr>
              <w:rPr>
                <w:sz w:val="18"/>
                <w:szCs w:val="18"/>
                <w:lang w:val="en-GB"/>
              </w:rPr>
            </w:pPr>
            <w:r w:rsidRPr="00C501E3">
              <w:rPr>
                <w:sz w:val="18"/>
                <w:szCs w:val="18"/>
                <w:lang w:val="en-GB"/>
              </w:rPr>
              <w:t>tinnitus, ear pain</w:t>
            </w:r>
          </w:p>
        </w:tc>
        <w:tc>
          <w:tcPr>
            <w:tcW w:w="734" w:type="pct"/>
          </w:tcPr>
          <w:p w14:paraId="7C331C24" w14:textId="77777777" w:rsidR="008F369D" w:rsidRPr="00C501E3" w:rsidRDefault="008F369D" w:rsidP="008919D7">
            <w:pPr>
              <w:rPr>
                <w:sz w:val="18"/>
                <w:szCs w:val="18"/>
                <w:lang w:val="en-GB"/>
              </w:rPr>
            </w:pPr>
          </w:p>
        </w:tc>
        <w:tc>
          <w:tcPr>
            <w:tcW w:w="556" w:type="pct"/>
          </w:tcPr>
          <w:p w14:paraId="7C331C25" w14:textId="77777777" w:rsidR="008F369D" w:rsidRPr="00C501E3" w:rsidRDefault="008F369D" w:rsidP="008919D7">
            <w:pPr>
              <w:rPr>
                <w:snapToGrid w:val="0"/>
                <w:sz w:val="18"/>
                <w:szCs w:val="18"/>
                <w:lang w:val="en-GB" w:eastAsia="en-US"/>
              </w:rPr>
            </w:pPr>
          </w:p>
        </w:tc>
        <w:tc>
          <w:tcPr>
            <w:tcW w:w="733" w:type="pct"/>
          </w:tcPr>
          <w:p w14:paraId="7C331C26" w14:textId="77777777" w:rsidR="008F369D" w:rsidRPr="00C501E3" w:rsidRDefault="008F369D" w:rsidP="008919D7">
            <w:pPr>
              <w:rPr>
                <w:snapToGrid w:val="0"/>
                <w:sz w:val="18"/>
                <w:szCs w:val="18"/>
                <w:lang w:val="en-GB" w:eastAsia="en-US"/>
              </w:rPr>
            </w:pPr>
          </w:p>
        </w:tc>
        <w:tc>
          <w:tcPr>
            <w:tcW w:w="778" w:type="pct"/>
          </w:tcPr>
          <w:p w14:paraId="7C331C27" w14:textId="77777777" w:rsidR="008F369D" w:rsidRPr="00C501E3" w:rsidRDefault="00016F29" w:rsidP="008919D7">
            <w:pPr>
              <w:rPr>
                <w:sz w:val="18"/>
                <w:szCs w:val="18"/>
                <w:lang w:val="en-GB"/>
              </w:rPr>
            </w:pPr>
            <w:r w:rsidRPr="00C501E3">
              <w:rPr>
                <w:snapToGrid w:val="0"/>
                <w:sz w:val="18"/>
                <w:szCs w:val="18"/>
                <w:lang w:val="en-GB" w:eastAsia="en-US"/>
              </w:rPr>
              <w:t>hearing loss</w:t>
            </w:r>
            <w:r w:rsidRPr="00C501E3">
              <w:rPr>
                <w:snapToGrid w:val="0"/>
                <w:sz w:val="18"/>
                <w:szCs w:val="18"/>
                <w:vertAlign w:val="superscript"/>
                <w:lang w:val="en-GB" w:eastAsia="en-US"/>
              </w:rPr>
              <w:t>5</w:t>
            </w:r>
          </w:p>
        </w:tc>
      </w:tr>
      <w:tr w:rsidR="003A788B" w14:paraId="7C331C30" w14:textId="77777777" w:rsidTr="00E06A78">
        <w:trPr>
          <w:cantSplit/>
        </w:trPr>
        <w:tc>
          <w:tcPr>
            <w:tcW w:w="689" w:type="pct"/>
          </w:tcPr>
          <w:p w14:paraId="7C331C29" w14:textId="77777777" w:rsidR="008F369D" w:rsidRPr="00C501E3" w:rsidRDefault="00016F29" w:rsidP="008919D7">
            <w:pPr>
              <w:rPr>
                <w:b/>
                <w:sz w:val="18"/>
                <w:szCs w:val="18"/>
                <w:lang w:val="en-GB"/>
              </w:rPr>
            </w:pPr>
            <w:r w:rsidRPr="00C501E3">
              <w:rPr>
                <w:b/>
                <w:sz w:val="18"/>
                <w:szCs w:val="18"/>
                <w:lang w:val="en-GB"/>
              </w:rPr>
              <w:t>Cardiac disorders</w:t>
            </w:r>
          </w:p>
        </w:tc>
        <w:tc>
          <w:tcPr>
            <w:tcW w:w="735" w:type="pct"/>
          </w:tcPr>
          <w:p w14:paraId="7C331C2A" w14:textId="77777777" w:rsidR="008F369D" w:rsidRPr="00C501E3" w:rsidRDefault="008F369D" w:rsidP="008919D7">
            <w:pPr>
              <w:rPr>
                <w:sz w:val="18"/>
                <w:szCs w:val="18"/>
                <w:lang w:val="en-GB"/>
              </w:rPr>
            </w:pPr>
          </w:p>
        </w:tc>
        <w:tc>
          <w:tcPr>
            <w:tcW w:w="776" w:type="pct"/>
          </w:tcPr>
          <w:p w14:paraId="7C331C2B" w14:textId="77777777" w:rsidR="008F369D" w:rsidRPr="00C501E3" w:rsidRDefault="00016F29" w:rsidP="008919D7">
            <w:pPr>
              <w:rPr>
                <w:sz w:val="18"/>
                <w:szCs w:val="18"/>
                <w:lang w:val="en-GB"/>
              </w:rPr>
            </w:pPr>
            <w:r w:rsidRPr="00C501E3">
              <w:rPr>
                <w:sz w:val="18"/>
                <w:szCs w:val="18"/>
                <w:vertAlign w:val="superscript"/>
                <w:lang w:val="en-GB"/>
              </w:rPr>
              <w:t>+</w:t>
            </w:r>
            <w:r w:rsidRPr="00C501E3">
              <w:rPr>
                <w:sz w:val="18"/>
                <w:szCs w:val="18"/>
                <w:lang w:val="en-GB"/>
              </w:rPr>
              <w:t>myocardial infarction</w:t>
            </w:r>
            <w:r w:rsidRPr="00C501E3">
              <w:rPr>
                <w:snapToGrid w:val="0"/>
                <w:sz w:val="18"/>
                <w:szCs w:val="18"/>
                <w:vertAlign w:val="superscript"/>
                <w:lang w:val="en-GB" w:eastAsia="en-US"/>
              </w:rPr>
              <w:t>4 and 6</w:t>
            </w:r>
            <w:r w:rsidRPr="00C501E3">
              <w:rPr>
                <w:sz w:val="18"/>
                <w:szCs w:val="18"/>
                <w:lang w:val="en-GB"/>
              </w:rPr>
              <w:t xml:space="preserve">, arrhythmia, </w:t>
            </w:r>
            <w:r w:rsidRPr="00C501E3">
              <w:rPr>
                <w:sz w:val="18"/>
                <w:szCs w:val="18"/>
                <w:vertAlign w:val="superscript"/>
                <w:lang w:val="en-GB"/>
              </w:rPr>
              <w:t>+</w:t>
            </w:r>
            <w:r w:rsidRPr="00C501E3">
              <w:rPr>
                <w:sz w:val="18"/>
                <w:szCs w:val="18"/>
                <w:lang w:val="en-GB"/>
              </w:rPr>
              <w:t xml:space="preserve">atrial fibrillation, tachycardia, </w:t>
            </w:r>
            <w:r w:rsidRPr="00C501E3">
              <w:rPr>
                <w:sz w:val="18"/>
                <w:szCs w:val="18"/>
                <w:vertAlign w:val="superscript"/>
                <w:lang w:val="en-GB"/>
              </w:rPr>
              <w:t>+</w:t>
            </w:r>
            <w:r w:rsidRPr="00C501E3">
              <w:rPr>
                <w:sz w:val="18"/>
                <w:szCs w:val="18"/>
                <w:lang w:val="en-GB"/>
              </w:rPr>
              <w:t>cardiac disorder</w:t>
            </w:r>
          </w:p>
        </w:tc>
        <w:tc>
          <w:tcPr>
            <w:tcW w:w="734" w:type="pct"/>
          </w:tcPr>
          <w:p w14:paraId="7C331C2C" w14:textId="77777777" w:rsidR="008F369D" w:rsidRPr="00C501E3" w:rsidRDefault="00016F29" w:rsidP="008919D7">
            <w:pPr>
              <w:rPr>
                <w:sz w:val="18"/>
                <w:szCs w:val="18"/>
                <w:lang w:val="en-GB"/>
              </w:rPr>
            </w:pPr>
            <w:r w:rsidRPr="00C501E3">
              <w:rPr>
                <w:sz w:val="18"/>
                <w:szCs w:val="18"/>
                <w:vertAlign w:val="superscript"/>
                <w:lang w:val="en-GB"/>
              </w:rPr>
              <w:t>+</w:t>
            </w:r>
            <w:r w:rsidRPr="00C501E3">
              <w:rPr>
                <w:sz w:val="18"/>
                <w:szCs w:val="18"/>
                <w:lang w:val="en-GB"/>
              </w:rPr>
              <w:t xml:space="preserve">left ventricular failure, </w:t>
            </w:r>
            <w:r w:rsidRPr="00C501E3">
              <w:rPr>
                <w:sz w:val="18"/>
                <w:szCs w:val="18"/>
                <w:vertAlign w:val="superscript"/>
                <w:lang w:val="en-GB"/>
              </w:rPr>
              <w:t>+</w:t>
            </w:r>
            <w:r w:rsidRPr="00C501E3">
              <w:rPr>
                <w:sz w:val="18"/>
                <w:szCs w:val="18"/>
                <w:lang w:val="en-GB"/>
              </w:rPr>
              <w:t xml:space="preserve">supraventricular tachycardia,  </w:t>
            </w:r>
            <w:r w:rsidRPr="00C501E3">
              <w:rPr>
                <w:sz w:val="18"/>
                <w:szCs w:val="18"/>
                <w:vertAlign w:val="superscript"/>
                <w:lang w:val="en-GB"/>
              </w:rPr>
              <w:t>+</w:t>
            </w:r>
            <w:r w:rsidRPr="00C501E3">
              <w:rPr>
                <w:sz w:val="18"/>
                <w:szCs w:val="18"/>
                <w:lang w:val="en-GB"/>
              </w:rPr>
              <w:t xml:space="preserve">ventricular tachycardia,  </w:t>
            </w:r>
            <w:r w:rsidRPr="00C501E3">
              <w:rPr>
                <w:sz w:val="18"/>
                <w:szCs w:val="18"/>
                <w:vertAlign w:val="superscript"/>
                <w:lang w:val="en-GB"/>
              </w:rPr>
              <w:t>+</w:t>
            </w:r>
            <w:r w:rsidRPr="00C501E3">
              <w:rPr>
                <w:sz w:val="18"/>
                <w:szCs w:val="18"/>
                <w:lang w:val="en-GB"/>
              </w:rPr>
              <w:t xml:space="preserve">angina,  </w:t>
            </w:r>
            <w:r w:rsidRPr="00C501E3">
              <w:rPr>
                <w:sz w:val="18"/>
                <w:szCs w:val="18"/>
                <w:vertAlign w:val="superscript"/>
                <w:lang w:val="en-GB"/>
              </w:rPr>
              <w:t>+</w:t>
            </w:r>
            <w:r w:rsidRPr="00C501E3">
              <w:rPr>
                <w:sz w:val="18"/>
                <w:szCs w:val="18"/>
                <w:lang w:val="en-GB"/>
              </w:rPr>
              <w:t>myocardial ischaemia, bradycardia</w:t>
            </w:r>
          </w:p>
        </w:tc>
        <w:tc>
          <w:tcPr>
            <w:tcW w:w="556" w:type="pct"/>
          </w:tcPr>
          <w:p w14:paraId="7C331C2D" w14:textId="77777777" w:rsidR="008F369D" w:rsidRPr="00C501E3" w:rsidRDefault="00016F29" w:rsidP="008919D7">
            <w:pPr>
              <w:rPr>
                <w:sz w:val="18"/>
                <w:szCs w:val="18"/>
                <w:lang w:val="en-GB"/>
              </w:rPr>
            </w:pPr>
            <w:r w:rsidRPr="00C501E3">
              <w:rPr>
                <w:sz w:val="18"/>
                <w:szCs w:val="18"/>
                <w:lang w:val="en-GB"/>
              </w:rPr>
              <w:t xml:space="preserve">severe cardiac disorders </w:t>
            </w:r>
            <w:r w:rsidRPr="00C501E3">
              <w:rPr>
                <w:snapToGrid w:val="0"/>
                <w:sz w:val="18"/>
                <w:szCs w:val="18"/>
                <w:vertAlign w:val="superscript"/>
                <w:lang w:val="en-GB" w:eastAsia="en-US"/>
              </w:rPr>
              <w:t>4 and 6</w:t>
            </w:r>
          </w:p>
        </w:tc>
        <w:tc>
          <w:tcPr>
            <w:tcW w:w="733" w:type="pct"/>
          </w:tcPr>
          <w:p w14:paraId="7C331C2E" w14:textId="77777777" w:rsidR="008F369D" w:rsidRPr="00C501E3" w:rsidRDefault="00016F29" w:rsidP="008919D7">
            <w:pPr>
              <w:rPr>
                <w:sz w:val="18"/>
                <w:szCs w:val="18"/>
                <w:lang w:val="en-GB"/>
              </w:rPr>
            </w:pPr>
            <w:r w:rsidRPr="00C501E3">
              <w:rPr>
                <w:sz w:val="18"/>
                <w:szCs w:val="18"/>
                <w:lang w:val="en-GB"/>
              </w:rPr>
              <w:t>heart failure</w:t>
            </w:r>
            <w:r w:rsidRPr="00C501E3">
              <w:rPr>
                <w:snapToGrid w:val="0"/>
                <w:sz w:val="18"/>
                <w:szCs w:val="18"/>
                <w:vertAlign w:val="superscript"/>
                <w:lang w:val="en-GB" w:eastAsia="en-US"/>
              </w:rPr>
              <w:t>4 and 6</w:t>
            </w:r>
          </w:p>
        </w:tc>
        <w:tc>
          <w:tcPr>
            <w:tcW w:w="778" w:type="pct"/>
          </w:tcPr>
          <w:p w14:paraId="7C331C2F" w14:textId="77777777" w:rsidR="008F369D" w:rsidRPr="00C501E3" w:rsidRDefault="008F369D" w:rsidP="008919D7">
            <w:pPr>
              <w:rPr>
                <w:sz w:val="18"/>
                <w:szCs w:val="18"/>
                <w:lang w:val="en-GB"/>
              </w:rPr>
            </w:pPr>
          </w:p>
        </w:tc>
      </w:tr>
      <w:tr w:rsidR="003A788B" w14:paraId="7C331C39" w14:textId="77777777" w:rsidTr="00E06A78">
        <w:trPr>
          <w:cantSplit/>
        </w:trPr>
        <w:tc>
          <w:tcPr>
            <w:tcW w:w="689" w:type="pct"/>
          </w:tcPr>
          <w:p w14:paraId="7C331C31" w14:textId="77777777" w:rsidR="008F369D" w:rsidRPr="00C501E3" w:rsidRDefault="00016F29" w:rsidP="008919D7">
            <w:pPr>
              <w:rPr>
                <w:b/>
                <w:sz w:val="18"/>
                <w:szCs w:val="18"/>
                <w:lang w:val="en-GB"/>
              </w:rPr>
            </w:pPr>
            <w:r w:rsidRPr="00C501E3">
              <w:rPr>
                <w:b/>
                <w:sz w:val="18"/>
                <w:szCs w:val="18"/>
                <w:lang w:val="en-GB"/>
              </w:rPr>
              <w:t>Vascular disorders</w:t>
            </w:r>
          </w:p>
        </w:tc>
        <w:tc>
          <w:tcPr>
            <w:tcW w:w="735" w:type="pct"/>
          </w:tcPr>
          <w:p w14:paraId="7C331C32" w14:textId="77777777" w:rsidR="008F369D" w:rsidRPr="00C501E3" w:rsidRDefault="008F369D" w:rsidP="008919D7">
            <w:pPr>
              <w:rPr>
                <w:sz w:val="18"/>
                <w:szCs w:val="18"/>
                <w:lang w:val="en-GB"/>
              </w:rPr>
            </w:pPr>
          </w:p>
        </w:tc>
        <w:tc>
          <w:tcPr>
            <w:tcW w:w="776" w:type="pct"/>
          </w:tcPr>
          <w:p w14:paraId="7C331C33" w14:textId="77777777" w:rsidR="008F369D" w:rsidRPr="00C501E3" w:rsidRDefault="00016F29" w:rsidP="008919D7">
            <w:pPr>
              <w:keepNext/>
              <w:rPr>
                <w:sz w:val="18"/>
                <w:szCs w:val="18"/>
                <w:lang w:val="en-GB"/>
              </w:rPr>
            </w:pPr>
            <w:r w:rsidRPr="00C501E3">
              <w:rPr>
                <w:sz w:val="18"/>
                <w:szCs w:val="18"/>
                <w:lang w:val="en-GB"/>
              </w:rPr>
              <w:t>hypertension, orthostatic hypotension, hypotension</w:t>
            </w:r>
            <w:r w:rsidRPr="00C501E3">
              <w:rPr>
                <w:sz w:val="18"/>
                <w:szCs w:val="18"/>
                <w:vertAlign w:val="superscript"/>
                <w:lang w:val="en-GB"/>
              </w:rPr>
              <w:t xml:space="preserve"> </w:t>
            </w:r>
          </w:p>
        </w:tc>
        <w:tc>
          <w:tcPr>
            <w:tcW w:w="734" w:type="pct"/>
          </w:tcPr>
          <w:p w14:paraId="7C331C34" w14:textId="77777777" w:rsidR="008F369D" w:rsidRPr="00C501E3" w:rsidRDefault="008F369D" w:rsidP="008919D7">
            <w:pPr>
              <w:rPr>
                <w:sz w:val="18"/>
                <w:szCs w:val="18"/>
                <w:lang w:val="en-GB"/>
              </w:rPr>
            </w:pPr>
          </w:p>
        </w:tc>
        <w:tc>
          <w:tcPr>
            <w:tcW w:w="556" w:type="pct"/>
          </w:tcPr>
          <w:p w14:paraId="7C331C35" w14:textId="77777777" w:rsidR="008F369D" w:rsidRPr="00C501E3" w:rsidRDefault="008F369D" w:rsidP="008919D7">
            <w:pPr>
              <w:rPr>
                <w:snapToGrid w:val="0"/>
                <w:sz w:val="18"/>
                <w:szCs w:val="18"/>
                <w:lang w:val="en-GB" w:eastAsia="en-US"/>
              </w:rPr>
            </w:pPr>
          </w:p>
        </w:tc>
        <w:tc>
          <w:tcPr>
            <w:tcW w:w="733" w:type="pct"/>
          </w:tcPr>
          <w:p w14:paraId="7C331C36" w14:textId="77777777" w:rsidR="008F369D" w:rsidRPr="00C501E3" w:rsidRDefault="00016F29" w:rsidP="008919D7">
            <w:pPr>
              <w:rPr>
                <w:snapToGrid w:val="0"/>
                <w:sz w:val="18"/>
                <w:szCs w:val="18"/>
                <w:lang w:val="en-GB" w:eastAsia="en-US"/>
              </w:rPr>
            </w:pPr>
            <w:r w:rsidRPr="00C501E3">
              <w:rPr>
                <w:snapToGrid w:val="0"/>
                <w:sz w:val="18"/>
                <w:szCs w:val="18"/>
                <w:lang w:val="en-GB" w:eastAsia="en-US"/>
              </w:rPr>
              <w:t>vasculitis (predominately cutaneous),</w:t>
            </w:r>
          </w:p>
          <w:p w14:paraId="7C331C37" w14:textId="77777777" w:rsidR="008F369D" w:rsidRPr="00C501E3" w:rsidRDefault="00016F29" w:rsidP="008919D7">
            <w:pPr>
              <w:rPr>
                <w:snapToGrid w:val="0"/>
                <w:sz w:val="18"/>
                <w:szCs w:val="18"/>
                <w:lang w:val="en-GB" w:eastAsia="en-US"/>
              </w:rPr>
            </w:pPr>
            <w:r w:rsidRPr="00C501E3">
              <w:rPr>
                <w:snapToGrid w:val="0"/>
                <w:sz w:val="18"/>
                <w:szCs w:val="18"/>
                <w:lang w:val="en-GB" w:eastAsia="en-US"/>
              </w:rPr>
              <w:t>leukocytoclastic vasculitis</w:t>
            </w:r>
          </w:p>
        </w:tc>
        <w:tc>
          <w:tcPr>
            <w:tcW w:w="778" w:type="pct"/>
          </w:tcPr>
          <w:p w14:paraId="7C331C38" w14:textId="77777777" w:rsidR="008F369D" w:rsidRPr="00C501E3" w:rsidRDefault="008F369D" w:rsidP="008919D7">
            <w:pPr>
              <w:rPr>
                <w:sz w:val="18"/>
                <w:szCs w:val="18"/>
                <w:lang w:val="en-GB"/>
              </w:rPr>
            </w:pPr>
          </w:p>
        </w:tc>
      </w:tr>
      <w:tr w:rsidR="003A788B" w14:paraId="7C331C42" w14:textId="77777777" w:rsidTr="00E06A78">
        <w:trPr>
          <w:cantSplit/>
        </w:trPr>
        <w:tc>
          <w:tcPr>
            <w:tcW w:w="689" w:type="pct"/>
          </w:tcPr>
          <w:p w14:paraId="7C331C3A" w14:textId="77777777" w:rsidR="008F369D" w:rsidRPr="00C501E3" w:rsidRDefault="00016F29" w:rsidP="008919D7">
            <w:pPr>
              <w:rPr>
                <w:b/>
                <w:sz w:val="18"/>
                <w:szCs w:val="18"/>
                <w:lang w:val="en-GB"/>
              </w:rPr>
            </w:pPr>
            <w:r w:rsidRPr="00C501E3">
              <w:rPr>
                <w:b/>
                <w:sz w:val="18"/>
                <w:szCs w:val="18"/>
                <w:lang w:val="en-GB"/>
              </w:rPr>
              <w:t>Respiratory, thoracic and mediastinal disorders</w:t>
            </w:r>
          </w:p>
        </w:tc>
        <w:tc>
          <w:tcPr>
            <w:tcW w:w="735" w:type="pct"/>
          </w:tcPr>
          <w:p w14:paraId="7C331C3B" w14:textId="77777777" w:rsidR="008F369D" w:rsidRPr="00C501E3" w:rsidRDefault="008F369D" w:rsidP="008919D7">
            <w:pPr>
              <w:rPr>
                <w:sz w:val="18"/>
                <w:szCs w:val="18"/>
                <w:lang w:val="en-GB"/>
              </w:rPr>
            </w:pPr>
          </w:p>
        </w:tc>
        <w:tc>
          <w:tcPr>
            <w:tcW w:w="776" w:type="pct"/>
          </w:tcPr>
          <w:p w14:paraId="7C331C3C" w14:textId="77777777" w:rsidR="008F369D" w:rsidRPr="00C501E3" w:rsidRDefault="00016F29" w:rsidP="008919D7">
            <w:pPr>
              <w:keepNext/>
              <w:rPr>
                <w:sz w:val="18"/>
                <w:szCs w:val="18"/>
                <w:lang w:val="en-GB"/>
              </w:rPr>
            </w:pPr>
            <w:r w:rsidRPr="00C501E3">
              <w:rPr>
                <w:sz w:val="18"/>
                <w:szCs w:val="18"/>
                <w:lang w:val="en-GB"/>
              </w:rPr>
              <w:t>Bronchospasm</w:t>
            </w:r>
            <w:r w:rsidRPr="00C501E3">
              <w:rPr>
                <w:snapToGrid w:val="0"/>
                <w:sz w:val="18"/>
                <w:szCs w:val="18"/>
                <w:vertAlign w:val="superscript"/>
                <w:lang w:val="en-GB" w:eastAsia="en-US"/>
              </w:rPr>
              <w:t>4</w:t>
            </w:r>
            <w:r w:rsidRPr="00C501E3">
              <w:rPr>
                <w:sz w:val="18"/>
                <w:szCs w:val="18"/>
                <w:lang w:val="en-GB"/>
              </w:rPr>
              <w:t>, respiratory disease, chest pain, dyspnoea, increased cough, rhinitis</w:t>
            </w:r>
          </w:p>
        </w:tc>
        <w:tc>
          <w:tcPr>
            <w:tcW w:w="734" w:type="pct"/>
          </w:tcPr>
          <w:p w14:paraId="7C331C3D" w14:textId="77777777" w:rsidR="008F369D" w:rsidRPr="00C501E3" w:rsidRDefault="00016F29" w:rsidP="008919D7">
            <w:pPr>
              <w:rPr>
                <w:sz w:val="18"/>
                <w:szCs w:val="18"/>
                <w:lang w:val="en-GB"/>
              </w:rPr>
            </w:pPr>
            <w:r w:rsidRPr="00C501E3">
              <w:rPr>
                <w:sz w:val="18"/>
                <w:szCs w:val="18"/>
                <w:lang w:val="en-GB"/>
              </w:rPr>
              <w:t>asthma, bronchiolitis obliterans, lung disorder, hypoxia</w:t>
            </w:r>
          </w:p>
        </w:tc>
        <w:tc>
          <w:tcPr>
            <w:tcW w:w="556" w:type="pct"/>
          </w:tcPr>
          <w:p w14:paraId="7C331C3E" w14:textId="77777777" w:rsidR="008F369D" w:rsidRPr="00C501E3" w:rsidRDefault="00016F29" w:rsidP="008919D7">
            <w:pPr>
              <w:rPr>
                <w:snapToGrid w:val="0"/>
                <w:sz w:val="18"/>
                <w:szCs w:val="18"/>
                <w:lang w:val="en-GB" w:eastAsia="en-US"/>
              </w:rPr>
            </w:pPr>
            <w:r w:rsidRPr="00C501E3">
              <w:rPr>
                <w:snapToGrid w:val="0"/>
                <w:sz w:val="18"/>
                <w:szCs w:val="18"/>
                <w:lang w:val="en-GB" w:eastAsia="en-US"/>
              </w:rPr>
              <w:t>interstitial lung disease</w:t>
            </w:r>
            <w:r w:rsidRPr="00C501E3">
              <w:rPr>
                <w:snapToGrid w:val="0"/>
                <w:sz w:val="18"/>
                <w:szCs w:val="18"/>
                <w:vertAlign w:val="superscript"/>
                <w:lang w:val="en-GB" w:eastAsia="en-US"/>
              </w:rPr>
              <w:t>7</w:t>
            </w:r>
          </w:p>
        </w:tc>
        <w:tc>
          <w:tcPr>
            <w:tcW w:w="733" w:type="pct"/>
          </w:tcPr>
          <w:p w14:paraId="7C331C3F" w14:textId="77777777" w:rsidR="008F369D" w:rsidRPr="00C501E3" w:rsidRDefault="00016F29" w:rsidP="008919D7">
            <w:pPr>
              <w:rPr>
                <w:snapToGrid w:val="0"/>
                <w:sz w:val="18"/>
                <w:szCs w:val="18"/>
                <w:lang w:val="en-GB" w:eastAsia="en-US"/>
              </w:rPr>
            </w:pPr>
            <w:r w:rsidRPr="00C501E3">
              <w:rPr>
                <w:snapToGrid w:val="0"/>
                <w:sz w:val="18"/>
                <w:szCs w:val="18"/>
                <w:lang w:val="en-GB" w:eastAsia="en-US"/>
              </w:rPr>
              <w:t>respiratory failure</w:t>
            </w:r>
            <w:r w:rsidRPr="00C501E3">
              <w:rPr>
                <w:snapToGrid w:val="0"/>
                <w:sz w:val="18"/>
                <w:szCs w:val="18"/>
                <w:vertAlign w:val="superscript"/>
                <w:lang w:val="en-GB" w:eastAsia="en-US"/>
              </w:rPr>
              <w:t>4</w:t>
            </w:r>
            <w:r w:rsidRPr="00C501E3">
              <w:rPr>
                <w:snapToGrid w:val="0"/>
                <w:sz w:val="18"/>
                <w:szCs w:val="18"/>
                <w:lang w:val="en-GB" w:eastAsia="en-US"/>
              </w:rPr>
              <w:t>,</w:t>
            </w:r>
          </w:p>
          <w:p w14:paraId="7C331C40" w14:textId="77777777" w:rsidR="008F369D" w:rsidRPr="00C501E3" w:rsidRDefault="008F369D" w:rsidP="008919D7">
            <w:pPr>
              <w:rPr>
                <w:snapToGrid w:val="0"/>
                <w:sz w:val="18"/>
                <w:szCs w:val="18"/>
                <w:lang w:val="en-GB" w:eastAsia="en-US"/>
              </w:rPr>
            </w:pPr>
          </w:p>
        </w:tc>
        <w:tc>
          <w:tcPr>
            <w:tcW w:w="778" w:type="pct"/>
          </w:tcPr>
          <w:p w14:paraId="7C331C41" w14:textId="77777777" w:rsidR="008F369D" w:rsidRPr="00C501E3" w:rsidRDefault="00016F29" w:rsidP="008919D7">
            <w:pPr>
              <w:rPr>
                <w:sz w:val="18"/>
                <w:szCs w:val="18"/>
                <w:lang w:val="en-GB"/>
              </w:rPr>
            </w:pPr>
            <w:r w:rsidRPr="00C501E3">
              <w:rPr>
                <w:sz w:val="18"/>
                <w:szCs w:val="18"/>
                <w:lang w:val="en-GB"/>
              </w:rPr>
              <w:t>lung infiltration</w:t>
            </w:r>
            <w:r w:rsidRPr="00C501E3">
              <w:rPr>
                <w:snapToGrid w:val="0"/>
                <w:sz w:val="18"/>
                <w:szCs w:val="18"/>
                <w:lang w:val="en-GB" w:eastAsia="en-US"/>
              </w:rPr>
              <w:t xml:space="preserve">, </w:t>
            </w:r>
          </w:p>
        </w:tc>
      </w:tr>
      <w:tr w:rsidR="003A788B" w14:paraId="7C331C4A" w14:textId="77777777" w:rsidTr="00E06A78">
        <w:trPr>
          <w:cantSplit/>
        </w:trPr>
        <w:tc>
          <w:tcPr>
            <w:tcW w:w="689" w:type="pct"/>
          </w:tcPr>
          <w:p w14:paraId="7C331C43" w14:textId="77777777" w:rsidR="008F369D" w:rsidRPr="00C501E3" w:rsidRDefault="00016F29" w:rsidP="008919D7">
            <w:pPr>
              <w:rPr>
                <w:b/>
                <w:sz w:val="18"/>
                <w:szCs w:val="18"/>
                <w:lang w:val="en-GB"/>
              </w:rPr>
            </w:pPr>
            <w:r w:rsidRPr="00C501E3">
              <w:rPr>
                <w:b/>
                <w:sz w:val="18"/>
                <w:szCs w:val="18"/>
                <w:lang w:val="en-GB"/>
              </w:rPr>
              <w:t>Gastrointestinal disorders</w:t>
            </w:r>
          </w:p>
        </w:tc>
        <w:tc>
          <w:tcPr>
            <w:tcW w:w="735" w:type="pct"/>
          </w:tcPr>
          <w:p w14:paraId="7C331C44" w14:textId="77777777" w:rsidR="008F369D" w:rsidRPr="00C501E3" w:rsidRDefault="00016F29" w:rsidP="008919D7">
            <w:pPr>
              <w:keepNext/>
              <w:rPr>
                <w:sz w:val="18"/>
                <w:szCs w:val="18"/>
                <w:lang w:val="en-GB"/>
              </w:rPr>
            </w:pPr>
            <w:r w:rsidRPr="00C501E3">
              <w:rPr>
                <w:sz w:val="18"/>
                <w:szCs w:val="18"/>
                <w:lang w:val="en-GB"/>
              </w:rPr>
              <w:t>nausea</w:t>
            </w:r>
            <w:r w:rsidRPr="00C501E3">
              <w:rPr>
                <w:sz w:val="18"/>
                <w:szCs w:val="18"/>
                <w:vertAlign w:val="superscript"/>
                <w:lang w:val="en-GB"/>
              </w:rPr>
              <w:t xml:space="preserve"> </w:t>
            </w:r>
          </w:p>
        </w:tc>
        <w:tc>
          <w:tcPr>
            <w:tcW w:w="776" w:type="pct"/>
          </w:tcPr>
          <w:p w14:paraId="7C331C45" w14:textId="77777777" w:rsidR="008F369D" w:rsidRPr="00C501E3" w:rsidRDefault="00016F29" w:rsidP="008919D7">
            <w:pPr>
              <w:keepNext/>
              <w:rPr>
                <w:sz w:val="18"/>
                <w:szCs w:val="18"/>
                <w:lang w:val="en-GB"/>
              </w:rPr>
            </w:pPr>
            <w:r w:rsidRPr="00C501E3">
              <w:rPr>
                <w:sz w:val="18"/>
                <w:szCs w:val="18"/>
                <w:lang w:val="en-GB"/>
              </w:rPr>
              <w:t>vomiting</w:t>
            </w:r>
            <w:r w:rsidRPr="00C501E3">
              <w:rPr>
                <w:sz w:val="18"/>
                <w:szCs w:val="18"/>
                <w:vertAlign w:val="superscript"/>
                <w:lang w:val="en-GB"/>
              </w:rPr>
              <w:t xml:space="preserve"> </w:t>
            </w:r>
            <w:r w:rsidRPr="00C501E3">
              <w:rPr>
                <w:sz w:val="18"/>
                <w:szCs w:val="18"/>
                <w:lang w:val="en-GB"/>
              </w:rPr>
              <w:t>, diarrhoea, abdominal pain, dysphagia, stomatitis, constipation, dyspepsia, anorexia, throat irritation</w:t>
            </w:r>
          </w:p>
        </w:tc>
        <w:tc>
          <w:tcPr>
            <w:tcW w:w="734" w:type="pct"/>
          </w:tcPr>
          <w:p w14:paraId="7C331C46" w14:textId="77777777" w:rsidR="008F369D" w:rsidRPr="00C501E3" w:rsidRDefault="00016F29" w:rsidP="008919D7">
            <w:pPr>
              <w:rPr>
                <w:sz w:val="18"/>
                <w:szCs w:val="18"/>
                <w:lang w:val="en-GB"/>
              </w:rPr>
            </w:pPr>
            <w:r w:rsidRPr="00C501E3">
              <w:rPr>
                <w:sz w:val="18"/>
                <w:szCs w:val="18"/>
                <w:lang w:val="en-GB"/>
              </w:rPr>
              <w:t>abdominal enlargement</w:t>
            </w:r>
          </w:p>
        </w:tc>
        <w:tc>
          <w:tcPr>
            <w:tcW w:w="556" w:type="pct"/>
          </w:tcPr>
          <w:p w14:paraId="7C331C47" w14:textId="77777777" w:rsidR="008F369D" w:rsidRPr="00C501E3" w:rsidRDefault="008F369D" w:rsidP="008919D7">
            <w:pPr>
              <w:rPr>
                <w:snapToGrid w:val="0"/>
                <w:sz w:val="18"/>
                <w:szCs w:val="18"/>
                <w:lang w:val="en-GB" w:eastAsia="en-US"/>
              </w:rPr>
            </w:pPr>
          </w:p>
        </w:tc>
        <w:tc>
          <w:tcPr>
            <w:tcW w:w="733" w:type="pct"/>
          </w:tcPr>
          <w:p w14:paraId="7C331C48" w14:textId="77777777" w:rsidR="008F369D" w:rsidRPr="003A16C3" w:rsidRDefault="00016F29" w:rsidP="008919D7">
            <w:pPr>
              <w:rPr>
                <w:snapToGrid w:val="0"/>
                <w:sz w:val="18"/>
                <w:szCs w:val="18"/>
                <w:lang w:val="en-GB" w:eastAsia="en-US"/>
              </w:rPr>
            </w:pPr>
            <w:r w:rsidRPr="003A16C3">
              <w:rPr>
                <w:snapToGrid w:val="0"/>
                <w:sz w:val="18"/>
                <w:szCs w:val="18"/>
                <w:lang w:val="en-GB" w:eastAsia="en-US"/>
              </w:rPr>
              <w:t>gastro</w:t>
            </w:r>
            <w:r w:rsidR="000A6DDA" w:rsidRPr="003A16C3">
              <w:rPr>
                <w:snapToGrid w:val="0"/>
                <w:sz w:val="18"/>
                <w:szCs w:val="18"/>
                <w:lang w:val="en-GB" w:eastAsia="en-US"/>
              </w:rPr>
              <w:noBreakHyphen/>
            </w:r>
            <w:r w:rsidRPr="003A16C3">
              <w:rPr>
                <w:snapToGrid w:val="0"/>
                <w:sz w:val="18"/>
                <w:szCs w:val="18"/>
                <w:lang w:val="en-GB" w:eastAsia="en-US"/>
              </w:rPr>
              <w:t>intestinal perforation</w:t>
            </w:r>
            <w:r w:rsidRPr="003A16C3">
              <w:rPr>
                <w:snapToGrid w:val="0"/>
                <w:sz w:val="18"/>
                <w:szCs w:val="18"/>
                <w:vertAlign w:val="superscript"/>
                <w:lang w:val="en-GB" w:eastAsia="en-US"/>
              </w:rPr>
              <w:t>7</w:t>
            </w:r>
          </w:p>
        </w:tc>
        <w:tc>
          <w:tcPr>
            <w:tcW w:w="778" w:type="pct"/>
          </w:tcPr>
          <w:p w14:paraId="7C331C49" w14:textId="77777777" w:rsidR="008F369D" w:rsidRPr="00C501E3" w:rsidRDefault="008F369D" w:rsidP="008919D7">
            <w:pPr>
              <w:rPr>
                <w:sz w:val="18"/>
                <w:szCs w:val="18"/>
                <w:lang w:val="en-GB"/>
              </w:rPr>
            </w:pPr>
          </w:p>
        </w:tc>
      </w:tr>
      <w:tr w:rsidR="003A788B" w14:paraId="7C331C54" w14:textId="77777777" w:rsidTr="00E06A78">
        <w:trPr>
          <w:cantSplit/>
        </w:trPr>
        <w:tc>
          <w:tcPr>
            <w:tcW w:w="689" w:type="pct"/>
          </w:tcPr>
          <w:p w14:paraId="7C331C4B" w14:textId="77777777" w:rsidR="008F369D" w:rsidRPr="00C501E3" w:rsidRDefault="00016F29" w:rsidP="008919D7">
            <w:pPr>
              <w:rPr>
                <w:b/>
                <w:sz w:val="18"/>
                <w:szCs w:val="18"/>
                <w:lang w:val="en-GB"/>
              </w:rPr>
            </w:pPr>
            <w:r w:rsidRPr="00C501E3">
              <w:rPr>
                <w:b/>
                <w:sz w:val="18"/>
                <w:szCs w:val="18"/>
                <w:lang w:val="en-GB"/>
              </w:rPr>
              <w:t>Skin and subcutaneous tissue disorders</w:t>
            </w:r>
          </w:p>
        </w:tc>
        <w:tc>
          <w:tcPr>
            <w:tcW w:w="735" w:type="pct"/>
          </w:tcPr>
          <w:p w14:paraId="7C331C4C" w14:textId="77777777" w:rsidR="008F369D" w:rsidRPr="00C501E3" w:rsidRDefault="00016F29" w:rsidP="008919D7">
            <w:pPr>
              <w:rPr>
                <w:sz w:val="18"/>
                <w:szCs w:val="18"/>
                <w:lang w:val="en-GB"/>
              </w:rPr>
            </w:pPr>
            <w:r w:rsidRPr="00C501E3">
              <w:rPr>
                <w:sz w:val="18"/>
                <w:szCs w:val="18"/>
                <w:lang w:val="en-GB"/>
              </w:rPr>
              <w:t xml:space="preserve">pruritis, rash, </w:t>
            </w:r>
            <w:r w:rsidRPr="00C501E3">
              <w:rPr>
                <w:sz w:val="18"/>
                <w:szCs w:val="18"/>
                <w:vertAlign w:val="superscript"/>
                <w:lang w:val="en-GB"/>
              </w:rPr>
              <w:t>+</w:t>
            </w:r>
            <w:r w:rsidRPr="00C501E3">
              <w:rPr>
                <w:sz w:val="18"/>
                <w:szCs w:val="18"/>
                <w:lang w:val="en-GB"/>
              </w:rPr>
              <w:t>alopecia</w:t>
            </w:r>
            <w:r w:rsidRPr="00C501E3">
              <w:rPr>
                <w:sz w:val="18"/>
                <w:szCs w:val="18"/>
                <w:vertAlign w:val="superscript"/>
                <w:lang w:val="en-GB"/>
              </w:rPr>
              <w:t xml:space="preserve"> </w:t>
            </w:r>
          </w:p>
        </w:tc>
        <w:tc>
          <w:tcPr>
            <w:tcW w:w="776" w:type="pct"/>
          </w:tcPr>
          <w:p w14:paraId="7C331C4D" w14:textId="77777777" w:rsidR="008F369D" w:rsidRPr="00C501E3" w:rsidRDefault="00016F29" w:rsidP="008919D7">
            <w:pPr>
              <w:rPr>
                <w:sz w:val="18"/>
                <w:szCs w:val="18"/>
                <w:lang w:val="en-GB"/>
              </w:rPr>
            </w:pPr>
            <w:r w:rsidRPr="00C501E3">
              <w:rPr>
                <w:sz w:val="18"/>
                <w:szCs w:val="18"/>
                <w:lang w:val="en-GB"/>
              </w:rPr>
              <w:t xml:space="preserve">urticaria, sweating, night sweats, </w:t>
            </w:r>
            <w:r w:rsidRPr="00C501E3">
              <w:rPr>
                <w:sz w:val="18"/>
                <w:szCs w:val="18"/>
                <w:vertAlign w:val="superscript"/>
                <w:lang w:val="en-GB"/>
              </w:rPr>
              <w:t>+</w:t>
            </w:r>
            <w:r w:rsidRPr="00C501E3">
              <w:rPr>
                <w:sz w:val="18"/>
                <w:szCs w:val="18"/>
                <w:lang w:val="en-GB"/>
              </w:rPr>
              <w:t>skin disorder</w:t>
            </w:r>
          </w:p>
        </w:tc>
        <w:tc>
          <w:tcPr>
            <w:tcW w:w="734" w:type="pct"/>
          </w:tcPr>
          <w:p w14:paraId="7C331C4E" w14:textId="77777777" w:rsidR="008F369D" w:rsidRPr="00C501E3" w:rsidRDefault="008F369D" w:rsidP="008919D7">
            <w:pPr>
              <w:rPr>
                <w:sz w:val="18"/>
                <w:szCs w:val="18"/>
                <w:lang w:val="en-GB"/>
              </w:rPr>
            </w:pPr>
          </w:p>
        </w:tc>
        <w:tc>
          <w:tcPr>
            <w:tcW w:w="556" w:type="pct"/>
          </w:tcPr>
          <w:p w14:paraId="7C331C4F" w14:textId="77777777" w:rsidR="008F369D" w:rsidRPr="00C501E3" w:rsidRDefault="008F369D" w:rsidP="008919D7">
            <w:pPr>
              <w:rPr>
                <w:snapToGrid w:val="0"/>
                <w:sz w:val="18"/>
                <w:szCs w:val="18"/>
                <w:lang w:val="en-GB" w:eastAsia="en-US"/>
              </w:rPr>
            </w:pPr>
          </w:p>
        </w:tc>
        <w:tc>
          <w:tcPr>
            <w:tcW w:w="733" w:type="pct"/>
          </w:tcPr>
          <w:p w14:paraId="7C331C50" w14:textId="77777777" w:rsidR="008F369D" w:rsidRPr="003A16C3" w:rsidRDefault="00016F29" w:rsidP="008919D7">
            <w:pPr>
              <w:rPr>
                <w:snapToGrid w:val="0"/>
                <w:sz w:val="18"/>
                <w:szCs w:val="18"/>
                <w:lang w:val="en-GB" w:eastAsia="en-US"/>
              </w:rPr>
            </w:pPr>
            <w:r w:rsidRPr="003A16C3">
              <w:rPr>
                <w:snapToGrid w:val="0"/>
                <w:sz w:val="18"/>
                <w:szCs w:val="18"/>
                <w:lang w:val="en-GB" w:eastAsia="en-US"/>
              </w:rPr>
              <w:t>severe bullous skin reactions,</w:t>
            </w:r>
          </w:p>
          <w:p w14:paraId="7C331C51" w14:textId="77777777" w:rsidR="008F369D" w:rsidRPr="003A16C3" w:rsidRDefault="00016F29" w:rsidP="008919D7">
            <w:pPr>
              <w:rPr>
                <w:snapToGrid w:val="0"/>
                <w:sz w:val="18"/>
                <w:szCs w:val="18"/>
                <w:lang w:val="en-GB" w:eastAsia="en-US"/>
              </w:rPr>
            </w:pPr>
            <w:r w:rsidRPr="003A16C3">
              <w:rPr>
                <w:iCs/>
                <w:snapToGrid w:val="0"/>
                <w:sz w:val="18"/>
                <w:szCs w:val="18"/>
                <w:lang w:val="en-GB" w:eastAsia="en-US"/>
              </w:rPr>
              <w:t>Stevens</w:t>
            </w:r>
            <w:r w:rsidR="000A6DDA" w:rsidRPr="003A16C3">
              <w:rPr>
                <w:iCs/>
                <w:snapToGrid w:val="0"/>
                <w:sz w:val="18"/>
                <w:szCs w:val="18"/>
                <w:lang w:val="en-GB" w:eastAsia="en-US"/>
              </w:rPr>
              <w:noBreakHyphen/>
            </w:r>
            <w:r w:rsidRPr="003A16C3">
              <w:rPr>
                <w:iCs/>
                <w:snapToGrid w:val="0"/>
                <w:sz w:val="18"/>
                <w:szCs w:val="18"/>
                <w:lang w:val="en-GB" w:eastAsia="en-US"/>
              </w:rPr>
              <w:t>Johnson Syndrome</w:t>
            </w:r>
            <w:r w:rsidR="00153E10">
              <w:rPr>
                <w:iCs/>
                <w:snapToGrid w:val="0"/>
                <w:sz w:val="18"/>
                <w:szCs w:val="18"/>
                <w:lang w:val="en-GB" w:eastAsia="en-US"/>
              </w:rPr>
              <w:t>,</w:t>
            </w:r>
          </w:p>
          <w:p w14:paraId="7C331C52" w14:textId="77777777" w:rsidR="008F369D" w:rsidRPr="003A16C3" w:rsidRDefault="00016F29" w:rsidP="008919D7">
            <w:pPr>
              <w:rPr>
                <w:snapToGrid w:val="0"/>
                <w:sz w:val="18"/>
                <w:szCs w:val="18"/>
                <w:lang w:val="en-GB" w:eastAsia="en-US"/>
              </w:rPr>
            </w:pPr>
            <w:r w:rsidRPr="003A16C3">
              <w:rPr>
                <w:snapToGrid w:val="0"/>
                <w:sz w:val="18"/>
                <w:szCs w:val="18"/>
                <w:lang w:val="en-GB" w:eastAsia="en-US"/>
              </w:rPr>
              <w:t xml:space="preserve">toxic epidermal necrolysis </w:t>
            </w:r>
            <w:r w:rsidRPr="003A16C3">
              <w:rPr>
                <w:iCs/>
                <w:snapToGrid w:val="0"/>
                <w:sz w:val="18"/>
                <w:szCs w:val="18"/>
                <w:lang w:val="en-GB" w:eastAsia="en-US"/>
              </w:rPr>
              <w:t>(Lyell’s Syndrome)</w:t>
            </w:r>
            <w:r w:rsidRPr="003A16C3">
              <w:rPr>
                <w:snapToGrid w:val="0"/>
                <w:sz w:val="18"/>
                <w:szCs w:val="18"/>
                <w:vertAlign w:val="superscript"/>
                <w:lang w:val="en-GB" w:eastAsia="en-US"/>
              </w:rPr>
              <w:t xml:space="preserve"> 7</w:t>
            </w:r>
          </w:p>
        </w:tc>
        <w:tc>
          <w:tcPr>
            <w:tcW w:w="778" w:type="pct"/>
          </w:tcPr>
          <w:p w14:paraId="7C331C53" w14:textId="77777777" w:rsidR="008F369D" w:rsidRPr="00C501E3" w:rsidRDefault="008F369D" w:rsidP="008919D7">
            <w:pPr>
              <w:rPr>
                <w:sz w:val="18"/>
                <w:szCs w:val="18"/>
                <w:lang w:val="en-GB"/>
              </w:rPr>
            </w:pPr>
          </w:p>
        </w:tc>
      </w:tr>
      <w:tr w:rsidR="003A788B" w14:paraId="7C331C5C" w14:textId="77777777" w:rsidTr="00E06A78">
        <w:trPr>
          <w:cantSplit/>
        </w:trPr>
        <w:tc>
          <w:tcPr>
            <w:tcW w:w="689" w:type="pct"/>
          </w:tcPr>
          <w:p w14:paraId="7C331C55" w14:textId="77777777" w:rsidR="008F369D" w:rsidRPr="00C501E3" w:rsidRDefault="00016F29" w:rsidP="00E06A78">
            <w:pPr>
              <w:keepNext/>
              <w:keepLines/>
              <w:rPr>
                <w:sz w:val="18"/>
                <w:szCs w:val="18"/>
                <w:lang w:val="en-GB"/>
              </w:rPr>
            </w:pPr>
            <w:r w:rsidRPr="00C501E3">
              <w:rPr>
                <w:b/>
                <w:sz w:val="18"/>
                <w:szCs w:val="18"/>
                <w:lang w:val="en-GB"/>
              </w:rPr>
              <w:t>Musculoskeletal, connective tissue disorders</w:t>
            </w:r>
          </w:p>
        </w:tc>
        <w:tc>
          <w:tcPr>
            <w:tcW w:w="735" w:type="pct"/>
          </w:tcPr>
          <w:p w14:paraId="7C331C56" w14:textId="77777777" w:rsidR="008F369D" w:rsidRPr="00C501E3" w:rsidRDefault="008F369D" w:rsidP="00E06A78">
            <w:pPr>
              <w:rPr>
                <w:sz w:val="18"/>
                <w:szCs w:val="18"/>
                <w:lang w:val="en-GB"/>
              </w:rPr>
            </w:pPr>
          </w:p>
        </w:tc>
        <w:tc>
          <w:tcPr>
            <w:tcW w:w="776" w:type="pct"/>
          </w:tcPr>
          <w:p w14:paraId="7C331C57" w14:textId="77777777" w:rsidR="008F369D" w:rsidRPr="00C501E3" w:rsidRDefault="00016F29" w:rsidP="00E06A78">
            <w:pPr>
              <w:keepNext/>
              <w:keepLines/>
              <w:rPr>
                <w:sz w:val="18"/>
                <w:szCs w:val="18"/>
                <w:lang w:val="en-GB"/>
              </w:rPr>
            </w:pPr>
            <w:r w:rsidRPr="00C501E3">
              <w:rPr>
                <w:sz w:val="18"/>
                <w:szCs w:val="18"/>
                <w:lang w:val="en-GB"/>
              </w:rPr>
              <w:t>hypertonia, myalgia, arthralgia, back pain, neck pain, pain</w:t>
            </w:r>
          </w:p>
        </w:tc>
        <w:tc>
          <w:tcPr>
            <w:tcW w:w="734" w:type="pct"/>
          </w:tcPr>
          <w:p w14:paraId="7C331C58" w14:textId="77777777" w:rsidR="008F369D" w:rsidRPr="00C501E3" w:rsidRDefault="008F369D" w:rsidP="00E06A78">
            <w:pPr>
              <w:rPr>
                <w:b/>
                <w:sz w:val="18"/>
                <w:szCs w:val="18"/>
                <w:lang w:val="en-GB"/>
              </w:rPr>
            </w:pPr>
          </w:p>
        </w:tc>
        <w:tc>
          <w:tcPr>
            <w:tcW w:w="556" w:type="pct"/>
          </w:tcPr>
          <w:p w14:paraId="7C331C59" w14:textId="77777777" w:rsidR="008F369D" w:rsidRPr="00C501E3" w:rsidRDefault="008F369D" w:rsidP="00E06A78">
            <w:pPr>
              <w:rPr>
                <w:b/>
                <w:sz w:val="18"/>
                <w:szCs w:val="18"/>
                <w:lang w:val="en-GB"/>
              </w:rPr>
            </w:pPr>
          </w:p>
        </w:tc>
        <w:tc>
          <w:tcPr>
            <w:tcW w:w="733" w:type="pct"/>
          </w:tcPr>
          <w:p w14:paraId="7C331C5A" w14:textId="77777777" w:rsidR="008F369D" w:rsidRPr="00C501E3" w:rsidRDefault="008F369D" w:rsidP="00E06A78">
            <w:pPr>
              <w:rPr>
                <w:b/>
                <w:sz w:val="18"/>
                <w:szCs w:val="18"/>
                <w:lang w:val="en-GB"/>
              </w:rPr>
            </w:pPr>
          </w:p>
        </w:tc>
        <w:tc>
          <w:tcPr>
            <w:tcW w:w="778" w:type="pct"/>
          </w:tcPr>
          <w:p w14:paraId="7C331C5B" w14:textId="77777777" w:rsidR="008F369D" w:rsidRPr="00C501E3" w:rsidRDefault="008F369D" w:rsidP="00E06A78">
            <w:pPr>
              <w:rPr>
                <w:b/>
                <w:sz w:val="18"/>
                <w:szCs w:val="18"/>
                <w:lang w:val="en-GB"/>
              </w:rPr>
            </w:pPr>
          </w:p>
        </w:tc>
      </w:tr>
      <w:tr w:rsidR="003A788B" w14:paraId="7C331C64" w14:textId="77777777" w:rsidTr="00E06A78">
        <w:trPr>
          <w:cantSplit/>
        </w:trPr>
        <w:tc>
          <w:tcPr>
            <w:tcW w:w="689" w:type="pct"/>
          </w:tcPr>
          <w:p w14:paraId="7C331C5D" w14:textId="77777777" w:rsidR="008F369D" w:rsidRPr="00C501E3" w:rsidRDefault="00016F29" w:rsidP="00E06A78">
            <w:pPr>
              <w:keepNext/>
              <w:keepLines/>
              <w:rPr>
                <w:b/>
                <w:sz w:val="18"/>
                <w:szCs w:val="18"/>
                <w:lang w:val="en-GB"/>
              </w:rPr>
            </w:pPr>
            <w:r w:rsidRPr="00C501E3">
              <w:rPr>
                <w:b/>
                <w:sz w:val="18"/>
                <w:szCs w:val="18"/>
                <w:lang w:val="en-GB"/>
              </w:rPr>
              <w:t>Renal and urinary disorders</w:t>
            </w:r>
          </w:p>
        </w:tc>
        <w:tc>
          <w:tcPr>
            <w:tcW w:w="735" w:type="pct"/>
          </w:tcPr>
          <w:p w14:paraId="7C331C5E" w14:textId="77777777" w:rsidR="008F369D" w:rsidRPr="00C501E3" w:rsidRDefault="008F369D" w:rsidP="00E06A78">
            <w:pPr>
              <w:rPr>
                <w:sz w:val="18"/>
                <w:szCs w:val="18"/>
                <w:lang w:val="en-GB"/>
              </w:rPr>
            </w:pPr>
          </w:p>
        </w:tc>
        <w:tc>
          <w:tcPr>
            <w:tcW w:w="776" w:type="pct"/>
          </w:tcPr>
          <w:p w14:paraId="7C331C5F" w14:textId="77777777" w:rsidR="008F369D" w:rsidRPr="00C501E3" w:rsidRDefault="008F369D" w:rsidP="00E06A78">
            <w:pPr>
              <w:keepNext/>
              <w:rPr>
                <w:sz w:val="18"/>
                <w:szCs w:val="18"/>
                <w:lang w:val="en-GB"/>
              </w:rPr>
            </w:pPr>
          </w:p>
        </w:tc>
        <w:tc>
          <w:tcPr>
            <w:tcW w:w="734" w:type="pct"/>
          </w:tcPr>
          <w:p w14:paraId="7C331C60" w14:textId="77777777" w:rsidR="008F369D" w:rsidRPr="00C501E3" w:rsidRDefault="008F369D" w:rsidP="00E06A78">
            <w:pPr>
              <w:rPr>
                <w:b/>
                <w:sz w:val="18"/>
                <w:szCs w:val="18"/>
                <w:lang w:val="en-GB"/>
              </w:rPr>
            </w:pPr>
          </w:p>
        </w:tc>
        <w:tc>
          <w:tcPr>
            <w:tcW w:w="556" w:type="pct"/>
          </w:tcPr>
          <w:p w14:paraId="7C331C61" w14:textId="77777777" w:rsidR="008F369D" w:rsidRPr="00C501E3" w:rsidRDefault="008F369D" w:rsidP="00E06A78">
            <w:pPr>
              <w:rPr>
                <w:snapToGrid w:val="0"/>
                <w:sz w:val="18"/>
                <w:szCs w:val="18"/>
                <w:lang w:val="en-GB" w:eastAsia="en-US"/>
              </w:rPr>
            </w:pPr>
          </w:p>
        </w:tc>
        <w:tc>
          <w:tcPr>
            <w:tcW w:w="733" w:type="pct"/>
          </w:tcPr>
          <w:p w14:paraId="7C331C62" w14:textId="77777777" w:rsidR="008F369D" w:rsidRPr="00C501E3" w:rsidRDefault="00016F29" w:rsidP="00E06A78">
            <w:pPr>
              <w:keepNext/>
              <w:keepLines/>
              <w:rPr>
                <w:snapToGrid w:val="0"/>
                <w:sz w:val="18"/>
                <w:szCs w:val="18"/>
                <w:lang w:val="en-GB" w:eastAsia="en-US"/>
              </w:rPr>
            </w:pPr>
            <w:r w:rsidRPr="00C501E3">
              <w:rPr>
                <w:snapToGrid w:val="0"/>
                <w:sz w:val="18"/>
                <w:szCs w:val="18"/>
                <w:lang w:val="en-GB" w:eastAsia="en-US"/>
              </w:rPr>
              <w:t>renal failure</w:t>
            </w:r>
            <w:r w:rsidRPr="00C501E3">
              <w:rPr>
                <w:snapToGrid w:val="0"/>
                <w:sz w:val="18"/>
                <w:szCs w:val="18"/>
                <w:vertAlign w:val="superscript"/>
                <w:lang w:val="en-GB" w:eastAsia="en-US"/>
              </w:rPr>
              <w:t>4</w:t>
            </w:r>
          </w:p>
        </w:tc>
        <w:tc>
          <w:tcPr>
            <w:tcW w:w="778" w:type="pct"/>
          </w:tcPr>
          <w:p w14:paraId="7C331C63" w14:textId="77777777" w:rsidR="008F369D" w:rsidRPr="00C501E3" w:rsidRDefault="008F369D" w:rsidP="00E06A78">
            <w:pPr>
              <w:rPr>
                <w:b/>
                <w:sz w:val="18"/>
                <w:szCs w:val="18"/>
                <w:lang w:val="en-GB"/>
              </w:rPr>
            </w:pPr>
          </w:p>
        </w:tc>
      </w:tr>
      <w:tr w:rsidR="003A788B" w14:paraId="7C331C6D" w14:textId="77777777" w:rsidTr="00E06A78">
        <w:trPr>
          <w:cantSplit/>
        </w:trPr>
        <w:tc>
          <w:tcPr>
            <w:tcW w:w="689" w:type="pct"/>
          </w:tcPr>
          <w:p w14:paraId="7C331C65" w14:textId="77777777" w:rsidR="008F369D" w:rsidRPr="00C501E3" w:rsidRDefault="00016F29" w:rsidP="008919D7">
            <w:pPr>
              <w:rPr>
                <w:sz w:val="18"/>
                <w:szCs w:val="18"/>
                <w:lang w:val="en-GB"/>
              </w:rPr>
            </w:pPr>
            <w:r w:rsidRPr="00C501E3">
              <w:rPr>
                <w:b/>
                <w:sz w:val="18"/>
                <w:szCs w:val="18"/>
                <w:lang w:val="en-GB"/>
              </w:rPr>
              <w:t>General disorders and administration site conditions</w:t>
            </w:r>
          </w:p>
        </w:tc>
        <w:tc>
          <w:tcPr>
            <w:tcW w:w="735" w:type="pct"/>
          </w:tcPr>
          <w:p w14:paraId="7C331C66" w14:textId="77777777" w:rsidR="008F369D" w:rsidRPr="00C501E3" w:rsidRDefault="00016F29" w:rsidP="008919D7">
            <w:pPr>
              <w:rPr>
                <w:sz w:val="18"/>
                <w:szCs w:val="18"/>
                <w:lang w:val="en-GB"/>
              </w:rPr>
            </w:pPr>
            <w:r w:rsidRPr="00C501E3">
              <w:rPr>
                <w:sz w:val="18"/>
                <w:szCs w:val="18"/>
                <w:lang w:val="en-GB"/>
              </w:rPr>
              <w:t>fever</w:t>
            </w:r>
            <w:r w:rsidRPr="00C501E3">
              <w:rPr>
                <w:sz w:val="18"/>
                <w:szCs w:val="18"/>
                <w:vertAlign w:val="superscript"/>
                <w:lang w:val="en-GB"/>
              </w:rPr>
              <w:t xml:space="preserve"> </w:t>
            </w:r>
            <w:r w:rsidRPr="00C501E3">
              <w:rPr>
                <w:sz w:val="18"/>
                <w:szCs w:val="18"/>
                <w:lang w:val="en-GB"/>
              </w:rPr>
              <w:t>, chills, asthenia, headache</w:t>
            </w:r>
            <w:r w:rsidRPr="00C501E3">
              <w:rPr>
                <w:sz w:val="18"/>
                <w:szCs w:val="18"/>
                <w:vertAlign w:val="superscript"/>
                <w:lang w:val="en-GB"/>
              </w:rPr>
              <w:t xml:space="preserve"> </w:t>
            </w:r>
          </w:p>
        </w:tc>
        <w:tc>
          <w:tcPr>
            <w:tcW w:w="776" w:type="pct"/>
          </w:tcPr>
          <w:p w14:paraId="7C331C67" w14:textId="77777777" w:rsidR="008F369D" w:rsidRPr="003A16C3" w:rsidRDefault="00016F29" w:rsidP="008919D7">
            <w:pPr>
              <w:keepNext/>
              <w:rPr>
                <w:sz w:val="18"/>
                <w:szCs w:val="18"/>
                <w:lang w:val="en-GB"/>
              </w:rPr>
            </w:pPr>
            <w:r w:rsidRPr="003A16C3">
              <w:rPr>
                <w:sz w:val="18"/>
                <w:szCs w:val="18"/>
                <w:lang w:val="en-GB"/>
              </w:rPr>
              <w:t xml:space="preserve">tumour pain, flushing, malaise, cold syndrome, </w:t>
            </w:r>
            <w:r w:rsidRPr="003A16C3">
              <w:rPr>
                <w:sz w:val="18"/>
                <w:szCs w:val="18"/>
                <w:vertAlign w:val="superscript"/>
                <w:lang w:val="en-GB"/>
              </w:rPr>
              <w:t>+</w:t>
            </w:r>
            <w:r w:rsidRPr="003A16C3">
              <w:rPr>
                <w:sz w:val="18"/>
                <w:szCs w:val="18"/>
                <w:lang w:val="en-GB"/>
              </w:rPr>
              <w:t xml:space="preserve">fatigue, </w:t>
            </w:r>
            <w:r w:rsidRPr="003A16C3">
              <w:rPr>
                <w:sz w:val="18"/>
                <w:szCs w:val="18"/>
                <w:vertAlign w:val="superscript"/>
                <w:lang w:val="en-GB"/>
              </w:rPr>
              <w:t>+</w:t>
            </w:r>
            <w:r w:rsidRPr="003A16C3">
              <w:rPr>
                <w:sz w:val="18"/>
                <w:szCs w:val="18"/>
                <w:lang w:val="en-GB"/>
              </w:rPr>
              <w:t xml:space="preserve">shivering, </w:t>
            </w:r>
          </w:p>
          <w:p w14:paraId="7C331C68" w14:textId="77777777" w:rsidR="008F369D" w:rsidRPr="003A16C3" w:rsidRDefault="00016F29" w:rsidP="008919D7">
            <w:pPr>
              <w:keepNext/>
              <w:rPr>
                <w:sz w:val="18"/>
                <w:szCs w:val="18"/>
                <w:lang w:val="en-GB"/>
              </w:rPr>
            </w:pPr>
            <w:r w:rsidRPr="003A16C3">
              <w:rPr>
                <w:sz w:val="18"/>
                <w:szCs w:val="18"/>
                <w:vertAlign w:val="superscript"/>
                <w:lang w:val="en-GB"/>
              </w:rPr>
              <w:t>+</w:t>
            </w:r>
            <w:r w:rsidRPr="003A16C3">
              <w:rPr>
                <w:sz w:val="18"/>
                <w:szCs w:val="18"/>
                <w:lang w:val="en-GB"/>
              </w:rPr>
              <w:t>multi</w:t>
            </w:r>
            <w:r w:rsidR="000A6DDA" w:rsidRPr="003A16C3">
              <w:rPr>
                <w:sz w:val="18"/>
                <w:szCs w:val="18"/>
                <w:lang w:val="en-GB"/>
              </w:rPr>
              <w:noBreakHyphen/>
            </w:r>
            <w:r w:rsidRPr="003A16C3">
              <w:rPr>
                <w:sz w:val="18"/>
                <w:szCs w:val="18"/>
                <w:lang w:val="en-GB"/>
              </w:rPr>
              <w:t>organ failure</w:t>
            </w:r>
            <w:r w:rsidRPr="003A16C3">
              <w:rPr>
                <w:snapToGrid w:val="0"/>
                <w:sz w:val="18"/>
                <w:szCs w:val="18"/>
                <w:vertAlign w:val="superscript"/>
                <w:lang w:val="en-GB" w:eastAsia="en-US"/>
              </w:rPr>
              <w:t>4</w:t>
            </w:r>
          </w:p>
        </w:tc>
        <w:tc>
          <w:tcPr>
            <w:tcW w:w="734" w:type="pct"/>
          </w:tcPr>
          <w:p w14:paraId="7C331C69" w14:textId="77777777" w:rsidR="008F369D" w:rsidRPr="00C501E3" w:rsidRDefault="00016F29" w:rsidP="008919D7">
            <w:pPr>
              <w:rPr>
                <w:b/>
                <w:sz w:val="18"/>
                <w:szCs w:val="18"/>
                <w:lang w:val="en-GB"/>
              </w:rPr>
            </w:pPr>
            <w:r w:rsidRPr="00C501E3">
              <w:rPr>
                <w:sz w:val="18"/>
                <w:szCs w:val="18"/>
                <w:lang w:val="en-GB"/>
              </w:rPr>
              <w:t>infusion site pain</w:t>
            </w:r>
          </w:p>
        </w:tc>
        <w:tc>
          <w:tcPr>
            <w:tcW w:w="556" w:type="pct"/>
          </w:tcPr>
          <w:p w14:paraId="7C331C6A" w14:textId="77777777" w:rsidR="008F369D" w:rsidRPr="00C501E3" w:rsidRDefault="008F369D" w:rsidP="008919D7">
            <w:pPr>
              <w:rPr>
                <w:sz w:val="18"/>
                <w:szCs w:val="18"/>
                <w:lang w:val="en-GB"/>
              </w:rPr>
            </w:pPr>
          </w:p>
        </w:tc>
        <w:tc>
          <w:tcPr>
            <w:tcW w:w="733" w:type="pct"/>
          </w:tcPr>
          <w:p w14:paraId="7C331C6B" w14:textId="77777777" w:rsidR="008F369D" w:rsidRPr="00C501E3" w:rsidRDefault="008F369D" w:rsidP="008919D7">
            <w:pPr>
              <w:rPr>
                <w:sz w:val="18"/>
                <w:szCs w:val="18"/>
                <w:lang w:val="en-GB"/>
              </w:rPr>
            </w:pPr>
          </w:p>
        </w:tc>
        <w:tc>
          <w:tcPr>
            <w:tcW w:w="778" w:type="pct"/>
          </w:tcPr>
          <w:p w14:paraId="7C331C6C" w14:textId="77777777" w:rsidR="008F369D" w:rsidRPr="00C501E3" w:rsidRDefault="008F369D" w:rsidP="008919D7">
            <w:pPr>
              <w:rPr>
                <w:sz w:val="18"/>
                <w:szCs w:val="18"/>
                <w:lang w:val="en-GB"/>
              </w:rPr>
            </w:pPr>
          </w:p>
        </w:tc>
      </w:tr>
      <w:tr w:rsidR="003A788B" w14:paraId="7C331C75" w14:textId="77777777" w:rsidTr="00E06A78">
        <w:trPr>
          <w:cantSplit/>
        </w:trPr>
        <w:tc>
          <w:tcPr>
            <w:tcW w:w="689" w:type="pct"/>
          </w:tcPr>
          <w:p w14:paraId="7C331C6E" w14:textId="77777777" w:rsidR="008F369D" w:rsidRPr="00C501E3" w:rsidRDefault="00016F29" w:rsidP="008919D7">
            <w:pPr>
              <w:keepNext/>
              <w:rPr>
                <w:b/>
                <w:sz w:val="18"/>
                <w:szCs w:val="18"/>
                <w:lang w:val="en-GB"/>
              </w:rPr>
            </w:pPr>
            <w:r w:rsidRPr="00C501E3">
              <w:rPr>
                <w:b/>
                <w:sz w:val="18"/>
                <w:szCs w:val="18"/>
                <w:lang w:val="en-GB"/>
              </w:rPr>
              <w:t>Investigations</w:t>
            </w:r>
          </w:p>
        </w:tc>
        <w:tc>
          <w:tcPr>
            <w:tcW w:w="735" w:type="pct"/>
          </w:tcPr>
          <w:p w14:paraId="7C331C6F" w14:textId="77777777" w:rsidR="008F369D" w:rsidRPr="00C501E3" w:rsidRDefault="00016F29" w:rsidP="008919D7">
            <w:pPr>
              <w:keepNext/>
              <w:rPr>
                <w:sz w:val="18"/>
                <w:szCs w:val="18"/>
                <w:lang w:val="en-GB"/>
              </w:rPr>
            </w:pPr>
            <w:r w:rsidRPr="00C501E3">
              <w:rPr>
                <w:sz w:val="18"/>
                <w:szCs w:val="18"/>
                <w:lang w:val="en-GB"/>
              </w:rPr>
              <w:t>decreased IgG levels</w:t>
            </w:r>
          </w:p>
        </w:tc>
        <w:tc>
          <w:tcPr>
            <w:tcW w:w="776" w:type="pct"/>
          </w:tcPr>
          <w:p w14:paraId="7C331C70" w14:textId="77777777" w:rsidR="008F369D" w:rsidRPr="00C501E3" w:rsidRDefault="008F369D" w:rsidP="008919D7">
            <w:pPr>
              <w:keepNext/>
              <w:rPr>
                <w:sz w:val="18"/>
                <w:szCs w:val="18"/>
                <w:lang w:val="en-GB"/>
              </w:rPr>
            </w:pPr>
          </w:p>
        </w:tc>
        <w:tc>
          <w:tcPr>
            <w:tcW w:w="734" w:type="pct"/>
          </w:tcPr>
          <w:p w14:paraId="7C331C71" w14:textId="77777777" w:rsidR="008F369D" w:rsidRPr="00C501E3" w:rsidRDefault="008F369D" w:rsidP="008919D7">
            <w:pPr>
              <w:keepNext/>
              <w:rPr>
                <w:sz w:val="18"/>
                <w:szCs w:val="18"/>
                <w:lang w:val="en-GB"/>
              </w:rPr>
            </w:pPr>
          </w:p>
        </w:tc>
        <w:tc>
          <w:tcPr>
            <w:tcW w:w="556" w:type="pct"/>
          </w:tcPr>
          <w:p w14:paraId="7C331C72" w14:textId="77777777" w:rsidR="008F369D" w:rsidRPr="00C501E3" w:rsidRDefault="008F369D" w:rsidP="008919D7">
            <w:pPr>
              <w:keepNext/>
              <w:rPr>
                <w:sz w:val="18"/>
                <w:szCs w:val="18"/>
                <w:lang w:val="en-GB"/>
              </w:rPr>
            </w:pPr>
          </w:p>
        </w:tc>
        <w:tc>
          <w:tcPr>
            <w:tcW w:w="733" w:type="pct"/>
          </w:tcPr>
          <w:p w14:paraId="7C331C73" w14:textId="77777777" w:rsidR="008F369D" w:rsidRPr="00C501E3" w:rsidRDefault="008F369D" w:rsidP="008919D7">
            <w:pPr>
              <w:keepNext/>
              <w:rPr>
                <w:sz w:val="18"/>
                <w:szCs w:val="18"/>
                <w:lang w:val="en-GB"/>
              </w:rPr>
            </w:pPr>
          </w:p>
        </w:tc>
        <w:tc>
          <w:tcPr>
            <w:tcW w:w="778" w:type="pct"/>
          </w:tcPr>
          <w:p w14:paraId="7C331C74" w14:textId="77777777" w:rsidR="008F369D" w:rsidRPr="00C501E3" w:rsidRDefault="008F369D" w:rsidP="008919D7">
            <w:pPr>
              <w:keepNext/>
              <w:rPr>
                <w:sz w:val="18"/>
                <w:szCs w:val="18"/>
                <w:lang w:val="en-GB"/>
              </w:rPr>
            </w:pPr>
          </w:p>
        </w:tc>
      </w:tr>
      <w:tr w:rsidR="003A788B" w14:paraId="7C331C7F" w14:textId="77777777" w:rsidTr="00E06A78">
        <w:trPr>
          <w:cantSplit/>
        </w:trPr>
        <w:tc>
          <w:tcPr>
            <w:tcW w:w="4997" w:type="pct"/>
            <w:gridSpan w:val="7"/>
          </w:tcPr>
          <w:p w14:paraId="7C331C76" w14:textId="77777777" w:rsidR="008F369D" w:rsidRPr="003A16C3" w:rsidRDefault="00016F29" w:rsidP="008919D7">
            <w:pPr>
              <w:tabs>
                <w:tab w:val="left" w:pos="102"/>
              </w:tabs>
              <w:rPr>
                <w:sz w:val="18"/>
                <w:szCs w:val="18"/>
                <w:lang w:val="en-GB"/>
              </w:rPr>
            </w:pPr>
            <w:r w:rsidRPr="003A16C3">
              <w:rPr>
                <w:sz w:val="18"/>
                <w:szCs w:val="18"/>
                <w:lang w:val="en-GB"/>
              </w:rPr>
              <w:t>For each term, the frequency count was based on reactions of all grades (from mild to severe), except for terms marked with "+" where the frequency count was based only on severe (≥ grade 3 NCI common toxicity criteria) reactions.  Only the highest frequency observed in the trials is reported</w:t>
            </w:r>
          </w:p>
          <w:p w14:paraId="7C331C77" w14:textId="77777777" w:rsidR="008F369D" w:rsidRPr="003A16C3" w:rsidRDefault="00016F29" w:rsidP="008919D7">
            <w:pPr>
              <w:rPr>
                <w:sz w:val="18"/>
                <w:szCs w:val="18"/>
                <w:lang w:val="en-GB"/>
              </w:rPr>
            </w:pPr>
            <w:r w:rsidRPr="003A16C3">
              <w:rPr>
                <w:sz w:val="18"/>
                <w:szCs w:val="18"/>
                <w:vertAlign w:val="superscript"/>
                <w:lang w:val="en-GB"/>
              </w:rPr>
              <w:t>1</w:t>
            </w:r>
            <w:r w:rsidRPr="003A16C3">
              <w:rPr>
                <w:sz w:val="18"/>
                <w:szCs w:val="18"/>
                <w:lang w:val="en-GB"/>
              </w:rPr>
              <w:t xml:space="preserve"> includes reactivation and primary infections; frequency based on R</w:t>
            </w:r>
            <w:r w:rsidR="000A6DDA" w:rsidRPr="003A16C3">
              <w:rPr>
                <w:sz w:val="18"/>
                <w:szCs w:val="18"/>
                <w:lang w:val="en-GB"/>
              </w:rPr>
              <w:noBreakHyphen/>
            </w:r>
            <w:r w:rsidRPr="003A16C3">
              <w:rPr>
                <w:sz w:val="18"/>
                <w:szCs w:val="18"/>
                <w:lang w:val="en-GB"/>
              </w:rPr>
              <w:t>FC regimen in relapsed/refractory CLL</w:t>
            </w:r>
          </w:p>
          <w:p w14:paraId="7C331C78" w14:textId="77777777" w:rsidR="008F369D" w:rsidRPr="003A16C3" w:rsidRDefault="00016F29" w:rsidP="008919D7">
            <w:pPr>
              <w:rPr>
                <w:sz w:val="18"/>
                <w:szCs w:val="18"/>
                <w:lang w:val="en-GB"/>
              </w:rPr>
            </w:pPr>
            <w:r w:rsidRPr="003A16C3">
              <w:rPr>
                <w:sz w:val="18"/>
                <w:szCs w:val="18"/>
                <w:vertAlign w:val="superscript"/>
                <w:lang w:val="en-GB"/>
              </w:rPr>
              <w:t>2</w:t>
            </w:r>
            <w:r w:rsidRPr="003A16C3">
              <w:rPr>
                <w:sz w:val="18"/>
                <w:szCs w:val="18"/>
                <w:lang w:val="en-GB"/>
              </w:rPr>
              <w:t xml:space="preserve"> see also section infection below </w:t>
            </w:r>
          </w:p>
          <w:p w14:paraId="7C331C79" w14:textId="77777777" w:rsidR="008F369D" w:rsidRPr="003A16C3" w:rsidRDefault="00016F29" w:rsidP="008919D7">
            <w:pPr>
              <w:rPr>
                <w:sz w:val="18"/>
                <w:szCs w:val="18"/>
                <w:lang w:val="en-GB"/>
              </w:rPr>
            </w:pPr>
            <w:r w:rsidRPr="003A16C3">
              <w:rPr>
                <w:sz w:val="18"/>
                <w:szCs w:val="18"/>
                <w:vertAlign w:val="superscript"/>
                <w:lang w:val="en-GB"/>
              </w:rPr>
              <w:t>3</w:t>
            </w:r>
            <w:r w:rsidRPr="003A16C3">
              <w:rPr>
                <w:sz w:val="18"/>
                <w:szCs w:val="18"/>
                <w:lang w:val="en-GB"/>
              </w:rPr>
              <w:t xml:space="preserve"> see also section haematologic adverse reactions below</w:t>
            </w:r>
          </w:p>
          <w:p w14:paraId="7C331C7A" w14:textId="77777777" w:rsidR="008F369D" w:rsidRPr="003A16C3" w:rsidRDefault="00016F29" w:rsidP="008919D7">
            <w:pPr>
              <w:tabs>
                <w:tab w:val="left" w:pos="102"/>
              </w:tabs>
              <w:rPr>
                <w:sz w:val="18"/>
                <w:szCs w:val="18"/>
                <w:lang w:val="en-GB"/>
              </w:rPr>
            </w:pPr>
            <w:r w:rsidRPr="003A16C3">
              <w:rPr>
                <w:sz w:val="18"/>
                <w:szCs w:val="18"/>
                <w:vertAlign w:val="superscript"/>
                <w:lang w:val="en-GB"/>
              </w:rPr>
              <w:t>4</w:t>
            </w:r>
            <w:r w:rsidRPr="003A16C3">
              <w:rPr>
                <w:sz w:val="18"/>
                <w:szCs w:val="18"/>
                <w:lang w:val="en-GB"/>
              </w:rPr>
              <w:t xml:space="preserve"> see also section infusion</w:t>
            </w:r>
            <w:r w:rsidR="000A6DDA" w:rsidRPr="003A16C3">
              <w:rPr>
                <w:sz w:val="18"/>
                <w:szCs w:val="18"/>
                <w:lang w:val="en-GB"/>
              </w:rPr>
              <w:noBreakHyphen/>
            </w:r>
            <w:r w:rsidRPr="003A16C3">
              <w:rPr>
                <w:sz w:val="18"/>
                <w:szCs w:val="18"/>
                <w:lang w:val="en-GB"/>
              </w:rPr>
              <w:t>related reactions below. Rarely fatal cases reported</w:t>
            </w:r>
          </w:p>
          <w:p w14:paraId="7C331C7B" w14:textId="77777777" w:rsidR="008F369D" w:rsidRPr="003A16C3" w:rsidRDefault="00016F29" w:rsidP="008919D7">
            <w:pPr>
              <w:ind w:left="130" w:hanging="130"/>
              <w:rPr>
                <w:sz w:val="18"/>
                <w:szCs w:val="18"/>
                <w:lang w:val="en-GB"/>
              </w:rPr>
            </w:pPr>
            <w:r w:rsidRPr="003A16C3">
              <w:rPr>
                <w:sz w:val="18"/>
                <w:szCs w:val="18"/>
                <w:vertAlign w:val="superscript"/>
                <w:lang w:val="en-GB"/>
              </w:rPr>
              <w:t>5</w:t>
            </w:r>
            <w:r w:rsidRPr="003A16C3">
              <w:rPr>
                <w:b/>
                <w:sz w:val="18"/>
                <w:szCs w:val="18"/>
                <w:lang w:val="en-GB"/>
              </w:rPr>
              <w:t xml:space="preserve"> </w:t>
            </w:r>
            <w:r w:rsidRPr="003A16C3">
              <w:rPr>
                <w:sz w:val="18"/>
                <w:szCs w:val="18"/>
                <w:lang w:val="en-GB"/>
              </w:rPr>
              <w:t>signs and symptoms of cranial neuropathy. Occurred at various times up to several months after completion of MabThera therapy</w:t>
            </w:r>
          </w:p>
          <w:p w14:paraId="7C331C7C" w14:textId="77777777" w:rsidR="008F369D" w:rsidRPr="003A16C3" w:rsidRDefault="00016F29" w:rsidP="008919D7">
            <w:pPr>
              <w:ind w:left="130" w:hanging="130"/>
              <w:rPr>
                <w:b/>
                <w:i/>
                <w:sz w:val="18"/>
                <w:szCs w:val="18"/>
                <w:lang w:val="en-GB"/>
              </w:rPr>
            </w:pPr>
            <w:r w:rsidRPr="003A16C3">
              <w:rPr>
                <w:sz w:val="18"/>
                <w:szCs w:val="18"/>
                <w:vertAlign w:val="superscript"/>
                <w:lang w:val="en-GB"/>
              </w:rPr>
              <w:t>6</w:t>
            </w:r>
            <w:r w:rsidRPr="003A16C3">
              <w:rPr>
                <w:sz w:val="18"/>
                <w:szCs w:val="18"/>
                <w:lang w:val="en-GB"/>
              </w:rPr>
              <w:t xml:space="preserve"> observed mainly in patients with prior cardiac condition and/or cardiotoxic chemotherapy and were mostly associated with infusion</w:t>
            </w:r>
            <w:r w:rsidR="000A6DDA" w:rsidRPr="003A16C3">
              <w:rPr>
                <w:sz w:val="18"/>
                <w:szCs w:val="18"/>
                <w:lang w:val="en-GB"/>
              </w:rPr>
              <w:noBreakHyphen/>
            </w:r>
            <w:r w:rsidRPr="003A16C3">
              <w:rPr>
                <w:sz w:val="18"/>
                <w:szCs w:val="18"/>
                <w:lang w:val="en-GB"/>
              </w:rPr>
              <w:t>related reactions</w:t>
            </w:r>
          </w:p>
          <w:p w14:paraId="7C331C7D" w14:textId="77777777" w:rsidR="008F369D" w:rsidRPr="003A16C3" w:rsidRDefault="00016F29" w:rsidP="008919D7">
            <w:pPr>
              <w:rPr>
                <w:sz w:val="18"/>
                <w:szCs w:val="18"/>
                <w:lang w:val="en-GB"/>
              </w:rPr>
            </w:pPr>
            <w:r w:rsidRPr="003A16C3">
              <w:rPr>
                <w:sz w:val="18"/>
                <w:szCs w:val="18"/>
                <w:vertAlign w:val="superscript"/>
                <w:lang w:val="en-GB"/>
              </w:rPr>
              <w:t>7</w:t>
            </w:r>
            <w:r w:rsidRPr="003A16C3">
              <w:rPr>
                <w:sz w:val="18"/>
                <w:szCs w:val="18"/>
                <w:lang w:val="en-GB"/>
              </w:rPr>
              <w:t xml:space="preserve"> includes fatal cases</w:t>
            </w:r>
          </w:p>
          <w:p w14:paraId="7C331C7E" w14:textId="77777777" w:rsidR="008F369D" w:rsidRPr="003A16C3" w:rsidRDefault="008F369D" w:rsidP="008919D7">
            <w:pPr>
              <w:rPr>
                <w:sz w:val="16"/>
                <w:szCs w:val="16"/>
                <w:lang w:val="en-GB"/>
              </w:rPr>
            </w:pPr>
          </w:p>
        </w:tc>
      </w:tr>
    </w:tbl>
    <w:p w14:paraId="7C331C80" w14:textId="77777777" w:rsidR="008F369D" w:rsidRPr="00C501E3" w:rsidRDefault="008F369D" w:rsidP="008F369D">
      <w:pPr>
        <w:rPr>
          <w:szCs w:val="22"/>
          <w:lang w:val="en-GB"/>
        </w:rPr>
      </w:pPr>
    </w:p>
    <w:p w14:paraId="7C331C81" w14:textId="77777777" w:rsidR="008F369D" w:rsidRPr="003A16C3" w:rsidRDefault="00016F29" w:rsidP="008F369D">
      <w:pPr>
        <w:rPr>
          <w:szCs w:val="22"/>
          <w:lang w:val="en-GB"/>
        </w:rPr>
      </w:pPr>
      <w:r w:rsidRPr="003A16C3">
        <w:rPr>
          <w:szCs w:val="22"/>
          <w:lang w:val="en-GB"/>
        </w:rPr>
        <w:t>The following terms have been reported as adverse events during clinical trials, however, were reported at a similar or lower incidence in the MabThera</w:t>
      </w:r>
      <w:r w:rsidR="000A6DDA" w:rsidRPr="003A16C3">
        <w:rPr>
          <w:szCs w:val="22"/>
          <w:lang w:val="en-GB"/>
        </w:rPr>
        <w:noBreakHyphen/>
      </w:r>
      <w:r w:rsidRPr="003A16C3">
        <w:rPr>
          <w:szCs w:val="22"/>
          <w:lang w:val="en-GB"/>
        </w:rPr>
        <w:t>arms compared to control arms: haematotoxicity, neutropenic infection, urinary tract infection, sensory disturbance, pyrexia.</w:t>
      </w:r>
    </w:p>
    <w:p w14:paraId="7C331C82" w14:textId="77777777" w:rsidR="008F369D" w:rsidRPr="003A16C3" w:rsidRDefault="008F369D" w:rsidP="008F369D">
      <w:pPr>
        <w:rPr>
          <w:szCs w:val="22"/>
          <w:lang w:val="en-GB"/>
        </w:rPr>
      </w:pPr>
    </w:p>
    <w:p w14:paraId="7C331C83" w14:textId="77777777" w:rsidR="008F369D" w:rsidRPr="00C501E3" w:rsidRDefault="00016F29" w:rsidP="008F369D">
      <w:pPr>
        <w:rPr>
          <w:szCs w:val="22"/>
          <w:lang w:val="en-GB"/>
        </w:rPr>
      </w:pPr>
      <w:r w:rsidRPr="003A16C3">
        <w:rPr>
          <w:szCs w:val="22"/>
          <w:lang w:val="en-GB"/>
        </w:rPr>
        <w:t>Signs and symptoms suggestive of an infusion</w:t>
      </w:r>
      <w:r w:rsidR="000A6DDA" w:rsidRPr="003A16C3">
        <w:rPr>
          <w:szCs w:val="22"/>
          <w:lang w:val="en-GB"/>
        </w:rPr>
        <w:noBreakHyphen/>
      </w:r>
      <w:r w:rsidRPr="003A16C3">
        <w:rPr>
          <w:szCs w:val="22"/>
          <w:lang w:val="en-GB"/>
        </w:rPr>
        <w:t>related reaction were reported in more than 50 % of</w:t>
      </w:r>
      <w:r w:rsidRPr="00C501E3">
        <w:rPr>
          <w:szCs w:val="22"/>
          <w:lang w:val="en-GB"/>
        </w:rPr>
        <w:t xml:space="preserve"> patients in clinical trials involving MabThera intravenous formulation, and were predominantly seen during the first infusion, usually in the first one to two hours. These symptoms mainly comprised fever, chills and rigors. Other symptoms included flushing, angioedema, bronchospasm, vomiting, nausea, urticaria/rash, fatigue, headache, throat irritation, rhinitis, pruritus, pain, tachycardia, hypertension, hypotension, dyspnoea, dyspepsia, asthenia and features of tumour lysis syndrome. </w:t>
      </w:r>
      <w:r w:rsidRPr="003A16C3">
        <w:rPr>
          <w:szCs w:val="22"/>
          <w:lang w:val="en-GB"/>
        </w:rPr>
        <w:t>Severe infusion</w:t>
      </w:r>
      <w:r w:rsidR="000A6DDA" w:rsidRPr="003A16C3">
        <w:rPr>
          <w:szCs w:val="22"/>
          <w:lang w:val="en-GB"/>
        </w:rPr>
        <w:noBreakHyphen/>
      </w:r>
      <w:r w:rsidRPr="003A16C3">
        <w:rPr>
          <w:szCs w:val="22"/>
          <w:lang w:val="en-GB"/>
        </w:rPr>
        <w:t>related reactions (such as bronchospasm, hypotension) occurred in up to 12 % of the cases. Additional reactions reported in some cases were myocardial infarction, atrial fibrillation, pulmonary oedema</w:t>
      </w:r>
      <w:r w:rsidRPr="003A16C3">
        <w:rPr>
          <w:lang w:val="en-GB"/>
        </w:rPr>
        <w:t xml:space="preserve"> and acute reversible thrombocytopenia</w:t>
      </w:r>
      <w:r w:rsidRPr="003A16C3">
        <w:rPr>
          <w:szCs w:val="22"/>
          <w:lang w:val="en-GB"/>
        </w:rPr>
        <w:t>. Exacerbations of pre</w:t>
      </w:r>
      <w:r w:rsidR="000A6DDA" w:rsidRPr="003A16C3">
        <w:rPr>
          <w:szCs w:val="22"/>
          <w:lang w:val="en-GB"/>
        </w:rPr>
        <w:noBreakHyphen/>
      </w:r>
      <w:r w:rsidRPr="003A16C3">
        <w:rPr>
          <w:szCs w:val="22"/>
          <w:lang w:val="en-GB"/>
        </w:rPr>
        <w:t xml:space="preserve">existing cardiac conditions such as angina pectoris or congestive heart failure or </w:t>
      </w:r>
      <w:r w:rsidRPr="003A16C3">
        <w:rPr>
          <w:snapToGrid w:val="0"/>
          <w:szCs w:val="22"/>
          <w:lang w:val="en-GB"/>
        </w:rPr>
        <w:t xml:space="preserve">severe cardiac disorders (heart failure, myocardial infarction, </w:t>
      </w:r>
      <w:r w:rsidRPr="003A16C3">
        <w:rPr>
          <w:szCs w:val="22"/>
          <w:lang w:val="en-GB"/>
        </w:rPr>
        <w:t>atrial fibrillation</w:t>
      </w:r>
      <w:r w:rsidRPr="003A16C3">
        <w:rPr>
          <w:snapToGrid w:val="0"/>
          <w:szCs w:val="22"/>
          <w:lang w:val="en-GB"/>
        </w:rPr>
        <w:t xml:space="preserve">), </w:t>
      </w:r>
      <w:r w:rsidRPr="003A16C3">
        <w:rPr>
          <w:szCs w:val="22"/>
          <w:lang w:val="en-GB"/>
        </w:rPr>
        <w:t>pulmonary oedema, multi</w:t>
      </w:r>
      <w:r w:rsidR="000A6DDA" w:rsidRPr="003A16C3">
        <w:rPr>
          <w:szCs w:val="22"/>
          <w:lang w:val="en-GB"/>
        </w:rPr>
        <w:noBreakHyphen/>
      </w:r>
      <w:r w:rsidRPr="003A16C3">
        <w:rPr>
          <w:szCs w:val="22"/>
          <w:lang w:val="en-GB"/>
        </w:rPr>
        <w:t>organ failure</w:t>
      </w:r>
      <w:r w:rsidRPr="003A16C3">
        <w:rPr>
          <w:snapToGrid w:val="0"/>
          <w:szCs w:val="22"/>
          <w:lang w:val="en-GB"/>
        </w:rPr>
        <w:t xml:space="preserve">, tumour lysis syndrome, cytokine release syndrome, renal failure, and respiratory failure were reported </w:t>
      </w:r>
      <w:r w:rsidRPr="003A16C3">
        <w:rPr>
          <w:szCs w:val="22"/>
          <w:lang w:val="en-GB"/>
        </w:rPr>
        <w:t>at lower or unknown frequencies. The incidence of infusion</w:t>
      </w:r>
      <w:r w:rsidR="000A6DDA" w:rsidRPr="003A16C3">
        <w:rPr>
          <w:szCs w:val="22"/>
          <w:lang w:val="en-GB"/>
        </w:rPr>
        <w:noBreakHyphen/>
      </w:r>
      <w:r w:rsidRPr="003A16C3">
        <w:rPr>
          <w:szCs w:val="22"/>
          <w:lang w:val="en-GB"/>
        </w:rPr>
        <w:t>related symptoms decreased substantially with subsequent intravenous infusions and is &lt;1% of patients by the eighth cycle of MabThera (containing)</w:t>
      </w:r>
      <w:r w:rsidRPr="00C501E3">
        <w:rPr>
          <w:szCs w:val="22"/>
          <w:lang w:val="en-GB"/>
        </w:rPr>
        <w:t xml:space="preserve"> treatment. </w:t>
      </w:r>
    </w:p>
    <w:p w14:paraId="7C331C84" w14:textId="77777777" w:rsidR="008F369D" w:rsidRPr="00C501E3" w:rsidRDefault="008F369D" w:rsidP="008F369D">
      <w:pPr>
        <w:rPr>
          <w:szCs w:val="22"/>
          <w:lang w:val="en-GB"/>
        </w:rPr>
      </w:pPr>
    </w:p>
    <w:p w14:paraId="7C331C85" w14:textId="77777777" w:rsidR="008F369D" w:rsidRPr="00C501E3" w:rsidRDefault="00016F29" w:rsidP="00A56CE7">
      <w:pPr>
        <w:keepNext/>
        <w:keepLines/>
        <w:rPr>
          <w:szCs w:val="22"/>
          <w:u w:val="single"/>
          <w:lang w:val="en-GB"/>
        </w:rPr>
      </w:pPr>
      <w:r w:rsidRPr="00C501E3">
        <w:rPr>
          <w:szCs w:val="22"/>
          <w:u w:val="single"/>
          <w:lang w:val="en-GB"/>
        </w:rPr>
        <w:t>Description of selected adverse reactions</w:t>
      </w:r>
    </w:p>
    <w:p w14:paraId="7C331C86" w14:textId="77777777" w:rsidR="008F369D" w:rsidRPr="00C501E3" w:rsidRDefault="008F369D" w:rsidP="00A56CE7">
      <w:pPr>
        <w:keepNext/>
        <w:keepLines/>
        <w:rPr>
          <w:b/>
          <w:i/>
          <w:szCs w:val="22"/>
          <w:lang w:val="en-GB"/>
        </w:rPr>
      </w:pPr>
    </w:p>
    <w:p w14:paraId="7C331C87" w14:textId="77777777" w:rsidR="008F369D" w:rsidRPr="00C501E3" w:rsidRDefault="00016F29" w:rsidP="008F369D">
      <w:pPr>
        <w:outlineLvl w:val="0"/>
        <w:rPr>
          <w:i/>
          <w:szCs w:val="22"/>
          <w:lang w:val="en-GB"/>
        </w:rPr>
      </w:pPr>
      <w:r w:rsidRPr="00C501E3">
        <w:rPr>
          <w:i/>
          <w:szCs w:val="22"/>
          <w:lang w:val="en-GB"/>
        </w:rPr>
        <w:t xml:space="preserve">Infections </w:t>
      </w:r>
    </w:p>
    <w:p w14:paraId="7C331C88" w14:textId="77777777" w:rsidR="008F369D" w:rsidRPr="00947E78" w:rsidRDefault="00016F29" w:rsidP="008F369D">
      <w:pPr>
        <w:rPr>
          <w:szCs w:val="22"/>
          <w:lang w:val="en-GB"/>
        </w:rPr>
      </w:pPr>
      <w:r w:rsidRPr="00947E78">
        <w:rPr>
          <w:szCs w:val="22"/>
          <w:lang w:val="en-GB"/>
        </w:rPr>
        <w:t>MabThera induces B</w:t>
      </w:r>
      <w:r w:rsidR="000A6DDA" w:rsidRPr="00947E78">
        <w:rPr>
          <w:szCs w:val="22"/>
          <w:lang w:val="en-GB"/>
        </w:rPr>
        <w:noBreakHyphen/>
      </w:r>
      <w:r w:rsidRPr="00947E78">
        <w:rPr>
          <w:szCs w:val="22"/>
          <w:lang w:val="en-GB"/>
        </w:rPr>
        <w:t>cell depletion in about 70</w:t>
      </w:r>
      <w:r w:rsidR="000A6DDA" w:rsidRPr="00947E78">
        <w:rPr>
          <w:szCs w:val="22"/>
          <w:lang w:val="en-GB"/>
        </w:rPr>
        <w:noBreakHyphen/>
      </w:r>
      <w:r w:rsidRPr="00947E78">
        <w:rPr>
          <w:szCs w:val="22"/>
          <w:lang w:val="en-GB"/>
        </w:rPr>
        <w:t xml:space="preserve">80% of patients, but was associated with decreased serum immunoglobulins only in a minority of patients. </w:t>
      </w:r>
    </w:p>
    <w:p w14:paraId="7C331C89" w14:textId="77777777" w:rsidR="008F369D" w:rsidRPr="00947E78" w:rsidRDefault="008F369D" w:rsidP="008F369D">
      <w:pPr>
        <w:rPr>
          <w:szCs w:val="22"/>
          <w:lang w:val="en-GB"/>
        </w:rPr>
      </w:pPr>
    </w:p>
    <w:p w14:paraId="7C331C8A" w14:textId="77777777" w:rsidR="008F369D" w:rsidRPr="00947E78" w:rsidRDefault="00016F29" w:rsidP="00E06A78">
      <w:pPr>
        <w:keepNext/>
        <w:keepLines/>
        <w:rPr>
          <w:iCs/>
          <w:szCs w:val="22"/>
          <w:lang w:val="en-GB"/>
        </w:rPr>
      </w:pPr>
      <w:r w:rsidRPr="00947E78">
        <w:rPr>
          <w:szCs w:val="22"/>
          <w:lang w:val="en-GB"/>
        </w:rPr>
        <w:t>Localized candida infections as well as Herpes zoster were reported at a higher incidence in the MabThera</w:t>
      </w:r>
      <w:r w:rsidR="000A6DDA" w:rsidRPr="00947E78">
        <w:rPr>
          <w:szCs w:val="22"/>
          <w:lang w:val="en-GB"/>
        </w:rPr>
        <w:noBreakHyphen/>
      </w:r>
      <w:r w:rsidRPr="00947E78">
        <w:rPr>
          <w:szCs w:val="22"/>
          <w:lang w:val="en-GB"/>
        </w:rPr>
        <w:t xml:space="preserve">containing arm of randomized studies. </w:t>
      </w:r>
      <w:r w:rsidRPr="00947E78">
        <w:rPr>
          <w:lang w:val="en-GB"/>
        </w:rPr>
        <w:t xml:space="preserve">Severe infections were reported in about 4% of patients treated with MabThera monotherapy. </w:t>
      </w:r>
      <w:r w:rsidRPr="00947E78">
        <w:rPr>
          <w:szCs w:val="22"/>
          <w:lang w:val="en-GB"/>
        </w:rPr>
        <w:t xml:space="preserve">Higher frequencies of infections overall, including grade 3 or 4 infections, were observed during MabThera maintenance treatment up to 2 years when compared to observation. </w:t>
      </w:r>
      <w:r w:rsidRPr="00947E78">
        <w:rPr>
          <w:lang w:val="en-GB"/>
        </w:rPr>
        <w:t>There was no cumulative toxicity in terms of infections reported over a 2</w:t>
      </w:r>
      <w:r w:rsidR="000A6DDA" w:rsidRPr="00947E78">
        <w:rPr>
          <w:lang w:val="en-GB"/>
        </w:rPr>
        <w:noBreakHyphen/>
      </w:r>
      <w:r w:rsidRPr="00947E78">
        <w:rPr>
          <w:lang w:val="en-GB"/>
        </w:rPr>
        <w:t>year treatment period</w:t>
      </w:r>
      <w:r w:rsidRPr="00947E78">
        <w:rPr>
          <w:szCs w:val="22"/>
          <w:lang w:val="en-GB"/>
        </w:rPr>
        <w:t>. In addition, other serious viral infections either new, reactivated or exacerbated, some of which were fatal, have been reported with MabThera treatment. The majority of</w:t>
      </w:r>
      <w:r w:rsidRPr="00C501E3">
        <w:rPr>
          <w:szCs w:val="22"/>
          <w:lang w:val="en-GB"/>
        </w:rPr>
        <w:t xml:space="preserve"> patients had received MabThera in combination with chemotherapy or as part of a hematopoietic stem cell transplant. Examples of these serious viral infections are infections caused by the herpes viruses (Cytomegalovirus, Varicella Zoster Virus and Herpes Simplex Virus), JC virus (PML) and hepatitis C virus. Cases of fatal PML that occurred after disease progression and retreatment have also been reported in clinical trials. C</w:t>
      </w:r>
      <w:r w:rsidRPr="00C501E3">
        <w:rPr>
          <w:rFonts w:eastAsia="MS Mincho"/>
          <w:szCs w:val="22"/>
          <w:lang w:val="en-GB"/>
        </w:rPr>
        <w:t>ases of hepatitis B reactivation, have been reported, the majority of which were in patients receiving MabThera in combination with cytotoxic chemotherapy</w:t>
      </w:r>
      <w:r w:rsidRPr="00C501E3">
        <w:rPr>
          <w:szCs w:val="22"/>
          <w:lang w:val="en-GB"/>
        </w:rPr>
        <w:t xml:space="preserve">. </w:t>
      </w:r>
      <w:r w:rsidRPr="00C501E3">
        <w:rPr>
          <w:lang w:val="en-GB"/>
        </w:rPr>
        <w:t xml:space="preserve">Progression of </w:t>
      </w:r>
      <w:r w:rsidRPr="00947E78">
        <w:rPr>
          <w:lang w:val="en-GB"/>
        </w:rPr>
        <w:t>Kaposi’s sarcoma has been observed in MabThera</w:t>
      </w:r>
      <w:r w:rsidR="000A6DDA" w:rsidRPr="00947E78">
        <w:rPr>
          <w:lang w:val="en-GB"/>
        </w:rPr>
        <w:noBreakHyphen/>
      </w:r>
      <w:r w:rsidRPr="00947E78">
        <w:rPr>
          <w:lang w:val="en-GB"/>
        </w:rPr>
        <w:t>exposed patients with pre</w:t>
      </w:r>
      <w:r w:rsidR="000A6DDA" w:rsidRPr="00947E78">
        <w:rPr>
          <w:lang w:val="en-GB"/>
        </w:rPr>
        <w:noBreakHyphen/>
      </w:r>
      <w:r w:rsidRPr="00947E78">
        <w:rPr>
          <w:lang w:val="en-GB"/>
        </w:rPr>
        <w:t>existing Kaposi’s sarcoma. These cases occurred in non</w:t>
      </w:r>
      <w:r w:rsidR="000A6DDA" w:rsidRPr="00947E78">
        <w:rPr>
          <w:lang w:val="en-GB"/>
        </w:rPr>
        <w:noBreakHyphen/>
      </w:r>
      <w:r w:rsidRPr="00947E78">
        <w:rPr>
          <w:lang w:val="en-GB"/>
        </w:rPr>
        <w:t>approved indications and the majority of patients were HIV positive.</w:t>
      </w:r>
    </w:p>
    <w:p w14:paraId="7C331C8B" w14:textId="77777777" w:rsidR="008F369D" w:rsidRPr="00947E78" w:rsidRDefault="008F369D" w:rsidP="008F369D">
      <w:pPr>
        <w:rPr>
          <w:b/>
          <w:szCs w:val="22"/>
          <w:lang w:val="en-GB"/>
        </w:rPr>
      </w:pPr>
    </w:p>
    <w:p w14:paraId="7C331C8C" w14:textId="77777777" w:rsidR="008F369D" w:rsidRPr="00947E78" w:rsidRDefault="00016F29" w:rsidP="008F369D">
      <w:pPr>
        <w:keepNext/>
        <w:outlineLvl w:val="0"/>
        <w:rPr>
          <w:b/>
          <w:i/>
          <w:szCs w:val="22"/>
          <w:lang w:val="en-GB"/>
        </w:rPr>
      </w:pPr>
      <w:r w:rsidRPr="00947E78">
        <w:rPr>
          <w:i/>
          <w:szCs w:val="22"/>
          <w:lang w:val="en-GB"/>
        </w:rPr>
        <w:t>Haematologic adverse reactions</w:t>
      </w:r>
      <w:r w:rsidRPr="00947E78">
        <w:rPr>
          <w:b/>
          <w:i/>
          <w:szCs w:val="22"/>
          <w:lang w:val="en-GB"/>
        </w:rPr>
        <w:t xml:space="preserve"> </w:t>
      </w:r>
    </w:p>
    <w:p w14:paraId="7C331C8D" w14:textId="77777777" w:rsidR="008F369D" w:rsidRDefault="00016F29" w:rsidP="008F369D">
      <w:pPr>
        <w:rPr>
          <w:szCs w:val="22"/>
          <w:lang w:val="en-GB"/>
        </w:rPr>
      </w:pPr>
      <w:r w:rsidRPr="00947E78">
        <w:rPr>
          <w:szCs w:val="22"/>
          <w:lang w:val="en-GB"/>
        </w:rPr>
        <w:t>In clinical trials with MabThera monotherapy given for 4 weeks, haematological abnormalities occurred in a minority of patients and were usually mild and reversible. Severe (grade 3/4) neutropenia was reported in 4.2%, anaemia in 1.1% and thrombocytopenia in 1.7% of the patients. During</w:t>
      </w:r>
      <w:r w:rsidRPr="00947E78">
        <w:rPr>
          <w:szCs w:val="22"/>
          <w:u w:val="single"/>
          <w:lang w:val="en-GB"/>
        </w:rPr>
        <w:t xml:space="preserve"> </w:t>
      </w:r>
      <w:r w:rsidRPr="00947E78">
        <w:rPr>
          <w:szCs w:val="22"/>
          <w:lang w:val="en-GB"/>
        </w:rPr>
        <w:t xml:space="preserve">MabThera maintenance treatment for up to 2 years, leucopoenia (5% vs. 2%, grade 3/4) and neutropenia (10% vs. 4%, grade 3/4) were reported at a higher incidence when compared to observation. The incidence of thrombocytopenia was low (&lt;1 %, grade 3/4) and was not different between treatment arms. During the treatment course in studies with MabThera in combination with chemotherapy, </w:t>
      </w:r>
      <w:r w:rsidRPr="00947E78">
        <w:rPr>
          <w:lang w:val="en-GB"/>
        </w:rPr>
        <w:t>grade 3/4 leucopoenia (R</w:t>
      </w:r>
      <w:r w:rsidR="000A6DDA" w:rsidRPr="00947E78">
        <w:rPr>
          <w:lang w:val="en-GB"/>
        </w:rPr>
        <w:noBreakHyphen/>
      </w:r>
      <w:r w:rsidRPr="00947E78">
        <w:rPr>
          <w:lang w:val="en-GB"/>
        </w:rPr>
        <w:t>CHOP 88% vs. CHOP 79%), neutropenia (R</w:t>
      </w:r>
      <w:r w:rsidR="000A6DDA" w:rsidRPr="00947E78">
        <w:rPr>
          <w:lang w:val="en-GB"/>
        </w:rPr>
        <w:noBreakHyphen/>
      </w:r>
      <w:r w:rsidRPr="00947E78">
        <w:rPr>
          <w:lang w:val="en-GB"/>
        </w:rPr>
        <w:t>CVP 24% vs. CVP 14%; R</w:t>
      </w:r>
      <w:r w:rsidR="000A6DDA" w:rsidRPr="00947E78">
        <w:rPr>
          <w:lang w:val="en-GB"/>
        </w:rPr>
        <w:noBreakHyphen/>
      </w:r>
      <w:r w:rsidRPr="00947E78">
        <w:rPr>
          <w:lang w:val="en-GB"/>
        </w:rPr>
        <w:t>CHOP 97% vs. CHOP 88%), were usually reported with higher frequencies when</w:t>
      </w:r>
      <w:r w:rsidRPr="00C501E3">
        <w:rPr>
          <w:lang w:val="en-GB"/>
        </w:rPr>
        <w:t xml:space="preserve"> compared to chemotherapy alone. However, the higher incidence of neutropenia in patients treated with MabThera and chemotherapy was not associated with a higher incidence of infections and infestations compared to patients treated with chemotherapy alone. </w:t>
      </w:r>
      <w:r w:rsidRPr="00C501E3">
        <w:rPr>
          <w:szCs w:val="22"/>
          <w:lang w:val="en-GB"/>
        </w:rPr>
        <w:t>There were no differences reported for the incidence of anaemia.</w:t>
      </w:r>
      <w:r w:rsidRPr="00C501E3">
        <w:rPr>
          <w:lang w:val="en-GB"/>
        </w:rPr>
        <w:t xml:space="preserve"> </w:t>
      </w:r>
      <w:r w:rsidRPr="00C501E3">
        <w:rPr>
          <w:szCs w:val="22"/>
          <w:lang w:val="en-GB"/>
        </w:rPr>
        <w:t>Some c</w:t>
      </w:r>
      <w:r w:rsidRPr="00C501E3">
        <w:rPr>
          <w:lang w:val="en-GB"/>
        </w:rPr>
        <w:t xml:space="preserve">ases of late </w:t>
      </w:r>
      <w:r w:rsidRPr="00C501E3">
        <w:rPr>
          <w:szCs w:val="22"/>
          <w:lang w:val="en-GB"/>
        </w:rPr>
        <w:t xml:space="preserve">neutropenia occurring more than four weeks after the last infusion of MabThera were reported. </w:t>
      </w:r>
    </w:p>
    <w:p w14:paraId="7C331C8E" w14:textId="77777777" w:rsidR="00CA2C05" w:rsidRDefault="00CA2C05" w:rsidP="008F369D">
      <w:pPr>
        <w:rPr>
          <w:szCs w:val="22"/>
          <w:lang w:val="en-GB"/>
        </w:rPr>
      </w:pPr>
    </w:p>
    <w:p w14:paraId="7C331C8F" w14:textId="77777777" w:rsidR="00CA2C05" w:rsidRPr="00F332AF" w:rsidRDefault="00016F29" w:rsidP="00CA2C05">
      <w:pPr>
        <w:shd w:val="clear" w:color="auto" w:fill="FFFFFF"/>
        <w:rPr>
          <w:iCs/>
          <w:szCs w:val="22"/>
          <w:lang w:val="en-GB"/>
        </w:rPr>
      </w:pPr>
      <w:r w:rsidRPr="00DC4481">
        <w:rPr>
          <w:rFonts w:eastAsia="Arial Unicode MS"/>
          <w:szCs w:val="22"/>
          <w:shd w:val="clear" w:color="auto" w:fill="FFFFFF"/>
          <w:lang w:val="en-GB"/>
        </w:rPr>
        <w:t xml:space="preserve">In studies </w:t>
      </w:r>
      <w:r w:rsidRPr="008042C2">
        <w:rPr>
          <w:rFonts w:eastAsia="Arial Unicode MS"/>
          <w:szCs w:val="22"/>
          <w:shd w:val="clear" w:color="auto" w:fill="FFFFFF"/>
          <w:lang w:val="en-GB"/>
        </w:rPr>
        <w:t>of MabThera in patients with Waldenstrom’s macroglobulinaemia, transient increases in serum IgM levels have been observed following treatment in</w:t>
      </w:r>
      <w:r w:rsidRPr="00030A90">
        <w:rPr>
          <w:rFonts w:eastAsia="Arial Unicode MS"/>
          <w:szCs w:val="22"/>
          <w:shd w:val="clear" w:color="auto" w:fill="FFFFFF"/>
          <w:lang w:val="en-GB"/>
        </w:rPr>
        <w:t>itiation, which may be associated with hyperviscosity and related symptoms. The transient IgM increase usually returned to at least baseline level within 4 months</w:t>
      </w:r>
      <w:r w:rsidRPr="00030A90">
        <w:rPr>
          <w:rFonts w:eastAsia="Arial Unicode MS"/>
          <w:szCs w:val="22"/>
          <w:lang w:val="en-GB"/>
        </w:rPr>
        <w:t>.</w:t>
      </w:r>
    </w:p>
    <w:p w14:paraId="7C331C90" w14:textId="77777777" w:rsidR="008F369D" w:rsidRPr="00C501E3" w:rsidRDefault="008F369D" w:rsidP="008F369D">
      <w:pPr>
        <w:rPr>
          <w:szCs w:val="22"/>
          <w:lang w:val="en-GB"/>
        </w:rPr>
      </w:pPr>
    </w:p>
    <w:p w14:paraId="7C331C91" w14:textId="77777777" w:rsidR="008F369D" w:rsidRPr="00C501E3" w:rsidRDefault="00016F29" w:rsidP="008F369D">
      <w:pPr>
        <w:outlineLvl w:val="0"/>
        <w:rPr>
          <w:i/>
          <w:szCs w:val="22"/>
          <w:lang w:val="en-GB"/>
        </w:rPr>
      </w:pPr>
      <w:r w:rsidRPr="00C501E3">
        <w:rPr>
          <w:i/>
          <w:szCs w:val="22"/>
          <w:lang w:val="en-GB"/>
        </w:rPr>
        <w:t>Cardiovascular adverse reactions</w:t>
      </w:r>
    </w:p>
    <w:p w14:paraId="7C331C92" w14:textId="77777777" w:rsidR="008F369D" w:rsidRPr="008F5DF3" w:rsidRDefault="00016F29" w:rsidP="008F369D">
      <w:pPr>
        <w:rPr>
          <w:szCs w:val="22"/>
          <w:lang w:val="en-GB"/>
        </w:rPr>
      </w:pPr>
      <w:r w:rsidRPr="00C501E3">
        <w:rPr>
          <w:szCs w:val="22"/>
          <w:lang w:val="en-GB"/>
        </w:rPr>
        <w:t xml:space="preserve">Cardiovascular reactions during clinical trials with MabThera monotherapy were reported in 18.8% of patients with the most frequently reported events being hypotension and hypertension. Cases of grade 3 or 4 arrhythmia (including ventricular and supraventricular tachycardia) and angina pectoris during infusion were reported. </w:t>
      </w:r>
      <w:r w:rsidRPr="00C501E3">
        <w:rPr>
          <w:lang w:val="en-GB"/>
        </w:rPr>
        <w:t xml:space="preserve">During maintenance treatment, the incidence of grade 3/4 cardiac disorders was comparable between patients treated with MabThera and observation. Cardiac events were reported as serious adverse events (including atrial fibrillation, myocardial infarction, left ventricular failure, myocardial ischemia) in 3% of patients treated with MabThera compared to &lt;1% on observation. In studies evaluating MabThera in combination with chemotherapy, </w:t>
      </w:r>
      <w:r w:rsidRPr="00C501E3">
        <w:rPr>
          <w:szCs w:val="22"/>
          <w:lang w:val="en-GB"/>
        </w:rPr>
        <w:t xml:space="preserve">the incidence of grade 3 and 4 cardiac arrhythmias, predominantly supraventricular arrhythmias such as tachycardia </w:t>
      </w:r>
      <w:r w:rsidRPr="008F5DF3">
        <w:rPr>
          <w:szCs w:val="22"/>
          <w:lang w:val="en-GB"/>
        </w:rPr>
        <w:t>and atrial flutter/fibrillation, was higher in the R</w:t>
      </w:r>
      <w:r w:rsidR="000A6DDA" w:rsidRPr="008F5DF3">
        <w:rPr>
          <w:szCs w:val="22"/>
          <w:lang w:val="en-GB"/>
        </w:rPr>
        <w:noBreakHyphen/>
      </w:r>
      <w:r w:rsidRPr="008F5DF3">
        <w:rPr>
          <w:szCs w:val="22"/>
          <w:lang w:val="en-GB"/>
        </w:rPr>
        <w:t>CHOP group (14 patients, 6.9%) as compared to the</w:t>
      </w:r>
      <w:r w:rsidRPr="00C501E3">
        <w:rPr>
          <w:szCs w:val="22"/>
          <w:lang w:val="en-GB"/>
        </w:rPr>
        <w:t xml:space="preserve"> CHOP group (3 patients, 1.5%). All of these arrhythmias either occurred in the context of a MabThera infusion or were associated with predisposing conditions such as fever, infection, acute myocardial </w:t>
      </w:r>
      <w:r w:rsidRPr="008F5DF3">
        <w:rPr>
          <w:szCs w:val="22"/>
          <w:lang w:val="en-GB"/>
        </w:rPr>
        <w:t>infarction or pre</w:t>
      </w:r>
      <w:r w:rsidR="000A6DDA" w:rsidRPr="008F5DF3">
        <w:rPr>
          <w:szCs w:val="22"/>
          <w:lang w:val="en-GB"/>
        </w:rPr>
        <w:noBreakHyphen/>
      </w:r>
      <w:r w:rsidRPr="008F5DF3">
        <w:rPr>
          <w:szCs w:val="22"/>
          <w:lang w:val="en-GB"/>
        </w:rPr>
        <w:t>existing respiratory and cardiovascular disease. No difference between the R</w:t>
      </w:r>
      <w:r w:rsidR="000A6DDA" w:rsidRPr="008F5DF3">
        <w:rPr>
          <w:szCs w:val="22"/>
          <w:lang w:val="en-GB"/>
        </w:rPr>
        <w:noBreakHyphen/>
      </w:r>
      <w:r w:rsidRPr="008F5DF3">
        <w:rPr>
          <w:szCs w:val="22"/>
          <w:lang w:val="en-GB"/>
        </w:rPr>
        <w:t>CHOP and CHOP group was observed in the incidence of other grade 3 and 4 cardiac events including heart failure, myocardial disease and manifestations of coronary artery disease</w:t>
      </w:r>
      <w:r w:rsidRPr="008F5DF3">
        <w:rPr>
          <w:lang w:val="en-GB"/>
        </w:rPr>
        <w:t xml:space="preserve">. </w:t>
      </w:r>
    </w:p>
    <w:p w14:paraId="7C331C93" w14:textId="77777777" w:rsidR="008F369D" w:rsidRPr="00C501E3" w:rsidRDefault="008F369D" w:rsidP="008F369D">
      <w:pPr>
        <w:rPr>
          <w:lang w:val="en-GB"/>
        </w:rPr>
      </w:pPr>
    </w:p>
    <w:p w14:paraId="7C331C94" w14:textId="77777777" w:rsidR="008F369D" w:rsidRPr="00C501E3" w:rsidRDefault="00016F29" w:rsidP="00E06A78">
      <w:pPr>
        <w:keepNext/>
        <w:keepLines/>
        <w:rPr>
          <w:i/>
          <w:iCs/>
          <w:lang w:val="en-GB"/>
        </w:rPr>
      </w:pPr>
      <w:r w:rsidRPr="00C501E3">
        <w:rPr>
          <w:i/>
          <w:iCs/>
          <w:lang w:val="en-GB"/>
        </w:rPr>
        <w:t>Respiratory system</w:t>
      </w:r>
    </w:p>
    <w:p w14:paraId="7C331C95" w14:textId="77777777" w:rsidR="008F369D" w:rsidRPr="00C501E3" w:rsidRDefault="00016F29" w:rsidP="00E06A78">
      <w:pPr>
        <w:keepNext/>
        <w:keepLines/>
        <w:rPr>
          <w:iCs/>
          <w:lang w:val="en-GB"/>
        </w:rPr>
      </w:pPr>
      <w:r w:rsidRPr="00C501E3">
        <w:rPr>
          <w:iCs/>
          <w:lang w:val="en-GB"/>
        </w:rPr>
        <w:t>Cases of interstitial lung disease, some with fatal outcome have been reported.</w:t>
      </w:r>
    </w:p>
    <w:p w14:paraId="7C331C96" w14:textId="77777777" w:rsidR="008F369D" w:rsidRPr="00C501E3" w:rsidRDefault="008F369D" w:rsidP="00E06A78">
      <w:pPr>
        <w:keepNext/>
        <w:keepLines/>
        <w:outlineLvl w:val="0"/>
        <w:rPr>
          <w:i/>
          <w:szCs w:val="22"/>
          <w:lang w:val="en-GB"/>
        </w:rPr>
      </w:pPr>
    </w:p>
    <w:p w14:paraId="7C331C97" w14:textId="77777777" w:rsidR="008F369D" w:rsidRPr="008F5DF3" w:rsidRDefault="00016F29" w:rsidP="00E06A78">
      <w:pPr>
        <w:keepNext/>
        <w:keepLines/>
        <w:outlineLvl w:val="0"/>
        <w:rPr>
          <w:szCs w:val="22"/>
          <w:lang w:val="en-GB"/>
        </w:rPr>
      </w:pPr>
      <w:r w:rsidRPr="008F5DF3">
        <w:rPr>
          <w:i/>
          <w:szCs w:val="22"/>
          <w:lang w:val="en-GB"/>
        </w:rPr>
        <w:t>Neurologic disorders</w:t>
      </w:r>
      <w:r w:rsidRPr="008F5DF3">
        <w:rPr>
          <w:szCs w:val="22"/>
          <w:lang w:val="en-GB"/>
        </w:rPr>
        <w:t xml:space="preserve"> </w:t>
      </w:r>
    </w:p>
    <w:p w14:paraId="7C331C98" w14:textId="77777777" w:rsidR="008F369D" w:rsidRPr="008F5DF3" w:rsidRDefault="00016F29" w:rsidP="00E06A78">
      <w:pPr>
        <w:keepNext/>
        <w:keepLines/>
        <w:rPr>
          <w:szCs w:val="22"/>
          <w:lang w:val="en-GB"/>
        </w:rPr>
      </w:pPr>
      <w:r w:rsidRPr="008F5DF3">
        <w:rPr>
          <w:szCs w:val="22"/>
          <w:lang w:val="en-GB"/>
        </w:rPr>
        <w:t xml:space="preserve">During the treatment period </w:t>
      </w:r>
      <w:r w:rsidRPr="008F5DF3">
        <w:rPr>
          <w:b/>
          <w:szCs w:val="22"/>
          <w:lang w:val="en-GB"/>
        </w:rPr>
        <w:t>(</w:t>
      </w:r>
      <w:r w:rsidRPr="008F5DF3">
        <w:rPr>
          <w:iCs/>
          <w:lang w:val="en-GB"/>
        </w:rPr>
        <w:t>induction treatment phase comprising of R</w:t>
      </w:r>
      <w:r w:rsidR="000A6DDA" w:rsidRPr="008F5DF3">
        <w:rPr>
          <w:iCs/>
          <w:lang w:val="en-GB"/>
        </w:rPr>
        <w:noBreakHyphen/>
      </w:r>
      <w:r w:rsidRPr="008F5DF3">
        <w:rPr>
          <w:iCs/>
          <w:lang w:val="en-GB"/>
        </w:rPr>
        <w:t>CHOP for at most eight cycles)</w:t>
      </w:r>
      <w:r w:rsidRPr="008F5DF3">
        <w:rPr>
          <w:szCs w:val="22"/>
          <w:lang w:val="en-GB"/>
        </w:rPr>
        <w:t>, four patients (2 %) treated with R</w:t>
      </w:r>
      <w:r w:rsidR="000A6DDA" w:rsidRPr="008F5DF3">
        <w:rPr>
          <w:szCs w:val="22"/>
          <w:lang w:val="en-GB"/>
        </w:rPr>
        <w:noBreakHyphen/>
      </w:r>
      <w:r w:rsidRPr="008F5DF3">
        <w:rPr>
          <w:szCs w:val="22"/>
          <w:lang w:val="en-GB"/>
        </w:rPr>
        <w:t>CHOP, all with cardiovascular risk factors, experienced thromboembolic cerebrovascular accidents during the first treatment cycle. There was no difference between the treatment groups in the incidence of other thromboembolic events. In contrast, three patients (1.5%) had cerebrovascular events in the CHOP group, all of which occurred during the</w:t>
      </w:r>
      <w:r w:rsidRPr="00C501E3">
        <w:rPr>
          <w:szCs w:val="22"/>
          <w:lang w:val="en-GB"/>
        </w:rPr>
        <w:t xml:space="preserve"> </w:t>
      </w:r>
      <w:r w:rsidRPr="008F5DF3">
        <w:rPr>
          <w:szCs w:val="22"/>
          <w:lang w:val="en-GB"/>
        </w:rPr>
        <w:t>follow</w:t>
      </w:r>
      <w:r w:rsidR="000A6DDA" w:rsidRPr="008F5DF3">
        <w:rPr>
          <w:szCs w:val="22"/>
          <w:lang w:val="en-GB"/>
        </w:rPr>
        <w:noBreakHyphen/>
      </w:r>
      <w:r w:rsidRPr="008F5DF3">
        <w:rPr>
          <w:szCs w:val="22"/>
          <w:lang w:val="en-GB"/>
        </w:rPr>
        <w:t xml:space="preserve">up period.  </w:t>
      </w:r>
    </w:p>
    <w:p w14:paraId="7C331C99" w14:textId="77777777" w:rsidR="008F369D" w:rsidRPr="00C501E3" w:rsidRDefault="008F369D" w:rsidP="008F369D">
      <w:pPr>
        <w:rPr>
          <w:iCs/>
          <w:lang w:val="en-GB"/>
        </w:rPr>
      </w:pPr>
    </w:p>
    <w:p w14:paraId="7C331C9A" w14:textId="77777777" w:rsidR="008F369D" w:rsidRPr="00C501E3" w:rsidRDefault="00016F29" w:rsidP="008F369D">
      <w:pPr>
        <w:keepNext/>
        <w:keepLines/>
        <w:outlineLvl w:val="0"/>
        <w:rPr>
          <w:lang w:val="en-GB"/>
        </w:rPr>
      </w:pPr>
      <w:r w:rsidRPr="00C501E3">
        <w:rPr>
          <w:lang w:val="en-GB"/>
        </w:rPr>
        <w:t xml:space="preserve">Cases of </w:t>
      </w:r>
      <w:r w:rsidRPr="00C501E3">
        <w:rPr>
          <w:szCs w:val="22"/>
          <w:lang w:val="en-GB"/>
        </w:rPr>
        <w:t>posterior reversible encephalopathy syndrome (PRES) / reversible posterior leukoencephalopathy syndrome (RPLS)</w:t>
      </w:r>
      <w:r w:rsidRPr="00C501E3">
        <w:rPr>
          <w:lang w:val="en-GB"/>
        </w:rPr>
        <w:t xml:space="preserve"> have been reported.</w:t>
      </w:r>
      <w:r w:rsidRPr="00C501E3">
        <w:rPr>
          <w:szCs w:val="22"/>
          <w:lang w:val="en-GB"/>
        </w:rPr>
        <w:t xml:space="preserve"> Signs and symptoms included visual disturbance, headache, seizures and altered mental status, with or without associated hypertension. A diagnosis of PRES/RPLS requires confirmation by brain imaging. The reported cases had recognized risk factors for PRES/RPLS, including the patients’ underlying disease, hypertension, immunosuppressive therapy and/or chemotherapy.</w:t>
      </w:r>
    </w:p>
    <w:p w14:paraId="7C331C9B" w14:textId="77777777" w:rsidR="008F369D" w:rsidRPr="00C501E3" w:rsidRDefault="008F369D" w:rsidP="008F369D">
      <w:pPr>
        <w:rPr>
          <w:iCs/>
          <w:lang w:val="en-GB"/>
        </w:rPr>
      </w:pPr>
    </w:p>
    <w:p w14:paraId="7C331C9C" w14:textId="77777777" w:rsidR="008F369D" w:rsidRPr="008F5DF3" w:rsidRDefault="00016F29" w:rsidP="008F369D">
      <w:pPr>
        <w:keepNext/>
        <w:keepLines/>
        <w:outlineLvl w:val="0"/>
        <w:rPr>
          <w:i/>
          <w:lang w:val="en-GB"/>
        </w:rPr>
      </w:pPr>
      <w:r w:rsidRPr="008F5DF3">
        <w:rPr>
          <w:i/>
          <w:lang w:val="en-GB"/>
        </w:rPr>
        <w:t>Gastrointestinal disorders</w:t>
      </w:r>
    </w:p>
    <w:p w14:paraId="7C331C9D" w14:textId="77777777" w:rsidR="008F369D" w:rsidRPr="008F5DF3" w:rsidRDefault="00016F29" w:rsidP="008F369D">
      <w:pPr>
        <w:rPr>
          <w:lang w:val="en-GB"/>
        </w:rPr>
      </w:pPr>
      <w:r w:rsidRPr="008F5DF3">
        <w:rPr>
          <w:lang w:val="en-GB"/>
        </w:rPr>
        <w:t>Gastrointestinal perforation in some cases leading to death has been observed in patients receiving MabThera for treatment of Non</w:t>
      </w:r>
      <w:r w:rsidR="000A6DDA" w:rsidRPr="008F5DF3">
        <w:rPr>
          <w:lang w:val="en-GB"/>
        </w:rPr>
        <w:noBreakHyphen/>
      </w:r>
      <w:r w:rsidRPr="008F5DF3">
        <w:rPr>
          <w:lang w:val="en-GB"/>
        </w:rPr>
        <w:t xml:space="preserve">Hodgkin’s lymphoma (NHL). In the majority of these cases, MabThera was administered with chemotherapy. </w:t>
      </w:r>
    </w:p>
    <w:p w14:paraId="7C331C9E" w14:textId="77777777" w:rsidR="008F369D" w:rsidRPr="008F5DF3" w:rsidRDefault="008F369D" w:rsidP="008F369D">
      <w:pPr>
        <w:rPr>
          <w:i/>
          <w:snapToGrid w:val="0"/>
          <w:szCs w:val="22"/>
          <w:lang w:val="en-GB"/>
        </w:rPr>
      </w:pPr>
    </w:p>
    <w:p w14:paraId="7C331C9F" w14:textId="77777777" w:rsidR="008F369D" w:rsidRPr="008F5DF3" w:rsidRDefault="00016F29" w:rsidP="008F369D">
      <w:pPr>
        <w:keepNext/>
        <w:outlineLvl w:val="0"/>
        <w:rPr>
          <w:lang w:val="en-GB"/>
        </w:rPr>
      </w:pPr>
      <w:r w:rsidRPr="008F5DF3">
        <w:rPr>
          <w:i/>
          <w:lang w:val="en-GB"/>
        </w:rPr>
        <w:t>IgG levels</w:t>
      </w:r>
    </w:p>
    <w:p w14:paraId="7C331CA0" w14:textId="77777777" w:rsidR="008F369D" w:rsidRPr="00C501E3" w:rsidRDefault="00016F29" w:rsidP="008F369D">
      <w:pPr>
        <w:rPr>
          <w:lang w:val="en-GB"/>
        </w:rPr>
      </w:pPr>
      <w:r w:rsidRPr="00C501E3">
        <w:rPr>
          <w:lang w:val="en-GB"/>
        </w:rPr>
        <w:t>In the clinical trial evaluating MabThera maintenance treatment in relapsed/refractory follicular lymphoma, median IgG levels were below the lower limit of normal (LLN) (&lt; 7 g/L) after induction treatment in both the observation and the MabThera groups. In the observation group, the median IgG level subsequently increased to above the LLN, but remained constant in the MabThera group. The proportion of patients with IgG levels below the LLN was about 60% in the MabThera group throughout the 2 year treatment period, while it decreased in the observation group (36% after 2 years).</w:t>
      </w:r>
    </w:p>
    <w:p w14:paraId="7C331CA1" w14:textId="77777777" w:rsidR="008F369D" w:rsidRPr="00C501E3" w:rsidRDefault="008F369D" w:rsidP="008F369D">
      <w:pPr>
        <w:rPr>
          <w:snapToGrid w:val="0"/>
          <w:szCs w:val="22"/>
          <w:lang w:val="en-GB"/>
        </w:rPr>
      </w:pPr>
    </w:p>
    <w:p w14:paraId="7C331CA2" w14:textId="77777777" w:rsidR="008F369D" w:rsidRPr="00C501E3" w:rsidRDefault="00016F29" w:rsidP="008F369D">
      <w:pPr>
        <w:rPr>
          <w:rFonts w:cs="Arial"/>
          <w:i/>
          <w:lang w:val="en-GB"/>
        </w:rPr>
      </w:pPr>
      <w:r w:rsidRPr="00C501E3">
        <w:rPr>
          <w:rFonts w:cs="Arial"/>
          <w:i/>
          <w:lang w:val="en-GB"/>
        </w:rPr>
        <w:t>Skin and subcutaneous tissue disorders</w:t>
      </w:r>
    </w:p>
    <w:p w14:paraId="7C331CA3" w14:textId="77777777" w:rsidR="008F369D" w:rsidRPr="008F5DF3" w:rsidRDefault="00016F29" w:rsidP="008F369D">
      <w:pPr>
        <w:rPr>
          <w:lang w:val="en-GB"/>
        </w:rPr>
      </w:pPr>
      <w:r w:rsidRPr="008F5DF3">
        <w:rPr>
          <w:lang w:val="en-GB"/>
        </w:rPr>
        <w:t>Toxic Epidermal Necrolysis (</w:t>
      </w:r>
      <w:r w:rsidRPr="008F5DF3">
        <w:rPr>
          <w:iCs/>
          <w:lang w:val="en-GB"/>
        </w:rPr>
        <w:t xml:space="preserve">Lyell Syndrome) </w:t>
      </w:r>
      <w:r w:rsidRPr="008F5DF3">
        <w:rPr>
          <w:lang w:val="en-GB"/>
        </w:rPr>
        <w:t>and Stevens</w:t>
      </w:r>
      <w:r w:rsidR="000A6DDA" w:rsidRPr="008F5DF3">
        <w:rPr>
          <w:lang w:val="en-GB"/>
        </w:rPr>
        <w:noBreakHyphen/>
      </w:r>
      <w:r w:rsidRPr="008F5DF3">
        <w:rPr>
          <w:lang w:val="en-GB"/>
        </w:rPr>
        <w:t>Johnson syndrome, some with fatal outcome, have been reported very rarely.</w:t>
      </w:r>
    </w:p>
    <w:p w14:paraId="7C331CA4" w14:textId="77777777" w:rsidR="008F369D" w:rsidRPr="008F5DF3" w:rsidRDefault="008F369D" w:rsidP="008F369D">
      <w:pPr>
        <w:rPr>
          <w:snapToGrid w:val="0"/>
          <w:szCs w:val="22"/>
          <w:lang w:val="en-GB"/>
        </w:rPr>
      </w:pPr>
    </w:p>
    <w:p w14:paraId="7C331CA5" w14:textId="77777777" w:rsidR="008F369D" w:rsidRPr="008F5DF3" w:rsidRDefault="00016F29" w:rsidP="008F369D">
      <w:pPr>
        <w:outlineLvl w:val="0"/>
        <w:rPr>
          <w:i/>
          <w:snapToGrid w:val="0"/>
          <w:szCs w:val="22"/>
          <w:lang w:val="en-GB"/>
        </w:rPr>
      </w:pPr>
      <w:r w:rsidRPr="008F5DF3">
        <w:rPr>
          <w:i/>
          <w:snapToGrid w:val="0"/>
          <w:szCs w:val="22"/>
          <w:lang w:val="en-GB"/>
        </w:rPr>
        <w:t xml:space="preserve">Patient subpopulations </w:t>
      </w:r>
      <w:r w:rsidR="000A6DDA" w:rsidRPr="008F5DF3">
        <w:rPr>
          <w:i/>
          <w:snapToGrid w:val="0"/>
          <w:szCs w:val="22"/>
          <w:lang w:val="en-GB"/>
        </w:rPr>
        <w:noBreakHyphen/>
      </w:r>
      <w:r w:rsidRPr="008F5DF3">
        <w:rPr>
          <w:i/>
          <w:snapToGrid w:val="0"/>
          <w:szCs w:val="22"/>
          <w:lang w:val="en-GB"/>
        </w:rPr>
        <w:t xml:space="preserve"> MabThera monotherapy</w:t>
      </w:r>
    </w:p>
    <w:p w14:paraId="7C331CA6" w14:textId="77777777" w:rsidR="008F369D" w:rsidRPr="008F5DF3" w:rsidRDefault="00016F29" w:rsidP="008F369D">
      <w:pPr>
        <w:rPr>
          <w:szCs w:val="22"/>
          <w:lang w:val="en-GB"/>
        </w:rPr>
      </w:pPr>
      <w:r w:rsidRPr="008F5DF3">
        <w:rPr>
          <w:szCs w:val="22"/>
          <w:lang w:val="en-GB"/>
        </w:rPr>
        <w:t>Elderly (</w:t>
      </w:r>
      <w:r w:rsidRPr="00E06A78">
        <w:rPr>
          <w:rFonts w:ascii="Symbol" w:hAnsi="Symbol"/>
          <w:lang w:val="en-GB"/>
        </w:rPr>
        <w:sym w:font="Symbol" w:char="F0B3"/>
      </w:r>
      <w:r w:rsidRPr="008F5DF3">
        <w:rPr>
          <w:szCs w:val="22"/>
          <w:lang w:val="en-GB"/>
        </w:rPr>
        <w:t xml:space="preserve"> 65 years): </w:t>
      </w:r>
    </w:p>
    <w:p w14:paraId="7C331CA7" w14:textId="77777777" w:rsidR="008F369D" w:rsidRPr="008F5DF3" w:rsidRDefault="00016F29" w:rsidP="008F369D">
      <w:pPr>
        <w:rPr>
          <w:szCs w:val="22"/>
          <w:lang w:val="en-GB"/>
        </w:rPr>
      </w:pPr>
      <w:r w:rsidRPr="008F5DF3">
        <w:rPr>
          <w:szCs w:val="22"/>
          <w:lang w:val="en-GB"/>
        </w:rPr>
        <w:t xml:space="preserve">The incidence of ADRs of all grades and grade 3 /4 ADR was similar in elderly patients compared to younger patients (&lt;65 years). </w:t>
      </w:r>
    </w:p>
    <w:p w14:paraId="7C331CA8" w14:textId="77777777" w:rsidR="008F369D" w:rsidRPr="008F5DF3" w:rsidRDefault="008F369D" w:rsidP="008F369D">
      <w:pPr>
        <w:rPr>
          <w:b/>
          <w:i/>
          <w:snapToGrid w:val="0"/>
          <w:szCs w:val="22"/>
          <w:lang w:val="en-GB"/>
        </w:rPr>
      </w:pPr>
    </w:p>
    <w:p w14:paraId="7C331CA9" w14:textId="77777777" w:rsidR="008F369D" w:rsidRPr="00C501E3" w:rsidRDefault="00016F29" w:rsidP="008F369D">
      <w:pPr>
        <w:keepNext/>
        <w:keepLines/>
        <w:outlineLvl w:val="0"/>
        <w:rPr>
          <w:szCs w:val="22"/>
          <w:lang w:val="en-GB"/>
        </w:rPr>
      </w:pPr>
      <w:r w:rsidRPr="00C501E3">
        <w:rPr>
          <w:szCs w:val="22"/>
          <w:lang w:val="en-GB"/>
        </w:rPr>
        <w:t>Bulky disease:</w:t>
      </w:r>
    </w:p>
    <w:p w14:paraId="7C331CAA" w14:textId="77777777" w:rsidR="008F369D" w:rsidRPr="00C501E3" w:rsidRDefault="00016F29" w:rsidP="008F369D">
      <w:pPr>
        <w:keepNext/>
        <w:keepLines/>
        <w:rPr>
          <w:szCs w:val="22"/>
          <w:lang w:val="en-GB"/>
        </w:rPr>
      </w:pPr>
      <w:r w:rsidRPr="00C501E3">
        <w:rPr>
          <w:szCs w:val="22"/>
          <w:lang w:val="en-GB"/>
        </w:rPr>
        <w:t>There was a higher incidence of grade 3/4 ADRs in patients with bulky disease than in patients without bulky disease (25.6 % vs. 15.4 %). The incidence of ADRs of any grade was similar in these two groups.</w:t>
      </w:r>
    </w:p>
    <w:p w14:paraId="7C331CAB" w14:textId="77777777" w:rsidR="008F369D" w:rsidRPr="00C501E3" w:rsidRDefault="008F369D" w:rsidP="008F369D">
      <w:pPr>
        <w:rPr>
          <w:szCs w:val="22"/>
          <w:lang w:val="en-GB"/>
        </w:rPr>
      </w:pPr>
    </w:p>
    <w:p w14:paraId="7C331CAC" w14:textId="77777777" w:rsidR="008F369D" w:rsidRPr="0079091B" w:rsidRDefault="00016F29" w:rsidP="008F369D">
      <w:pPr>
        <w:rPr>
          <w:szCs w:val="22"/>
          <w:lang w:val="en-GB"/>
        </w:rPr>
      </w:pPr>
      <w:r w:rsidRPr="0079091B">
        <w:rPr>
          <w:szCs w:val="22"/>
          <w:lang w:val="en-GB"/>
        </w:rPr>
        <w:t>Re</w:t>
      </w:r>
      <w:r w:rsidR="000A6DDA" w:rsidRPr="0079091B">
        <w:rPr>
          <w:szCs w:val="22"/>
          <w:lang w:val="en-GB"/>
        </w:rPr>
        <w:noBreakHyphen/>
      </w:r>
      <w:r w:rsidRPr="0079091B">
        <w:rPr>
          <w:szCs w:val="22"/>
          <w:lang w:val="en-GB"/>
        </w:rPr>
        <w:t>treatment:</w:t>
      </w:r>
    </w:p>
    <w:p w14:paraId="7C331CAD" w14:textId="77777777" w:rsidR="008F369D" w:rsidRPr="0079091B" w:rsidRDefault="00016F29" w:rsidP="008F369D">
      <w:pPr>
        <w:rPr>
          <w:szCs w:val="22"/>
          <w:lang w:val="en-GB"/>
        </w:rPr>
      </w:pPr>
      <w:r w:rsidRPr="0079091B">
        <w:rPr>
          <w:szCs w:val="22"/>
          <w:lang w:val="en-GB"/>
        </w:rPr>
        <w:t>The percentage of patients reporting ADRs upon re</w:t>
      </w:r>
      <w:r w:rsidR="000A6DDA" w:rsidRPr="0079091B">
        <w:rPr>
          <w:szCs w:val="22"/>
          <w:lang w:val="en-GB"/>
        </w:rPr>
        <w:noBreakHyphen/>
      </w:r>
      <w:r w:rsidRPr="0079091B">
        <w:rPr>
          <w:szCs w:val="22"/>
          <w:lang w:val="en-GB"/>
        </w:rPr>
        <w:t>treatment with further courses of MabThera was similar to the percentage of patients reporting ADRs upon initial exposure (any grade and grade 3/4 ADRs).</w:t>
      </w:r>
    </w:p>
    <w:p w14:paraId="7C331CAE" w14:textId="77777777" w:rsidR="008F369D" w:rsidRPr="0079091B" w:rsidRDefault="008F369D" w:rsidP="008F369D">
      <w:pPr>
        <w:rPr>
          <w:szCs w:val="22"/>
          <w:lang w:val="en-GB"/>
        </w:rPr>
      </w:pPr>
    </w:p>
    <w:p w14:paraId="7C331CAF" w14:textId="77777777" w:rsidR="008F369D" w:rsidRPr="00C501E3" w:rsidRDefault="00016F29" w:rsidP="00A56CE7">
      <w:pPr>
        <w:keepNext/>
        <w:keepLines/>
        <w:autoSpaceDE w:val="0"/>
        <w:autoSpaceDN w:val="0"/>
        <w:adjustRightInd w:val="0"/>
        <w:rPr>
          <w:szCs w:val="22"/>
          <w:u w:val="single"/>
          <w:lang w:val="en-GB"/>
        </w:rPr>
      </w:pPr>
      <w:r w:rsidRPr="00C501E3">
        <w:rPr>
          <w:szCs w:val="22"/>
          <w:u w:val="single"/>
          <w:lang w:val="en-GB"/>
        </w:rPr>
        <w:t>Reporting of suspected adverse reactions</w:t>
      </w:r>
    </w:p>
    <w:p w14:paraId="7C331CB0" w14:textId="77777777" w:rsidR="008F369D" w:rsidRPr="00C501E3" w:rsidRDefault="008F369D" w:rsidP="00A56CE7">
      <w:pPr>
        <w:keepNext/>
        <w:keepLines/>
        <w:autoSpaceDE w:val="0"/>
        <w:autoSpaceDN w:val="0"/>
        <w:adjustRightInd w:val="0"/>
        <w:rPr>
          <w:b/>
          <w:szCs w:val="22"/>
          <w:u w:val="single"/>
          <w:lang w:val="en-GB"/>
        </w:rPr>
      </w:pPr>
    </w:p>
    <w:p w14:paraId="7C331CB1" w14:textId="77777777" w:rsidR="008F369D" w:rsidRPr="00C501E3" w:rsidRDefault="00016F29" w:rsidP="00A56CE7">
      <w:pPr>
        <w:keepNext/>
        <w:keepLines/>
        <w:outlineLvl w:val="0"/>
        <w:rPr>
          <w:szCs w:val="22"/>
          <w:lang w:val="en-GB"/>
        </w:rPr>
      </w:pPr>
      <w:r w:rsidRPr="00C501E3">
        <w:rPr>
          <w:szCs w:val="22"/>
          <w:lang w:val="en-GB"/>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AB0348">
        <w:rPr>
          <w:szCs w:val="22"/>
          <w:highlight w:val="lightGray"/>
          <w:lang w:val="en-GB"/>
        </w:rPr>
        <w:t xml:space="preserve">the national reporting system listed in </w:t>
      </w:r>
      <w:hyperlink r:id="rId18" w:history="1">
        <w:r w:rsidRPr="00AB0348">
          <w:rPr>
            <w:color w:val="0000FF"/>
            <w:highlight w:val="lightGray"/>
            <w:u w:val="single"/>
            <w:lang w:val="en-GB"/>
          </w:rPr>
          <w:t>Appendix V</w:t>
        </w:r>
      </w:hyperlink>
      <w:r w:rsidRPr="00C501E3">
        <w:rPr>
          <w:color w:val="0000FF"/>
          <w:lang w:val="en-GB"/>
        </w:rPr>
        <w:t>.</w:t>
      </w:r>
    </w:p>
    <w:p w14:paraId="7C331CB2" w14:textId="77777777" w:rsidR="008F369D" w:rsidRPr="00C501E3" w:rsidRDefault="008F369D" w:rsidP="008F369D">
      <w:pPr>
        <w:outlineLvl w:val="0"/>
        <w:rPr>
          <w:szCs w:val="22"/>
          <w:lang w:val="en-GB"/>
        </w:rPr>
      </w:pPr>
    </w:p>
    <w:p w14:paraId="7C331CB3" w14:textId="77777777" w:rsidR="008F369D" w:rsidRPr="00C501E3" w:rsidRDefault="00016F29" w:rsidP="00E06A78">
      <w:pPr>
        <w:keepNext/>
        <w:keepLines/>
        <w:outlineLvl w:val="0"/>
        <w:rPr>
          <w:szCs w:val="22"/>
          <w:lang w:val="en-GB"/>
        </w:rPr>
      </w:pPr>
      <w:r w:rsidRPr="00C501E3">
        <w:rPr>
          <w:b/>
          <w:szCs w:val="22"/>
          <w:lang w:val="en-GB"/>
        </w:rPr>
        <w:t>4.9</w:t>
      </w:r>
      <w:r w:rsidRPr="00C501E3">
        <w:rPr>
          <w:b/>
          <w:szCs w:val="22"/>
          <w:lang w:val="en-GB"/>
        </w:rPr>
        <w:tab/>
        <w:t>Overdose</w:t>
      </w:r>
    </w:p>
    <w:p w14:paraId="7C331CB4" w14:textId="77777777" w:rsidR="008F369D" w:rsidRPr="00C501E3" w:rsidRDefault="008F369D" w:rsidP="00E06A78">
      <w:pPr>
        <w:rPr>
          <w:szCs w:val="22"/>
          <w:lang w:val="en-GB"/>
        </w:rPr>
      </w:pPr>
    </w:p>
    <w:p w14:paraId="7C331CB5" w14:textId="77777777" w:rsidR="008F369D" w:rsidRPr="00C501E3" w:rsidRDefault="00016F29" w:rsidP="00E06A78">
      <w:pPr>
        <w:keepNext/>
        <w:keepLines/>
        <w:rPr>
          <w:rFonts w:cs="Arial"/>
          <w:lang w:val="en-GB"/>
        </w:rPr>
      </w:pPr>
      <w:r w:rsidRPr="00C501E3">
        <w:rPr>
          <w:rFonts w:cs="Arial"/>
          <w:lang w:val="en-GB"/>
        </w:rPr>
        <w:t>Limited experience with doses higher than the approved dose of intravenous MabThera formulation is available from clinical trials in humans. The highest intravenous dose of MabThera tested in humans to date is 5000 mg (2250 mg/m</w:t>
      </w:r>
      <w:r w:rsidRPr="00C501E3">
        <w:rPr>
          <w:rFonts w:cs="Arial"/>
          <w:vertAlign w:val="superscript"/>
          <w:lang w:val="en-GB"/>
        </w:rPr>
        <w:t>2</w:t>
      </w:r>
      <w:r w:rsidRPr="00C501E3">
        <w:rPr>
          <w:rFonts w:cs="Arial"/>
          <w:lang w:val="en-GB"/>
        </w:rPr>
        <w:t xml:space="preserve">), tested in a dose escalation study in patients with </w:t>
      </w:r>
      <w:r w:rsidR="007D4E4A">
        <w:rPr>
          <w:rFonts w:cs="Arial"/>
          <w:lang w:val="en-GB"/>
        </w:rPr>
        <w:t>CLL</w:t>
      </w:r>
      <w:r w:rsidRPr="00C501E3">
        <w:rPr>
          <w:rFonts w:cs="Arial"/>
          <w:lang w:val="en-GB"/>
        </w:rPr>
        <w:t>. No additional safety signals were identified.</w:t>
      </w:r>
    </w:p>
    <w:p w14:paraId="7C331CB6" w14:textId="77777777" w:rsidR="008F369D" w:rsidRPr="00C501E3" w:rsidRDefault="00016F29" w:rsidP="008F369D">
      <w:pPr>
        <w:rPr>
          <w:rFonts w:cs="Arial"/>
          <w:lang w:val="en-GB"/>
        </w:rPr>
      </w:pPr>
      <w:r w:rsidRPr="00C501E3">
        <w:rPr>
          <w:rFonts w:cs="Arial"/>
          <w:lang w:val="en-GB"/>
        </w:rPr>
        <w:t>Patients who experience overdose should have immediate interruption of their infusion and be closely monitored.</w:t>
      </w:r>
    </w:p>
    <w:p w14:paraId="7C331CB7" w14:textId="77777777" w:rsidR="008F369D" w:rsidRPr="00C501E3" w:rsidRDefault="008F369D" w:rsidP="008F369D">
      <w:pPr>
        <w:rPr>
          <w:rFonts w:cs="Arial"/>
          <w:lang w:val="en-GB"/>
        </w:rPr>
      </w:pPr>
    </w:p>
    <w:p w14:paraId="7C331CB8" w14:textId="77777777" w:rsidR="008F369D" w:rsidRPr="00E830E8" w:rsidRDefault="00016F29" w:rsidP="008F369D">
      <w:pPr>
        <w:rPr>
          <w:rFonts w:cs="Arial"/>
          <w:lang w:val="en-GB"/>
        </w:rPr>
      </w:pPr>
      <w:r w:rsidRPr="00E830E8">
        <w:rPr>
          <w:rFonts w:cs="Arial"/>
          <w:lang w:val="en-GB"/>
        </w:rPr>
        <w:t>Three</w:t>
      </w:r>
      <w:r w:rsidRPr="00E830E8">
        <w:rPr>
          <w:rFonts w:cs="Arial"/>
          <w:b/>
          <w:i/>
          <w:lang w:val="en-GB"/>
        </w:rPr>
        <w:t xml:space="preserve"> </w:t>
      </w:r>
      <w:r w:rsidR="00B54C20" w:rsidRPr="00E830E8">
        <w:rPr>
          <w:rFonts w:cs="Arial"/>
          <w:lang w:val="en-GB"/>
        </w:rPr>
        <w:t>patient</w:t>
      </w:r>
      <w:r w:rsidRPr="00E830E8">
        <w:rPr>
          <w:rFonts w:cs="Arial"/>
          <w:lang w:val="en-GB"/>
        </w:rPr>
        <w:t>s in the MabThera subcutaneous formulation trial SABRINA (BO22334) were</w:t>
      </w:r>
      <w:r w:rsidRPr="00E830E8">
        <w:rPr>
          <w:rFonts w:cs="Arial"/>
          <w:b/>
          <w:i/>
          <w:lang w:val="en-GB"/>
        </w:rPr>
        <w:t xml:space="preserve"> </w:t>
      </w:r>
      <w:r w:rsidRPr="00E830E8">
        <w:rPr>
          <w:rFonts w:cs="Arial"/>
          <w:lang w:val="en-GB"/>
        </w:rPr>
        <w:t xml:space="preserve">inadvertently administered subcutaneous formulation </w:t>
      </w:r>
      <w:r w:rsidR="00E7685C" w:rsidRPr="00E830E8">
        <w:rPr>
          <w:rFonts w:cs="Arial"/>
          <w:lang w:val="en-GB"/>
        </w:rPr>
        <w:t xml:space="preserve">through </w:t>
      </w:r>
      <w:r w:rsidRPr="00E830E8">
        <w:rPr>
          <w:rFonts w:cs="Arial"/>
          <w:lang w:val="en-GB"/>
        </w:rPr>
        <w:t xml:space="preserve">the intravenous route </w:t>
      </w:r>
      <w:r w:rsidR="00883EC8" w:rsidRPr="00E830E8">
        <w:rPr>
          <w:rFonts w:cs="Arial"/>
          <w:lang w:val="en-GB"/>
        </w:rPr>
        <w:t xml:space="preserve">up to a maximum rituximab dose of 2780 mg </w:t>
      </w:r>
      <w:r w:rsidRPr="00E830E8">
        <w:rPr>
          <w:rFonts w:cs="Arial"/>
          <w:lang w:val="en-GB"/>
        </w:rPr>
        <w:t>with no untoward effect.</w:t>
      </w:r>
      <w:r w:rsidRPr="00E830E8">
        <w:rPr>
          <w:rFonts w:cs="Arial"/>
          <w:color w:val="FF0000"/>
          <w:u w:val="single"/>
          <w:lang w:val="en-GB"/>
        </w:rPr>
        <w:t xml:space="preserve"> </w:t>
      </w:r>
    </w:p>
    <w:p w14:paraId="7C331CB9" w14:textId="77777777" w:rsidR="008F369D" w:rsidRPr="00C501E3" w:rsidRDefault="00016F29" w:rsidP="008F369D">
      <w:pPr>
        <w:rPr>
          <w:rFonts w:cs="Arial"/>
          <w:lang w:val="en-GB"/>
        </w:rPr>
      </w:pPr>
      <w:r w:rsidRPr="00E830E8">
        <w:rPr>
          <w:rFonts w:cs="Arial"/>
          <w:lang w:val="en-GB"/>
        </w:rPr>
        <w:t>Patients who experience overdose or medication error should be</w:t>
      </w:r>
      <w:r w:rsidRPr="00C501E3">
        <w:rPr>
          <w:rFonts w:cs="Arial"/>
          <w:lang w:val="en-GB"/>
        </w:rPr>
        <w:t xml:space="preserve"> closely monitored.</w:t>
      </w:r>
    </w:p>
    <w:p w14:paraId="7C331CBA" w14:textId="77777777" w:rsidR="008F369D" w:rsidRPr="00C501E3" w:rsidRDefault="008F369D" w:rsidP="008F369D">
      <w:pPr>
        <w:rPr>
          <w:szCs w:val="22"/>
          <w:lang w:val="en-GB"/>
        </w:rPr>
      </w:pPr>
    </w:p>
    <w:p w14:paraId="7C331CBB" w14:textId="77777777" w:rsidR="008F369D" w:rsidRPr="00790A55" w:rsidRDefault="00016F29" w:rsidP="008F369D">
      <w:pPr>
        <w:rPr>
          <w:u w:val="single"/>
          <w:lang w:val="en-GB"/>
        </w:rPr>
      </w:pPr>
      <w:r w:rsidRPr="00790A55">
        <w:rPr>
          <w:szCs w:val="22"/>
          <w:lang w:val="en-GB"/>
        </w:rPr>
        <w:t>In the post</w:t>
      </w:r>
      <w:r w:rsidR="000A6DDA" w:rsidRPr="00790A55">
        <w:rPr>
          <w:szCs w:val="22"/>
          <w:lang w:val="en-GB"/>
        </w:rPr>
        <w:noBreakHyphen/>
      </w:r>
      <w:r w:rsidRPr="00790A55">
        <w:rPr>
          <w:szCs w:val="22"/>
          <w:lang w:val="en-GB"/>
        </w:rPr>
        <w:t>marketing setting five cases of MabThera overdose have been reported. Three cases had no reported adverse event. The two adverse events that were reported were flu</w:t>
      </w:r>
      <w:r w:rsidR="000A6DDA" w:rsidRPr="00790A55">
        <w:rPr>
          <w:szCs w:val="22"/>
          <w:lang w:val="en-GB"/>
        </w:rPr>
        <w:noBreakHyphen/>
      </w:r>
      <w:r w:rsidRPr="00790A55">
        <w:rPr>
          <w:szCs w:val="22"/>
          <w:lang w:val="en-GB"/>
        </w:rPr>
        <w:t>like symptoms, with a dose of 1.8 g of rituximab and fatal respiratory failure, with a dose of 2 g of rituximab.</w:t>
      </w:r>
    </w:p>
    <w:p w14:paraId="7C331CBC" w14:textId="77777777" w:rsidR="008F369D" w:rsidRPr="00790A55" w:rsidRDefault="008F369D" w:rsidP="008F369D">
      <w:pPr>
        <w:rPr>
          <w:szCs w:val="22"/>
          <w:lang w:val="en-GB"/>
        </w:rPr>
      </w:pPr>
    </w:p>
    <w:p w14:paraId="7C331CBD" w14:textId="77777777" w:rsidR="008F369D" w:rsidRPr="00790A55" w:rsidRDefault="008F369D" w:rsidP="008F369D">
      <w:pPr>
        <w:rPr>
          <w:szCs w:val="22"/>
          <w:lang w:val="en-GB"/>
        </w:rPr>
      </w:pPr>
    </w:p>
    <w:p w14:paraId="7C331CBE" w14:textId="77777777" w:rsidR="008F369D" w:rsidRPr="00790A55" w:rsidRDefault="00016F29" w:rsidP="008F369D">
      <w:pPr>
        <w:keepNext/>
        <w:keepLines/>
        <w:ind w:left="567" w:hanging="567"/>
        <w:outlineLvl w:val="0"/>
        <w:rPr>
          <w:szCs w:val="22"/>
          <w:lang w:val="en-GB"/>
        </w:rPr>
      </w:pPr>
      <w:r w:rsidRPr="00790A55">
        <w:rPr>
          <w:b/>
          <w:szCs w:val="22"/>
          <w:lang w:val="en-GB"/>
        </w:rPr>
        <w:t>5.</w:t>
      </w:r>
      <w:r w:rsidRPr="00790A55">
        <w:rPr>
          <w:b/>
          <w:szCs w:val="22"/>
          <w:lang w:val="en-GB"/>
        </w:rPr>
        <w:tab/>
        <w:t>PHARMACOLOGICAL PROPERTIES</w:t>
      </w:r>
    </w:p>
    <w:p w14:paraId="7C331CBF" w14:textId="77777777" w:rsidR="008F369D" w:rsidRPr="00790A55" w:rsidRDefault="008F369D" w:rsidP="008F369D">
      <w:pPr>
        <w:keepNext/>
        <w:keepLines/>
        <w:rPr>
          <w:szCs w:val="22"/>
          <w:lang w:val="en-GB"/>
        </w:rPr>
      </w:pPr>
    </w:p>
    <w:p w14:paraId="7C331CC0" w14:textId="77777777" w:rsidR="008F369D" w:rsidRPr="00790A55" w:rsidRDefault="00016F29" w:rsidP="008F369D">
      <w:pPr>
        <w:keepNext/>
        <w:keepLines/>
        <w:ind w:left="567" w:hanging="567"/>
        <w:outlineLvl w:val="0"/>
        <w:rPr>
          <w:szCs w:val="22"/>
          <w:lang w:val="en-GB"/>
        </w:rPr>
      </w:pPr>
      <w:r w:rsidRPr="00790A55">
        <w:rPr>
          <w:b/>
          <w:szCs w:val="22"/>
          <w:lang w:val="en-GB"/>
        </w:rPr>
        <w:t>5.1</w:t>
      </w:r>
      <w:r w:rsidRPr="00790A55">
        <w:rPr>
          <w:b/>
          <w:szCs w:val="22"/>
          <w:lang w:val="en-GB"/>
        </w:rPr>
        <w:tab/>
        <w:t>Pharmacodynamic properties</w:t>
      </w:r>
    </w:p>
    <w:p w14:paraId="7C331CC1" w14:textId="77777777" w:rsidR="008F369D" w:rsidRPr="00790A55" w:rsidRDefault="008F369D" w:rsidP="008F369D">
      <w:pPr>
        <w:keepNext/>
        <w:keepLines/>
        <w:rPr>
          <w:szCs w:val="22"/>
          <w:lang w:val="en-GB"/>
        </w:rPr>
      </w:pPr>
    </w:p>
    <w:p w14:paraId="7C331CC2" w14:textId="77777777" w:rsidR="008F369D" w:rsidRPr="00790A55" w:rsidRDefault="00016F29" w:rsidP="008F369D">
      <w:pPr>
        <w:keepNext/>
        <w:keepLines/>
        <w:outlineLvl w:val="0"/>
        <w:rPr>
          <w:i/>
          <w:szCs w:val="22"/>
          <w:lang w:val="en-GB"/>
        </w:rPr>
      </w:pPr>
      <w:r w:rsidRPr="00790A55">
        <w:rPr>
          <w:szCs w:val="22"/>
          <w:lang w:val="en-GB"/>
        </w:rPr>
        <w:t>Pharmacotherapeutic group: antineoplastic agents</w:t>
      </w:r>
      <w:r w:rsidRPr="00790A55">
        <w:rPr>
          <w:i/>
          <w:szCs w:val="22"/>
          <w:lang w:val="en-GB"/>
        </w:rPr>
        <w:t>,</w:t>
      </w:r>
      <w:r w:rsidRPr="00790A55">
        <w:rPr>
          <w:szCs w:val="22"/>
          <w:lang w:val="en-GB"/>
        </w:rPr>
        <w:t xml:space="preserve"> monoclonal antibodies, ATC code: L01X C02</w:t>
      </w:r>
    </w:p>
    <w:p w14:paraId="7C331CC3" w14:textId="77777777" w:rsidR="008F369D" w:rsidRPr="00790A55" w:rsidRDefault="008F369D" w:rsidP="008F369D">
      <w:pPr>
        <w:rPr>
          <w:szCs w:val="22"/>
          <w:lang w:val="en-GB"/>
        </w:rPr>
      </w:pPr>
    </w:p>
    <w:p w14:paraId="7C331CC4" w14:textId="77777777" w:rsidR="008F369D" w:rsidRPr="00790A55" w:rsidRDefault="00016F29" w:rsidP="008F369D">
      <w:pPr>
        <w:rPr>
          <w:rFonts w:eastAsia="SimSun"/>
          <w:szCs w:val="24"/>
          <w:lang w:val="en-GB" w:eastAsia="zh-CN"/>
        </w:rPr>
      </w:pPr>
      <w:r w:rsidRPr="00790A55">
        <w:rPr>
          <w:rFonts w:eastAsia="SimSun"/>
          <w:szCs w:val="24"/>
          <w:lang w:val="en-GB" w:eastAsia="zh-CN"/>
        </w:rPr>
        <w:t>MabThera subcutaneous formulation contains recombinant human hyaluronidase (rHuPH20), an enzyme used to increase the dispersion and absorption of co</w:t>
      </w:r>
      <w:r w:rsidR="000A6DDA" w:rsidRPr="00790A55">
        <w:rPr>
          <w:rFonts w:eastAsia="SimSun"/>
          <w:szCs w:val="24"/>
          <w:lang w:val="en-GB" w:eastAsia="zh-CN"/>
        </w:rPr>
        <w:noBreakHyphen/>
      </w:r>
      <w:r w:rsidRPr="00790A55">
        <w:rPr>
          <w:rFonts w:eastAsia="SimSun"/>
          <w:szCs w:val="24"/>
          <w:lang w:val="en-GB" w:eastAsia="zh-CN"/>
        </w:rPr>
        <w:t>administered substances when administered subcutaneously.</w:t>
      </w:r>
    </w:p>
    <w:p w14:paraId="7C331CC5" w14:textId="77777777" w:rsidR="008F369D" w:rsidRPr="00C501E3" w:rsidRDefault="008F369D" w:rsidP="008F369D">
      <w:pPr>
        <w:rPr>
          <w:szCs w:val="22"/>
          <w:lang w:val="en-GB"/>
        </w:rPr>
      </w:pPr>
    </w:p>
    <w:p w14:paraId="7C331CC6" w14:textId="77777777" w:rsidR="008F369D" w:rsidRPr="0008794C" w:rsidRDefault="00016F29" w:rsidP="008F369D">
      <w:pPr>
        <w:rPr>
          <w:szCs w:val="22"/>
          <w:lang w:val="en-GB"/>
        </w:rPr>
      </w:pPr>
      <w:r w:rsidRPr="0008794C">
        <w:rPr>
          <w:szCs w:val="22"/>
          <w:lang w:val="en-GB"/>
        </w:rPr>
        <w:t>Rituximab binds specifically to the transmembrane antigen, CD20, a non</w:t>
      </w:r>
      <w:r w:rsidR="000A6DDA" w:rsidRPr="0008794C">
        <w:rPr>
          <w:szCs w:val="22"/>
          <w:lang w:val="en-GB"/>
        </w:rPr>
        <w:noBreakHyphen/>
      </w:r>
      <w:r w:rsidRPr="0008794C">
        <w:rPr>
          <w:szCs w:val="22"/>
          <w:lang w:val="en-GB"/>
        </w:rPr>
        <w:t>glycosylated phosphoprotein, located on pre</w:t>
      </w:r>
      <w:r w:rsidR="000A6DDA" w:rsidRPr="0008794C">
        <w:rPr>
          <w:szCs w:val="22"/>
          <w:lang w:val="en-GB"/>
        </w:rPr>
        <w:noBreakHyphen/>
      </w:r>
      <w:r w:rsidRPr="0008794C">
        <w:rPr>
          <w:szCs w:val="22"/>
          <w:lang w:val="en-GB"/>
        </w:rPr>
        <w:t xml:space="preserve">B and mature B lymphocytes. The antigen is expressed on </w:t>
      </w:r>
      <w:r w:rsidRPr="00E06A78">
        <w:rPr>
          <w:rFonts w:ascii="Symbol" w:hAnsi="Symbol"/>
          <w:lang w:val="en-GB"/>
        </w:rPr>
        <w:sym w:font="Symbol" w:char="F03E"/>
      </w:r>
      <w:r w:rsidRPr="0008794C">
        <w:rPr>
          <w:szCs w:val="22"/>
          <w:lang w:val="en-GB"/>
        </w:rPr>
        <w:t>95 % of all B cell non</w:t>
      </w:r>
      <w:r w:rsidR="000A6DDA" w:rsidRPr="0008794C">
        <w:rPr>
          <w:szCs w:val="22"/>
          <w:lang w:val="en-GB"/>
        </w:rPr>
        <w:noBreakHyphen/>
      </w:r>
      <w:r w:rsidRPr="0008794C">
        <w:rPr>
          <w:szCs w:val="22"/>
          <w:lang w:val="en-GB"/>
        </w:rPr>
        <w:t xml:space="preserve">Hodgkin’s lymphomas. </w:t>
      </w:r>
    </w:p>
    <w:p w14:paraId="7C331CC7" w14:textId="77777777" w:rsidR="008F369D" w:rsidRPr="00C501E3" w:rsidRDefault="008F369D" w:rsidP="008F369D">
      <w:pPr>
        <w:rPr>
          <w:szCs w:val="22"/>
          <w:lang w:val="en-GB"/>
        </w:rPr>
      </w:pPr>
    </w:p>
    <w:p w14:paraId="7C331CC8" w14:textId="77777777" w:rsidR="008F369D" w:rsidRPr="00026E87" w:rsidRDefault="00016F29" w:rsidP="008F369D">
      <w:pPr>
        <w:rPr>
          <w:szCs w:val="22"/>
          <w:lang w:val="en-GB"/>
        </w:rPr>
      </w:pPr>
      <w:r w:rsidRPr="00026E87">
        <w:rPr>
          <w:szCs w:val="22"/>
          <w:lang w:val="en-GB"/>
        </w:rPr>
        <w:t>CD20 is found on both normal and malignant B cells, but not on haematopoietic stem cells, pro</w:t>
      </w:r>
      <w:r w:rsidR="000A6DDA" w:rsidRPr="00026E87">
        <w:rPr>
          <w:szCs w:val="22"/>
          <w:lang w:val="en-GB"/>
        </w:rPr>
        <w:noBreakHyphen/>
      </w:r>
      <w:r w:rsidRPr="00026E87">
        <w:rPr>
          <w:szCs w:val="22"/>
          <w:lang w:val="en-GB"/>
        </w:rPr>
        <w:t>B cells, normal plasma cells or other normal tissue. This antigen does not internalise upon antibody binding and is not shed from the cell surface. CD20 does not circulate in the plasma as a free antigen and, thus, does not compete for antibody binding.</w:t>
      </w:r>
    </w:p>
    <w:p w14:paraId="7C331CC9" w14:textId="77777777" w:rsidR="008F369D" w:rsidRPr="00026E87" w:rsidRDefault="008F369D" w:rsidP="008F369D">
      <w:pPr>
        <w:rPr>
          <w:szCs w:val="22"/>
          <w:lang w:val="en-GB"/>
        </w:rPr>
      </w:pPr>
    </w:p>
    <w:p w14:paraId="7C331CCA" w14:textId="77777777" w:rsidR="008F369D" w:rsidRPr="00026E87" w:rsidRDefault="00016F29" w:rsidP="008F369D">
      <w:pPr>
        <w:rPr>
          <w:strike/>
          <w:szCs w:val="22"/>
          <w:lang w:val="en-GB"/>
        </w:rPr>
      </w:pPr>
      <w:r w:rsidRPr="00026E87">
        <w:rPr>
          <w:szCs w:val="22"/>
          <w:lang w:val="en-GB"/>
        </w:rPr>
        <w:t>The Fab domain of rituximab binds to the CD20 antigen on B lymphocytes and the Fc domain can recruit immune effector functions to mediate B cell lysis. Possible mechanisms of effector</w:t>
      </w:r>
      <w:r w:rsidR="000A6DDA" w:rsidRPr="00026E87">
        <w:rPr>
          <w:szCs w:val="22"/>
          <w:lang w:val="en-GB"/>
        </w:rPr>
        <w:noBreakHyphen/>
      </w:r>
      <w:r w:rsidRPr="00026E87">
        <w:rPr>
          <w:szCs w:val="22"/>
          <w:lang w:val="en-GB"/>
        </w:rPr>
        <w:t>mediated cell lysis include complement</w:t>
      </w:r>
      <w:r w:rsidR="000A6DDA" w:rsidRPr="00026E87">
        <w:rPr>
          <w:szCs w:val="22"/>
          <w:lang w:val="en-GB"/>
        </w:rPr>
        <w:noBreakHyphen/>
      </w:r>
      <w:r w:rsidRPr="00026E87">
        <w:rPr>
          <w:szCs w:val="22"/>
          <w:lang w:val="en-GB"/>
        </w:rPr>
        <w:t>dependent cytotoxicity (CDC) resulting from C1q binding, and antibody</w:t>
      </w:r>
      <w:r w:rsidR="000A6DDA" w:rsidRPr="00026E87">
        <w:rPr>
          <w:szCs w:val="22"/>
          <w:lang w:val="en-GB"/>
        </w:rPr>
        <w:noBreakHyphen/>
      </w:r>
      <w:r w:rsidRPr="00026E87">
        <w:rPr>
          <w:szCs w:val="22"/>
          <w:lang w:val="en-GB"/>
        </w:rPr>
        <w:t>dependent cellular cytotoxicity (ADCC) mediated by one or more of the Fc</w:t>
      </w:r>
      <w:r w:rsidRPr="00E06A78">
        <w:rPr>
          <w:rFonts w:ascii="Symbol" w:hAnsi="Symbol"/>
          <w:lang w:val="en-GB"/>
        </w:rPr>
        <w:sym w:font="Symbol" w:char="F067"/>
      </w:r>
      <w:r w:rsidRPr="00026E87">
        <w:rPr>
          <w:szCs w:val="22"/>
          <w:lang w:val="en-GB"/>
        </w:rPr>
        <w:t xml:space="preserve"> receptors on the surface of granulocytes, macrophages and NK cells. Rituximab binding to CD 20 antigen on B lymphocytes has also been demonstrated to induce cell death via apoptosis.</w:t>
      </w:r>
    </w:p>
    <w:p w14:paraId="7C331CCB" w14:textId="77777777" w:rsidR="008F369D" w:rsidRPr="00026E87" w:rsidRDefault="008F369D" w:rsidP="008F369D">
      <w:pPr>
        <w:rPr>
          <w:szCs w:val="22"/>
          <w:lang w:val="en-GB"/>
        </w:rPr>
      </w:pPr>
    </w:p>
    <w:p w14:paraId="7C331CCC" w14:textId="77777777" w:rsidR="008F369D" w:rsidRPr="00C501E3" w:rsidRDefault="00016F29" w:rsidP="00E06A78">
      <w:pPr>
        <w:rPr>
          <w:szCs w:val="22"/>
          <w:lang w:val="en-GB"/>
        </w:rPr>
      </w:pPr>
      <w:r w:rsidRPr="00026E87">
        <w:rPr>
          <w:szCs w:val="22"/>
          <w:lang w:val="en-GB"/>
        </w:rPr>
        <w:t xml:space="preserve">Peripheral B cell counts declined below normal following completion of the first dose of MabThera. In patients treated for hematological malignancies, B cell recovery began within 6 months of treatment and generally returned to normal levels within 12 months after completion of therapy, although in some patients this may take longer </w:t>
      </w:r>
      <w:r w:rsidRPr="00026E87">
        <w:rPr>
          <w:lang w:val="en-GB"/>
        </w:rPr>
        <w:t>(up to a median recovery time of 23 months post</w:t>
      </w:r>
      <w:r w:rsidR="000A6DDA" w:rsidRPr="00026E87">
        <w:rPr>
          <w:lang w:val="en-GB"/>
        </w:rPr>
        <w:noBreakHyphen/>
      </w:r>
      <w:r w:rsidRPr="00026E87">
        <w:rPr>
          <w:lang w:val="en-GB"/>
        </w:rPr>
        <w:t>induction</w:t>
      </w:r>
      <w:r w:rsidRPr="00C501E3">
        <w:rPr>
          <w:lang w:val="en-GB"/>
        </w:rPr>
        <w:t xml:space="preserve"> therapy)</w:t>
      </w:r>
      <w:r w:rsidRPr="00C501E3">
        <w:rPr>
          <w:szCs w:val="22"/>
          <w:lang w:val="en-GB"/>
        </w:rPr>
        <w:t>. In rheumatoid arthritis patients, immediate depletion of B cells in the peripheral blood was observed following two infusions of 1000 mg MabThera separated by a 14 day interval. Peripheral blood B cell counts begin to increase from week 24 and evidence for repopulation is observed in the majority of patients by week 40, whether MabThera was administered as monotherapy or in combination with methotrexate.</w:t>
      </w:r>
    </w:p>
    <w:p w14:paraId="7C331CCD" w14:textId="77777777" w:rsidR="008F369D" w:rsidRPr="00C501E3" w:rsidRDefault="008F369D" w:rsidP="008F369D">
      <w:pPr>
        <w:keepNext/>
        <w:keepLines/>
        <w:rPr>
          <w:szCs w:val="22"/>
          <w:lang w:val="en-GB"/>
        </w:rPr>
      </w:pPr>
    </w:p>
    <w:p w14:paraId="7C331CCE" w14:textId="77777777" w:rsidR="008F369D" w:rsidRPr="00026E87" w:rsidRDefault="00016F29" w:rsidP="005B2928">
      <w:pPr>
        <w:keepNext/>
        <w:keepLines/>
        <w:rPr>
          <w:rFonts w:eastAsia="SimSun"/>
          <w:szCs w:val="22"/>
          <w:u w:val="single"/>
          <w:lang w:val="en-GB" w:eastAsia="zh-CN"/>
        </w:rPr>
      </w:pPr>
      <w:r w:rsidRPr="00026E87">
        <w:rPr>
          <w:rFonts w:eastAsia="SimSun"/>
          <w:szCs w:val="22"/>
          <w:u w:val="single"/>
          <w:lang w:val="en-GB" w:eastAsia="zh-CN"/>
        </w:rPr>
        <w:t>Clinical experience of MabThera subcutaneous formulation in Non</w:t>
      </w:r>
      <w:r w:rsidR="000A6DDA" w:rsidRPr="00026E87">
        <w:rPr>
          <w:rFonts w:eastAsia="SimSun"/>
          <w:szCs w:val="22"/>
          <w:u w:val="single"/>
          <w:lang w:val="en-GB" w:eastAsia="zh-CN"/>
        </w:rPr>
        <w:noBreakHyphen/>
      </w:r>
      <w:r w:rsidRPr="00026E87">
        <w:rPr>
          <w:rFonts w:eastAsia="SimSun"/>
          <w:szCs w:val="22"/>
          <w:u w:val="single"/>
          <w:lang w:val="en-GB" w:eastAsia="zh-CN"/>
        </w:rPr>
        <w:t>Hodgkin’s lymphoma</w:t>
      </w:r>
    </w:p>
    <w:p w14:paraId="7C331CCF" w14:textId="77777777" w:rsidR="008F369D" w:rsidRPr="00026E87" w:rsidRDefault="008F369D" w:rsidP="008F369D">
      <w:pPr>
        <w:keepNext/>
        <w:keepLines/>
        <w:jc w:val="both"/>
        <w:rPr>
          <w:rFonts w:eastAsia="SimSun"/>
          <w:szCs w:val="22"/>
          <w:lang w:val="en-GB" w:eastAsia="zh-CN"/>
        </w:rPr>
      </w:pPr>
    </w:p>
    <w:p w14:paraId="7C331CD0" w14:textId="77777777" w:rsidR="008F369D" w:rsidRPr="00026E87" w:rsidRDefault="00016F29" w:rsidP="008F369D">
      <w:pPr>
        <w:keepNext/>
        <w:keepLines/>
        <w:rPr>
          <w:lang w:val="en-GB"/>
        </w:rPr>
      </w:pPr>
      <w:r w:rsidRPr="00026E87">
        <w:rPr>
          <w:rFonts w:eastAsia="SimSun"/>
          <w:szCs w:val="22"/>
          <w:lang w:val="en-GB" w:eastAsia="zh-CN"/>
        </w:rPr>
        <w:t>The clinical experience of MabThera subcutaneous formulation in Non</w:t>
      </w:r>
      <w:r w:rsidR="000A6DDA" w:rsidRPr="00026E87">
        <w:rPr>
          <w:rFonts w:eastAsia="SimSun"/>
          <w:szCs w:val="22"/>
          <w:lang w:val="en-GB" w:eastAsia="zh-CN"/>
        </w:rPr>
        <w:noBreakHyphen/>
      </w:r>
      <w:r w:rsidRPr="00026E87">
        <w:rPr>
          <w:rFonts w:eastAsia="SimSun"/>
          <w:szCs w:val="22"/>
          <w:lang w:val="en-GB" w:eastAsia="zh-CN"/>
        </w:rPr>
        <w:t xml:space="preserve">Hodgkin’s lymphoma </w:t>
      </w:r>
      <w:r w:rsidRPr="00026E87">
        <w:rPr>
          <w:lang w:val="en-GB"/>
        </w:rPr>
        <w:t>is based on data from a phase III clinical trial (SABRINA BO22334) in patients with follicular lymphoma (FL) and a phase Ib dose</w:t>
      </w:r>
      <w:r w:rsidR="000A6DDA" w:rsidRPr="00026E87">
        <w:rPr>
          <w:lang w:val="en-GB"/>
        </w:rPr>
        <w:noBreakHyphen/>
      </w:r>
      <w:r w:rsidRPr="00026E87">
        <w:rPr>
          <w:lang w:val="en-GB"/>
        </w:rPr>
        <w:t>finding/dose</w:t>
      </w:r>
      <w:r w:rsidR="000A6DDA" w:rsidRPr="00026E87">
        <w:rPr>
          <w:lang w:val="en-GB"/>
        </w:rPr>
        <w:noBreakHyphen/>
      </w:r>
      <w:r w:rsidRPr="00026E87">
        <w:rPr>
          <w:lang w:val="en-GB"/>
        </w:rPr>
        <w:t>confirmation trial (SparkThera BP22333) in patients with FL. Results from trial BP22333 are presented in section 5.2.</w:t>
      </w:r>
    </w:p>
    <w:p w14:paraId="7C331CD1" w14:textId="77777777" w:rsidR="008F369D" w:rsidRPr="00026E87" w:rsidRDefault="008F369D" w:rsidP="008F369D">
      <w:pPr>
        <w:rPr>
          <w:rFonts w:eastAsia="SimSun"/>
          <w:szCs w:val="24"/>
          <w:lang w:val="en-GB" w:eastAsia="zh-CN"/>
        </w:rPr>
      </w:pPr>
    </w:p>
    <w:p w14:paraId="7C331CD2" w14:textId="77777777" w:rsidR="008F369D" w:rsidRPr="00026E87" w:rsidRDefault="00016F29" w:rsidP="008F369D">
      <w:pPr>
        <w:rPr>
          <w:rFonts w:eastAsia="SimSun"/>
          <w:i/>
          <w:szCs w:val="22"/>
          <w:lang w:val="en-GB" w:eastAsia="zh-CN"/>
        </w:rPr>
      </w:pPr>
      <w:r w:rsidRPr="00026E87">
        <w:rPr>
          <w:rFonts w:eastAsia="SimSun"/>
          <w:i/>
          <w:szCs w:val="22"/>
          <w:lang w:val="en-GB" w:eastAsia="zh-CN"/>
        </w:rPr>
        <w:t>Trial BO22334 (SABRINA)</w:t>
      </w:r>
    </w:p>
    <w:p w14:paraId="7C331CD3" w14:textId="77777777" w:rsidR="008F369D" w:rsidRPr="00C501E3" w:rsidRDefault="00016F29" w:rsidP="008F369D">
      <w:pPr>
        <w:rPr>
          <w:rFonts w:eastAsia="SimSun"/>
          <w:szCs w:val="22"/>
          <w:lang w:val="en-GB" w:eastAsia="zh-CN"/>
        </w:rPr>
      </w:pPr>
      <w:r w:rsidRPr="00026E87">
        <w:rPr>
          <w:rFonts w:eastAsia="SimSun"/>
          <w:szCs w:val="22"/>
          <w:lang w:val="en-GB" w:eastAsia="zh-CN"/>
        </w:rPr>
        <w:t>A two</w:t>
      </w:r>
      <w:r w:rsidR="000A6DDA" w:rsidRPr="00026E87">
        <w:rPr>
          <w:rFonts w:eastAsia="SimSun"/>
          <w:szCs w:val="22"/>
          <w:lang w:val="en-GB" w:eastAsia="zh-CN"/>
        </w:rPr>
        <w:noBreakHyphen/>
      </w:r>
      <w:r w:rsidRPr="00026E87">
        <w:rPr>
          <w:rFonts w:eastAsia="SimSun"/>
          <w:szCs w:val="22"/>
          <w:lang w:val="en-GB" w:eastAsia="zh-CN"/>
        </w:rPr>
        <w:t>stage phase III, international, multi</w:t>
      </w:r>
      <w:r w:rsidR="000A6DDA" w:rsidRPr="00026E87">
        <w:rPr>
          <w:rFonts w:eastAsia="SimSun"/>
          <w:szCs w:val="22"/>
          <w:lang w:val="en-GB" w:eastAsia="zh-CN"/>
        </w:rPr>
        <w:noBreakHyphen/>
      </w:r>
      <w:r w:rsidRPr="00026E87">
        <w:rPr>
          <w:rFonts w:eastAsia="SimSun"/>
          <w:szCs w:val="22"/>
          <w:lang w:val="en-GB" w:eastAsia="zh-CN"/>
        </w:rPr>
        <w:t>centre, randomised, controlled, open</w:t>
      </w:r>
      <w:r w:rsidR="000A6DDA" w:rsidRPr="00026E87">
        <w:rPr>
          <w:rFonts w:eastAsia="SimSun"/>
          <w:szCs w:val="22"/>
          <w:lang w:val="en-GB" w:eastAsia="zh-CN"/>
        </w:rPr>
        <w:noBreakHyphen/>
      </w:r>
      <w:r w:rsidRPr="00026E87">
        <w:rPr>
          <w:rFonts w:eastAsia="SimSun"/>
          <w:szCs w:val="22"/>
          <w:lang w:val="en-GB" w:eastAsia="zh-CN"/>
        </w:rPr>
        <w:t>label trial was conducted in patients with previously untreated follicular lymphoma, to investigate the non</w:t>
      </w:r>
      <w:r w:rsidR="000A6DDA" w:rsidRPr="00026E87">
        <w:rPr>
          <w:rFonts w:eastAsia="SimSun"/>
          <w:szCs w:val="22"/>
          <w:lang w:val="en-GB" w:eastAsia="zh-CN"/>
        </w:rPr>
        <w:noBreakHyphen/>
      </w:r>
      <w:r w:rsidRPr="00026E87">
        <w:rPr>
          <w:rFonts w:eastAsia="SimSun"/>
          <w:szCs w:val="22"/>
          <w:lang w:val="en-GB" w:eastAsia="zh-CN"/>
        </w:rPr>
        <w:t>inferiority</w:t>
      </w:r>
      <w:r w:rsidRPr="00C501E3">
        <w:rPr>
          <w:rFonts w:eastAsia="SimSun"/>
          <w:szCs w:val="22"/>
          <w:lang w:val="en-GB" w:eastAsia="zh-CN"/>
        </w:rPr>
        <w:t xml:space="preserve"> of the pharmacokinetic profile, together with efficacy and safety of </w:t>
      </w:r>
      <w:r w:rsidRPr="00C501E3">
        <w:rPr>
          <w:rFonts w:eastAsia="MS Mincho"/>
          <w:szCs w:val="22"/>
          <w:lang w:val="en-GB" w:eastAsia="en-GB"/>
        </w:rPr>
        <w:t>MabThera subcutaneous formulation</w:t>
      </w:r>
      <w:r w:rsidRPr="00C501E3">
        <w:rPr>
          <w:rFonts w:eastAsia="SimSun"/>
          <w:szCs w:val="22"/>
          <w:lang w:val="en-GB" w:eastAsia="zh-CN"/>
        </w:rPr>
        <w:t xml:space="preserve"> in combination with CHOP or CVP versus </w:t>
      </w:r>
      <w:r w:rsidRPr="00C501E3">
        <w:rPr>
          <w:rFonts w:eastAsia="MS Mincho"/>
          <w:szCs w:val="22"/>
          <w:lang w:val="en-GB" w:eastAsia="en-GB"/>
        </w:rPr>
        <w:t xml:space="preserve">MabThera intravenous formulation </w:t>
      </w:r>
      <w:r w:rsidRPr="00C501E3">
        <w:rPr>
          <w:rFonts w:eastAsia="SimSun"/>
          <w:szCs w:val="22"/>
          <w:lang w:val="en-GB" w:eastAsia="zh-CN"/>
        </w:rPr>
        <w:t xml:space="preserve">in combination with CHOP or CVP. </w:t>
      </w:r>
    </w:p>
    <w:p w14:paraId="7C331CD4" w14:textId="77777777" w:rsidR="008F369D" w:rsidRPr="00C501E3" w:rsidRDefault="008F369D" w:rsidP="008F369D">
      <w:pPr>
        <w:rPr>
          <w:rFonts w:eastAsia="SimSun"/>
          <w:szCs w:val="22"/>
          <w:lang w:val="en-GB" w:eastAsia="zh-CN"/>
        </w:rPr>
      </w:pPr>
    </w:p>
    <w:p w14:paraId="7C331CD5" w14:textId="77777777" w:rsidR="003A539E" w:rsidRPr="009C2459" w:rsidRDefault="00016F29" w:rsidP="003A539E">
      <w:pPr>
        <w:rPr>
          <w:rFonts w:eastAsia="SimSun"/>
          <w:szCs w:val="22"/>
          <w:lang w:val="en-GB" w:eastAsia="zh-CN"/>
        </w:rPr>
      </w:pPr>
      <w:r w:rsidRPr="00C501E3">
        <w:rPr>
          <w:rFonts w:eastAsia="SimSun"/>
          <w:szCs w:val="22"/>
          <w:lang w:val="en-GB" w:eastAsia="zh-CN"/>
        </w:rPr>
        <w:t xml:space="preserve">The objective of the first stage was to establish the rituximab </w:t>
      </w:r>
      <w:r w:rsidRPr="00C501E3">
        <w:rPr>
          <w:rFonts w:eastAsia="MS Mincho"/>
          <w:szCs w:val="22"/>
          <w:lang w:val="en-GB" w:eastAsia="en-GB"/>
        </w:rPr>
        <w:t xml:space="preserve">subcutaneous </w:t>
      </w:r>
      <w:r w:rsidRPr="00C501E3">
        <w:rPr>
          <w:rFonts w:eastAsia="SimSun"/>
          <w:szCs w:val="22"/>
          <w:lang w:val="en-GB" w:eastAsia="zh-CN"/>
        </w:rPr>
        <w:t xml:space="preserve">dose that resulted in </w:t>
      </w:r>
      <w:r w:rsidRPr="009C2459">
        <w:rPr>
          <w:rFonts w:eastAsia="SimSun"/>
          <w:szCs w:val="22"/>
          <w:lang w:val="en-GB" w:eastAsia="zh-CN"/>
        </w:rPr>
        <w:t xml:space="preserve">comparable </w:t>
      </w:r>
      <w:r w:rsidRPr="009C2459">
        <w:rPr>
          <w:rFonts w:eastAsia="MS Mincho"/>
          <w:szCs w:val="22"/>
          <w:lang w:val="en-GB" w:eastAsia="en-GB"/>
        </w:rPr>
        <w:t xml:space="preserve">MabThera subcutaneous formulation </w:t>
      </w:r>
      <w:r w:rsidRPr="009C2459">
        <w:rPr>
          <w:rFonts w:eastAsia="SimSun"/>
          <w:szCs w:val="22"/>
          <w:lang w:val="en-GB" w:eastAsia="zh-CN"/>
        </w:rPr>
        <w:t>serum C</w:t>
      </w:r>
      <w:r w:rsidRPr="009C2459">
        <w:rPr>
          <w:rFonts w:eastAsia="SimSun"/>
          <w:szCs w:val="22"/>
          <w:vertAlign w:val="subscript"/>
          <w:lang w:val="en-GB" w:eastAsia="zh-CN"/>
        </w:rPr>
        <w:t>trough</w:t>
      </w:r>
      <w:r w:rsidRPr="009C2459">
        <w:rPr>
          <w:rFonts w:eastAsia="SimSun"/>
          <w:szCs w:val="22"/>
          <w:lang w:val="en-GB" w:eastAsia="zh-CN"/>
        </w:rPr>
        <w:t xml:space="preserve"> levels compared with </w:t>
      </w:r>
      <w:r w:rsidRPr="009C2459">
        <w:rPr>
          <w:rFonts w:eastAsia="MS Mincho"/>
          <w:szCs w:val="22"/>
          <w:lang w:val="en-GB" w:eastAsia="en-GB"/>
        </w:rPr>
        <w:t>MabThera intravenous formulation</w:t>
      </w:r>
      <w:r w:rsidRPr="009C2459">
        <w:rPr>
          <w:rFonts w:eastAsia="SimSun"/>
          <w:szCs w:val="22"/>
          <w:lang w:val="en-GB" w:eastAsia="zh-CN"/>
        </w:rPr>
        <w:t xml:space="preserve">, when given as part of induction treatment every 3 weeks </w:t>
      </w:r>
      <w:r w:rsidRPr="00774DBC">
        <w:rPr>
          <w:rFonts w:eastAsia="SimSun"/>
          <w:szCs w:val="22"/>
          <w:lang w:val="en-GB" w:eastAsia="zh-CN"/>
        </w:rPr>
        <w:t>(</w:t>
      </w:r>
      <w:r w:rsidRPr="009C2459">
        <w:rPr>
          <w:rFonts w:eastAsia="SimSun"/>
          <w:szCs w:val="22"/>
          <w:lang w:val="en-GB" w:eastAsia="zh-CN"/>
        </w:rPr>
        <w:t>see section 5.2).</w:t>
      </w:r>
    </w:p>
    <w:p w14:paraId="7C331CD6" w14:textId="77777777" w:rsidR="00752A01" w:rsidRPr="009C2459" w:rsidRDefault="00016F29" w:rsidP="00752A01">
      <w:pPr>
        <w:rPr>
          <w:rFonts w:eastAsia="MS Mincho"/>
          <w:szCs w:val="22"/>
          <w:lang w:val="en-GB" w:eastAsia="en-GB"/>
        </w:rPr>
      </w:pPr>
      <w:r w:rsidRPr="009C2459">
        <w:rPr>
          <w:rFonts w:eastAsia="MS Mincho"/>
          <w:szCs w:val="22"/>
          <w:lang w:val="en-GB" w:eastAsia="en-GB"/>
        </w:rPr>
        <w:t>Stage 1 enrolled previously untreated patients (n=127) CD20</w:t>
      </w:r>
      <w:r w:rsidR="000A6DDA" w:rsidRPr="009C2459">
        <w:rPr>
          <w:rFonts w:eastAsia="MS Mincho"/>
          <w:szCs w:val="22"/>
          <w:lang w:val="en-GB" w:eastAsia="en-GB"/>
        </w:rPr>
        <w:noBreakHyphen/>
      </w:r>
      <w:r w:rsidRPr="009C2459">
        <w:rPr>
          <w:rFonts w:eastAsia="MS Mincho"/>
          <w:szCs w:val="22"/>
          <w:lang w:val="en-GB" w:eastAsia="en-GB"/>
        </w:rPr>
        <w:t>positive, Follicular Lymphoma (FL) Grade 1, 2 or 3a.</w:t>
      </w:r>
    </w:p>
    <w:p w14:paraId="7C331CD7" w14:textId="77777777" w:rsidR="00752A01" w:rsidRPr="009C2459" w:rsidRDefault="00752A01" w:rsidP="00752A01">
      <w:pPr>
        <w:rPr>
          <w:rFonts w:eastAsia="MS Mincho"/>
          <w:szCs w:val="22"/>
          <w:lang w:val="en-GB" w:eastAsia="en-GB"/>
        </w:rPr>
      </w:pPr>
    </w:p>
    <w:p w14:paraId="7C331CD8" w14:textId="77777777" w:rsidR="00752A01" w:rsidRPr="009C2459" w:rsidRDefault="00016F29" w:rsidP="00752A01">
      <w:pPr>
        <w:rPr>
          <w:rFonts w:eastAsia="MS Mincho"/>
          <w:szCs w:val="22"/>
          <w:highlight w:val="cyan"/>
          <w:lang w:val="en-GB" w:eastAsia="en-GB"/>
        </w:rPr>
      </w:pPr>
      <w:r w:rsidRPr="009C2459">
        <w:rPr>
          <w:rFonts w:eastAsia="MS Mincho"/>
          <w:szCs w:val="22"/>
          <w:lang w:val="en-GB" w:eastAsia="en-GB"/>
        </w:rPr>
        <w:t xml:space="preserve">The objective of stage 2 was to provide additional efficacy and safety data for subcutaneous rituximab compared with rituximab </w:t>
      </w:r>
      <w:r w:rsidR="000C35A5" w:rsidRPr="009C2459">
        <w:t>intravenous</w:t>
      </w:r>
      <w:r w:rsidRPr="009C2459">
        <w:rPr>
          <w:rFonts w:eastAsia="MS Mincho"/>
          <w:szCs w:val="22"/>
          <w:lang w:val="en-GB" w:eastAsia="en-GB"/>
        </w:rPr>
        <w:t xml:space="preserve"> using the 1400 mg subcutaneous dose established in stage 1.  Previously untreated patients with CD20</w:t>
      </w:r>
      <w:r w:rsidR="000A6DDA" w:rsidRPr="009C2459">
        <w:rPr>
          <w:rFonts w:eastAsia="MS Mincho"/>
          <w:szCs w:val="22"/>
          <w:lang w:val="en-GB" w:eastAsia="en-GB"/>
        </w:rPr>
        <w:noBreakHyphen/>
      </w:r>
      <w:r w:rsidRPr="009C2459">
        <w:rPr>
          <w:rFonts w:eastAsia="MS Mincho"/>
          <w:szCs w:val="22"/>
          <w:lang w:val="en-GB" w:eastAsia="en-GB"/>
        </w:rPr>
        <w:t>positive, Follicular Lymphoma Grade 1, 2 or 3a (n=283) were enrolled in the stage 2.</w:t>
      </w:r>
    </w:p>
    <w:p w14:paraId="7C331CD9" w14:textId="77777777" w:rsidR="00752A01" w:rsidRPr="009C2459" w:rsidRDefault="00752A01" w:rsidP="00752A01">
      <w:pPr>
        <w:rPr>
          <w:rFonts w:eastAsia="MS Mincho"/>
          <w:szCs w:val="22"/>
          <w:highlight w:val="cyan"/>
          <w:lang w:val="en-GB" w:eastAsia="en-GB"/>
        </w:rPr>
      </w:pPr>
    </w:p>
    <w:p w14:paraId="7C331CDA" w14:textId="77777777" w:rsidR="003A539E" w:rsidRPr="009C2459" w:rsidRDefault="00016F29" w:rsidP="00752A01">
      <w:pPr>
        <w:rPr>
          <w:rFonts w:eastAsia="MS Mincho"/>
          <w:szCs w:val="22"/>
          <w:lang w:val="en-GB" w:eastAsia="en-GB"/>
        </w:rPr>
      </w:pPr>
      <w:r w:rsidRPr="009C2459">
        <w:rPr>
          <w:rFonts w:eastAsia="MS Mincho"/>
          <w:szCs w:val="22"/>
          <w:lang w:val="en-GB" w:eastAsia="en-GB"/>
        </w:rPr>
        <w:t>The overall trial design was identical among both stages and patients were randomized into the following two treatment groups:</w:t>
      </w:r>
    </w:p>
    <w:p w14:paraId="7C331CDB" w14:textId="77777777" w:rsidR="00752A01" w:rsidRPr="009C2459" w:rsidRDefault="00752A01" w:rsidP="00752A01">
      <w:pPr>
        <w:rPr>
          <w:rFonts w:eastAsia="MS Mincho"/>
          <w:szCs w:val="22"/>
          <w:highlight w:val="cyan"/>
          <w:lang w:val="en-GB" w:eastAsia="en-GB"/>
        </w:rPr>
      </w:pPr>
    </w:p>
    <w:p w14:paraId="7C331CDC" w14:textId="77777777" w:rsidR="003A539E" w:rsidRPr="00C501E3" w:rsidRDefault="00016F29" w:rsidP="003A539E">
      <w:pPr>
        <w:autoSpaceDE w:val="0"/>
        <w:autoSpaceDN w:val="0"/>
        <w:adjustRightInd w:val="0"/>
        <w:ind w:left="567" w:hanging="567"/>
        <w:rPr>
          <w:rFonts w:eastAsia="MS Mincho"/>
          <w:szCs w:val="22"/>
          <w:lang w:val="en-GB" w:eastAsia="en-GB"/>
        </w:rPr>
      </w:pPr>
      <w:r w:rsidRPr="00E06A78">
        <w:rPr>
          <w:rFonts w:ascii="Symbol" w:hAnsi="Symbol"/>
          <w:lang w:val="en-GB"/>
        </w:rPr>
        <w:sym w:font="Symbol" w:char="F0B7"/>
      </w:r>
      <w:r w:rsidRPr="00C501E3">
        <w:rPr>
          <w:szCs w:val="22"/>
          <w:lang w:val="en-GB"/>
        </w:rPr>
        <w:tab/>
      </w:r>
      <w:r w:rsidRPr="00C501E3">
        <w:rPr>
          <w:rFonts w:eastAsia="MS Mincho"/>
          <w:szCs w:val="22"/>
          <w:lang w:val="en-GB" w:eastAsia="en-GB"/>
        </w:rPr>
        <w:t>MabThera subcutaneous formulation (n</w:t>
      </w:r>
      <w:r w:rsidRPr="00E830E8">
        <w:rPr>
          <w:rFonts w:eastAsia="MS Mincho"/>
          <w:szCs w:val="22"/>
          <w:lang w:val="en-GB" w:eastAsia="en-GB"/>
        </w:rPr>
        <w:t xml:space="preserve">= </w:t>
      </w:r>
      <w:r w:rsidR="00752A01" w:rsidRPr="00E830E8">
        <w:rPr>
          <w:rFonts w:eastAsia="MS Mincho"/>
          <w:szCs w:val="22"/>
          <w:lang w:val="en-GB" w:eastAsia="en-GB"/>
        </w:rPr>
        <w:t>205</w:t>
      </w:r>
      <w:r w:rsidRPr="00E830E8">
        <w:rPr>
          <w:rFonts w:eastAsia="MS Mincho"/>
          <w:szCs w:val="22"/>
          <w:lang w:val="en-GB" w:eastAsia="en-GB"/>
        </w:rPr>
        <w:t>): first</w:t>
      </w:r>
      <w:r w:rsidRPr="00C501E3">
        <w:rPr>
          <w:rFonts w:eastAsia="MS Mincho"/>
          <w:szCs w:val="22"/>
          <w:lang w:val="en-GB" w:eastAsia="en-GB"/>
        </w:rPr>
        <w:t xml:space="preserve"> cycle MabThera intravenous formulation plus 7 cycles of MabThera subcutaneous formulation in combination with up to 8 cycles of CHOP or CVP chemotherapy administered every 3 weeks.</w:t>
      </w:r>
    </w:p>
    <w:p w14:paraId="7C331CDD" w14:textId="77777777" w:rsidR="003A539E" w:rsidRPr="00C501E3" w:rsidRDefault="00016F29" w:rsidP="003A539E">
      <w:pPr>
        <w:autoSpaceDE w:val="0"/>
        <w:autoSpaceDN w:val="0"/>
        <w:adjustRightInd w:val="0"/>
        <w:ind w:left="567" w:firstLine="3"/>
        <w:rPr>
          <w:rFonts w:eastAsia="MS Mincho"/>
          <w:szCs w:val="22"/>
          <w:lang w:val="en-GB" w:eastAsia="en-GB"/>
        </w:rPr>
      </w:pPr>
      <w:r w:rsidRPr="00C501E3">
        <w:rPr>
          <w:rFonts w:eastAsia="MS Mincho"/>
          <w:szCs w:val="22"/>
          <w:lang w:val="en-GB" w:eastAsia="en-GB"/>
        </w:rPr>
        <w:t>MabThera intravenous formulation was used at the standard dose of 375 mg/m</w:t>
      </w:r>
      <w:r w:rsidRPr="00C501E3">
        <w:rPr>
          <w:rFonts w:eastAsia="MS Mincho"/>
          <w:szCs w:val="22"/>
          <w:vertAlign w:val="superscript"/>
          <w:lang w:val="en-GB" w:eastAsia="en-GB"/>
        </w:rPr>
        <w:t>2</w:t>
      </w:r>
      <w:r w:rsidRPr="00C501E3">
        <w:rPr>
          <w:rFonts w:eastAsia="MS Mincho"/>
          <w:szCs w:val="22"/>
          <w:lang w:val="en-GB" w:eastAsia="en-GB"/>
        </w:rPr>
        <w:t xml:space="preserve"> body surface area.</w:t>
      </w:r>
    </w:p>
    <w:p w14:paraId="7C331CDE" w14:textId="77777777" w:rsidR="003A539E" w:rsidRPr="00C501E3" w:rsidRDefault="00016F29" w:rsidP="003A539E">
      <w:pPr>
        <w:autoSpaceDE w:val="0"/>
        <w:autoSpaceDN w:val="0"/>
        <w:adjustRightInd w:val="0"/>
        <w:ind w:left="567" w:firstLine="3"/>
        <w:rPr>
          <w:rFonts w:eastAsia="MS Mincho"/>
          <w:szCs w:val="22"/>
          <w:lang w:val="en-GB" w:eastAsia="en-GB"/>
        </w:rPr>
      </w:pPr>
      <w:r w:rsidRPr="00C501E3">
        <w:rPr>
          <w:rFonts w:eastAsia="MS Mincho"/>
          <w:szCs w:val="22"/>
          <w:lang w:val="en-GB" w:eastAsia="en-GB"/>
        </w:rPr>
        <w:t>MabThera subcutaneous formulation was given at a fixed dose of 1400 mg.</w:t>
      </w:r>
    </w:p>
    <w:p w14:paraId="7C331CDF" w14:textId="77777777" w:rsidR="003A539E" w:rsidRPr="00C501E3" w:rsidRDefault="00016F29" w:rsidP="003A539E">
      <w:pPr>
        <w:autoSpaceDE w:val="0"/>
        <w:autoSpaceDN w:val="0"/>
        <w:adjustRightInd w:val="0"/>
        <w:ind w:firstLine="567"/>
        <w:rPr>
          <w:rFonts w:eastAsia="MS Mincho"/>
          <w:szCs w:val="22"/>
          <w:lang w:val="en-GB" w:eastAsia="en-GB"/>
        </w:rPr>
      </w:pPr>
      <w:r w:rsidRPr="00C501E3">
        <w:rPr>
          <w:rFonts w:eastAsia="MS Mincho"/>
          <w:szCs w:val="22"/>
          <w:lang w:val="en-GB" w:eastAsia="en-GB"/>
        </w:rPr>
        <w:t xml:space="preserve">Patients achieving at least partial response (PR) were entered on the MabThera subcutaneous </w:t>
      </w:r>
      <w:r w:rsidRPr="00C501E3">
        <w:rPr>
          <w:rFonts w:eastAsia="MS Mincho"/>
          <w:szCs w:val="22"/>
          <w:lang w:val="en-GB" w:eastAsia="en-GB"/>
        </w:rPr>
        <w:tab/>
        <w:t>formulation maintenance therapy once every 8 weeks for 24 months.</w:t>
      </w:r>
    </w:p>
    <w:p w14:paraId="7C331CE0" w14:textId="77777777" w:rsidR="003A539E" w:rsidRPr="00C501E3" w:rsidRDefault="003A539E" w:rsidP="003A539E">
      <w:pPr>
        <w:autoSpaceDE w:val="0"/>
        <w:autoSpaceDN w:val="0"/>
        <w:adjustRightInd w:val="0"/>
        <w:rPr>
          <w:rFonts w:eastAsia="MS Mincho"/>
          <w:szCs w:val="22"/>
          <w:lang w:val="en-GB" w:eastAsia="en-GB"/>
        </w:rPr>
      </w:pPr>
    </w:p>
    <w:p w14:paraId="7C331CE1" w14:textId="77777777" w:rsidR="003A539E" w:rsidRPr="000C35A5" w:rsidRDefault="00016F29" w:rsidP="005B2928">
      <w:pPr>
        <w:autoSpaceDE w:val="0"/>
        <w:autoSpaceDN w:val="0"/>
        <w:adjustRightInd w:val="0"/>
        <w:ind w:left="567" w:hanging="210"/>
        <w:rPr>
          <w:rFonts w:eastAsia="MS Mincho"/>
          <w:szCs w:val="22"/>
          <w:lang w:val="en-GB" w:eastAsia="en-GB"/>
        </w:rPr>
      </w:pPr>
      <w:r w:rsidRPr="00E06A78">
        <w:rPr>
          <w:rFonts w:ascii="Symbol" w:hAnsi="Symbol"/>
          <w:lang w:val="en-GB"/>
        </w:rPr>
        <w:sym w:font="Symbol" w:char="F0B7"/>
      </w:r>
      <w:r>
        <w:rPr>
          <w:szCs w:val="22"/>
          <w:lang w:val="en-GB"/>
        </w:rPr>
        <w:tab/>
      </w:r>
      <w:r w:rsidRPr="000C35A5">
        <w:rPr>
          <w:rFonts w:eastAsia="MS Mincho"/>
          <w:szCs w:val="22"/>
          <w:lang w:val="en-GB" w:eastAsia="en-GB"/>
        </w:rPr>
        <w:t xml:space="preserve">MabThera intravenous formulation (n= </w:t>
      </w:r>
      <w:r w:rsidR="00752A01" w:rsidRPr="00E830E8">
        <w:rPr>
          <w:rFonts w:eastAsia="MS Mincho"/>
          <w:szCs w:val="22"/>
          <w:lang w:val="en-GB" w:eastAsia="en-GB"/>
        </w:rPr>
        <w:t>205</w:t>
      </w:r>
      <w:r w:rsidRPr="00E830E8">
        <w:rPr>
          <w:rFonts w:eastAsia="MS Mincho"/>
          <w:szCs w:val="22"/>
          <w:lang w:val="en-GB" w:eastAsia="en-GB"/>
        </w:rPr>
        <w:t>): 8</w:t>
      </w:r>
      <w:r w:rsidRPr="000C35A5">
        <w:rPr>
          <w:rFonts w:eastAsia="MS Mincho"/>
          <w:szCs w:val="22"/>
          <w:lang w:val="en-GB" w:eastAsia="en-GB"/>
        </w:rPr>
        <w:t xml:space="preserve"> cycles of M</w:t>
      </w:r>
      <w:r w:rsidR="000C35A5">
        <w:rPr>
          <w:rFonts w:eastAsia="MS Mincho"/>
          <w:szCs w:val="22"/>
          <w:lang w:val="en-GB" w:eastAsia="en-GB"/>
        </w:rPr>
        <w:t xml:space="preserve">abThera intravenous formulation </w:t>
      </w:r>
      <w:r w:rsidRPr="000C35A5">
        <w:rPr>
          <w:rFonts w:eastAsia="MS Mincho"/>
          <w:szCs w:val="22"/>
          <w:lang w:val="en-GB" w:eastAsia="en-GB"/>
        </w:rPr>
        <w:t>in</w:t>
      </w:r>
      <w:r w:rsidR="000C35A5" w:rsidRPr="000C35A5">
        <w:rPr>
          <w:rFonts w:eastAsia="MS Mincho"/>
          <w:szCs w:val="22"/>
          <w:lang w:val="en-GB" w:eastAsia="en-GB"/>
        </w:rPr>
        <w:t xml:space="preserve"> </w:t>
      </w:r>
      <w:r w:rsidRPr="000C35A5">
        <w:rPr>
          <w:rFonts w:eastAsia="MS Mincho"/>
          <w:szCs w:val="22"/>
          <w:lang w:val="en-GB" w:eastAsia="en-GB"/>
        </w:rPr>
        <w:t xml:space="preserve">combination with up to 8 cycles of CHOP or CVP chemotherapy administered every 3 weeks. </w:t>
      </w:r>
    </w:p>
    <w:p w14:paraId="7C331CE2" w14:textId="77777777" w:rsidR="003A539E" w:rsidRPr="00C501E3" w:rsidRDefault="00016F29" w:rsidP="000C35A5">
      <w:pPr>
        <w:autoSpaceDE w:val="0"/>
        <w:autoSpaceDN w:val="0"/>
        <w:adjustRightInd w:val="0"/>
        <w:ind w:left="561"/>
        <w:rPr>
          <w:rFonts w:eastAsia="MS Mincho"/>
          <w:szCs w:val="22"/>
          <w:lang w:val="en-GB" w:eastAsia="en-GB"/>
        </w:rPr>
      </w:pPr>
      <w:r w:rsidRPr="00C501E3">
        <w:rPr>
          <w:rFonts w:eastAsia="MS Mincho"/>
          <w:szCs w:val="22"/>
          <w:lang w:val="en-GB" w:eastAsia="en-GB"/>
        </w:rPr>
        <w:t>MabThera intravenous formulation was used at the standard dose of 375 mg/m</w:t>
      </w:r>
      <w:r w:rsidRPr="00C501E3">
        <w:rPr>
          <w:rFonts w:eastAsia="MS Mincho"/>
          <w:szCs w:val="22"/>
          <w:vertAlign w:val="superscript"/>
          <w:lang w:val="en-GB" w:eastAsia="en-GB"/>
        </w:rPr>
        <w:t>2</w:t>
      </w:r>
      <w:r w:rsidRPr="00C501E3">
        <w:rPr>
          <w:rFonts w:eastAsia="MS Mincho"/>
          <w:szCs w:val="22"/>
          <w:lang w:val="en-GB" w:eastAsia="en-GB"/>
        </w:rPr>
        <w:t>.</w:t>
      </w:r>
    </w:p>
    <w:p w14:paraId="7C331CE3" w14:textId="77777777" w:rsidR="003A539E" w:rsidRPr="00C501E3" w:rsidRDefault="00016F29" w:rsidP="000C35A5">
      <w:pPr>
        <w:autoSpaceDE w:val="0"/>
        <w:autoSpaceDN w:val="0"/>
        <w:adjustRightInd w:val="0"/>
        <w:ind w:left="561"/>
        <w:rPr>
          <w:rFonts w:eastAsia="MS Mincho"/>
          <w:szCs w:val="22"/>
          <w:lang w:val="en-GB" w:eastAsia="en-GB"/>
        </w:rPr>
      </w:pPr>
      <w:r w:rsidRPr="00C501E3">
        <w:rPr>
          <w:rFonts w:eastAsia="MS Mincho"/>
          <w:szCs w:val="22"/>
          <w:lang w:val="en-GB" w:eastAsia="en-GB"/>
        </w:rPr>
        <w:t>Patients achieving at least PR were entered on MabThera intravenous formulation maintenance therapy once every 8 weeks for 24 months.</w:t>
      </w:r>
    </w:p>
    <w:p w14:paraId="7C331CE4" w14:textId="77777777" w:rsidR="00752A01" w:rsidRPr="000C35A5" w:rsidRDefault="00752A01" w:rsidP="003A539E">
      <w:pPr>
        <w:autoSpaceDE w:val="0"/>
        <w:autoSpaceDN w:val="0"/>
        <w:adjustRightInd w:val="0"/>
        <w:rPr>
          <w:rFonts w:eastAsia="SimSun"/>
          <w:szCs w:val="22"/>
          <w:highlight w:val="cyan"/>
          <w:lang w:val="en-GB" w:eastAsia="zh-CN"/>
        </w:rPr>
      </w:pPr>
    </w:p>
    <w:p w14:paraId="7C331CE5" w14:textId="77777777" w:rsidR="00752A01" w:rsidRPr="007152D5" w:rsidRDefault="00016F29" w:rsidP="00752A01">
      <w:pPr>
        <w:autoSpaceDE w:val="0"/>
        <w:autoSpaceDN w:val="0"/>
        <w:adjustRightInd w:val="0"/>
        <w:rPr>
          <w:rFonts w:eastAsia="SimSun"/>
          <w:szCs w:val="22"/>
          <w:lang w:eastAsia="zh-CN"/>
        </w:rPr>
      </w:pPr>
      <w:bookmarkStart w:id="12" w:name="_Ref382318091"/>
      <w:r>
        <w:rPr>
          <w:rFonts w:eastAsia="SimSun"/>
          <w:szCs w:val="22"/>
          <w:lang w:eastAsia="zh-CN"/>
        </w:rPr>
        <w:t>K</w:t>
      </w:r>
      <w:r w:rsidR="004841DB">
        <w:rPr>
          <w:rFonts w:eastAsia="SimSun"/>
          <w:szCs w:val="22"/>
          <w:lang w:eastAsia="zh-CN"/>
        </w:rPr>
        <w:t>ey efficacy results</w:t>
      </w:r>
      <w:r w:rsidRPr="007152D5">
        <w:rPr>
          <w:rFonts w:eastAsia="SimSun"/>
          <w:szCs w:val="22"/>
          <w:lang w:eastAsia="zh-CN"/>
        </w:rPr>
        <w:t xml:space="preserve"> for the pooled analysis of 410 patients in SABRINA stages 1 and 2 are shown in table 2.</w:t>
      </w:r>
    </w:p>
    <w:p w14:paraId="7C331CE6" w14:textId="77777777" w:rsidR="00752A01" w:rsidRPr="007152D5" w:rsidRDefault="00752A01" w:rsidP="00752A01">
      <w:pPr>
        <w:autoSpaceDE w:val="0"/>
        <w:autoSpaceDN w:val="0"/>
        <w:adjustRightInd w:val="0"/>
        <w:rPr>
          <w:rFonts w:eastAsia="SimSun"/>
          <w:szCs w:val="22"/>
          <w:lang w:eastAsia="zh-CN"/>
        </w:rPr>
      </w:pPr>
    </w:p>
    <w:bookmarkEnd w:id="12"/>
    <w:p w14:paraId="7C331CE7" w14:textId="77777777" w:rsidR="00752A01" w:rsidRPr="00A849BE" w:rsidRDefault="00016F29" w:rsidP="0099733D">
      <w:pPr>
        <w:keepNext/>
        <w:keepLines/>
        <w:rPr>
          <w:rFonts w:eastAsia="SimSun"/>
          <w:b/>
          <w:lang w:eastAsia="zh-CN"/>
        </w:rPr>
      </w:pPr>
      <w:r w:rsidRPr="00A849BE">
        <w:rPr>
          <w:rFonts w:eastAsia="SimSun"/>
          <w:b/>
          <w:lang w:eastAsia="zh-CN"/>
        </w:rPr>
        <w:t>Table 2</w:t>
      </w:r>
      <w:r w:rsidRPr="00A849BE">
        <w:rPr>
          <w:rFonts w:eastAsia="SimSun"/>
          <w:b/>
          <w:lang w:eastAsia="zh-CN"/>
        </w:rPr>
        <w:tab/>
      </w:r>
      <w:r w:rsidR="004841DB">
        <w:rPr>
          <w:rFonts w:eastAsia="SimSun"/>
          <w:b/>
          <w:lang w:eastAsia="zh-CN"/>
        </w:rPr>
        <w:t xml:space="preserve">Efficacy results for </w:t>
      </w:r>
      <w:r w:rsidRPr="00A849BE">
        <w:rPr>
          <w:rFonts w:eastAsia="SimSun"/>
          <w:b/>
          <w:lang w:eastAsia="zh-CN"/>
        </w:rPr>
        <w:t>SABRINA (BO22334) (Intent to Treat Population)</w:t>
      </w:r>
    </w:p>
    <w:tbl>
      <w:tblPr>
        <w:tblW w:w="0" w:type="auto"/>
        <w:tblCellMar>
          <w:left w:w="0" w:type="dxa"/>
          <w:right w:w="0" w:type="dxa"/>
        </w:tblCellMar>
        <w:tblLook w:val="0420" w:firstRow="1" w:lastRow="0" w:firstColumn="0" w:lastColumn="0" w:noHBand="0" w:noVBand="1"/>
      </w:tblPr>
      <w:tblGrid>
        <w:gridCol w:w="801"/>
        <w:gridCol w:w="3283"/>
        <w:gridCol w:w="2295"/>
        <w:gridCol w:w="2615"/>
      </w:tblGrid>
      <w:tr w:rsidR="003A788B" w14:paraId="7C331CEB" w14:textId="77777777" w:rsidTr="00D56682">
        <w:trPr>
          <w:trHeight w:val="340"/>
        </w:trPr>
        <w:tc>
          <w:tcPr>
            <w:tcW w:w="4084" w:type="dxa"/>
            <w:gridSpan w:val="2"/>
            <w:vMerge w:val="restart"/>
            <w:tcBorders>
              <w:top w:val="single" w:sz="8" w:space="0" w:color="000000"/>
              <w:left w:val="single" w:sz="8" w:space="0" w:color="000000"/>
              <w:right w:val="single" w:sz="8" w:space="0" w:color="000000"/>
            </w:tcBorders>
            <w:shd w:val="clear" w:color="auto" w:fill="FFFFFF"/>
            <w:tcMar>
              <w:top w:w="72" w:type="dxa"/>
              <w:left w:w="156" w:type="dxa"/>
              <w:bottom w:w="72" w:type="dxa"/>
              <w:right w:w="156" w:type="dxa"/>
            </w:tcMar>
          </w:tcPr>
          <w:p w14:paraId="7C331CE8" w14:textId="77777777" w:rsidR="00752A01" w:rsidRPr="007152D5" w:rsidRDefault="00752A01" w:rsidP="0099733D">
            <w:pPr>
              <w:keepNext/>
              <w:keepLines/>
              <w:jc w:val="center"/>
              <w:rPr>
                <w:b/>
                <w:bCs/>
                <w:kern w:val="24"/>
                <w:szCs w:val="22"/>
                <w:lang w:eastAsia="en-US"/>
              </w:rPr>
            </w:pPr>
            <w:bookmarkStart w:id="13" w:name="_Ref380743996"/>
          </w:p>
        </w:tc>
        <w:tc>
          <w:tcPr>
            <w:tcW w:w="4910" w:type="dxa"/>
            <w:gridSpan w:val="2"/>
            <w:tcBorders>
              <w:top w:val="single" w:sz="8" w:space="0" w:color="000000"/>
              <w:left w:val="single" w:sz="8" w:space="0" w:color="000000"/>
              <w:bottom w:val="single" w:sz="8" w:space="0" w:color="000000"/>
              <w:right w:val="single" w:sz="8" w:space="0" w:color="000000"/>
            </w:tcBorders>
            <w:shd w:val="clear" w:color="auto" w:fill="FFFFFF"/>
            <w:tcMar>
              <w:top w:w="72" w:type="dxa"/>
              <w:left w:w="156" w:type="dxa"/>
              <w:bottom w:w="72" w:type="dxa"/>
              <w:right w:w="156" w:type="dxa"/>
            </w:tcMar>
            <w:vAlign w:val="center"/>
          </w:tcPr>
          <w:p w14:paraId="7C331CE9" w14:textId="77777777" w:rsidR="00752A01" w:rsidRPr="007152D5" w:rsidRDefault="00016F29" w:rsidP="0099733D">
            <w:pPr>
              <w:keepNext/>
              <w:keepLines/>
              <w:jc w:val="center"/>
              <w:rPr>
                <w:b/>
                <w:bCs/>
                <w:kern w:val="24"/>
                <w:szCs w:val="22"/>
                <w:lang w:eastAsia="en-US"/>
              </w:rPr>
            </w:pPr>
            <w:r w:rsidRPr="007152D5">
              <w:rPr>
                <w:b/>
                <w:bCs/>
                <w:kern w:val="24"/>
                <w:szCs w:val="22"/>
                <w:lang w:eastAsia="en-US"/>
              </w:rPr>
              <w:t>Pooled Stages 1 &amp; 2</w:t>
            </w:r>
          </w:p>
          <w:p w14:paraId="7C331CEA" w14:textId="77777777" w:rsidR="00752A01" w:rsidRPr="007152D5" w:rsidRDefault="00016F29" w:rsidP="0099733D">
            <w:pPr>
              <w:keepNext/>
              <w:keepLines/>
              <w:jc w:val="center"/>
              <w:rPr>
                <w:szCs w:val="22"/>
                <w:lang w:eastAsia="en-US"/>
              </w:rPr>
            </w:pPr>
            <w:r w:rsidRPr="007152D5">
              <w:rPr>
                <w:b/>
                <w:bCs/>
                <w:kern w:val="24"/>
                <w:szCs w:val="22"/>
                <w:lang w:eastAsia="en-US"/>
              </w:rPr>
              <w:t>N = 410</w:t>
            </w:r>
          </w:p>
        </w:tc>
      </w:tr>
      <w:tr w:rsidR="003A788B" w14:paraId="7C331CF1" w14:textId="77777777" w:rsidTr="00D56682">
        <w:trPr>
          <w:trHeight w:val="340"/>
        </w:trPr>
        <w:tc>
          <w:tcPr>
            <w:tcW w:w="4084" w:type="dxa"/>
            <w:gridSpan w:val="2"/>
            <w:vMerge/>
            <w:tcBorders>
              <w:left w:val="single" w:sz="8" w:space="0" w:color="000000"/>
              <w:bottom w:val="single" w:sz="8" w:space="0" w:color="000000"/>
              <w:right w:val="single" w:sz="8" w:space="0" w:color="000000"/>
            </w:tcBorders>
            <w:vAlign w:val="center"/>
          </w:tcPr>
          <w:p w14:paraId="7C331CEC" w14:textId="77777777" w:rsidR="00752A01" w:rsidRPr="007152D5" w:rsidRDefault="00752A01" w:rsidP="0099733D">
            <w:pPr>
              <w:keepNext/>
              <w:keepLines/>
              <w:jc w:val="center"/>
              <w:rPr>
                <w:b/>
                <w:bCs/>
                <w:kern w:val="24"/>
                <w:szCs w:val="22"/>
                <w:lang w:eastAsia="en-US"/>
              </w:rPr>
            </w:pPr>
          </w:p>
        </w:tc>
        <w:tc>
          <w:tcPr>
            <w:tcW w:w="229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56" w:type="dxa"/>
              <w:bottom w:w="72" w:type="dxa"/>
              <w:right w:w="156" w:type="dxa"/>
            </w:tcMar>
            <w:vAlign w:val="center"/>
          </w:tcPr>
          <w:p w14:paraId="7C331CED" w14:textId="77777777" w:rsidR="00752A01" w:rsidRDefault="00016F29" w:rsidP="0099733D">
            <w:pPr>
              <w:keepNext/>
              <w:keepLines/>
              <w:jc w:val="center"/>
              <w:rPr>
                <w:b/>
                <w:bCs/>
                <w:kern w:val="24"/>
                <w:szCs w:val="22"/>
                <w:lang w:eastAsia="en-US"/>
              </w:rPr>
            </w:pPr>
            <w:r w:rsidRPr="007152D5">
              <w:rPr>
                <w:b/>
                <w:bCs/>
                <w:kern w:val="24"/>
                <w:szCs w:val="22"/>
                <w:lang w:eastAsia="en-US"/>
              </w:rPr>
              <w:t>Rituximab intravenous formulation</w:t>
            </w:r>
          </w:p>
          <w:p w14:paraId="7C331CEE" w14:textId="77777777" w:rsidR="004841DB" w:rsidRPr="007152D5" w:rsidRDefault="00016F29" w:rsidP="0099733D">
            <w:pPr>
              <w:keepNext/>
              <w:keepLines/>
              <w:jc w:val="center"/>
              <w:rPr>
                <w:szCs w:val="22"/>
                <w:lang w:eastAsia="en-US"/>
              </w:rPr>
            </w:pPr>
            <w:r>
              <w:rPr>
                <w:b/>
                <w:bCs/>
                <w:kern w:val="24"/>
                <w:szCs w:val="22"/>
                <w:lang w:eastAsia="en-US"/>
              </w:rPr>
              <w:t>(n = 205)</w:t>
            </w:r>
          </w:p>
        </w:tc>
        <w:tc>
          <w:tcPr>
            <w:tcW w:w="261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56" w:type="dxa"/>
              <w:bottom w:w="72" w:type="dxa"/>
              <w:right w:w="156" w:type="dxa"/>
            </w:tcMar>
            <w:vAlign w:val="center"/>
          </w:tcPr>
          <w:p w14:paraId="7C331CEF" w14:textId="77777777" w:rsidR="00752A01" w:rsidRDefault="00016F29" w:rsidP="0099733D">
            <w:pPr>
              <w:keepNext/>
              <w:keepLines/>
              <w:jc w:val="center"/>
              <w:rPr>
                <w:b/>
                <w:bCs/>
                <w:kern w:val="24"/>
                <w:szCs w:val="22"/>
                <w:lang w:eastAsia="en-US"/>
              </w:rPr>
            </w:pPr>
            <w:r w:rsidRPr="007152D5">
              <w:rPr>
                <w:b/>
                <w:bCs/>
                <w:kern w:val="24"/>
                <w:szCs w:val="22"/>
                <w:lang w:eastAsia="en-US"/>
              </w:rPr>
              <w:t>Rituximab subcutaneous formulation</w:t>
            </w:r>
          </w:p>
          <w:p w14:paraId="7C331CF0" w14:textId="77777777" w:rsidR="004841DB" w:rsidRPr="007152D5" w:rsidRDefault="00016F29" w:rsidP="0099733D">
            <w:pPr>
              <w:keepNext/>
              <w:keepLines/>
              <w:jc w:val="center"/>
              <w:rPr>
                <w:szCs w:val="22"/>
                <w:lang w:eastAsia="en-US"/>
              </w:rPr>
            </w:pPr>
            <w:r>
              <w:rPr>
                <w:b/>
                <w:bCs/>
                <w:kern w:val="24"/>
                <w:szCs w:val="22"/>
                <w:lang w:eastAsia="en-US"/>
              </w:rPr>
              <w:t>(n = 205)</w:t>
            </w:r>
          </w:p>
        </w:tc>
      </w:tr>
      <w:tr w:rsidR="003A788B" w14:paraId="7C331CF6" w14:textId="77777777" w:rsidTr="00D56682">
        <w:trPr>
          <w:trHeight w:val="340"/>
        </w:trPr>
        <w:tc>
          <w:tcPr>
            <w:tcW w:w="801"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7C331CF2" w14:textId="77777777" w:rsidR="00752A01" w:rsidRPr="007152D5" w:rsidRDefault="00016F29" w:rsidP="0099733D">
            <w:pPr>
              <w:keepNext/>
              <w:keepLines/>
              <w:rPr>
                <w:szCs w:val="22"/>
                <w:lang w:eastAsia="en-US"/>
              </w:rPr>
            </w:pPr>
            <w:r w:rsidRPr="007152D5">
              <w:rPr>
                <w:b/>
                <w:bCs/>
                <w:kern w:val="24"/>
                <w:szCs w:val="22"/>
                <w:lang w:val="de-CH" w:eastAsia="en-US"/>
              </w:rPr>
              <w:t>ORR</w:t>
            </w:r>
            <w:r w:rsidR="004841DB">
              <w:rPr>
                <w:b/>
                <w:bCs/>
                <w:kern w:val="24"/>
                <w:szCs w:val="22"/>
                <w:vertAlign w:val="superscript"/>
                <w:lang w:val="de-CH" w:eastAsia="en-US"/>
              </w:rPr>
              <w:t xml:space="preserve"> a</w:t>
            </w:r>
          </w:p>
        </w:tc>
        <w:tc>
          <w:tcPr>
            <w:tcW w:w="3283" w:type="dxa"/>
            <w:tcBorders>
              <w:top w:val="single" w:sz="8" w:space="0" w:color="000000"/>
              <w:left w:val="single" w:sz="8" w:space="0" w:color="000000"/>
              <w:bottom w:val="single" w:sz="8" w:space="0" w:color="000000"/>
              <w:right w:val="single" w:sz="8" w:space="0" w:color="000000"/>
            </w:tcBorders>
            <w:shd w:val="clear" w:color="auto" w:fill="FFFFFF"/>
          </w:tcPr>
          <w:p w14:paraId="7C331CF3" w14:textId="77777777" w:rsidR="00752A01" w:rsidRPr="007152D5" w:rsidRDefault="00016F29" w:rsidP="0099733D">
            <w:pPr>
              <w:keepNext/>
              <w:keepLines/>
              <w:jc w:val="center"/>
              <w:rPr>
                <w:b/>
                <w:bCs/>
                <w:kern w:val="24"/>
                <w:szCs w:val="22"/>
                <w:lang w:val="de-CH" w:eastAsia="en-US"/>
              </w:rPr>
            </w:pPr>
            <w:r w:rsidRPr="007152D5">
              <w:rPr>
                <w:b/>
                <w:bCs/>
                <w:kern w:val="24"/>
                <w:szCs w:val="22"/>
                <w:lang w:val="de-CH" w:eastAsia="en-US"/>
              </w:rPr>
              <w:t>Point estimate</w:t>
            </w:r>
          </w:p>
        </w:tc>
        <w:tc>
          <w:tcPr>
            <w:tcW w:w="229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56" w:type="dxa"/>
              <w:bottom w:w="72" w:type="dxa"/>
              <w:right w:w="156" w:type="dxa"/>
            </w:tcMar>
          </w:tcPr>
          <w:p w14:paraId="7C331CF4" w14:textId="77777777" w:rsidR="00752A01" w:rsidRPr="007152D5" w:rsidRDefault="00016F29" w:rsidP="0099733D">
            <w:pPr>
              <w:keepNext/>
              <w:keepLines/>
              <w:jc w:val="center"/>
              <w:rPr>
                <w:szCs w:val="22"/>
                <w:lang w:eastAsia="en-US"/>
              </w:rPr>
            </w:pPr>
            <w:r w:rsidRPr="007152D5">
              <w:rPr>
                <w:b/>
                <w:bCs/>
                <w:kern w:val="24"/>
                <w:szCs w:val="22"/>
                <w:lang w:val="de-CH" w:eastAsia="en-US"/>
              </w:rPr>
              <w:t>84.</w:t>
            </w:r>
            <w:r w:rsidR="004841DB">
              <w:rPr>
                <w:b/>
                <w:bCs/>
                <w:kern w:val="24"/>
                <w:szCs w:val="22"/>
                <w:lang w:val="de-CH" w:eastAsia="en-US"/>
              </w:rPr>
              <w:t>9</w:t>
            </w:r>
            <w:r w:rsidRPr="007152D5">
              <w:rPr>
                <w:b/>
                <w:bCs/>
                <w:kern w:val="24"/>
                <w:szCs w:val="22"/>
                <w:lang w:val="de-CH" w:eastAsia="en-US"/>
              </w:rPr>
              <w:t>% (</w:t>
            </w:r>
            <w:r w:rsidR="004841DB">
              <w:rPr>
                <w:b/>
                <w:bCs/>
                <w:kern w:val="24"/>
                <w:szCs w:val="22"/>
                <w:lang w:val="de-CH" w:eastAsia="en-US"/>
              </w:rPr>
              <w:t xml:space="preserve">n = </w:t>
            </w:r>
            <w:r w:rsidRPr="007152D5">
              <w:rPr>
                <w:b/>
                <w:bCs/>
                <w:kern w:val="24"/>
                <w:szCs w:val="22"/>
                <w:lang w:val="de-CH" w:eastAsia="en-US"/>
              </w:rPr>
              <w:t>17</w:t>
            </w:r>
            <w:r w:rsidR="004841DB">
              <w:rPr>
                <w:b/>
                <w:bCs/>
                <w:kern w:val="24"/>
                <w:szCs w:val="22"/>
                <w:lang w:val="de-CH" w:eastAsia="en-US"/>
              </w:rPr>
              <w:t>4</w:t>
            </w:r>
            <w:r w:rsidRPr="007152D5">
              <w:rPr>
                <w:b/>
                <w:bCs/>
                <w:kern w:val="24"/>
                <w:szCs w:val="22"/>
                <w:lang w:val="de-CH" w:eastAsia="en-US"/>
              </w:rPr>
              <w:t>)</w:t>
            </w:r>
          </w:p>
        </w:tc>
        <w:tc>
          <w:tcPr>
            <w:tcW w:w="261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56" w:type="dxa"/>
              <w:bottom w:w="72" w:type="dxa"/>
              <w:right w:w="156" w:type="dxa"/>
            </w:tcMar>
          </w:tcPr>
          <w:p w14:paraId="7C331CF5" w14:textId="77777777" w:rsidR="00752A01" w:rsidRPr="007152D5" w:rsidRDefault="00016F29" w:rsidP="0099733D">
            <w:pPr>
              <w:keepNext/>
              <w:keepLines/>
              <w:jc w:val="center"/>
              <w:rPr>
                <w:szCs w:val="22"/>
                <w:lang w:eastAsia="en-US"/>
              </w:rPr>
            </w:pPr>
            <w:r w:rsidRPr="007152D5">
              <w:rPr>
                <w:b/>
                <w:bCs/>
                <w:kern w:val="24"/>
                <w:szCs w:val="22"/>
                <w:lang w:val="de-CH" w:eastAsia="en-US"/>
              </w:rPr>
              <w:t>8</w:t>
            </w:r>
            <w:r w:rsidR="004841DB">
              <w:rPr>
                <w:b/>
                <w:bCs/>
                <w:kern w:val="24"/>
                <w:szCs w:val="22"/>
                <w:lang w:val="de-CH" w:eastAsia="en-US"/>
              </w:rPr>
              <w:t>4</w:t>
            </w:r>
            <w:r w:rsidRPr="007152D5">
              <w:rPr>
                <w:b/>
                <w:bCs/>
                <w:kern w:val="24"/>
                <w:szCs w:val="22"/>
                <w:lang w:val="de-CH" w:eastAsia="en-US"/>
              </w:rPr>
              <w:t>.4% (</w:t>
            </w:r>
            <w:r w:rsidR="004841DB">
              <w:rPr>
                <w:b/>
                <w:bCs/>
                <w:kern w:val="24"/>
                <w:szCs w:val="22"/>
                <w:lang w:val="de-CH" w:eastAsia="en-US"/>
              </w:rPr>
              <w:t>n = 173</w:t>
            </w:r>
            <w:r w:rsidRPr="007152D5">
              <w:rPr>
                <w:b/>
                <w:bCs/>
                <w:kern w:val="24"/>
                <w:szCs w:val="22"/>
                <w:lang w:val="de-CH" w:eastAsia="en-US"/>
              </w:rPr>
              <w:t>)</w:t>
            </w:r>
          </w:p>
        </w:tc>
      </w:tr>
      <w:tr w:rsidR="003A788B" w14:paraId="7C331CFB" w14:textId="77777777" w:rsidTr="00D56682">
        <w:trPr>
          <w:trHeight w:val="340"/>
        </w:trPr>
        <w:tc>
          <w:tcPr>
            <w:tcW w:w="801" w:type="dxa"/>
            <w:vMerge/>
            <w:tcBorders>
              <w:top w:val="single" w:sz="8" w:space="0" w:color="000000"/>
              <w:left w:val="single" w:sz="8" w:space="0" w:color="000000"/>
              <w:bottom w:val="single" w:sz="8" w:space="0" w:color="000000"/>
              <w:right w:val="single" w:sz="8" w:space="0" w:color="000000"/>
            </w:tcBorders>
            <w:vAlign w:val="center"/>
          </w:tcPr>
          <w:p w14:paraId="7C331CF7" w14:textId="77777777" w:rsidR="00752A01" w:rsidRPr="007152D5" w:rsidRDefault="00752A01" w:rsidP="0099733D">
            <w:pPr>
              <w:keepNext/>
              <w:keepLines/>
              <w:rPr>
                <w:szCs w:val="22"/>
                <w:lang w:eastAsia="en-US"/>
              </w:rPr>
            </w:pPr>
          </w:p>
        </w:tc>
        <w:tc>
          <w:tcPr>
            <w:tcW w:w="3283" w:type="dxa"/>
            <w:tcBorders>
              <w:top w:val="single" w:sz="8" w:space="0" w:color="000000"/>
              <w:left w:val="single" w:sz="8" w:space="0" w:color="000000"/>
              <w:bottom w:val="single" w:sz="8" w:space="0" w:color="000000"/>
              <w:right w:val="single" w:sz="8" w:space="0" w:color="000000"/>
            </w:tcBorders>
            <w:shd w:val="clear" w:color="auto" w:fill="FFFFFF"/>
          </w:tcPr>
          <w:p w14:paraId="7C331CF8" w14:textId="77777777" w:rsidR="00752A01" w:rsidRPr="007152D5" w:rsidRDefault="00016F29" w:rsidP="0099733D">
            <w:pPr>
              <w:keepNext/>
              <w:keepLines/>
              <w:jc w:val="center"/>
              <w:rPr>
                <w:b/>
                <w:bCs/>
                <w:kern w:val="24"/>
                <w:szCs w:val="22"/>
                <w:lang w:val="de-CH" w:eastAsia="en-US"/>
              </w:rPr>
            </w:pPr>
            <w:r w:rsidRPr="007152D5">
              <w:rPr>
                <w:b/>
                <w:bCs/>
                <w:kern w:val="24"/>
                <w:szCs w:val="22"/>
                <w:lang w:val="de-CH" w:eastAsia="en-US"/>
              </w:rPr>
              <w:t>95% CI</w:t>
            </w:r>
          </w:p>
        </w:tc>
        <w:tc>
          <w:tcPr>
            <w:tcW w:w="229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56" w:type="dxa"/>
              <w:bottom w:w="72" w:type="dxa"/>
              <w:right w:w="156" w:type="dxa"/>
            </w:tcMar>
          </w:tcPr>
          <w:p w14:paraId="7C331CF9" w14:textId="77777777" w:rsidR="00752A01" w:rsidRPr="007152D5" w:rsidRDefault="00016F29" w:rsidP="0099733D">
            <w:pPr>
              <w:keepNext/>
              <w:keepLines/>
              <w:jc w:val="center"/>
              <w:rPr>
                <w:szCs w:val="22"/>
                <w:lang w:eastAsia="en-US"/>
              </w:rPr>
            </w:pPr>
            <w:r w:rsidRPr="007152D5">
              <w:rPr>
                <w:b/>
                <w:bCs/>
                <w:kern w:val="24"/>
                <w:szCs w:val="22"/>
                <w:lang w:val="de-CH" w:eastAsia="en-US"/>
              </w:rPr>
              <w:t>[7</w:t>
            </w:r>
            <w:r w:rsidR="004841DB">
              <w:rPr>
                <w:b/>
                <w:bCs/>
                <w:kern w:val="24"/>
                <w:szCs w:val="22"/>
                <w:lang w:val="de-CH" w:eastAsia="en-US"/>
              </w:rPr>
              <w:t>9</w:t>
            </w:r>
            <w:r w:rsidRPr="007152D5">
              <w:rPr>
                <w:b/>
                <w:bCs/>
                <w:kern w:val="24"/>
                <w:szCs w:val="22"/>
                <w:lang w:val="de-CH" w:eastAsia="en-US"/>
              </w:rPr>
              <w:t>.</w:t>
            </w:r>
            <w:r w:rsidR="004841DB">
              <w:rPr>
                <w:b/>
                <w:bCs/>
                <w:kern w:val="24"/>
                <w:szCs w:val="22"/>
                <w:lang w:val="de-CH" w:eastAsia="en-US"/>
              </w:rPr>
              <w:t>2</w:t>
            </w:r>
            <w:r w:rsidRPr="007152D5">
              <w:rPr>
                <w:b/>
                <w:bCs/>
                <w:kern w:val="24"/>
                <w:szCs w:val="22"/>
                <w:lang w:val="de-CH" w:eastAsia="en-US"/>
              </w:rPr>
              <w:t>%,</w:t>
            </w:r>
            <w:r w:rsidR="004841DB">
              <w:rPr>
                <w:b/>
                <w:bCs/>
                <w:kern w:val="24"/>
                <w:szCs w:val="22"/>
                <w:lang w:val="de-CH" w:eastAsia="en-US"/>
              </w:rPr>
              <w:t xml:space="preserve"> </w:t>
            </w:r>
            <w:r w:rsidRPr="007152D5">
              <w:rPr>
                <w:b/>
                <w:bCs/>
                <w:kern w:val="24"/>
                <w:szCs w:val="22"/>
                <w:lang w:val="de-CH" w:eastAsia="en-US"/>
              </w:rPr>
              <w:t>89.</w:t>
            </w:r>
            <w:r w:rsidR="004841DB">
              <w:rPr>
                <w:b/>
                <w:bCs/>
                <w:kern w:val="24"/>
                <w:szCs w:val="22"/>
                <w:lang w:val="de-CH" w:eastAsia="en-US"/>
              </w:rPr>
              <w:t>5</w:t>
            </w:r>
            <w:r w:rsidRPr="007152D5">
              <w:rPr>
                <w:b/>
                <w:bCs/>
                <w:kern w:val="24"/>
                <w:szCs w:val="22"/>
                <w:lang w:val="de-CH" w:eastAsia="en-US"/>
              </w:rPr>
              <w:t>%]</w:t>
            </w:r>
          </w:p>
        </w:tc>
        <w:tc>
          <w:tcPr>
            <w:tcW w:w="261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56" w:type="dxa"/>
              <w:bottom w:w="72" w:type="dxa"/>
              <w:right w:w="156" w:type="dxa"/>
            </w:tcMar>
          </w:tcPr>
          <w:p w14:paraId="7C331CFA" w14:textId="77777777" w:rsidR="00752A01" w:rsidRPr="007152D5" w:rsidRDefault="00016F29" w:rsidP="0099733D">
            <w:pPr>
              <w:keepNext/>
              <w:keepLines/>
              <w:jc w:val="center"/>
              <w:rPr>
                <w:szCs w:val="22"/>
                <w:lang w:eastAsia="en-US"/>
              </w:rPr>
            </w:pPr>
            <w:r w:rsidRPr="007152D5">
              <w:rPr>
                <w:b/>
                <w:bCs/>
                <w:kern w:val="24"/>
                <w:szCs w:val="22"/>
                <w:lang w:val="de-CH" w:eastAsia="en-US"/>
              </w:rPr>
              <w:t>[7</w:t>
            </w:r>
            <w:r w:rsidR="004841DB">
              <w:rPr>
                <w:b/>
                <w:bCs/>
                <w:kern w:val="24"/>
                <w:szCs w:val="22"/>
                <w:lang w:val="de-CH" w:eastAsia="en-US"/>
              </w:rPr>
              <w:t>8</w:t>
            </w:r>
            <w:r w:rsidRPr="007152D5">
              <w:rPr>
                <w:b/>
                <w:bCs/>
                <w:kern w:val="24"/>
                <w:szCs w:val="22"/>
                <w:lang w:val="de-CH" w:eastAsia="en-US"/>
              </w:rPr>
              <w:t>.</w:t>
            </w:r>
            <w:r w:rsidR="004841DB">
              <w:rPr>
                <w:b/>
                <w:bCs/>
                <w:kern w:val="24"/>
                <w:szCs w:val="22"/>
                <w:lang w:val="de-CH" w:eastAsia="en-US"/>
              </w:rPr>
              <w:t>7</w:t>
            </w:r>
            <w:r w:rsidRPr="007152D5">
              <w:rPr>
                <w:b/>
                <w:bCs/>
                <w:kern w:val="24"/>
                <w:szCs w:val="22"/>
                <w:lang w:val="de-CH" w:eastAsia="en-US"/>
              </w:rPr>
              <w:t>%,</w:t>
            </w:r>
            <w:r w:rsidR="004841DB">
              <w:rPr>
                <w:b/>
                <w:bCs/>
                <w:kern w:val="24"/>
                <w:szCs w:val="22"/>
                <w:lang w:val="de-CH" w:eastAsia="en-US"/>
              </w:rPr>
              <w:t xml:space="preserve"> </w:t>
            </w:r>
            <w:r w:rsidRPr="007152D5">
              <w:rPr>
                <w:b/>
                <w:bCs/>
                <w:kern w:val="24"/>
                <w:szCs w:val="22"/>
                <w:lang w:val="de-CH" w:eastAsia="en-US"/>
              </w:rPr>
              <w:t>8</w:t>
            </w:r>
            <w:r w:rsidR="004841DB">
              <w:rPr>
                <w:b/>
                <w:bCs/>
                <w:kern w:val="24"/>
                <w:szCs w:val="22"/>
                <w:lang w:val="de-CH" w:eastAsia="en-US"/>
              </w:rPr>
              <w:t>9</w:t>
            </w:r>
            <w:r w:rsidRPr="007152D5">
              <w:rPr>
                <w:b/>
                <w:bCs/>
                <w:kern w:val="24"/>
                <w:szCs w:val="22"/>
                <w:lang w:val="de-CH" w:eastAsia="en-US"/>
              </w:rPr>
              <w:t>.</w:t>
            </w:r>
            <w:r w:rsidR="004841DB">
              <w:rPr>
                <w:b/>
                <w:bCs/>
                <w:kern w:val="24"/>
                <w:szCs w:val="22"/>
                <w:lang w:val="de-CH" w:eastAsia="en-US"/>
              </w:rPr>
              <w:t>1</w:t>
            </w:r>
            <w:r w:rsidRPr="007152D5">
              <w:rPr>
                <w:b/>
                <w:bCs/>
                <w:kern w:val="24"/>
                <w:szCs w:val="22"/>
                <w:lang w:val="de-CH" w:eastAsia="en-US"/>
              </w:rPr>
              <w:t>%]</w:t>
            </w:r>
          </w:p>
        </w:tc>
      </w:tr>
      <w:tr w:rsidR="003A788B" w14:paraId="7C331D00" w14:textId="77777777" w:rsidTr="00D56682">
        <w:trPr>
          <w:trHeight w:val="340"/>
        </w:trPr>
        <w:tc>
          <w:tcPr>
            <w:tcW w:w="801"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7C331CFC" w14:textId="77777777" w:rsidR="00752A01" w:rsidRPr="007152D5" w:rsidRDefault="00016F29" w:rsidP="0099733D">
            <w:pPr>
              <w:keepNext/>
              <w:keepLines/>
              <w:rPr>
                <w:szCs w:val="22"/>
                <w:lang w:eastAsia="en-US"/>
              </w:rPr>
            </w:pPr>
            <w:r w:rsidRPr="007152D5">
              <w:rPr>
                <w:b/>
                <w:bCs/>
                <w:kern w:val="24"/>
                <w:szCs w:val="22"/>
                <w:lang w:val="de-CH" w:eastAsia="en-US"/>
              </w:rPr>
              <w:t>CRR</w:t>
            </w:r>
          </w:p>
        </w:tc>
        <w:tc>
          <w:tcPr>
            <w:tcW w:w="3283" w:type="dxa"/>
            <w:tcBorders>
              <w:top w:val="single" w:sz="8" w:space="0" w:color="000000"/>
              <w:left w:val="single" w:sz="8" w:space="0" w:color="000000"/>
              <w:bottom w:val="single" w:sz="8" w:space="0" w:color="000000"/>
              <w:right w:val="single" w:sz="8" w:space="0" w:color="000000"/>
            </w:tcBorders>
            <w:shd w:val="clear" w:color="auto" w:fill="FFFFFF"/>
          </w:tcPr>
          <w:p w14:paraId="7C331CFD" w14:textId="77777777" w:rsidR="00752A01" w:rsidRPr="007152D5" w:rsidRDefault="00016F29" w:rsidP="0099733D">
            <w:pPr>
              <w:keepNext/>
              <w:keepLines/>
              <w:jc w:val="center"/>
              <w:rPr>
                <w:b/>
                <w:bCs/>
                <w:kern w:val="24"/>
                <w:szCs w:val="22"/>
                <w:lang w:val="de-CH" w:eastAsia="en-US"/>
              </w:rPr>
            </w:pPr>
            <w:r w:rsidRPr="007152D5">
              <w:rPr>
                <w:b/>
                <w:bCs/>
                <w:kern w:val="24"/>
                <w:szCs w:val="22"/>
                <w:lang w:val="de-CH" w:eastAsia="en-US"/>
              </w:rPr>
              <w:t>Point estimate</w:t>
            </w:r>
          </w:p>
        </w:tc>
        <w:tc>
          <w:tcPr>
            <w:tcW w:w="229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56" w:type="dxa"/>
              <w:bottom w:w="72" w:type="dxa"/>
              <w:right w:w="156" w:type="dxa"/>
            </w:tcMar>
          </w:tcPr>
          <w:p w14:paraId="7C331CFE" w14:textId="77777777" w:rsidR="00752A01" w:rsidRPr="007152D5" w:rsidRDefault="00016F29" w:rsidP="0099733D">
            <w:pPr>
              <w:keepNext/>
              <w:keepLines/>
              <w:jc w:val="center"/>
              <w:rPr>
                <w:szCs w:val="22"/>
                <w:lang w:eastAsia="en-US"/>
              </w:rPr>
            </w:pPr>
            <w:r w:rsidRPr="007152D5">
              <w:rPr>
                <w:b/>
                <w:bCs/>
                <w:kern w:val="24"/>
                <w:szCs w:val="22"/>
                <w:lang w:val="de-CH" w:eastAsia="en-US"/>
              </w:rPr>
              <w:t>31.7% (</w:t>
            </w:r>
            <w:r w:rsidR="004841DB">
              <w:rPr>
                <w:b/>
                <w:bCs/>
                <w:kern w:val="24"/>
                <w:szCs w:val="22"/>
                <w:lang w:val="de-CH" w:eastAsia="en-US"/>
              </w:rPr>
              <w:t xml:space="preserve">n = </w:t>
            </w:r>
            <w:r w:rsidRPr="007152D5">
              <w:rPr>
                <w:b/>
                <w:bCs/>
                <w:kern w:val="24"/>
                <w:szCs w:val="22"/>
                <w:lang w:val="de-CH" w:eastAsia="en-US"/>
              </w:rPr>
              <w:t>65)</w:t>
            </w:r>
          </w:p>
        </w:tc>
        <w:tc>
          <w:tcPr>
            <w:tcW w:w="261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56" w:type="dxa"/>
              <w:bottom w:w="72" w:type="dxa"/>
              <w:right w:w="156" w:type="dxa"/>
            </w:tcMar>
          </w:tcPr>
          <w:p w14:paraId="7C331CFF" w14:textId="77777777" w:rsidR="00752A01" w:rsidRPr="007152D5" w:rsidRDefault="00016F29" w:rsidP="0099733D">
            <w:pPr>
              <w:keepNext/>
              <w:keepLines/>
              <w:jc w:val="center"/>
              <w:rPr>
                <w:szCs w:val="22"/>
                <w:lang w:eastAsia="en-US"/>
              </w:rPr>
            </w:pPr>
            <w:r w:rsidRPr="007152D5">
              <w:rPr>
                <w:b/>
                <w:bCs/>
                <w:kern w:val="24"/>
                <w:szCs w:val="22"/>
                <w:lang w:val="de-CH" w:eastAsia="en-US"/>
              </w:rPr>
              <w:t>32.</w:t>
            </w:r>
            <w:r w:rsidR="004841DB">
              <w:rPr>
                <w:b/>
                <w:bCs/>
                <w:kern w:val="24"/>
                <w:szCs w:val="22"/>
                <w:lang w:val="de-CH" w:eastAsia="en-US"/>
              </w:rPr>
              <w:t>2</w:t>
            </w:r>
            <w:r w:rsidRPr="007152D5">
              <w:rPr>
                <w:b/>
                <w:bCs/>
                <w:kern w:val="24"/>
                <w:szCs w:val="22"/>
                <w:lang w:val="de-CH" w:eastAsia="en-US"/>
              </w:rPr>
              <w:t>% (</w:t>
            </w:r>
            <w:r w:rsidR="004841DB">
              <w:rPr>
                <w:b/>
                <w:bCs/>
                <w:kern w:val="24"/>
                <w:szCs w:val="22"/>
                <w:lang w:val="de-CH" w:eastAsia="en-US"/>
              </w:rPr>
              <w:t xml:space="preserve">n = </w:t>
            </w:r>
            <w:r w:rsidRPr="007152D5">
              <w:rPr>
                <w:b/>
                <w:bCs/>
                <w:kern w:val="24"/>
                <w:szCs w:val="22"/>
                <w:lang w:val="de-CH" w:eastAsia="en-US"/>
              </w:rPr>
              <w:t>6</w:t>
            </w:r>
            <w:r w:rsidR="004841DB">
              <w:rPr>
                <w:b/>
                <w:bCs/>
                <w:kern w:val="24"/>
                <w:szCs w:val="22"/>
                <w:lang w:val="de-CH" w:eastAsia="en-US"/>
              </w:rPr>
              <w:t>6</w:t>
            </w:r>
            <w:r w:rsidRPr="007152D5">
              <w:rPr>
                <w:b/>
                <w:bCs/>
                <w:kern w:val="24"/>
                <w:szCs w:val="22"/>
                <w:lang w:val="de-CH" w:eastAsia="en-US"/>
              </w:rPr>
              <w:t>)</w:t>
            </w:r>
          </w:p>
        </w:tc>
      </w:tr>
      <w:tr w:rsidR="003A788B" w14:paraId="7C331D05" w14:textId="77777777" w:rsidTr="00D56682">
        <w:trPr>
          <w:trHeight w:val="340"/>
        </w:trPr>
        <w:tc>
          <w:tcPr>
            <w:tcW w:w="801" w:type="dxa"/>
            <w:vMerge/>
            <w:tcBorders>
              <w:top w:val="single" w:sz="8" w:space="0" w:color="000000"/>
              <w:left w:val="single" w:sz="8" w:space="0" w:color="000000"/>
              <w:bottom w:val="single" w:sz="8" w:space="0" w:color="000000"/>
              <w:right w:val="single" w:sz="8" w:space="0" w:color="000000"/>
            </w:tcBorders>
            <w:vAlign w:val="center"/>
          </w:tcPr>
          <w:p w14:paraId="7C331D01" w14:textId="77777777" w:rsidR="00752A01" w:rsidRPr="007152D5" w:rsidRDefault="00752A01" w:rsidP="0099733D">
            <w:pPr>
              <w:keepNext/>
              <w:keepLines/>
              <w:rPr>
                <w:szCs w:val="22"/>
                <w:lang w:eastAsia="en-US"/>
              </w:rPr>
            </w:pPr>
          </w:p>
        </w:tc>
        <w:tc>
          <w:tcPr>
            <w:tcW w:w="3283" w:type="dxa"/>
            <w:tcBorders>
              <w:top w:val="single" w:sz="8" w:space="0" w:color="000000"/>
              <w:left w:val="single" w:sz="8" w:space="0" w:color="000000"/>
              <w:bottom w:val="single" w:sz="8" w:space="0" w:color="000000"/>
              <w:right w:val="single" w:sz="8" w:space="0" w:color="000000"/>
            </w:tcBorders>
            <w:shd w:val="clear" w:color="auto" w:fill="FFFFFF"/>
          </w:tcPr>
          <w:p w14:paraId="7C331D02" w14:textId="77777777" w:rsidR="00752A01" w:rsidRPr="007152D5" w:rsidRDefault="00016F29" w:rsidP="0099733D">
            <w:pPr>
              <w:keepNext/>
              <w:keepLines/>
              <w:jc w:val="center"/>
              <w:rPr>
                <w:b/>
                <w:bCs/>
                <w:kern w:val="24"/>
                <w:szCs w:val="22"/>
                <w:lang w:val="de-CH" w:eastAsia="en-US"/>
              </w:rPr>
            </w:pPr>
            <w:r w:rsidRPr="007152D5">
              <w:rPr>
                <w:b/>
                <w:bCs/>
                <w:kern w:val="24"/>
                <w:szCs w:val="22"/>
                <w:lang w:val="de-CH" w:eastAsia="en-US"/>
              </w:rPr>
              <w:t>95% CI</w:t>
            </w:r>
          </w:p>
        </w:tc>
        <w:tc>
          <w:tcPr>
            <w:tcW w:w="229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56" w:type="dxa"/>
              <w:bottom w:w="72" w:type="dxa"/>
              <w:right w:w="156" w:type="dxa"/>
            </w:tcMar>
          </w:tcPr>
          <w:p w14:paraId="7C331D03" w14:textId="77777777" w:rsidR="00752A01" w:rsidRPr="007152D5" w:rsidRDefault="00016F29" w:rsidP="0099733D">
            <w:pPr>
              <w:keepNext/>
              <w:keepLines/>
              <w:jc w:val="center"/>
              <w:rPr>
                <w:szCs w:val="22"/>
                <w:lang w:eastAsia="en-US"/>
              </w:rPr>
            </w:pPr>
            <w:r w:rsidRPr="007152D5">
              <w:rPr>
                <w:b/>
                <w:bCs/>
                <w:kern w:val="24"/>
                <w:szCs w:val="22"/>
                <w:lang w:val="de-CH" w:eastAsia="en-US"/>
              </w:rPr>
              <w:t>[25.4%,</w:t>
            </w:r>
            <w:r w:rsidR="004841DB">
              <w:rPr>
                <w:b/>
                <w:bCs/>
                <w:kern w:val="24"/>
                <w:szCs w:val="22"/>
                <w:lang w:val="de-CH" w:eastAsia="en-US"/>
              </w:rPr>
              <w:t xml:space="preserve"> </w:t>
            </w:r>
            <w:r w:rsidRPr="007152D5">
              <w:rPr>
                <w:b/>
                <w:bCs/>
                <w:kern w:val="24"/>
                <w:szCs w:val="22"/>
                <w:lang w:val="de-CH" w:eastAsia="en-US"/>
              </w:rPr>
              <w:t>38.6%]</w:t>
            </w:r>
          </w:p>
        </w:tc>
        <w:tc>
          <w:tcPr>
            <w:tcW w:w="261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56" w:type="dxa"/>
              <w:bottom w:w="72" w:type="dxa"/>
              <w:right w:w="156" w:type="dxa"/>
            </w:tcMar>
          </w:tcPr>
          <w:p w14:paraId="7C331D04" w14:textId="77777777" w:rsidR="00752A01" w:rsidRPr="007152D5" w:rsidRDefault="00016F29" w:rsidP="0099733D">
            <w:pPr>
              <w:keepNext/>
              <w:keepLines/>
              <w:jc w:val="center"/>
              <w:rPr>
                <w:szCs w:val="22"/>
                <w:lang w:eastAsia="en-US"/>
              </w:rPr>
            </w:pPr>
            <w:r w:rsidRPr="007152D5">
              <w:rPr>
                <w:b/>
                <w:bCs/>
                <w:kern w:val="24"/>
                <w:szCs w:val="22"/>
                <w:lang w:val="de-CH" w:eastAsia="en-US"/>
              </w:rPr>
              <w:t>[2</w:t>
            </w:r>
            <w:r w:rsidR="004841DB">
              <w:rPr>
                <w:b/>
                <w:bCs/>
                <w:kern w:val="24"/>
                <w:szCs w:val="22"/>
                <w:lang w:val="de-CH" w:eastAsia="en-US"/>
              </w:rPr>
              <w:t>5</w:t>
            </w:r>
            <w:r w:rsidRPr="007152D5">
              <w:rPr>
                <w:b/>
                <w:bCs/>
                <w:kern w:val="24"/>
                <w:szCs w:val="22"/>
                <w:lang w:val="de-CH" w:eastAsia="en-US"/>
              </w:rPr>
              <w:t>.</w:t>
            </w:r>
            <w:r w:rsidR="004841DB">
              <w:rPr>
                <w:b/>
                <w:bCs/>
                <w:kern w:val="24"/>
                <w:szCs w:val="22"/>
                <w:lang w:val="de-CH" w:eastAsia="en-US"/>
              </w:rPr>
              <w:t>9</w:t>
            </w:r>
            <w:r w:rsidRPr="007152D5">
              <w:rPr>
                <w:b/>
                <w:bCs/>
                <w:kern w:val="24"/>
                <w:szCs w:val="22"/>
                <w:lang w:val="de-CH" w:eastAsia="en-US"/>
              </w:rPr>
              <w:t>%,</w:t>
            </w:r>
            <w:r w:rsidR="004841DB">
              <w:rPr>
                <w:b/>
                <w:bCs/>
                <w:kern w:val="24"/>
                <w:szCs w:val="22"/>
                <w:lang w:val="de-CH" w:eastAsia="en-US"/>
              </w:rPr>
              <w:t xml:space="preserve"> </w:t>
            </w:r>
            <w:r w:rsidRPr="007152D5">
              <w:rPr>
                <w:b/>
                <w:bCs/>
                <w:kern w:val="24"/>
                <w:szCs w:val="22"/>
                <w:lang w:val="de-CH" w:eastAsia="en-US"/>
              </w:rPr>
              <w:t>39.</w:t>
            </w:r>
            <w:r w:rsidR="004841DB">
              <w:rPr>
                <w:b/>
                <w:bCs/>
                <w:kern w:val="24"/>
                <w:szCs w:val="22"/>
                <w:lang w:val="de-CH" w:eastAsia="en-US"/>
              </w:rPr>
              <w:t>1</w:t>
            </w:r>
            <w:r w:rsidRPr="007152D5">
              <w:rPr>
                <w:b/>
                <w:bCs/>
                <w:kern w:val="24"/>
                <w:szCs w:val="22"/>
                <w:lang w:val="de-CH" w:eastAsia="en-US"/>
              </w:rPr>
              <w:t>%]</w:t>
            </w:r>
          </w:p>
        </w:tc>
      </w:tr>
      <w:tr w:rsidR="003A788B" w14:paraId="7C331D0A" w14:textId="77777777" w:rsidTr="004841DB">
        <w:trPr>
          <w:trHeight w:val="340"/>
        </w:trPr>
        <w:tc>
          <w:tcPr>
            <w:tcW w:w="801"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7C331D06" w14:textId="77777777" w:rsidR="004841DB" w:rsidRPr="004D5F5D" w:rsidRDefault="00016F29" w:rsidP="0099733D">
            <w:pPr>
              <w:keepNext/>
              <w:keepLines/>
              <w:rPr>
                <w:b/>
                <w:szCs w:val="22"/>
                <w:lang w:eastAsia="en-US"/>
              </w:rPr>
            </w:pPr>
            <w:r w:rsidRPr="004D5F5D">
              <w:rPr>
                <w:b/>
                <w:szCs w:val="22"/>
                <w:lang w:eastAsia="en-US"/>
              </w:rPr>
              <w:t>PFS</w:t>
            </w:r>
            <w:r w:rsidRPr="004D5F5D">
              <w:rPr>
                <w:b/>
                <w:szCs w:val="22"/>
                <w:vertAlign w:val="superscript"/>
                <w:lang w:eastAsia="en-US"/>
              </w:rPr>
              <w:t>b</w:t>
            </w:r>
          </w:p>
        </w:tc>
        <w:tc>
          <w:tcPr>
            <w:tcW w:w="3283" w:type="dxa"/>
            <w:tcBorders>
              <w:top w:val="single" w:sz="8" w:space="0" w:color="000000"/>
              <w:left w:val="single" w:sz="8" w:space="0" w:color="000000"/>
              <w:bottom w:val="single" w:sz="8" w:space="0" w:color="000000"/>
              <w:right w:val="single" w:sz="8" w:space="0" w:color="000000"/>
            </w:tcBorders>
            <w:shd w:val="clear" w:color="auto" w:fill="FFFFFF"/>
          </w:tcPr>
          <w:p w14:paraId="7C331D07" w14:textId="77777777" w:rsidR="004841DB" w:rsidRPr="007152D5" w:rsidRDefault="00016F29" w:rsidP="0099733D">
            <w:pPr>
              <w:keepNext/>
              <w:keepLines/>
              <w:rPr>
                <w:b/>
                <w:bCs/>
                <w:kern w:val="24"/>
                <w:szCs w:val="22"/>
                <w:lang w:val="de-CH" w:eastAsia="en-US"/>
              </w:rPr>
            </w:pPr>
            <w:r w:rsidRPr="004841DB">
              <w:rPr>
                <w:b/>
                <w:bCs/>
                <w:kern w:val="24"/>
                <w:szCs w:val="22"/>
                <w:lang w:val="de-CH" w:eastAsia="en-US"/>
              </w:rPr>
              <w:t>Proportion with PFS event</w:t>
            </w:r>
          </w:p>
        </w:tc>
        <w:tc>
          <w:tcPr>
            <w:tcW w:w="229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56" w:type="dxa"/>
              <w:bottom w:w="72" w:type="dxa"/>
              <w:right w:w="156" w:type="dxa"/>
            </w:tcMar>
          </w:tcPr>
          <w:p w14:paraId="7C331D08" w14:textId="77777777" w:rsidR="004841DB" w:rsidRPr="004D5F5D" w:rsidRDefault="00016F29" w:rsidP="0099733D">
            <w:pPr>
              <w:keepNext/>
              <w:keepLines/>
              <w:jc w:val="center"/>
              <w:rPr>
                <w:b/>
                <w:bCs/>
                <w:kern w:val="24"/>
                <w:szCs w:val="22"/>
                <w:lang w:val="de-CH" w:eastAsia="en-US"/>
              </w:rPr>
            </w:pPr>
            <w:r w:rsidRPr="004841DB">
              <w:rPr>
                <w:b/>
                <w:bCs/>
                <w:kern w:val="24"/>
                <w:szCs w:val="22"/>
                <w:lang w:val="de-CH" w:eastAsia="en-US"/>
              </w:rPr>
              <w:t>34.6% (n = 71 )</w:t>
            </w:r>
          </w:p>
        </w:tc>
        <w:tc>
          <w:tcPr>
            <w:tcW w:w="261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56" w:type="dxa"/>
              <w:bottom w:w="72" w:type="dxa"/>
              <w:right w:w="156" w:type="dxa"/>
            </w:tcMar>
          </w:tcPr>
          <w:p w14:paraId="7C331D09" w14:textId="77777777" w:rsidR="004841DB" w:rsidRPr="004D5F5D" w:rsidRDefault="00016F29" w:rsidP="0099733D">
            <w:pPr>
              <w:keepNext/>
              <w:keepLines/>
              <w:jc w:val="center"/>
              <w:rPr>
                <w:b/>
                <w:bCs/>
                <w:kern w:val="24"/>
                <w:szCs w:val="22"/>
                <w:lang w:val="de-CH" w:eastAsia="en-US"/>
              </w:rPr>
            </w:pPr>
            <w:r w:rsidRPr="004841DB">
              <w:rPr>
                <w:b/>
                <w:bCs/>
                <w:kern w:val="24"/>
                <w:szCs w:val="22"/>
                <w:lang w:val="de-CH" w:eastAsia="en-US"/>
              </w:rPr>
              <w:t>31.7% ( n = 65)</w:t>
            </w:r>
          </w:p>
        </w:tc>
      </w:tr>
      <w:tr w:rsidR="003A788B" w14:paraId="7C331D0E" w14:textId="77777777" w:rsidTr="00E21DC4">
        <w:trPr>
          <w:trHeight w:val="340"/>
        </w:trPr>
        <w:tc>
          <w:tcPr>
            <w:tcW w:w="801" w:type="dxa"/>
            <w:vMerge/>
            <w:tcBorders>
              <w:left w:val="single" w:sz="8" w:space="0" w:color="000000"/>
              <w:bottom w:val="single" w:sz="8" w:space="0" w:color="000000"/>
              <w:right w:val="single" w:sz="8" w:space="0" w:color="000000"/>
            </w:tcBorders>
            <w:vAlign w:val="center"/>
          </w:tcPr>
          <w:p w14:paraId="7C331D0B" w14:textId="77777777" w:rsidR="004841DB" w:rsidRPr="007152D5" w:rsidRDefault="004841DB" w:rsidP="0099733D">
            <w:pPr>
              <w:keepNext/>
              <w:keepLines/>
              <w:rPr>
                <w:szCs w:val="22"/>
                <w:lang w:eastAsia="en-US"/>
              </w:rPr>
            </w:pPr>
          </w:p>
        </w:tc>
        <w:tc>
          <w:tcPr>
            <w:tcW w:w="3283" w:type="dxa"/>
            <w:tcBorders>
              <w:top w:val="single" w:sz="8" w:space="0" w:color="000000"/>
              <w:left w:val="single" w:sz="8" w:space="0" w:color="000000"/>
              <w:bottom w:val="single" w:sz="8" w:space="0" w:color="000000"/>
              <w:right w:val="single" w:sz="8" w:space="0" w:color="000000"/>
            </w:tcBorders>
            <w:shd w:val="clear" w:color="auto" w:fill="FFFFFF"/>
          </w:tcPr>
          <w:p w14:paraId="7C331D0C" w14:textId="77777777" w:rsidR="004841DB" w:rsidRPr="007152D5" w:rsidRDefault="00016F29" w:rsidP="0099733D">
            <w:pPr>
              <w:keepNext/>
              <w:keepLines/>
              <w:jc w:val="center"/>
              <w:rPr>
                <w:b/>
                <w:bCs/>
                <w:kern w:val="24"/>
                <w:szCs w:val="22"/>
                <w:lang w:val="de-CH" w:eastAsia="en-US"/>
              </w:rPr>
            </w:pPr>
            <w:r>
              <w:rPr>
                <w:b/>
                <w:bCs/>
                <w:kern w:val="24"/>
                <w:szCs w:val="22"/>
                <w:lang w:eastAsia="en-US"/>
              </w:rPr>
              <w:t>Hazard ratio (95% CI)</w:t>
            </w:r>
          </w:p>
        </w:tc>
        <w:tc>
          <w:tcPr>
            <w:tcW w:w="4910" w:type="dxa"/>
            <w:gridSpan w:val="2"/>
            <w:tcBorders>
              <w:top w:val="single" w:sz="8" w:space="0" w:color="000000"/>
              <w:left w:val="single" w:sz="8" w:space="0" w:color="000000"/>
              <w:bottom w:val="single" w:sz="8" w:space="0" w:color="000000"/>
              <w:right w:val="single" w:sz="8" w:space="0" w:color="000000"/>
            </w:tcBorders>
            <w:shd w:val="clear" w:color="auto" w:fill="FFFFFF"/>
            <w:tcMar>
              <w:top w:w="72" w:type="dxa"/>
              <w:left w:w="156" w:type="dxa"/>
              <w:bottom w:w="72" w:type="dxa"/>
              <w:right w:w="156" w:type="dxa"/>
            </w:tcMar>
          </w:tcPr>
          <w:p w14:paraId="7C331D0D" w14:textId="77777777" w:rsidR="004841DB" w:rsidRPr="004D5F5D" w:rsidRDefault="00016F29" w:rsidP="0099733D">
            <w:pPr>
              <w:keepNext/>
              <w:keepLines/>
              <w:jc w:val="center"/>
              <w:rPr>
                <w:b/>
                <w:bCs/>
                <w:kern w:val="24"/>
                <w:szCs w:val="22"/>
                <w:lang w:val="de-CH" w:eastAsia="en-US"/>
              </w:rPr>
            </w:pPr>
            <w:r w:rsidRPr="004D5F5D">
              <w:rPr>
                <w:b/>
                <w:bCs/>
                <w:kern w:val="24"/>
                <w:szCs w:val="22"/>
                <w:lang w:eastAsia="en-US"/>
              </w:rPr>
              <w:t>0.90 [0.64%, 1.26%]</w:t>
            </w:r>
          </w:p>
        </w:tc>
      </w:tr>
    </w:tbl>
    <w:p w14:paraId="7C331D0F" w14:textId="77777777" w:rsidR="00752A01" w:rsidRPr="007152D5" w:rsidRDefault="00016F29" w:rsidP="0099733D">
      <w:pPr>
        <w:keepNext/>
        <w:keepLines/>
        <w:outlineLvl w:val="0"/>
        <w:rPr>
          <w:sz w:val="18"/>
          <w:szCs w:val="18"/>
          <w:lang w:val="en-GB"/>
        </w:rPr>
      </w:pPr>
      <w:r w:rsidRPr="007152D5">
        <w:rPr>
          <w:sz w:val="18"/>
          <w:szCs w:val="18"/>
          <w:lang w:val="en-GB"/>
        </w:rPr>
        <w:t>ORR – Overall Response Rate</w:t>
      </w:r>
    </w:p>
    <w:p w14:paraId="7C331D10" w14:textId="77777777" w:rsidR="00752A01" w:rsidRDefault="00016F29" w:rsidP="0099733D">
      <w:pPr>
        <w:keepNext/>
        <w:keepLines/>
        <w:tabs>
          <w:tab w:val="left" w:pos="1152"/>
        </w:tabs>
        <w:rPr>
          <w:sz w:val="18"/>
          <w:szCs w:val="18"/>
          <w:lang w:val="en-GB"/>
        </w:rPr>
      </w:pPr>
      <w:r w:rsidRPr="007152D5">
        <w:rPr>
          <w:sz w:val="18"/>
          <w:szCs w:val="18"/>
          <w:lang w:val="en-GB"/>
        </w:rPr>
        <w:t>CRR – Complete Response Rate</w:t>
      </w:r>
    </w:p>
    <w:p w14:paraId="7C331D11" w14:textId="77777777" w:rsidR="00C21E71" w:rsidRDefault="00016F29" w:rsidP="0099733D">
      <w:pPr>
        <w:keepNext/>
        <w:keepLines/>
        <w:tabs>
          <w:tab w:val="left" w:pos="1152"/>
        </w:tabs>
        <w:rPr>
          <w:sz w:val="18"/>
          <w:szCs w:val="18"/>
          <w:lang w:val="en-GB"/>
        </w:rPr>
      </w:pPr>
      <w:r>
        <w:rPr>
          <w:sz w:val="18"/>
          <w:szCs w:val="18"/>
          <w:lang w:val="en-GB"/>
        </w:rPr>
        <w:t>PFS – Progression-Free Survival (proportion with event, disease progression/relapse or death from any cause)</w:t>
      </w:r>
    </w:p>
    <w:p w14:paraId="7C331D12" w14:textId="77777777" w:rsidR="00C21E71" w:rsidRDefault="00016F29" w:rsidP="0099733D">
      <w:pPr>
        <w:keepNext/>
        <w:keepLines/>
        <w:tabs>
          <w:tab w:val="left" w:pos="1152"/>
        </w:tabs>
        <w:rPr>
          <w:sz w:val="18"/>
          <w:szCs w:val="18"/>
          <w:lang w:val="en-GB"/>
        </w:rPr>
      </w:pPr>
      <w:r w:rsidRPr="00CC36E8">
        <w:rPr>
          <w:b/>
          <w:sz w:val="18"/>
          <w:szCs w:val="18"/>
          <w:vertAlign w:val="superscript"/>
          <w:lang w:val="en-GB"/>
        </w:rPr>
        <w:t>a</w:t>
      </w:r>
      <w:r w:rsidRPr="00CC36E8">
        <w:rPr>
          <w:b/>
          <w:sz w:val="18"/>
          <w:szCs w:val="18"/>
          <w:lang w:val="en-GB"/>
        </w:rPr>
        <w:t xml:space="preserve"> </w:t>
      </w:r>
      <w:r>
        <w:rPr>
          <w:sz w:val="18"/>
          <w:szCs w:val="18"/>
          <w:lang w:val="en-GB"/>
        </w:rPr>
        <w:t>– at end of Induction</w:t>
      </w:r>
    </w:p>
    <w:p w14:paraId="7C331D13" w14:textId="77777777" w:rsidR="00C21E71" w:rsidRDefault="00016F29" w:rsidP="0099733D">
      <w:pPr>
        <w:keepNext/>
        <w:keepLines/>
        <w:tabs>
          <w:tab w:val="left" w:pos="1152"/>
        </w:tabs>
        <w:rPr>
          <w:sz w:val="18"/>
          <w:szCs w:val="18"/>
          <w:lang w:val="en-GB"/>
        </w:rPr>
      </w:pPr>
      <w:r w:rsidRPr="00CC36E8">
        <w:rPr>
          <w:b/>
          <w:sz w:val="18"/>
          <w:szCs w:val="18"/>
          <w:vertAlign w:val="superscript"/>
          <w:lang w:val="en-GB"/>
        </w:rPr>
        <w:t>b</w:t>
      </w:r>
      <w:r>
        <w:rPr>
          <w:sz w:val="18"/>
          <w:szCs w:val="18"/>
          <w:lang w:val="en-GB"/>
        </w:rPr>
        <w:t xml:space="preserve"> – at time of final analysis (median follow-up 58 months) </w:t>
      </w:r>
    </w:p>
    <w:p w14:paraId="7C331D14" w14:textId="77777777" w:rsidR="00FA1404" w:rsidRPr="007152D5" w:rsidRDefault="00FA1404" w:rsidP="00752A01">
      <w:pPr>
        <w:tabs>
          <w:tab w:val="left" w:pos="1152"/>
        </w:tabs>
        <w:rPr>
          <w:rFonts w:eastAsia="SimSun"/>
          <w:szCs w:val="22"/>
          <w:lang w:val="en-GB" w:eastAsia="zh-CN"/>
        </w:rPr>
      </w:pPr>
    </w:p>
    <w:p w14:paraId="7C331D15" w14:textId="77777777" w:rsidR="00752A01" w:rsidRPr="00330229" w:rsidRDefault="00016F29" w:rsidP="00347139">
      <w:pPr>
        <w:rPr>
          <w:rFonts w:eastAsia="SimSun"/>
          <w:lang w:val="en-GB" w:eastAsia="zh-CN"/>
        </w:rPr>
      </w:pPr>
      <w:r w:rsidRPr="007152D5">
        <w:rPr>
          <w:rFonts w:eastAsia="SimSun"/>
          <w:lang w:val="en-GB" w:eastAsia="zh-CN"/>
        </w:rPr>
        <w:t>Exploratory analyses showed response rates among BSA, chemotherapy and gender subgroups were not notably different from the ITT population.</w:t>
      </w:r>
    </w:p>
    <w:bookmarkEnd w:id="13"/>
    <w:p w14:paraId="7C331D16" w14:textId="77777777" w:rsidR="008F369D" w:rsidRPr="00C501E3" w:rsidRDefault="008F369D" w:rsidP="008F369D">
      <w:pPr>
        <w:autoSpaceDE w:val="0"/>
        <w:autoSpaceDN w:val="0"/>
        <w:adjustRightInd w:val="0"/>
        <w:jc w:val="both"/>
        <w:rPr>
          <w:szCs w:val="22"/>
          <w:u w:val="single"/>
          <w:lang w:val="en-GB"/>
        </w:rPr>
      </w:pPr>
    </w:p>
    <w:p w14:paraId="7C331D17" w14:textId="77777777" w:rsidR="008F369D" w:rsidRPr="00C501E3" w:rsidRDefault="00016F29" w:rsidP="008A573A">
      <w:pPr>
        <w:keepNext/>
        <w:keepLines/>
        <w:jc w:val="both"/>
        <w:rPr>
          <w:bCs/>
          <w:i/>
          <w:szCs w:val="22"/>
          <w:lang w:val="en-GB"/>
        </w:rPr>
      </w:pPr>
      <w:r w:rsidRPr="00C501E3">
        <w:rPr>
          <w:bCs/>
          <w:i/>
          <w:szCs w:val="22"/>
          <w:lang w:val="en-GB"/>
        </w:rPr>
        <w:t>Immunogenicity</w:t>
      </w:r>
    </w:p>
    <w:p w14:paraId="7C331D18" w14:textId="77777777" w:rsidR="00F51636" w:rsidRPr="00BB4956" w:rsidRDefault="00016F29" w:rsidP="00F51636">
      <w:pPr>
        <w:rPr>
          <w:rFonts w:eastAsia="SimSun"/>
          <w:bCs/>
          <w:szCs w:val="22"/>
          <w:lang w:val="en-GB" w:eastAsia="zh-CN"/>
        </w:rPr>
      </w:pPr>
      <w:r w:rsidRPr="00BB4956">
        <w:rPr>
          <w:rFonts w:eastAsia="SimSun"/>
          <w:bCs/>
          <w:szCs w:val="22"/>
          <w:lang w:val="en-GB" w:eastAsia="zh-CN"/>
        </w:rPr>
        <w:t>Data from the development programme of MabThera subcutaneous formulation indicate that the formation of anti</w:t>
      </w:r>
      <w:r w:rsidR="000A6DDA" w:rsidRPr="00BB4956">
        <w:rPr>
          <w:rFonts w:eastAsia="SimSun"/>
          <w:bCs/>
          <w:szCs w:val="22"/>
          <w:lang w:val="en-GB" w:eastAsia="zh-CN"/>
        </w:rPr>
        <w:noBreakHyphen/>
      </w:r>
      <w:r w:rsidRPr="00BB4956">
        <w:rPr>
          <w:rFonts w:eastAsia="SimSun"/>
          <w:bCs/>
          <w:szCs w:val="22"/>
          <w:lang w:val="en-GB" w:eastAsia="zh-CN"/>
        </w:rPr>
        <w:t xml:space="preserve">rituximab antibodies after subcutaneous administration is comparable with that observed after intravenous administration. </w:t>
      </w:r>
      <w:r w:rsidR="00752A01" w:rsidRPr="00BB4956">
        <w:rPr>
          <w:rFonts w:eastAsia="SimSun"/>
          <w:bCs/>
          <w:szCs w:val="22"/>
          <w:lang w:val="en-GB" w:eastAsia="zh-CN"/>
        </w:rPr>
        <w:t>In the SABRINA trial (BO22334) the incidence of treatment</w:t>
      </w:r>
      <w:r w:rsidR="000A6DDA" w:rsidRPr="00BB4956">
        <w:rPr>
          <w:rFonts w:eastAsia="SimSun"/>
          <w:bCs/>
          <w:szCs w:val="22"/>
          <w:lang w:val="en-GB" w:eastAsia="zh-CN"/>
        </w:rPr>
        <w:noBreakHyphen/>
      </w:r>
      <w:r w:rsidR="00752A01" w:rsidRPr="00BB4956">
        <w:rPr>
          <w:rFonts w:eastAsia="SimSun"/>
          <w:bCs/>
          <w:szCs w:val="22"/>
          <w:lang w:val="en-GB" w:eastAsia="zh-CN"/>
        </w:rPr>
        <w:t>induced/enhanced anti</w:t>
      </w:r>
      <w:r w:rsidR="000A6DDA" w:rsidRPr="00BB4956">
        <w:rPr>
          <w:rFonts w:eastAsia="SimSun"/>
          <w:bCs/>
          <w:szCs w:val="22"/>
          <w:lang w:val="en-GB" w:eastAsia="zh-CN"/>
        </w:rPr>
        <w:noBreakHyphen/>
      </w:r>
      <w:r w:rsidR="00752A01" w:rsidRPr="00BB4956">
        <w:rPr>
          <w:rFonts w:eastAsia="SimSun"/>
          <w:bCs/>
          <w:szCs w:val="22"/>
          <w:lang w:val="en-GB" w:eastAsia="zh-CN"/>
        </w:rPr>
        <w:t xml:space="preserve">rituximab antibodies was low and similar in the </w:t>
      </w:r>
      <w:r w:rsidR="000C35A5" w:rsidRPr="00BB4956">
        <w:rPr>
          <w:rFonts w:eastAsia="SimSun"/>
          <w:bCs/>
          <w:szCs w:val="22"/>
          <w:lang w:val="en-GB" w:eastAsia="zh-CN"/>
        </w:rPr>
        <w:t xml:space="preserve">intravenous </w:t>
      </w:r>
      <w:r w:rsidR="00D1276F">
        <w:rPr>
          <w:rFonts w:eastAsia="SimSun"/>
          <w:bCs/>
          <w:szCs w:val="22"/>
          <w:lang w:val="en-GB" w:eastAsia="zh-CN"/>
        </w:rPr>
        <w:t>and subcutaneous</w:t>
      </w:r>
      <w:r w:rsidR="00752A01" w:rsidRPr="00BB4956">
        <w:rPr>
          <w:rFonts w:eastAsia="SimSun"/>
          <w:bCs/>
          <w:szCs w:val="22"/>
          <w:lang w:val="en-GB" w:eastAsia="zh-CN"/>
        </w:rPr>
        <w:t xml:space="preserve"> group</w:t>
      </w:r>
      <w:r w:rsidR="00D1276F">
        <w:rPr>
          <w:rFonts w:eastAsia="SimSun"/>
          <w:bCs/>
          <w:szCs w:val="22"/>
          <w:lang w:val="en-GB" w:eastAsia="zh-CN"/>
        </w:rPr>
        <w:t>s</w:t>
      </w:r>
      <w:r w:rsidR="00752A01" w:rsidRPr="00BB4956">
        <w:rPr>
          <w:rFonts w:eastAsia="SimSun"/>
          <w:bCs/>
          <w:szCs w:val="22"/>
          <w:lang w:val="en-GB" w:eastAsia="zh-CN"/>
        </w:rPr>
        <w:t xml:space="preserve"> (</w:t>
      </w:r>
      <w:r w:rsidR="00D1276F">
        <w:rPr>
          <w:rFonts w:eastAsia="SimSun"/>
          <w:bCs/>
          <w:szCs w:val="22"/>
          <w:lang w:val="en-GB" w:eastAsia="zh-CN"/>
        </w:rPr>
        <w:t>1.9</w:t>
      </w:r>
      <w:r w:rsidR="00752A01" w:rsidRPr="00BB4956">
        <w:rPr>
          <w:rFonts w:eastAsia="SimSun"/>
          <w:bCs/>
          <w:szCs w:val="22"/>
          <w:lang w:val="en-GB" w:eastAsia="zh-CN"/>
        </w:rPr>
        <w:t xml:space="preserve">% vs. </w:t>
      </w:r>
      <w:r w:rsidR="00D1276F">
        <w:rPr>
          <w:rFonts w:eastAsia="SimSun"/>
          <w:bCs/>
          <w:szCs w:val="22"/>
          <w:lang w:val="en-GB" w:eastAsia="zh-CN"/>
        </w:rPr>
        <w:t>2</w:t>
      </w:r>
      <w:r w:rsidR="00752A01" w:rsidRPr="00BB4956">
        <w:rPr>
          <w:rFonts w:eastAsia="SimSun"/>
          <w:bCs/>
          <w:szCs w:val="22"/>
          <w:lang w:val="en-GB" w:eastAsia="zh-CN"/>
        </w:rPr>
        <w:t>%, respectively).  The incidence of treatment</w:t>
      </w:r>
      <w:r w:rsidR="000A6DDA" w:rsidRPr="00BB4956">
        <w:rPr>
          <w:rFonts w:eastAsia="SimSun"/>
          <w:bCs/>
          <w:szCs w:val="22"/>
          <w:lang w:val="en-GB" w:eastAsia="zh-CN"/>
        </w:rPr>
        <w:noBreakHyphen/>
      </w:r>
      <w:r w:rsidR="00752A01" w:rsidRPr="00BB4956">
        <w:rPr>
          <w:rFonts w:eastAsia="SimSun"/>
          <w:bCs/>
          <w:szCs w:val="22"/>
          <w:lang w:val="en-GB" w:eastAsia="zh-CN"/>
        </w:rPr>
        <w:t>induced/enhanced anti</w:t>
      </w:r>
      <w:r w:rsidR="000A6DDA" w:rsidRPr="00BB4956">
        <w:rPr>
          <w:rFonts w:eastAsia="SimSun"/>
          <w:bCs/>
          <w:szCs w:val="22"/>
          <w:lang w:val="en-GB" w:eastAsia="zh-CN"/>
        </w:rPr>
        <w:noBreakHyphen/>
      </w:r>
      <w:r w:rsidR="00752A01" w:rsidRPr="00BB4956">
        <w:rPr>
          <w:rFonts w:eastAsia="SimSun"/>
          <w:bCs/>
          <w:szCs w:val="22"/>
          <w:lang w:val="en-GB" w:eastAsia="zh-CN"/>
        </w:rPr>
        <w:t xml:space="preserve">rHuPH20 antibodies was </w:t>
      </w:r>
      <w:r w:rsidR="00D1276F">
        <w:rPr>
          <w:rFonts w:eastAsia="SimSun"/>
          <w:bCs/>
          <w:szCs w:val="22"/>
          <w:lang w:val="en-GB" w:eastAsia="zh-CN"/>
        </w:rPr>
        <w:t>8</w:t>
      </w:r>
      <w:r w:rsidR="00752A01" w:rsidRPr="00BB4956">
        <w:rPr>
          <w:rFonts w:eastAsia="SimSun"/>
          <w:bCs/>
          <w:szCs w:val="22"/>
          <w:lang w:val="en-GB" w:eastAsia="zh-CN"/>
        </w:rPr>
        <w:t xml:space="preserve">% in the </w:t>
      </w:r>
      <w:r w:rsidR="000C35A5" w:rsidRPr="00BB4956">
        <w:rPr>
          <w:rFonts w:eastAsia="SimSun"/>
          <w:bCs/>
          <w:szCs w:val="22"/>
          <w:lang w:val="en-GB" w:eastAsia="zh-CN"/>
        </w:rPr>
        <w:t>intravenous</w:t>
      </w:r>
      <w:r w:rsidR="00752A01" w:rsidRPr="00BB4956">
        <w:rPr>
          <w:rFonts w:eastAsia="SimSun"/>
          <w:bCs/>
          <w:szCs w:val="22"/>
          <w:lang w:val="en-GB" w:eastAsia="zh-CN"/>
        </w:rPr>
        <w:t xml:space="preserve"> group compared with </w:t>
      </w:r>
      <w:r w:rsidR="00D1276F">
        <w:rPr>
          <w:rFonts w:eastAsia="SimSun"/>
          <w:bCs/>
          <w:szCs w:val="22"/>
          <w:lang w:val="en-GB" w:eastAsia="zh-CN"/>
        </w:rPr>
        <w:t>15</w:t>
      </w:r>
      <w:r w:rsidR="00752A01" w:rsidRPr="00BB4956">
        <w:rPr>
          <w:rFonts w:eastAsia="SimSun"/>
          <w:bCs/>
          <w:szCs w:val="22"/>
          <w:lang w:val="en-GB" w:eastAsia="zh-CN"/>
        </w:rPr>
        <w:t>% in the subcutaneous group, and none of the patients who tested positive for anti</w:t>
      </w:r>
      <w:r w:rsidR="000A6DDA" w:rsidRPr="00BB4956">
        <w:rPr>
          <w:rFonts w:eastAsia="SimSun"/>
          <w:bCs/>
          <w:szCs w:val="22"/>
          <w:lang w:val="en-GB" w:eastAsia="zh-CN"/>
        </w:rPr>
        <w:noBreakHyphen/>
      </w:r>
      <w:r w:rsidR="00752A01" w:rsidRPr="00BB4956">
        <w:rPr>
          <w:rFonts w:eastAsia="SimSun"/>
          <w:bCs/>
          <w:szCs w:val="22"/>
          <w:lang w:val="en-GB" w:eastAsia="zh-CN"/>
        </w:rPr>
        <w:t xml:space="preserve">rHuPH20 antibodies tested positive for neutralizing antibodies.  </w:t>
      </w:r>
    </w:p>
    <w:p w14:paraId="7C331D19" w14:textId="77777777" w:rsidR="00F51636" w:rsidRPr="00C501E3" w:rsidRDefault="00F51636" w:rsidP="00F51636">
      <w:pPr>
        <w:keepNext/>
        <w:outlineLvl w:val="0"/>
        <w:rPr>
          <w:bCs/>
          <w:szCs w:val="22"/>
          <w:lang w:val="en-GB"/>
        </w:rPr>
      </w:pPr>
    </w:p>
    <w:p w14:paraId="7C331D1A" w14:textId="77777777" w:rsidR="008F369D" w:rsidRPr="00CF5AC1" w:rsidRDefault="00016F29" w:rsidP="00F51636">
      <w:pPr>
        <w:keepNext/>
        <w:outlineLvl w:val="0"/>
        <w:rPr>
          <w:bCs/>
          <w:szCs w:val="22"/>
          <w:lang w:val="en-GB"/>
        </w:rPr>
      </w:pPr>
      <w:r w:rsidRPr="00CF5AC1">
        <w:rPr>
          <w:bCs/>
          <w:szCs w:val="22"/>
          <w:lang w:val="en-GB"/>
        </w:rPr>
        <w:t>The overall proportion of patients found to have anti</w:t>
      </w:r>
      <w:r w:rsidR="000A6DDA" w:rsidRPr="00CF5AC1">
        <w:rPr>
          <w:bCs/>
          <w:szCs w:val="22"/>
          <w:lang w:val="en-GB"/>
        </w:rPr>
        <w:noBreakHyphen/>
      </w:r>
      <w:r w:rsidRPr="00CF5AC1">
        <w:rPr>
          <w:bCs/>
          <w:szCs w:val="22"/>
          <w:lang w:val="en-GB"/>
        </w:rPr>
        <w:t>rHuPH20 antibodies remained generally constant over the follow</w:t>
      </w:r>
      <w:r w:rsidR="000A6DDA" w:rsidRPr="00CF5AC1">
        <w:rPr>
          <w:bCs/>
          <w:szCs w:val="22"/>
          <w:lang w:val="en-GB"/>
        </w:rPr>
        <w:noBreakHyphen/>
      </w:r>
      <w:r w:rsidRPr="00CF5AC1">
        <w:rPr>
          <w:bCs/>
          <w:szCs w:val="22"/>
          <w:lang w:val="en-GB"/>
        </w:rPr>
        <w:t>up period in both cohorts</w:t>
      </w:r>
      <w:r w:rsidR="00D1276F">
        <w:rPr>
          <w:bCs/>
          <w:szCs w:val="22"/>
          <w:lang w:val="en-GB"/>
        </w:rPr>
        <w:t>.</w:t>
      </w:r>
      <w:r w:rsidRPr="00CF5AC1">
        <w:rPr>
          <w:bCs/>
          <w:szCs w:val="22"/>
          <w:lang w:val="en-GB"/>
        </w:rPr>
        <w:t xml:space="preserve"> The clinical relevance of the development of </w:t>
      </w:r>
      <w:r w:rsidR="00D1276F">
        <w:rPr>
          <w:bCs/>
          <w:szCs w:val="22"/>
          <w:lang w:val="en-GB"/>
        </w:rPr>
        <w:t>anti-rituximab antibodies</w:t>
      </w:r>
      <w:r w:rsidR="00D1276F" w:rsidRPr="00CF5AC1">
        <w:rPr>
          <w:bCs/>
          <w:szCs w:val="22"/>
          <w:lang w:val="en-GB"/>
        </w:rPr>
        <w:t xml:space="preserve"> </w:t>
      </w:r>
      <w:r w:rsidRPr="00CF5AC1">
        <w:rPr>
          <w:bCs/>
          <w:szCs w:val="22"/>
          <w:lang w:val="en-GB"/>
        </w:rPr>
        <w:t>or anti</w:t>
      </w:r>
      <w:r w:rsidR="000A6DDA" w:rsidRPr="00CF5AC1">
        <w:rPr>
          <w:bCs/>
          <w:szCs w:val="22"/>
          <w:lang w:val="en-GB"/>
        </w:rPr>
        <w:noBreakHyphen/>
      </w:r>
      <w:r w:rsidRPr="00CF5AC1">
        <w:rPr>
          <w:bCs/>
          <w:szCs w:val="22"/>
          <w:lang w:val="en-GB"/>
        </w:rPr>
        <w:t>rHuPH20 antibodies after treatment with MabThera subcutaneous formulation is not known.</w:t>
      </w:r>
    </w:p>
    <w:p w14:paraId="7C331D1B" w14:textId="77777777" w:rsidR="00752A01" w:rsidRPr="00CF5AC1" w:rsidRDefault="00016F29" w:rsidP="00752A01">
      <w:pPr>
        <w:outlineLvl w:val="0"/>
        <w:rPr>
          <w:bCs/>
          <w:szCs w:val="22"/>
          <w:lang w:val="en-GB"/>
        </w:rPr>
      </w:pPr>
      <w:r w:rsidRPr="00CF5AC1">
        <w:rPr>
          <w:bCs/>
          <w:szCs w:val="22"/>
          <w:lang w:val="en-GB"/>
        </w:rPr>
        <w:t>There was no apparent impact of the presence of anti</w:t>
      </w:r>
      <w:r w:rsidR="000A6DDA" w:rsidRPr="00CF5AC1">
        <w:rPr>
          <w:bCs/>
          <w:szCs w:val="22"/>
          <w:lang w:val="en-GB"/>
        </w:rPr>
        <w:noBreakHyphen/>
      </w:r>
      <w:r w:rsidRPr="00CF5AC1">
        <w:rPr>
          <w:bCs/>
          <w:szCs w:val="22"/>
          <w:lang w:val="en-GB"/>
        </w:rPr>
        <w:t>rituximab or anti</w:t>
      </w:r>
      <w:r w:rsidR="000A6DDA" w:rsidRPr="00CF5AC1">
        <w:rPr>
          <w:bCs/>
          <w:szCs w:val="22"/>
          <w:lang w:val="en-GB"/>
        </w:rPr>
        <w:noBreakHyphen/>
      </w:r>
      <w:r w:rsidRPr="00CF5AC1">
        <w:rPr>
          <w:bCs/>
          <w:szCs w:val="22"/>
          <w:lang w:val="en-GB"/>
        </w:rPr>
        <w:t>rHuPH20 antibodies on safety or efficacy.</w:t>
      </w:r>
    </w:p>
    <w:p w14:paraId="7C331D1C" w14:textId="77777777" w:rsidR="008F369D" w:rsidRPr="00CF5AC1" w:rsidRDefault="008F369D" w:rsidP="00A56CE7">
      <w:pPr>
        <w:widowControl w:val="0"/>
        <w:outlineLvl w:val="0"/>
        <w:rPr>
          <w:bCs/>
          <w:szCs w:val="22"/>
          <w:lang w:val="en-GB"/>
        </w:rPr>
      </w:pPr>
    </w:p>
    <w:p w14:paraId="7C331D1D" w14:textId="77777777" w:rsidR="008F369D" w:rsidRPr="00CF5AC1" w:rsidRDefault="00016F29" w:rsidP="00A56CE7">
      <w:pPr>
        <w:widowControl w:val="0"/>
        <w:outlineLvl w:val="0"/>
        <w:rPr>
          <w:szCs w:val="22"/>
          <w:u w:val="single"/>
          <w:lang w:val="en-GB"/>
        </w:rPr>
      </w:pPr>
      <w:r w:rsidRPr="00CF5AC1">
        <w:rPr>
          <w:szCs w:val="22"/>
          <w:u w:val="single"/>
          <w:lang w:val="en-GB"/>
        </w:rPr>
        <w:t>Clinical experience of MabThera concentrate for solution for infusion in Non</w:t>
      </w:r>
      <w:r w:rsidR="000A6DDA" w:rsidRPr="00CF5AC1">
        <w:rPr>
          <w:szCs w:val="22"/>
          <w:u w:val="single"/>
          <w:lang w:val="en-GB"/>
        </w:rPr>
        <w:noBreakHyphen/>
      </w:r>
      <w:r w:rsidRPr="00CF5AC1">
        <w:rPr>
          <w:szCs w:val="22"/>
          <w:u w:val="single"/>
          <w:lang w:val="en-GB"/>
        </w:rPr>
        <w:t xml:space="preserve">Hodgkin’s lymphoma </w:t>
      </w:r>
    </w:p>
    <w:p w14:paraId="7C331D1E" w14:textId="77777777" w:rsidR="008F369D" w:rsidRPr="00C501E3" w:rsidRDefault="008F369D" w:rsidP="00A56CE7">
      <w:pPr>
        <w:widowControl w:val="0"/>
        <w:rPr>
          <w:b/>
          <w:szCs w:val="22"/>
          <w:lang w:val="en-GB"/>
        </w:rPr>
      </w:pPr>
    </w:p>
    <w:p w14:paraId="7C331D1F" w14:textId="77777777" w:rsidR="008F369D" w:rsidRPr="00C501E3" w:rsidRDefault="00016F29" w:rsidP="00A56CE7">
      <w:pPr>
        <w:widowControl w:val="0"/>
        <w:outlineLvl w:val="0"/>
        <w:rPr>
          <w:i/>
          <w:szCs w:val="22"/>
          <w:u w:val="single"/>
          <w:lang w:val="en-GB"/>
        </w:rPr>
      </w:pPr>
      <w:r w:rsidRPr="00C501E3">
        <w:rPr>
          <w:i/>
          <w:szCs w:val="22"/>
          <w:lang w:val="en-GB"/>
        </w:rPr>
        <w:t>Follicular lymphoma</w:t>
      </w:r>
    </w:p>
    <w:p w14:paraId="7C331D20" w14:textId="77777777" w:rsidR="008F369D" w:rsidRPr="00C501E3" w:rsidRDefault="008F369D" w:rsidP="00A56CE7">
      <w:pPr>
        <w:widowControl w:val="0"/>
        <w:rPr>
          <w:i/>
          <w:szCs w:val="22"/>
          <w:lang w:val="en-GB"/>
        </w:rPr>
      </w:pPr>
    </w:p>
    <w:p w14:paraId="7C331D21" w14:textId="77777777" w:rsidR="008F369D" w:rsidRPr="00C501E3" w:rsidRDefault="00016F29" w:rsidP="00A56CE7">
      <w:pPr>
        <w:widowControl w:val="0"/>
        <w:outlineLvl w:val="0"/>
        <w:rPr>
          <w:szCs w:val="22"/>
          <w:lang w:val="en-GB"/>
        </w:rPr>
      </w:pPr>
      <w:r w:rsidRPr="00C501E3">
        <w:rPr>
          <w:szCs w:val="22"/>
          <w:lang w:val="en-GB"/>
        </w:rPr>
        <w:t>Initial treatment in combination with chemotherapy</w:t>
      </w:r>
    </w:p>
    <w:p w14:paraId="7C331D22" w14:textId="77777777" w:rsidR="008F369D" w:rsidRPr="00C501E3" w:rsidRDefault="008F369D" w:rsidP="00A56CE7">
      <w:pPr>
        <w:widowControl w:val="0"/>
        <w:outlineLvl w:val="0"/>
        <w:rPr>
          <w:i/>
          <w:szCs w:val="22"/>
          <w:lang w:val="en-GB"/>
        </w:rPr>
      </w:pPr>
    </w:p>
    <w:p w14:paraId="7C331D23" w14:textId="77777777" w:rsidR="008F369D" w:rsidRPr="002D61DC" w:rsidRDefault="00016F29" w:rsidP="001F644A">
      <w:pPr>
        <w:keepNext/>
        <w:keepLines/>
        <w:rPr>
          <w:szCs w:val="22"/>
          <w:lang w:val="en-GB"/>
        </w:rPr>
      </w:pPr>
      <w:r w:rsidRPr="002D61DC">
        <w:rPr>
          <w:szCs w:val="22"/>
          <w:lang w:val="en-GB"/>
        </w:rPr>
        <w:t>In an open</w:t>
      </w:r>
      <w:r w:rsidR="000A6DDA" w:rsidRPr="002D61DC">
        <w:rPr>
          <w:szCs w:val="22"/>
          <w:lang w:val="en-GB"/>
        </w:rPr>
        <w:noBreakHyphen/>
      </w:r>
      <w:r w:rsidRPr="002D61DC">
        <w:rPr>
          <w:szCs w:val="22"/>
          <w:lang w:val="en-GB"/>
        </w:rPr>
        <w:t>label randomised trial, a total of 322 previously untreated patients with follicular lymphoma were randomised to receive either CVP chemotherapy (cyclophosphamide 750 mg/m</w:t>
      </w:r>
      <w:r w:rsidRPr="002D61DC">
        <w:rPr>
          <w:szCs w:val="22"/>
          <w:vertAlign w:val="superscript"/>
          <w:lang w:val="en-GB"/>
        </w:rPr>
        <w:t>2</w:t>
      </w:r>
      <w:r w:rsidRPr="002D61DC">
        <w:rPr>
          <w:szCs w:val="22"/>
          <w:lang w:val="en-GB"/>
        </w:rPr>
        <w:t>, vincristine 1.4 mg/m</w:t>
      </w:r>
      <w:r w:rsidRPr="002D61DC">
        <w:rPr>
          <w:szCs w:val="22"/>
          <w:vertAlign w:val="superscript"/>
          <w:lang w:val="en-GB"/>
        </w:rPr>
        <w:t>2</w:t>
      </w:r>
      <w:r w:rsidRPr="002D61DC">
        <w:rPr>
          <w:szCs w:val="22"/>
          <w:lang w:val="en-GB"/>
        </w:rPr>
        <w:t xml:space="preserve"> up to a maximum of 2 mg on day 1, and prednisolone 40 mg/m</w:t>
      </w:r>
      <w:r w:rsidRPr="002D61DC">
        <w:rPr>
          <w:szCs w:val="22"/>
          <w:vertAlign w:val="superscript"/>
          <w:lang w:val="en-GB"/>
        </w:rPr>
        <w:t>2</w:t>
      </w:r>
      <w:r w:rsidRPr="002D61DC">
        <w:rPr>
          <w:szCs w:val="22"/>
          <w:lang w:val="en-GB"/>
        </w:rPr>
        <w:t>/day on days 1 </w:t>
      </w:r>
      <w:r w:rsidR="000A6DDA" w:rsidRPr="002D61DC">
        <w:rPr>
          <w:szCs w:val="22"/>
          <w:lang w:val="en-GB"/>
        </w:rPr>
        <w:noBreakHyphen/>
      </w:r>
      <w:r w:rsidRPr="002D61DC">
        <w:rPr>
          <w:szCs w:val="22"/>
          <w:lang w:val="en-GB"/>
        </w:rPr>
        <w:t>5) every 3 weeks for 8 cycles or MabThera 375 mg/m</w:t>
      </w:r>
      <w:r w:rsidRPr="002D61DC">
        <w:rPr>
          <w:szCs w:val="22"/>
          <w:vertAlign w:val="superscript"/>
          <w:lang w:val="en-GB"/>
        </w:rPr>
        <w:t>2</w:t>
      </w:r>
      <w:r w:rsidRPr="002D61DC">
        <w:rPr>
          <w:szCs w:val="22"/>
          <w:lang w:val="en-GB"/>
        </w:rPr>
        <w:t xml:space="preserve"> in combination with CVP (R</w:t>
      </w:r>
      <w:r w:rsidR="000A6DDA" w:rsidRPr="002D61DC">
        <w:rPr>
          <w:szCs w:val="22"/>
          <w:lang w:val="en-GB"/>
        </w:rPr>
        <w:noBreakHyphen/>
      </w:r>
      <w:r w:rsidRPr="002D61DC">
        <w:rPr>
          <w:szCs w:val="22"/>
          <w:lang w:val="en-GB"/>
        </w:rPr>
        <w:t>CVP). MabThera was administered on the first day of each treatment cycle. A total of 321 patients (162 R</w:t>
      </w:r>
      <w:r w:rsidR="000A6DDA" w:rsidRPr="002D61DC">
        <w:rPr>
          <w:szCs w:val="22"/>
          <w:lang w:val="en-GB"/>
        </w:rPr>
        <w:noBreakHyphen/>
      </w:r>
      <w:r w:rsidRPr="002D61DC">
        <w:rPr>
          <w:szCs w:val="22"/>
          <w:lang w:val="en-GB"/>
        </w:rPr>
        <w:t>CVP, 159 CVP) received therapy and were analysed for efficacy. The median follow up of patients was 53 months. R</w:t>
      </w:r>
      <w:r w:rsidR="000A6DDA" w:rsidRPr="002D61DC">
        <w:rPr>
          <w:szCs w:val="22"/>
          <w:lang w:val="en-GB"/>
        </w:rPr>
        <w:noBreakHyphen/>
      </w:r>
      <w:r w:rsidRPr="002D61DC">
        <w:rPr>
          <w:szCs w:val="22"/>
          <w:lang w:val="en-GB"/>
        </w:rPr>
        <w:t>CVP led to a significant benefit over CVP for the primary endpoint, time to treatment failure (27 months vs. 6.6 months, p &lt; 0.0001, log</w:t>
      </w:r>
      <w:r w:rsidR="000A6DDA" w:rsidRPr="002D61DC">
        <w:rPr>
          <w:szCs w:val="22"/>
          <w:lang w:val="en-GB"/>
        </w:rPr>
        <w:noBreakHyphen/>
      </w:r>
      <w:r w:rsidRPr="002D61DC">
        <w:rPr>
          <w:szCs w:val="22"/>
          <w:lang w:val="en-GB"/>
        </w:rPr>
        <w:t>rank test). The proportion of patients with a tumour response (CR, CRu, PR) was significantly higher (p&lt; 0.0001 Chi</w:t>
      </w:r>
      <w:r w:rsidR="000A6DDA" w:rsidRPr="002D61DC">
        <w:rPr>
          <w:szCs w:val="22"/>
          <w:lang w:val="en-GB"/>
        </w:rPr>
        <w:noBreakHyphen/>
      </w:r>
      <w:r w:rsidRPr="002D61DC">
        <w:rPr>
          <w:szCs w:val="22"/>
          <w:lang w:val="en-GB"/>
        </w:rPr>
        <w:t>Square test) in the R</w:t>
      </w:r>
      <w:r w:rsidR="000A6DDA" w:rsidRPr="002D61DC">
        <w:rPr>
          <w:szCs w:val="22"/>
          <w:lang w:val="en-GB"/>
        </w:rPr>
        <w:noBreakHyphen/>
      </w:r>
      <w:r w:rsidRPr="002D61DC">
        <w:rPr>
          <w:szCs w:val="22"/>
          <w:lang w:val="en-GB"/>
        </w:rPr>
        <w:t xml:space="preserve">CVP group (80.9 %) than the CVP group (57.2 %). </w:t>
      </w:r>
      <w:r w:rsidRPr="002D61DC">
        <w:rPr>
          <w:lang w:val="en-GB"/>
        </w:rPr>
        <w:t>Treatment with R</w:t>
      </w:r>
      <w:r w:rsidR="000A6DDA" w:rsidRPr="002D61DC">
        <w:rPr>
          <w:lang w:val="en-GB"/>
        </w:rPr>
        <w:noBreakHyphen/>
      </w:r>
      <w:r w:rsidRPr="002D61DC">
        <w:rPr>
          <w:lang w:val="en-GB"/>
        </w:rPr>
        <w:t xml:space="preserve">CVP significantly prolonged the time to disease progression or death compared to CVP, 33.6 months and 14.7 months, respectively </w:t>
      </w:r>
      <w:r w:rsidRPr="002D61DC">
        <w:rPr>
          <w:szCs w:val="22"/>
          <w:lang w:val="en-GB"/>
        </w:rPr>
        <w:t>(p &lt; 0.0001, log</w:t>
      </w:r>
      <w:r w:rsidR="000A6DDA" w:rsidRPr="002D61DC">
        <w:rPr>
          <w:szCs w:val="22"/>
          <w:lang w:val="en-GB"/>
        </w:rPr>
        <w:noBreakHyphen/>
      </w:r>
      <w:r w:rsidRPr="002D61DC">
        <w:rPr>
          <w:szCs w:val="22"/>
          <w:lang w:val="en-GB"/>
        </w:rPr>
        <w:t>rank test)</w:t>
      </w:r>
      <w:r w:rsidRPr="002D61DC">
        <w:rPr>
          <w:lang w:val="en-GB"/>
        </w:rPr>
        <w:t xml:space="preserve">. </w:t>
      </w:r>
      <w:r w:rsidRPr="002D61DC">
        <w:rPr>
          <w:szCs w:val="22"/>
          <w:lang w:val="en-GB"/>
        </w:rPr>
        <w:t>The median duration of response was 37.7 months in the R</w:t>
      </w:r>
      <w:r w:rsidR="000A6DDA" w:rsidRPr="002D61DC">
        <w:rPr>
          <w:szCs w:val="22"/>
          <w:lang w:val="en-GB"/>
        </w:rPr>
        <w:noBreakHyphen/>
      </w:r>
      <w:r w:rsidRPr="002D61DC">
        <w:rPr>
          <w:szCs w:val="22"/>
          <w:lang w:val="en-GB"/>
        </w:rPr>
        <w:t>CVP group and was 13.5 months in the CVP group (p &lt; 0.0001, log</w:t>
      </w:r>
      <w:r w:rsidR="000A6DDA" w:rsidRPr="002D61DC">
        <w:rPr>
          <w:szCs w:val="22"/>
          <w:lang w:val="en-GB"/>
        </w:rPr>
        <w:noBreakHyphen/>
      </w:r>
      <w:r w:rsidRPr="002D61DC">
        <w:rPr>
          <w:szCs w:val="22"/>
          <w:lang w:val="en-GB"/>
        </w:rPr>
        <w:t xml:space="preserve">rank test). </w:t>
      </w:r>
    </w:p>
    <w:p w14:paraId="7C331D24" w14:textId="77777777" w:rsidR="008F369D" w:rsidRPr="002D61DC" w:rsidRDefault="008F369D" w:rsidP="008F369D">
      <w:pPr>
        <w:rPr>
          <w:szCs w:val="22"/>
          <w:lang w:val="en-GB"/>
        </w:rPr>
      </w:pPr>
    </w:p>
    <w:p w14:paraId="7C331D25" w14:textId="77777777" w:rsidR="008F369D" w:rsidRPr="002D61DC" w:rsidRDefault="00016F29" w:rsidP="008F369D">
      <w:pPr>
        <w:rPr>
          <w:szCs w:val="22"/>
          <w:lang w:val="en-GB"/>
        </w:rPr>
      </w:pPr>
      <w:r w:rsidRPr="002D61DC">
        <w:rPr>
          <w:lang w:val="en-GB"/>
        </w:rPr>
        <w:t xml:space="preserve">The difference between the treatment groups with respect to overall survival showed a </w:t>
      </w:r>
      <w:r w:rsidRPr="002D61DC">
        <w:rPr>
          <w:bCs/>
          <w:lang w:val="en-GB"/>
        </w:rPr>
        <w:t>significant</w:t>
      </w:r>
      <w:r w:rsidRPr="002D61DC">
        <w:rPr>
          <w:lang w:val="en-GB"/>
        </w:rPr>
        <w:t xml:space="preserve"> clinical </w:t>
      </w:r>
      <w:r w:rsidRPr="002D61DC">
        <w:rPr>
          <w:bCs/>
          <w:lang w:val="en-GB"/>
        </w:rPr>
        <w:t>difference</w:t>
      </w:r>
      <w:r w:rsidRPr="002D61DC">
        <w:rPr>
          <w:lang w:val="en-GB"/>
        </w:rPr>
        <w:t xml:space="preserve"> (p=0.029, log</w:t>
      </w:r>
      <w:r w:rsidR="000A6DDA" w:rsidRPr="002D61DC">
        <w:rPr>
          <w:lang w:val="en-GB"/>
        </w:rPr>
        <w:noBreakHyphen/>
      </w:r>
      <w:r w:rsidRPr="002D61DC">
        <w:rPr>
          <w:lang w:val="en-GB"/>
        </w:rPr>
        <w:t>rank test stratified by center): survival rates at 53 months were 80.9 % for patients in the R</w:t>
      </w:r>
      <w:r w:rsidR="000A6DDA" w:rsidRPr="002D61DC">
        <w:rPr>
          <w:lang w:val="en-GB"/>
        </w:rPr>
        <w:noBreakHyphen/>
      </w:r>
      <w:r w:rsidRPr="002D61DC">
        <w:rPr>
          <w:lang w:val="en-GB"/>
        </w:rPr>
        <w:t>CVP group compared to 71.1 % for patients in the CVP group.</w:t>
      </w:r>
    </w:p>
    <w:p w14:paraId="7C331D26" w14:textId="77777777" w:rsidR="008F369D" w:rsidRPr="002D61DC" w:rsidRDefault="008F369D" w:rsidP="008F369D">
      <w:pPr>
        <w:rPr>
          <w:szCs w:val="22"/>
          <w:lang w:val="en-GB"/>
        </w:rPr>
      </w:pPr>
    </w:p>
    <w:p w14:paraId="7C331D27" w14:textId="77777777" w:rsidR="008F369D" w:rsidRPr="00C501E3" w:rsidRDefault="00016F29" w:rsidP="008F369D">
      <w:pPr>
        <w:rPr>
          <w:lang w:val="en-GB"/>
        </w:rPr>
      </w:pPr>
      <w:r w:rsidRPr="002D61DC">
        <w:rPr>
          <w:lang w:val="en-GB"/>
        </w:rPr>
        <w:t>Results from three other randomized trials using MabThera in combination with chemotherapy regimen other than CVP (CHOP, MCP, CHVP/Interferon</w:t>
      </w:r>
      <w:r w:rsidR="000A6DDA" w:rsidRPr="002D61DC">
        <w:rPr>
          <w:lang w:val="en-GB"/>
        </w:rPr>
        <w:noBreakHyphen/>
      </w:r>
      <w:r w:rsidRPr="002D61DC">
        <w:rPr>
          <w:lang w:val="en-GB"/>
        </w:rPr>
        <w:t>α) have also demonstrated significant improvements in response rates, time</w:t>
      </w:r>
      <w:r w:rsidR="000A6DDA" w:rsidRPr="002D61DC">
        <w:rPr>
          <w:lang w:val="en-GB"/>
        </w:rPr>
        <w:noBreakHyphen/>
      </w:r>
      <w:r w:rsidRPr="002D61DC">
        <w:rPr>
          <w:lang w:val="en-GB"/>
        </w:rPr>
        <w:t>dependent parameters as well as in overall survival. Key results</w:t>
      </w:r>
      <w:r w:rsidRPr="00C501E3">
        <w:rPr>
          <w:lang w:val="en-GB"/>
        </w:rPr>
        <w:t xml:space="preserve"> from all four trials are summarized in </w:t>
      </w:r>
      <w:r w:rsidRPr="007152D5">
        <w:rPr>
          <w:lang w:val="en-GB"/>
        </w:rPr>
        <w:t>table </w:t>
      </w:r>
      <w:r w:rsidR="00E90C58" w:rsidRPr="007152D5">
        <w:rPr>
          <w:lang w:val="en-GB"/>
        </w:rPr>
        <w:t>3</w:t>
      </w:r>
      <w:r w:rsidRPr="007152D5">
        <w:rPr>
          <w:lang w:val="en-GB"/>
        </w:rPr>
        <w:t>.</w:t>
      </w:r>
      <w:r w:rsidRPr="00C501E3">
        <w:rPr>
          <w:lang w:val="en-GB"/>
        </w:rPr>
        <w:t xml:space="preserve"> </w:t>
      </w:r>
    </w:p>
    <w:p w14:paraId="7C331D28" w14:textId="77777777" w:rsidR="008F369D" w:rsidRPr="00C501E3" w:rsidRDefault="008F369D" w:rsidP="008F369D">
      <w:pPr>
        <w:rPr>
          <w:szCs w:val="22"/>
          <w:lang w:val="en-GB"/>
        </w:rPr>
      </w:pPr>
    </w:p>
    <w:p w14:paraId="7C331D29" w14:textId="77777777" w:rsidR="008F369D" w:rsidRPr="00C501E3" w:rsidRDefault="00016F29" w:rsidP="00E06A78">
      <w:pPr>
        <w:keepNext/>
        <w:keepLines/>
        <w:widowControl w:val="0"/>
        <w:ind w:left="1134" w:hanging="1134"/>
        <w:rPr>
          <w:b/>
          <w:lang w:val="en-GB"/>
        </w:rPr>
      </w:pPr>
      <w:r w:rsidRPr="007152D5">
        <w:rPr>
          <w:b/>
          <w:lang w:val="en-GB"/>
        </w:rPr>
        <w:t>Table </w:t>
      </w:r>
      <w:r w:rsidR="00E90C58" w:rsidRPr="007152D5">
        <w:rPr>
          <w:b/>
          <w:lang w:val="en-GB"/>
        </w:rPr>
        <w:t>3</w:t>
      </w:r>
      <w:r w:rsidRPr="00C501E3">
        <w:rPr>
          <w:b/>
          <w:lang w:val="en-GB"/>
        </w:rPr>
        <w:tab/>
        <w:t>Summary of key results from four phase III randomized trials evaluating the benefit of MabThera with different chemotherapy regimens in follicular lymphoma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1389"/>
        <w:gridCol w:w="999"/>
        <w:gridCol w:w="1132"/>
        <w:gridCol w:w="1261"/>
        <w:gridCol w:w="1882"/>
        <w:gridCol w:w="1079"/>
      </w:tblGrid>
      <w:tr w:rsidR="003A788B" w14:paraId="7C331D33" w14:textId="77777777" w:rsidTr="008919D7">
        <w:trPr>
          <w:tblHeader/>
          <w:jc w:val="center"/>
        </w:trPr>
        <w:tc>
          <w:tcPr>
            <w:tcW w:w="1326" w:type="dxa"/>
            <w:vAlign w:val="center"/>
          </w:tcPr>
          <w:p w14:paraId="7C331D2A" w14:textId="77777777" w:rsidR="008F369D" w:rsidRPr="00C501E3" w:rsidRDefault="00016F29" w:rsidP="00E06A78">
            <w:pPr>
              <w:keepNext/>
              <w:keepLines/>
              <w:widowControl w:val="0"/>
              <w:spacing w:after="170" w:line="280" w:lineRule="atLeast"/>
              <w:rPr>
                <w:b/>
                <w:szCs w:val="22"/>
                <w:lang w:val="en-GB"/>
              </w:rPr>
            </w:pPr>
            <w:r w:rsidRPr="00C501E3">
              <w:rPr>
                <w:b/>
                <w:szCs w:val="22"/>
                <w:lang w:val="en-GB"/>
              </w:rPr>
              <w:t>Trial</w:t>
            </w:r>
          </w:p>
        </w:tc>
        <w:tc>
          <w:tcPr>
            <w:tcW w:w="1326" w:type="dxa"/>
            <w:vAlign w:val="center"/>
          </w:tcPr>
          <w:p w14:paraId="7C331D2B" w14:textId="77777777" w:rsidR="008F369D" w:rsidRPr="00C501E3" w:rsidRDefault="00016F29" w:rsidP="00E06A78">
            <w:pPr>
              <w:keepNext/>
              <w:keepLines/>
              <w:widowControl w:val="0"/>
              <w:jc w:val="center"/>
              <w:rPr>
                <w:b/>
                <w:szCs w:val="22"/>
                <w:lang w:val="en-GB"/>
              </w:rPr>
            </w:pPr>
            <w:r w:rsidRPr="00C501E3">
              <w:rPr>
                <w:b/>
                <w:szCs w:val="22"/>
                <w:lang w:val="en-GB"/>
              </w:rPr>
              <w:t>Treatment,</w:t>
            </w:r>
          </w:p>
          <w:p w14:paraId="7C331D2C" w14:textId="77777777" w:rsidR="008F369D" w:rsidRPr="00C501E3" w:rsidRDefault="00016F29" w:rsidP="00E06A78">
            <w:pPr>
              <w:keepNext/>
              <w:keepLines/>
              <w:widowControl w:val="0"/>
              <w:spacing w:after="170" w:line="280" w:lineRule="atLeast"/>
              <w:rPr>
                <w:b/>
                <w:szCs w:val="22"/>
                <w:lang w:val="en-GB"/>
              </w:rPr>
            </w:pPr>
            <w:r w:rsidRPr="00C501E3">
              <w:rPr>
                <w:b/>
                <w:szCs w:val="22"/>
                <w:lang w:val="en-GB"/>
              </w:rPr>
              <w:t>N</w:t>
            </w:r>
          </w:p>
        </w:tc>
        <w:tc>
          <w:tcPr>
            <w:tcW w:w="1000" w:type="dxa"/>
            <w:vAlign w:val="center"/>
          </w:tcPr>
          <w:p w14:paraId="7C331D2D" w14:textId="77777777" w:rsidR="008F369D" w:rsidRPr="00C501E3" w:rsidRDefault="00016F29" w:rsidP="00E06A78">
            <w:pPr>
              <w:keepNext/>
              <w:keepLines/>
              <w:widowControl w:val="0"/>
              <w:rPr>
                <w:b/>
                <w:szCs w:val="22"/>
                <w:lang w:val="en-GB"/>
              </w:rPr>
            </w:pPr>
            <w:r w:rsidRPr="00C501E3">
              <w:rPr>
                <w:b/>
                <w:szCs w:val="22"/>
                <w:lang w:val="en-GB"/>
              </w:rPr>
              <w:t xml:space="preserve">Median FU, </w:t>
            </w:r>
          </w:p>
          <w:p w14:paraId="7C331D2E" w14:textId="77777777" w:rsidR="008F369D" w:rsidRPr="00C501E3" w:rsidRDefault="00016F29" w:rsidP="00E06A78">
            <w:pPr>
              <w:keepNext/>
              <w:keepLines/>
              <w:widowControl w:val="0"/>
              <w:spacing w:after="170" w:line="280" w:lineRule="atLeast"/>
              <w:rPr>
                <w:b/>
                <w:szCs w:val="22"/>
                <w:lang w:val="en-GB"/>
              </w:rPr>
            </w:pPr>
            <w:r w:rsidRPr="00C501E3">
              <w:rPr>
                <w:b/>
                <w:szCs w:val="22"/>
                <w:lang w:val="en-GB"/>
              </w:rPr>
              <w:t>months</w:t>
            </w:r>
          </w:p>
        </w:tc>
        <w:tc>
          <w:tcPr>
            <w:tcW w:w="1134" w:type="dxa"/>
            <w:vAlign w:val="center"/>
          </w:tcPr>
          <w:p w14:paraId="7C331D2F" w14:textId="77777777" w:rsidR="008F369D" w:rsidRPr="00C501E3" w:rsidRDefault="00016F29" w:rsidP="00E06A78">
            <w:pPr>
              <w:keepNext/>
              <w:keepLines/>
              <w:widowControl w:val="0"/>
              <w:spacing w:after="170" w:line="280" w:lineRule="atLeast"/>
              <w:rPr>
                <w:b/>
                <w:szCs w:val="22"/>
                <w:lang w:val="en-GB"/>
              </w:rPr>
            </w:pPr>
            <w:r w:rsidRPr="00C501E3">
              <w:rPr>
                <w:b/>
                <w:szCs w:val="22"/>
                <w:lang w:val="en-GB"/>
              </w:rPr>
              <w:t>ORR, %</w:t>
            </w:r>
          </w:p>
        </w:tc>
        <w:tc>
          <w:tcPr>
            <w:tcW w:w="1276" w:type="dxa"/>
            <w:vAlign w:val="center"/>
          </w:tcPr>
          <w:p w14:paraId="7C331D30" w14:textId="77777777" w:rsidR="008F369D" w:rsidRPr="00C501E3" w:rsidRDefault="00016F29" w:rsidP="00E06A78">
            <w:pPr>
              <w:keepNext/>
              <w:keepLines/>
              <w:widowControl w:val="0"/>
              <w:spacing w:after="170" w:line="280" w:lineRule="atLeast"/>
              <w:rPr>
                <w:b/>
                <w:szCs w:val="22"/>
                <w:lang w:val="en-GB"/>
              </w:rPr>
            </w:pPr>
            <w:r w:rsidRPr="00C501E3">
              <w:rPr>
                <w:b/>
                <w:szCs w:val="22"/>
                <w:lang w:val="en-GB"/>
              </w:rPr>
              <w:t>CR,</w:t>
            </w:r>
            <w:r w:rsidRPr="00C501E3">
              <w:rPr>
                <w:b/>
                <w:szCs w:val="22"/>
                <w:lang w:val="en-GB"/>
              </w:rPr>
              <w:br/>
              <w:t>%</w:t>
            </w:r>
          </w:p>
        </w:tc>
        <w:tc>
          <w:tcPr>
            <w:tcW w:w="1898" w:type="dxa"/>
            <w:vAlign w:val="center"/>
          </w:tcPr>
          <w:p w14:paraId="7C331D31" w14:textId="77777777" w:rsidR="008F369D" w:rsidRPr="00C501E3" w:rsidRDefault="00016F29" w:rsidP="00E06A78">
            <w:pPr>
              <w:keepNext/>
              <w:keepLines/>
              <w:widowControl w:val="0"/>
              <w:spacing w:after="170" w:line="280" w:lineRule="atLeast"/>
              <w:rPr>
                <w:b/>
                <w:szCs w:val="22"/>
                <w:lang w:val="en-GB"/>
              </w:rPr>
            </w:pPr>
            <w:r w:rsidRPr="00C501E3">
              <w:rPr>
                <w:b/>
                <w:szCs w:val="22"/>
                <w:lang w:val="en-GB"/>
              </w:rPr>
              <w:t>Median TTF/PFS/ EFS mo</w:t>
            </w:r>
          </w:p>
        </w:tc>
        <w:tc>
          <w:tcPr>
            <w:tcW w:w="1079" w:type="dxa"/>
            <w:vAlign w:val="center"/>
          </w:tcPr>
          <w:p w14:paraId="7C331D32" w14:textId="77777777" w:rsidR="008F369D" w:rsidRPr="00C501E3" w:rsidRDefault="00016F29" w:rsidP="00E06A78">
            <w:pPr>
              <w:keepNext/>
              <w:keepLines/>
              <w:widowControl w:val="0"/>
              <w:spacing w:after="170" w:line="280" w:lineRule="atLeast"/>
              <w:rPr>
                <w:b/>
                <w:szCs w:val="22"/>
                <w:lang w:val="en-GB"/>
              </w:rPr>
            </w:pPr>
            <w:r w:rsidRPr="00C501E3">
              <w:rPr>
                <w:b/>
                <w:szCs w:val="22"/>
                <w:lang w:val="en-GB"/>
              </w:rPr>
              <w:t>OS rates,</w:t>
            </w:r>
            <w:r w:rsidRPr="00C501E3">
              <w:rPr>
                <w:b/>
                <w:szCs w:val="22"/>
                <w:lang w:val="en-GB"/>
              </w:rPr>
              <w:br/>
              <w:t>%</w:t>
            </w:r>
          </w:p>
        </w:tc>
      </w:tr>
      <w:tr w:rsidR="003A788B" w14:paraId="7C331D44" w14:textId="77777777" w:rsidTr="008919D7">
        <w:trPr>
          <w:jc w:val="center"/>
        </w:trPr>
        <w:tc>
          <w:tcPr>
            <w:tcW w:w="1326" w:type="dxa"/>
            <w:vAlign w:val="center"/>
          </w:tcPr>
          <w:p w14:paraId="7C331D34" w14:textId="77777777" w:rsidR="008F369D" w:rsidRPr="00C501E3" w:rsidRDefault="00016F29" w:rsidP="00E06A78">
            <w:pPr>
              <w:keepNext/>
              <w:keepLines/>
              <w:widowControl w:val="0"/>
              <w:spacing w:after="170" w:line="280" w:lineRule="atLeast"/>
              <w:rPr>
                <w:sz w:val="20"/>
                <w:lang w:val="en-GB"/>
              </w:rPr>
            </w:pPr>
            <w:r w:rsidRPr="00C501E3">
              <w:rPr>
                <w:b/>
                <w:bCs/>
                <w:sz w:val="20"/>
                <w:lang w:val="en-GB"/>
              </w:rPr>
              <w:t>M39021</w:t>
            </w:r>
          </w:p>
        </w:tc>
        <w:tc>
          <w:tcPr>
            <w:tcW w:w="1326" w:type="dxa"/>
            <w:vAlign w:val="center"/>
          </w:tcPr>
          <w:p w14:paraId="7C331D35" w14:textId="77777777" w:rsidR="008F369D" w:rsidRPr="00C90649" w:rsidRDefault="00016F29" w:rsidP="00E06A78">
            <w:pPr>
              <w:keepNext/>
              <w:keepLines/>
              <w:widowControl w:val="0"/>
              <w:rPr>
                <w:sz w:val="20"/>
                <w:lang w:val="en-GB"/>
              </w:rPr>
            </w:pPr>
            <w:r w:rsidRPr="00C90649">
              <w:rPr>
                <w:sz w:val="20"/>
                <w:lang w:val="en-GB"/>
              </w:rPr>
              <w:t>CVP, 159</w:t>
            </w:r>
          </w:p>
          <w:p w14:paraId="7C331D36" w14:textId="77777777" w:rsidR="008F369D" w:rsidRPr="00C90649" w:rsidRDefault="00016F29" w:rsidP="00E06A78">
            <w:pPr>
              <w:keepNext/>
              <w:keepLines/>
              <w:widowControl w:val="0"/>
              <w:spacing w:after="170" w:line="280" w:lineRule="atLeast"/>
              <w:rPr>
                <w:sz w:val="20"/>
                <w:lang w:val="en-GB"/>
              </w:rPr>
            </w:pPr>
            <w:r w:rsidRPr="00C90649">
              <w:rPr>
                <w:sz w:val="20"/>
                <w:lang w:val="en-GB"/>
              </w:rPr>
              <w:t>R</w:t>
            </w:r>
            <w:r w:rsidR="000A6DDA" w:rsidRPr="00C90649">
              <w:rPr>
                <w:sz w:val="20"/>
                <w:lang w:val="en-GB"/>
              </w:rPr>
              <w:noBreakHyphen/>
            </w:r>
            <w:r w:rsidRPr="00C90649">
              <w:rPr>
                <w:sz w:val="20"/>
                <w:lang w:val="en-GB"/>
              </w:rPr>
              <w:t>CVP, 162</w:t>
            </w:r>
          </w:p>
        </w:tc>
        <w:tc>
          <w:tcPr>
            <w:tcW w:w="1000" w:type="dxa"/>
            <w:vAlign w:val="center"/>
          </w:tcPr>
          <w:p w14:paraId="7C331D37" w14:textId="77777777" w:rsidR="008F369D" w:rsidRPr="00C501E3" w:rsidRDefault="00016F29" w:rsidP="00E06A78">
            <w:pPr>
              <w:keepNext/>
              <w:keepLines/>
              <w:widowControl w:val="0"/>
              <w:spacing w:after="170" w:line="280" w:lineRule="atLeast"/>
              <w:jc w:val="center"/>
              <w:rPr>
                <w:sz w:val="20"/>
                <w:lang w:val="en-GB"/>
              </w:rPr>
            </w:pPr>
            <w:r w:rsidRPr="00C501E3">
              <w:rPr>
                <w:sz w:val="20"/>
                <w:lang w:val="en-GB"/>
              </w:rPr>
              <w:t>53</w:t>
            </w:r>
          </w:p>
        </w:tc>
        <w:tc>
          <w:tcPr>
            <w:tcW w:w="1134" w:type="dxa"/>
            <w:vAlign w:val="center"/>
          </w:tcPr>
          <w:p w14:paraId="7C331D38" w14:textId="77777777" w:rsidR="008F369D" w:rsidRPr="00C501E3" w:rsidRDefault="00016F29" w:rsidP="00E06A78">
            <w:pPr>
              <w:keepNext/>
              <w:keepLines/>
              <w:widowControl w:val="0"/>
              <w:jc w:val="center"/>
              <w:rPr>
                <w:sz w:val="20"/>
                <w:lang w:val="en-GB"/>
              </w:rPr>
            </w:pPr>
            <w:r w:rsidRPr="00C501E3">
              <w:rPr>
                <w:sz w:val="20"/>
                <w:lang w:val="en-GB"/>
              </w:rPr>
              <w:t>57</w:t>
            </w:r>
          </w:p>
          <w:p w14:paraId="7C331D39" w14:textId="77777777" w:rsidR="008F369D" w:rsidRPr="00C501E3" w:rsidRDefault="00016F29" w:rsidP="00E06A78">
            <w:pPr>
              <w:keepNext/>
              <w:keepLines/>
              <w:widowControl w:val="0"/>
              <w:spacing w:after="170" w:line="280" w:lineRule="atLeast"/>
              <w:jc w:val="center"/>
              <w:rPr>
                <w:sz w:val="20"/>
                <w:lang w:val="en-GB"/>
              </w:rPr>
            </w:pPr>
            <w:r w:rsidRPr="00C501E3">
              <w:rPr>
                <w:sz w:val="20"/>
                <w:lang w:val="en-GB"/>
              </w:rPr>
              <w:t>81</w:t>
            </w:r>
          </w:p>
        </w:tc>
        <w:tc>
          <w:tcPr>
            <w:tcW w:w="1276" w:type="dxa"/>
            <w:vAlign w:val="center"/>
          </w:tcPr>
          <w:p w14:paraId="7C331D3A" w14:textId="77777777" w:rsidR="008F369D" w:rsidRPr="00C501E3" w:rsidRDefault="00016F29" w:rsidP="00E06A78">
            <w:pPr>
              <w:keepNext/>
              <w:keepLines/>
              <w:widowControl w:val="0"/>
              <w:jc w:val="center"/>
              <w:rPr>
                <w:sz w:val="20"/>
                <w:lang w:val="en-GB"/>
              </w:rPr>
            </w:pPr>
            <w:r w:rsidRPr="00C501E3">
              <w:rPr>
                <w:sz w:val="20"/>
                <w:lang w:val="en-GB"/>
              </w:rPr>
              <w:t>10</w:t>
            </w:r>
          </w:p>
          <w:p w14:paraId="7C331D3B" w14:textId="77777777" w:rsidR="008F369D" w:rsidRPr="00C501E3" w:rsidRDefault="00016F29" w:rsidP="00E06A78">
            <w:pPr>
              <w:keepNext/>
              <w:keepLines/>
              <w:widowControl w:val="0"/>
              <w:spacing w:after="170" w:line="280" w:lineRule="atLeast"/>
              <w:jc w:val="center"/>
              <w:rPr>
                <w:sz w:val="20"/>
                <w:lang w:val="en-GB"/>
              </w:rPr>
            </w:pPr>
            <w:r w:rsidRPr="00C501E3">
              <w:rPr>
                <w:sz w:val="20"/>
                <w:lang w:val="en-GB"/>
              </w:rPr>
              <w:t>41</w:t>
            </w:r>
          </w:p>
        </w:tc>
        <w:tc>
          <w:tcPr>
            <w:tcW w:w="1898" w:type="dxa"/>
            <w:vAlign w:val="center"/>
          </w:tcPr>
          <w:p w14:paraId="7C331D3C" w14:textId="77777777" w:rsidR="008F369D" w:rsidRPr="00C501E3" w:rsidRDefault="00016F29" w:rsidP="00E06A78">
            <w:pPr>
              <w:keepNext/>
              <w:keepLines/>
              <w:widowControl w:val="0"/>
              <w:jc w:val="center"/>
              <w:rPr>
                <w:sz w:val="20"/>
                <w:lang w:val="en-GB"/>
              </w:rPr>
            </w:pPr>
            <w:r w:rsidRPr="00C501E3">
              <w:rPr>
                <w:sz w:val="20"/>
                <w:lang w:val="en-GB"/>
              </w:rPr>
              <w:t>Median TTP:</w:t>
            </w:r>
          </w:p>
          <w:p w14:paraId="7C331D3D" w14:textId="77777777" w:rsidR="008F369D" w:rsidRPr="00C501E3" w:rsidRDefault="00016F29" w:rsidP="00E06A78">
            <w:pPr>
              <w:keepNext/>
              <w:keepLines/>
              <w:widowControl w:val="0"/>
              <w:jc w:val="center"/>
              <w:rPr>
                <w:sz w:val="20"/>
                <w:lang w:val="en-GB"/>
              </w:rPr>
            </w:pPr>
            <w:r w:rsidRPr="00C501E3">
              <w:rPr>
                <w:sz w:val="20"/>
                <w:lang w:val="en-GB"/>
              </w:rPr>
              <w:t>14.7</w:t>
            </w:r>
          </w:p>
          <w:p w14:paraId="7C331D3E" w14:textId="77777777" w:rsidR="008F369D" w:rsidRPr="00C501E3" w:rsidRDefault="00016F29" w:rsidP="00E06A78">
            <w:pPr>
              <w:keepNext/>
              <w:keepLines/>
              <w:widowControl w:val="0"/>
              <w:jc w:val="center"/>
              <w:rPr>
                <w:sz w:val="20"/>
                <w:lang w:val="en-GB"/>
              </w:rPr>
            </w:pPr>
            <w:r w:rsidRPr="00C501E3">
              <w:rPr>
                <w:sz w:val="20"/>
                <w:lang w:val="en-GB"/>
              </w:rPr>
              <w:t>33.6</w:t>
            </w:r>
          </w:p>
          <w:p w14:paraId="7C331D3F" w14:textId="77777777" w:rsidR="008F369D" w:rsidRPr="00C501E3" w:rsidRDefault="00016F29" w:rsidP="00E06A78">
            <w:pPr>
              <w:keepNext/>
              <w:keepLines/>
              <w:widowControl w:val="0"/>
              <w:spacing w:after="170" w:line="280" w:lineRule="atLeast"/>
              <w:jc w:val="center"/>
              <w:rPr>
                <w:sz w:val="20"/>
                <w:lang w:val="en-GB"/>
              </w:rPr>
            </w:pPr>
            <w:r w:rsidRPr="00C501E3">
              <w:rPr>
                <w:sz w:val="20"/>
                <w:lang w:val="en-GB"/>
              </w:rPr>
              <w:t>P&lt;0.0001</w:t>
            </w:r>
          </w:p>
        </w:tc>
        <w:tc>
          <w:tcPr>
            <w:tcW w:w="1079" w:type="dxa"/>
            <w:vAlign w:val="center"/>
          </w:tcPr>
          <w:p w14:paraId="7C331D40" w14:textId="77777777" w:rsidR="008F369D" w:rsidRPr="00C90649" w:rsidRDefault="00016F29" w:rsidP="00E06A78">
            <w:pPr>
              <w:keepNext/>
              <w:keepLines/>
              <w:widowControl w:val="0"/>
              <w:jc w:val="center"/>
              <w:rPr>
                <w:sz w:val="20"/>
                <w:lang w:val="en-GB"/>
              </w:rPr>
            </w:pPr>
            <w:r w:rsidRPr="00C90649">
              <w:rPr>
                <w:sz w:val="20"/>
                <w:lang w:val="en-GB"/>
              </w:rPr>
              <w:t>53</w:t>
            </w:r>
            <w:r w:rsidR="000A6DDA" w:rsidRPr="00C90649">
              <w:rPr>
                <w:sz w:val="20"/>
                <w:lang w:val="en-GB"/>
              </w:rPr>
              <w:noBreakHyphen/>
            </w:r>
            <w:r w:rsidRPr="00C90649">
              <w:rPr>
                <w:sz w:val="20"/>
                <w:lang w:val="en-GB"/>
              </w:rPr>
              <w:t xml:space="preserve">months </w:t>
            </w:r>
          </w:p>
          <w:p w14:paraId="7C331D41" w14:textId="77777777" w:rsidR="008F369D" w:rsidRPr="00C90649" w:rsidRDefault="00016F29" w:rsidP="00E06A78">
            <w:pPr>
              <w:keepNext/>
              <w:keepLines/>
              <w:widowControl w:val="0"/>
              <w:jc w:val="center"/>
              <w:rPr>
                <w:sz w:val="20"/>
                <w:lang w:val="en-GB"/>
              </w:rPr>
            </w:pPr>
            <w:r w:rsidRPr="00C90649">
              <w:rPr>
                <w:sz w:val="20"/>
                <w:lang w:val="en-GB"/>
              </w:rPr>
              <w:t>71.1</w:t>
            </w:r>
          </w:p>
          <w:p w14:paraId="7C331D42" w14:textId="77777777" w:rsidR="008F369D" w:rsidRPr="00C90649" w:rsidRDefault="00016F29" w:rsidP="00E06A78">
            <w:pPr>
              <w:keepNext/>
              <w:keepLines/>
              <w:widowControl w:val="0"/>
              <w:jc w:val="center"/>
              <w:rPr>
                <w:sz w:val="20"/>
                <w:lang w:val="en-GB"/>
              </w:rPr>
            </w:pPr>
            <w:r w:rsidRPr="00C90649">
              <w:rPr>
                <w:sz w:val="20"/>
                <w:lang w:val="en-GB"/>
              </w:rPr>
              <w:t>80.9</w:t>
            </w:r>
          </w:p>
          <w:p w14:paraId="7C331D43" w14:textId="77777777" w:rsidR="008F369D" w:rsidRPr="00C90649" w:rsidRDefault="00016F29" w:rsidP="00E06A78">
            <w:pPr>
              <w:keepNext/>
              <w:keepLines/>
              <w:widowControl w:val="0"/>
              <w:spacing w:after="170" w:line="280" w:lineRule="atLeast"/>
              <w:rPr>
                <w:sz w:val="20"/>
                <w:lang w:val="en-GB"/>
              </w:rPr>
            </w:pPr>
            <w:r w:rsidRPr="00C90649">
              <w:rPr>
                <w:sz w:val="20"/>
                <w:lang w:val="en-GB"/>
              </w:rPr>
              <w:t>p=0.029</w:t>
            </w:r>
          </w:p>
        </w:tc>
      </w:tr>
      <w:tr w:rsidR="003A788B" w14:paraId="7C331D4E" w14:textId="77777777" w:rsidTr="008919D7">
        <w:trPr>
          <w:jc w:val="center"/>
        </w:trPr>
        <w:tc>
          <w:tcPr>
            <w:tcW w:w="1326" w:type="dxa"/>
            <w:vAlign w:val="center"/>
          </w:tcPr>
          <w:p w14:paraId="7C331D45" w14:textId="77777777" w:rsidR="008F369D" w:rsidRPr="00C501E3" w:rsidRDefault="00016F29" w:rsidP="00E06A78">
            <w:pPr>
              <w:keepNext/>
              <w:keepLines/>
              <w:widowControl w:val="0"/>
              <w:spacing w:after="170" w:line="280" w:lineRule="atLeast"/>
              <w:rPr>
                <w:sz w:val="20"/>
                <w:lang w:val="en-GB"/>
              </w:rPr>
            </w:pPr>
            <w:r w:rsidRPr="00C501E3">
              <w:rPr>
                <w:b/>
                <w:bCs/>
                <w:sz w:val="20"/>
                <w:lang w:val="en-GB"/>
              </w:rPr>
              <w:t>GLSG’00</w:t>
            </w:r>
          </w:p>
        </w:tc>
        <w:tc>
          <w:tcPr>
            <w:tcW w:w="1326" w:type="dxa"/>
            <w:vAlign w:val="center"/>
          </w:tcPr>
          <w:p w14:paraId="7C331D46" w14:textId="77777777" w:rsidR="008F369D" w:rsidRPr="00C90649" w:rsidRDefault="00016F29" w:rsidP="00E06A78">
            <w:pPr>
              <w:keepNext/>
              <w:keepLines/>
              <w:widowControl w:val="0"/>
              <w:spacing w:after="170" w:line="280" w:lineRule="atLeast"/>
              <w:rPr>
                <w:sz w:val="20"/>
                <w:lang w:val="en-GB"/>
              </w:rPr>
            </w:pPr>
            <w:r w:rsidRPr="00C90649">
              <w:rPr>
                <w:sz w:val="20"/>
                <w:lang w:val="en-GB"/>
              </w:rPr>
              <w:t>CHOP, 205</w:t>
            </w:r>
            <w:r w:rsidRPr="00C90649">
              <w:rPr>
                <w:sz w:val="20"/>
                <w:lang w:val="en-GB"/>
              </w:rPr>
              <w:br/>
              <w:t>R</w:t>
            </w:r>
            <w:r w:rsidR="000A6DDA" w:rsidRPr="00C90649">
              <w:rPr>
                <w:sz w:val="20"/>
                <w:lang w:val="en-GB"/>
              </w:rPr>
              <w:noBreakHyphen/>
            </w:r>
            <w:r w:rsidRPr="00C90649">
              <w:rPr>
                <w:sz w:val="20"/>
                <w:lang w:val="en-GB"/>
              </w:rPr>
              <w:t>CHOP, 223</w:t>
            </w:r>
          </w:p>
        </w:tc>
        <w:tc>
          <w:tcPr>
            <w:tcW w:w="1000" w:type="dxa"/>
            <w:vAlign w:val="center"/>
          </w:tcPr>
          <w:p w14:paraId="7C331D47" w14:textId="77777777" w:rsidR="008F369D" w:rsidRPr="00C501E3" w:rsidRDefault="00016F29" w:rsidP="00E06A78">
            <w:pPr>
              <w:keepNext/>
              <w:keepLines/>
              <w:widowControl w:val="0"/>
              <w:spacing w:after="170" w:line="280" w:lineRule="atLeast"/>
              <w:jc w:val="center"/>
              <w:rPr>
                <w:sz w:val="20"/>
                <w:lang w:val="en-GB"/>
              </w:rPr>
            </w:pPr>
            <w:r w:rsidRPr="00C501E3">
              <w:rPr>
                <w:sz w:val="20"/>
                <w:lang w:val="en-GB"/>
              </w:rPr>
              <w:t>18</w:t>
            </w:r>
          </w:p>
        </w:tc>
        <w:tc>
          <w:tcPr>
            <w:tcW w:w="1134" w:type="dxa"/>
            <w:vAlign w:val="center"/>
          </w:tcPr>
          <w:p w14:paraId="7C331D48" w14:textId="77777777" w:rsidR="008F369D" w:rsidRPr="00C501E3" w:rsidRDefault="00016F29" w:rsidP="00E06A78">
            <w:pPr>
              <w:keepNext/>
              <w:keepLines/>
              <w:widowControl w:val="0"/>
              <w:spacing w:after="170" w:line="280" w:lineRule="atLeast"/>
              <w:jc w:val="center"/>
              <w:rPr>
                <w:sz w:val="20"/>
                <w:lang w:val="en-GB"/>
              </w:rPr>
            </w:pPr>
            <w:r w:rsidRPr="00C501E3">
              <w:rPr>
                <w:sz w:val="20"/>
                <w:lang w:val="en-GB"/>
              </w:rPr>
              <w:t>90</w:t>
            </w:r>
            <w:r w:rsidRPr="00C501E3">
              <w:rPr>
                <w:sz w:val="20"/>
                <w:lang w:val="en-GB"/>
              </w:rPr>
              <w:br/>
              <w:t>96</w:t>
            </w:r>
          </w:p>
        </w:tc>
        <w:tc>
          <w:tcPr>
            <w:tcW w:w="1276" w:type="dxa"/>
            <w:vAlign w:val="center"/>
          </w:tcPr>
          <w:p w14:paraId="7C331D49" w14:textId="77777777" w:rsidR="008F369D" w:rsidRPr="00C501E3" w:rsidRDefault="00016F29" w:rsidP="00E06A78">
            <w:pPr>
              <w:keepNext/>
              <w:keepLines/>
              <w:widowControl w:val="0"/>
              <w:spacing w:after="170" w:line="280" w:lineRule="atLeast"/>
              <w:jc w:val="center"/>
              <w:rPr>
                <w:sz w:val="20"/>
                <w:lang w:val="en-GB"/>
              </w:rPr>
            </w:pPr>
            <w:r w:rsidRPr="00C501E3">
              <w:rPr>
                <w:sz w:val="20"/>
                <w:lang w:val="en-GB"/>
              </w:rPr>
              <w:t>17</w:t>
            </w:r>
            <w:r w:rsidRPr="00C501E3">
              <w:rPr>
                <w:sz w:val="20"/>
                <w:lang w:val="en-GB"/>
              </w:rPr>
              <w:br/>
              <w:t>20</w:t>
            </w:r>
          </w:p>
        </w:tc>
        <w:tc>
          <w:tcPr>
            <w:tcW w:w="1898" w:type="dxa"/>
            <w:vAlign w:val="center"/>
          </w:tcPr>
          <w:p w14:paraId="7C331D4A" w14:textId="77777777" w:rsidR="008F369D" w:rsidRPr="00C501E3" w:rsidRDefault="00016F29" w:rsidP="00E06A78">
            <w:pPr>
              <w:keepNext/>
              <w:keepLines/>
              <w:widowControl w:val="0"/>
              <w:jc w:val="center"/>
              <w:rPr>
                <w:sz w:val="20"/>
                <w:lang w:val="en-GB"/>
              </w:rPr>
            </w:pPr>
            <w:r w:rsidRPr="00C501E3">
              <w:rPr>
                <w:sz w:val="20"/>
                <w:lang w:val="en-GB"/>
              </w:rPr>
              <w:t>Median TTF: 2.6 years</w:t>
            </w:r>
          </w:p>
          <w:p w14:paraId="7C331D4B" w14:textId="77777777" w:rsidR="008F369D" w:rsidRPr="00C501E3" w:rsidRDefault="00016F29" w:rsidP="00E06A78">
            <w:pPr>
              <w:keepNext/>
              <w:keepLines/>
              <w:widowControl w:val="0"/>
              <w:spacing w:after="170" w:line="280" w:lineRule="atLeast"/>
              <w:jc w:val="center"/>
              <w:rPr>
                <w:sz w:val="20"/>
                <w:lang w:val="en-GB"/>
              </w:rPr>
            </w:pPr>
            <w:r w:rsidRPr="00C501E3">
              <w:rPr>
                <w:sz w:val="20"/>
                <w:lang w:val="en-GB"/>
              </w:rPr>
              <w:t>Not reached</w:t>
            </w:r>
            <w:r w:rsidRPr="00C501E3">
              <w:rPr>
                <w:sz w:val="20"/>
                <w:lang w:val="en-GB"/>
              </w:rPr>
              <w:br/>
              <w:t>p &lt; 0.001</w:t>
            </w:r>
          </w:p>
        </w:tc>
        <w:tc>
          <w:tcPr>
            <w:tcW w:w="1079" w:type="dxa"/>
            <w:vAlign w:val="center"/>
          </w:tcPr>
          <w:p w14:paraId="7C331D4C" w14:textId="77777777" w:rsidR="008F369D" w:rsidRPr="00C90649" w:rsidRDefault="00016F29" w:rsidP="00E06A78">
            <w:pPr>
              <w:keepNext/>
              <w:keepLines/>
              <w:widowControl w:val="0"/>
              <w:jc w:val="center"/>
              <w:rPr>
                <w:sz w:val="20"/>
                <w:lang w:val="en-GB"/>
              </w:rPr>
            </w:pPr>
            <w:r w:rsidRPr="00C90649">
              <w:rPr>
                <w:sz w:val="20"/>
                <w:lang w:val="en-GB"/>
              </w:rPr>
              <w:t>18</w:t>
            </w:r>
            <w:r w:rsidR="000A6DDA" w:rsidRPr="00C90649">
              <w:rPr>
                <w:sz w:val="20"/>
                <w:lang w:val="en-GB"/>
              </w:rPr>
              <w:noBreakHyphen/>
            </w:r>
            <w:r w:rsidRPr="00C90649">
              <w:rPr>
                <w:sz w:val="20"/>
                <w:lang w:val="en-GB"/>
              </w:rPr>
              <w:t>months</w:t>
            </w:r>
          </w:p>
          <w:p w14:paraId="7C331D4D" w14:textId="77777777" w:rsidR="008F369D" w:rsidRPr="00C90649" w:rsidRDefault="00016F29" w:rsidP="00E06A78">
            <w:pPr>
              <w:keepNext/>
              <w:keepLines/>
              <w:widowControl w:val="0"/>
              <w:spacing w:after="170" w:line="280" w:lineRule="atLeast"/>
              <w:jc w:val="center"/>
              <w:rPr>
                <w:sz w:val="20"/>
                <w:lang w:val="en-GB"/>
              </w:rPr>
            </w:pPr>
            <w:r w:rsidRPr="00C90649">
              <w:rPr>
                <w:sz w:val="20"/>
                <w:lang w:val="en-GB"/>
              </w:rPr>
              <w:t>90</w:t>
            </w:r>
            <w:r w:rsidRPr="00C90649">
              <w:rPr>
                <w:sz w:val="20"/>
                <w:lang w:val="en-GB"/>
              </w:rPr>
              <w:br/>
              <w:t>95</w:t>
            </w:r>
            <w:r w:rsidRPr="00C90649">
              <w:rPr>
                <w:sz w:val="20"/>
                <w:lang w:val="en-GB"/>
              </w:rPr>
              <w:br/>
              <w:t>p = 0.016</w:t>
            </w:r>
          </w:p>
        </w:tc>
      </w:tr>
      <w:tr w:rsidR="003A788B" w14:paraId="7C331D58" w14:textId="77777777" w:rsidTr="008919D7">
        <w:trPr>
          <w:jc w:val="center"/>
        </w:trPr>
        <w:tc>
          <w:tcPr>
            <w:tcW w:w="1326" w:type="dxa"/>
            <w:vAlign w:val="center"/>
          </w:tcPr>
          <w:p w14:paraId="7C331D4F" w14:textId="77777777" w:rsidR="008F369D" w:rsidRPr="00C501E3" w:rsidRDefault="00016F29" w:rsidP="00E06A78">
            <w:pPr>
              <w:keepNext/>
              <w:keepLines/>
              <w:widowControl w:val="0"/>
              <w:spacing w:after="170" w:line="280" w:lineRule="atLeast"/>
              <w:rPr>
                <w:sz w:val="20"/>
                <w:lang w:val="en-GB"/>
              </w:rPr>
            </w:pPr>
            <w:r w:rsidRPr="00C501E3">
              <w:rPr>
                <w:b/>
                <w:bCs/>
                <w:sz w:val="20"/>
                <w:lang w:val="en-GB"/>
              </w:rPr>
              <w:t>OSHO</w:t>
            </w:r>
            <w:r w:rsidR="000A6DDA">
              <w:rPr>
                <w:rFonts w:ascii="Cambria Math" w:hAnsi="Cambria Math" w:cs="Cambria Math"/>
                <w:b/>
                <w:bCs/>
                <w:sz w:val="20"/>
                <w:lang w:val="en-GB"/>
              </w:rPr>
              <w:noBreakHyphen/>
            </w:r>
            <w:r w:rsidRPr="00C501E3">
              <w:rPr>
                <w:b/>
                <w:bCs/>
                <w:sz w:val="20"/>
                <w:lang w:val="en-GB"/>
              </w:rPr>
              <w:t>39</w:t>
            </w:r>
          </w:p>
        </w:tc>
        <w:tc>
          <w:tcPr>
            <w:tcW w:w="1326" w:type="dxa"/>
            <w:vAlign w:val="center"/>
          </w:tcPr>
          <w:p w14:paraId="7C331D50" w14:textId="77777777" w:rsidR="008F369D" w:rsidRPr="00C90649" w:rsidRDefault="00016F29" w:rsidP="00E06A78">
            <w:pPr>
              <w:keepNext/>
              <w:keepLines/>
              <w:widowControl w:val="0"/>
              <w:spacing w:after="170" w:line="280" w:lineRule="atLeast"/>
              <w:rPr>
                <w:sz w:val="20"/>
                <w:lang w:val="en-GB"/>
              </w:rPr>
            </w:pPr>
            <w:r w:rsidRPr="00C90649">
              <w:rPr>
                <w:sz w:val="20"/>
                <w:lang w:val="en-GB"/>
              </w:rPr>
              <w:t>MCP, 96</w:t>
            </w:r>
            <w:r w:rsidRPr="00C90649">
              <w:rPr>
                <w:sz w:val="20"/>
                <w:lang w:val="en-GB"/>
              </w:rPr>
              <w:br/>
              <w:t>R</w:t>
            </w:r>
            <w:r w:rsidR="000A6DDA" w:rsidRPr="00C90649">
              <w:rPr>
                <w:sz w:val="20"/>
                <w:lang w:val="en-GB"/>
              </w:rPr>
              <w:noBreakHyphen/>
            </w:r>
            <w:r w:rsidRPr="00C90649">
              <w:rPr>
                <w:sz w:val="20"/>
                <w:lang w:val="en-GB"/>
              </w:rPr>
              <w:t>MCP, 105</w:t>
            </w:r>
          </w:p>
        </w:tc>
        <w:tc>
          <w:tcPr>
            <w:tcW w:w="1000" w:type="dxa"/>
            <w:vAlign w:val="center"/>
          </w:tcPr>
          <w:p w14:paraId="7C331D51" w14:textId="77777777" w:rsidR="008F369D" w:rsidRPr="00C501E3" w:rsidRDefault="00016F29" w:rsidP="00E06A78">
            <w:pPr>
              <w:keepNext/>
              <w:keepLines/>
              <w:widowControl w:val="0"/>
              <w:spacing w:after="170" w:line="280" w:lineRule="atLeast"/>
              <w:jc w:val="center"/>
              <w:rPr>
                <w:sz w:val="20"/>
                <w:lang w:val="en-GB"/>
              </w:rPr>
            </w:pPr>
            <w:r w:rsidRPr="00C501E3">
              <w:rPr>
                <w:sz w:val="20"/>
                <w:lang w:val="en-GB"/>
              </w:rPr>
              <w:t>47</w:t>
            </w:r>
          </w:p>
        </w:tc>
        <w:tc>
          <w:tcPr>
            <w:tcW w:w="1134" w:type="dxa"/>
            <w:vAlign w:val="center"/>
          </w:tcPr>
          <w:p w14:paraId="7C331D52" w14:textId="77777777" w:rsidR="008F369D" w:rsidRPr="00C501E3" w:rsidRDefault="00016F29" w:rsidP="00E06A78">
            <w:pPr>
              <w:keepNext/>
              <w:keepLines/>
              <w:widowControl w:val="0"/>
              <w:spacing w:after="170" w:line="280" w:lineRule="atLeast"/>
              <w:jc w:val="center"/>
              <w:rPr>
                <w:sz w:val="20"/>
                <w:lang w:val="en-GB"/>
              </w:rPr>
            </w:pPr>
            <w:r w:rsidRPr="00C501E3">
              <w:rPr>
                <w:sz w:val="20"/>
                <w:lang w:val="en-GB"/>
              </w:rPr>
              <w:t>75</w:t>
            </w:r>
            <w:r w:rsidRPr="00C501E3">
              <w:rPr>
                <w:sz w:val="20"/>
                <w:lang w:val="en-GB"/>
              </w:rPr>
              <w:br/>
              <w:t>92</w:t>
            </w:r>
          </w:p>
        </w:tc>
        <w:tc>
          <w:tcPr>
            <w:tcW w:w="1276" w:type="dxa"/>
            <w:vAlign w:val="center"/>
          </w:tcPr>
          <w:p w14:paraId="7C331D53" w14:textId="77777777" w:rsidR="008F369D" w:rsidRPr="00C501E3" w:rsidRDefault="00016F29" w:rsidP="00E06A78">
            <w:pPr>
              <w:keepNext/>
              <w:keepLines/>
              <w:widowControl w:val="0"/>
              <w:spacing w:after="170" w:line="280" w:lineRule="atLeast"/>
              <w:jc w:val="center"/>
              <w:rPr>
                <w:sz w:val="20"/>
                <w:lang w:val="en-GB"/>
              </w:rPr>
            </w:pPr>
            <w:r w:rsidRPr="00C501E3">
              <w:rPr>
                <w:sz w:val="20"/>
                <w:lang w:val="en-GB"/>
              </w:rPr>
              <w:t xml:space="preserve">25 </w:t>
            </w:r>
            <w:r w:rsidRPr="00C501E3">
              <w:rPr>
                <w:sz w:val="20"/>
                <w:lang w:val="en-GB"/>
              </w:rPr>
              <w:br/>
              <w:t>50</w:t>
            </w:r>
          </w:p>
        </w:tc>
        <w:tc>
          <w:tcPr>
            <w:tcW w:w="1898" w:type="dxa"/>
            <w:vAlign w:val="center"/>
          </w:tcPr>
          <w:p w14:paraId="7C331D54" w14:textId="77777777" w:rsidR="008F369D" w:rsidRPr="00C501E3" w:rsidRDefault="00016F29" w:rsidP="00E06A78">
            <w:pPr>
              <w:keepNext/>
              <w:keepLines/>
              <w:widowControl w:val="0"/>
              <w:jc w:val="center"/>
              <w:rPr>
                <w:sz w:val="20"/>
                <w:lang w:val="en-GB"/>
              </w:rPr>
            </w:pPr>
            <w:r w:rsidRPr="00C501E3">
              <w:rPr>
                <w:sz w:val="20"/>
                <w:lang w:val="en-GB"/>
              </w:rPr>
              <w:t>Median PFS: 28.8</w:t>
            </w:r>
          </w:p>
          <w:p w14:paraId="7C331D55" w14:textId="77777777" w:rsidR="008F369D" w:rsidRPr="00C501E3" w:rsidRDefault="00016F29" w:rsidP="00E06A78">
            <w:pPr>
              <w:keepNext/>
              <w:keepLines/>
              <w:widowControl w:val="0"/>
              <w:spacing w:after="170" w:line="280" w:lineRule="atLeast"/>
              <w:jc w:val="center"/>
              <w:rPr>
                <w:sz w:val="20"/>
                <w:lang w:val="en-GB"/>
              </w:rPr>
            </w:pPr>
            <w:r w:rsidRPr="00C501E3">
              <w:rPr>
                <w:sz w:val="20"/>
                <w:lang w:val="en-GB"/>
              </w:rPr>
              <w:t>Not reached</w:t>
            </w:r>
            <w:r w:rsidRPr="00C501E3">
              <w:rPr>
                <w:sz w:val="20"/>
                <w:lang w:val="en-GB"/>
              </w:rPr>
              <w:br/>
              <w:t>p &lt; 0.0001</w:t>
            </w:r>
          </w:p>
        </w:tc>
        <w:tc>
          <w:tcPr>
            <w:tcW w:w="1079" w:type="dxa"/>
            <w:vAlign w:val="center"/>
          </w:tcPr>
          <w:p w14:paraId="7C331D56" w14:textId="77777777" w:rsidR="008F369D" w:rsidRPr="00C90649" w:rsidRDefault="00016F29" w:rsidP="00E06A78">
            <w:pPr>
              <w:keepNext/>
              <w:keepLines/>
              <w:widowControl w:val="0"/>
              <w:jc w:val="center"/>
              <w:rPr>
                <w:sz w:val="20"/>
                <w:lang w:val="en-GB"/>
              </w:rPr>
            </w:pPr>
            <w:r w:rsidRPr="00C90649">
              <w:rPr>
                <w:sz w:val="20"/>
                <w:lang w:val="en-GB"/>
              </w:rPr>
              <w:t>48</w:t>
            </w:r>
            <w:r w:rsidR="000A6DDA" w:rsidRPr="00C90649">
              <w:rPr>
                <w:sz w:val="20"/>
                <w:lang w:val="en-GB"/>
              </w:rPr>
              <w:noBreakHyphen/>
            </w:r>
            <w:r w:rsidRPr="00C90649">
              <w:rPr>
                <w:sz w:val="20"/>
                <w:lang w:val="en-GB"/>
              </w:rPr>
              <w:t>months</w:t>
            </w:r>
          </w:p>
          <w:p w14:paraId="7C331D57" w14:textId="77777777" w:rsidR="008F369D" w:rsidRPr="00C90649" w:rsidRDefault="00016F29" w:rsidP="00E06A78">
            <w:pPr>
              <w:keepNext/>
              <w:keepLines/>
              <w:widowControl w:val="0"/>
              <w:spacing w:after="170" w:line="280" w:lineRule="atLeast"/>
              <w:jc w:val="center"/>
              <w:rPr>
                <w:sz w:val="20"/>
                <w:lang w:val="en-GB"/>
              </w:rPr>
            </w:pPr>
            <w:r w:rsidRPr="00C90649">
              <w:rPr>
                <w:sz w:val="20"/>
                <w:lang w:val="en-GB"/>
              </w:rPr>
              <w:t xml:space="preserve">74 </w:t>
            </w:r>
            <w:r w:rsidRPr="00C90649">
              <w:rPr>
                <w:sz w:val="20"/>
                <w:lang w:val="en-GB"/>
              </w:rPr>
              <w:br/>
              <w:t xml:space="preserve">87 </w:t>
            </w:r>
            <w:r w:rsidRPr="00C90649">
              <w:rPr>
                <w:sz w:val="20"/>
                <w:lang w:val="en-GB"/>
              </w:rPr>
              <w:br/>
              <w:t>p = 0.0096</w:t>
            </w:r>
          </w:p>
        </w:tc>
      </w:tr>
      <w:tr w:rsidR="003A788B" w14:paraId="7C331D62" w14:textId="77777777" w:rsidTr="008919D7">
        <w:trPr>
          <w:jc w:val="center"/>
        </w:trPr>
        <w:tc>
          <w:tcPr>
            <w:tcW w:w="1326" w:type="dxa"/>
            <w:vAlign w:val="center"/>
          </w:tcPr>
          <w:p w14:paraId="7C331D59" w14:textId="77777777" w:rsidR="008F369D" w:rsidRPr="00C501E3" w:rsidRDefault="00016F29" w:rsidP="00E06A78">
            <w:pPr>
              <w:keepNext/>
              <w:keepLines/>
              <w:widowControl w:val="0"/>
              <w:spacing w:after="170" w:line="280" w:lineRule="atLeast"/>
              <w:rPr>
                <w:sz w:val="20"/>
                <w:lang w:val="en-GB"/>
              </w:rPr>
            </w:pPr>
            <w:r w:rsidRPr="00C501E3">
              <w:rPr>
                <w:b/>
                <w:bCs/>
                <w:sz w:val="20"/>
                <w:lang w:val="en-GB"/>
              </w:rPr>
              <w:t>FL2000</w:t>
            </w:r>
          </w:p>
        </w:tc>
        <w:tc>
          <w:tcPr>
            <w:tcW w:w="1326" w:type="dxa"/>
            <w:vAlign w:val="center"/>
          </w:tcPr>
          <w:p w14:paraId="7C331D5A" w14:textId="77777777" w:rsidR="008F369D" w:rsidRPr="00C90649" w:rsidRDefault="00016F29" w:rsidP="00E06A78">
            <w:pPr>
              <w:keepNext/>
              <w:keepLines/>
              <w:widowControl w:val="0"/>
              <w:spacing w:after="170" w:line="280" w:lineRule="atLeast"/>
              <w:rPr>
                <w:sz w:val="20"/>
                <w:lang w:val="en-GB"/>
              </w:rPr>
            </w:pPr>
            <w:r w:rsidRPr="00C90649">
              <w:rPr>
                <w:sz w:val="20"/>
                <w:lang w:val="en-GB"/>
              </w:rPr>
              <w:t>CHVP</w:t>
            </w:r>
            <w:r w:rsidR="000A6DDA" w:rsidRPr="00C90649">
              <w:rPr>
                <w:sz w:val="20"/>
                <w:lang w:val="en-GB"/>
              </w:rPr>
              <w:noBreakHyphen/>
            </w:r>
            <w:r w:rsidRPr="00C90649">
              <w:rPr>
                <w:sz w:val="20"/>
                <w:lang w:val="en-GB"/>
              </w:rPr>
              <w:t>IFN, 183</w:t>
            </w:r>
            <w:r w:rsidRPr="00C90649">
              <w:rPr>
                <w:sz w:val="20"/>
                <w:lang w:val="en-GB"/>
              </w:rPr>
              <w:br/>
              <w:t>R</w:t>
            </w:r>
            <w:r w:rsidR="000A6DDA" w:rsidRPr="00C90649">
              <w:rPr>
                <w:sz w:val="20"/>
                <w:lang w:val="en-GB"/>
              </w:rPr>
              <w:noBreakHyphen/>
            </w:r>
            <w:r w:rsidRPr="00C90649">
              <w:rPr>
                <w:sz w:val="20"/>
                <w:lang w:val="en-GB"/>
              </w:rPr>
              <w:t>CHVP</w:t>
            </w:r>
            <w:r w:rsidR="000A6DDA" w:rsidRPr="00C90649">
              <w:rPr>
                <w:sz w:val="20"/>
                <w:lang w:val="en-GB"/>
              </w:rPr>
              <w:noBreakHyphen/>
            </w:r>
            <w:r w:rsidRPr="00C90649">
              <w:rPr>
                <w:sz w:val="20"/>
                <w:lang w:val="en-GB"/>
              </w:rPr>
              <w:t>IFN, 175</w:t>
            </w:r>
          </w:p>
        </w:tc>
        <w:tc>
          <w:tcPr>
            <w:tcW w:w="1000" w:type="dxa"/>
            <w:vAlign w:val="center"/>
          </w:tcPr>
          <w:p w14:paraId="7C331D5B" w14:textId="77777777" w:rsidR="008F369D" w:rsidRPr="00C501E3" w:rsidRDefault="00016F29" w:rsidP="00E06A78">
            <w:pPr>
              <w:keepNext/>
              <w:keepLines/>
              <w:widowControl w:val="0"/>
              <w:spacing w:after="170" w:line="280" w:lineRule="atLeast"/>
              <w:jc w:val="center"/>
              <w:rPr>
                <w:sz w:val="20"/>
                <w:lang w:val="en-GB"/>
              </w:rPr>
            </w:pPr>
            <w:r w:rsidRPr="00C501E3">
              <w:rPr>
                <w:sz w:val="20"/>
                <w:lang w:val="en-GB"/>
              </w:rPr>
              <w:t>42</w:t>
            </w:r>
          </w:p>
        </w:tc>
        <w:tc>
          <w:tcPr>
            <w:tcW w:w="1134" w:type="dxa"/>
            <w:vAlign w:val="center"/>
          </w:tcPr>
          <w:p w14:paraId="7C331D5C" w14:textId="77777777" w:rsidR="008F369D" w:rsidRPr="00C501E3" w:rsidRDefault="00016F29" w:rsidP="00E06A78">
            <w:pPr>
              <w:keepNext/>
              <w:keepLines/>
              <w:widowControl w:val="0"/>
              <w:spacing w:after="170" w:line="280" w:lineRule="atLeast"/>
              <w:jc w:val="center"/>
              <w:rPr>
                <w:sz w:val="20"/>
                <w:lang w:val="en-GB"/>
              </w:rPr>
            </w:pPr>
            <w:r w:rsidRPr="00C501E3">
              <w:rPr>
                <w:sz w:val="20"/>
                <w:lang w:val="en-GB"/>
              </w:rPr>
              <w:t xml:space="preserve">85 </w:t>
            </w:r>
            <w:r w:rsidRPr="00C501E3">
              <w:rPr>
                <w:sz w:val="20"/>
                <w:lang w:val="en-GB"/>
              </w:rPr>
              <w:br/>
              <w:t>94</w:t>
            </w:r>
          </w:p>
        </w:tc>
        <w:tc>
          <w:tcPr>
            <w:tcW w:w="1276" w:type="dxa"/>
            <w:vAlign w:val="center"/>
          </w:tcPr>
          <w:p w14:paraId="7C331D5D" w14:textId="77777777" w:rsidR="008F369D" w:rsidRPr="00C501E3" w:rsidRDefault="00016F29" w:rsidP="00E06A78">
            <w:pPr>
              <w:keepNext/>
              <w:keepLines/>
              <w:widowControl w:val="0"/>
              <w:spacing w:after="170" w:line="280" w:lineRule="atLeast"/>
              <w:jc w:val="center"/>
              <w:rPr>
                <w:sz w:val="20"/>
                <w:lang w:val="en-GB"/>
              </w:rPr>
            </w:pPr>
            <w:r w:rsidRPr="00C501E3">
              <w:rPr>
                <w:sz w:val="20"/>
                <w:lang w:val="en-GB"/>
              </w:rPr>
              <w:t>49</w:t>
            </w:r>
            <w:r w:rsidRPr="00C501E3">
              <w:rPr>
                <w:sz w:val="20"/>
                <w:lang w:val="en-GB"/>
              </w:rPr>
              <w:br/>
              <w:t>76</w:t>
            </w:r>
          </w:p>
        </w:tc>
        <w:tc>
          <w:tcPr>
            <w:tcW w:w="1898" w:type="dxa"/>
            <w:vAlign w:val="center"/>
          </w:tcPr>
          <w:p w14:paraId="7C331D5E" w14:textId="77777777" w:rsidR="008F369D" w:rsidRPr="00C501E3" w:rsidRDefault="00016F29" w:rsidP="00E06A78">
            <w:pPr>
              <w:keepNext/>
              <w:keepLines/>
              <w:widowControl w:val="0"/>
              <w:jc w:val="center"/>
              <w:rPr>
                <w:sz w:val="20"/>
                <w:lang w:val="en-GB"/>
              </w:rPr>
            </w:pPr>
            <w:r w:rsidRPr="00C501E3">
              <w:rPr>
                <w:sz w:val="20"/>
                <w:lang w:val="en-GB"/>
              </w:rPr>
              <w:t xml:space="preserve">Median EFS: 36 </w:t>
            </w:r>
            <w:r w:rsidRPr="00C501E3">
              <w:rPr>
                <w:sz w:val="20"/>
                <w:lang w:val="en-GB"/>
              </w:rPr>
              <w:br/>
              <w:t>Not reached</w:t>
            </w:r>
          </w:p>
          <w:p w14:paraId="7C331D5F" w14:textId="77777777" w:rsidR="008F369D" w:rsidRPr="00C501E3" w:rsidRDefault="00016F29" w:rsidP="00E06A78">
            <w:pPr>
              <w:keepNext/>
              <w:keepLines/>
              <w:widowControl w:val="0"/>
              <w:spacing w:after="170" w:line="280" w:lineRule="atLeast"/>
              <w:jc w:val="center"/>
              <w:rPr>
                <w:sz w:val="20"/>
                <w:lang w:val="en-GB"/>
              </w:rPr>
            </w:pPr>
            <w:r w:rsidRPr="00C501E3">
              <w:rPr>
                <w:sz w:val="20"/>
                <w:lang w:val="en-GB"/>
              </w:rPr>
              <w:t>p &lt; 0.0001</w:t>
            </w:r>
          </w:p>
        </w:tc>
        <w:tc>
          <w:tcPr>
            <w:tcW w:w="1079" w:type="dxa"/>
            <w:vAlign w:val="center"/>
          </w:tcPr>
          <w:p w14:paraId="7C331D60" w14:textId="77777777" w:rsidR="008F369D" w:rsidRPr="00C90649" w:rsidRDefault="00016F29" w:rsidP="00E06A78">
            <w:pPr>
              <w:keepNext/>
              <w:keepLines/>
              <w:widowControl w:val="0"/>
              <w:jc w:val="center"/>
              <w:rPr>
                <w:sz w:val="20"/>
                <w:lang w:val="en-GB"/>
              </w:rPr>
            </w:pPr>
            <w:r w:rsidRPr="00C90649">
              <w:rPr>
                <w:sz w:val="20"/>
                <w:lang w:val="en-GB"/>
              </w:rPr>
              <w:t>42</w:t>
            </w:r>
            <w:r w:rsidR="000A6DDA" w:rsidRPr="00C90649">
              <w:rPr>
                <w:sz w:val="20"/>
                <w:lang w:val="en-GB"/>
              </w:rPr>
              <w:noBreakHyphen/>
            </w:r>
            <w:r w:rsidRPr="00C90649">
              <w:rPr>
                <w:sz w:val="20"/>
                <w:lang w:val="en-GB"/>
              </w:rPr>
              <w:t>months</w:t>
            </w:r>
          </w:p>
          <w:p w14:paraId="7C331D61" w14:textId="77777777" w:rsidR="008F369D" w:rsidRPr="00C90649" w:rsidRDefault="00016F29" w:rsidP="00E06A78">
            <w:pPr>
              <w:keepNext/>
              <w:keepLines/>
              <w:widowControl w:val="0"/>
              <w:spacing w:after="170" w:line="280" w:lineRule="atLeast"/>
              <w:jc w:val="center"/>
              <w:rPr>
                <w:sz w:val="20"/>
                <w:lang w:val="en-GB"/>
              </w:rPr>
            </w:pPr>
            <w:r w:rsidRPr="00C90649">
              <w:rPr>
                <w:sz w:val="20"/>
                <w:lang w:val="en-GB"/>
              </w:rPr>
              <w:t xml:space="preserve">84 </w:t>
            </w:r>
            <w:r w:rsidRPr="00C90649">
              <w:rPr>
                <w:sz w:val="20"/>
                <w:lang w:val="en-GB"/>
              </w:rPr>
              <w:br/>
              <w:t>91</w:t>
            </w:r>
            <w:r w:rsidRPr="00C90649">
              <w:rPr>
                <w:sz w:val="20"/>
                <w:lang w:val="en-GB"/>
              </w:rPr>
              <w:br/>
              <w:t>p = 0.029</w:t>
            </w:r>
          </w:p>
        </w:tc>
      </w:tr>
    </w:tbl>
    <w:p w14:paraId="7C331D63" w14:textId="77777777" w:rsidR="008F369D" w:rsidRPr="00C501E3" w:rsidRDefault="00016F29" w:rsidP="00E06A78">
      <w:pPr>
        <w:keepNext/>
        <w:keepLines/>
        <w:widowControl w:val="0"/>
        <w:outlineLvl w:val="0"/>
        <w:rPr>
          <w:sz w:val="18"/>
          <w:szCs w:val="18"/>
          <w:lang w:val="en-GB"/>
        </w:rPr>
      </w:pPr>
      <w:r w:rsidRPr="00C501E3">
        <w:rPr>
          <w:sz w:val="18"/>
          <w:szCs w:val="18"/>
          <w:lang w:val="en-GB"/>
        </w:rPr>
        <w:t>EFS – Event Free Survival</w:t>
      </w:r>
    </w:p>
    <w:p w14:paraId="7C331D64" w14:textId="77777777" w:rsidR="008F369D" w:rsidRPr="00C90649" w:rsidRDefault="00016F29" w:rsidP="00E06A78">
      <w:pPr>
        <w:keepNext/>
        <w:keepLines/>
        <w:widowControl w:val="0"/>
        <w:rPr>
          <w:sz w:val="18"/>
          <w:szCs w:val="18"/>
          <w:lang w:val="en-GB"/>
        </w:rPr>
      </w:pPr>
      <w:r w:rsidRPr="00C501E3">
        <w:rPr>
          <w:sz w:val="18"/>
          <w:szCs w:val="18"/>
          <w:lang w:val="en-GB"/>
        </w:rPr>
        <w:t>TTP – Time to progression or death</w:t>
      </w:r>
      <w:r w:rsidRPr="00C501E3">
        <w:rPr>
          <w:sz w:val="18"/>
          <w:szCs w:val="18"/>
          <w:lang w:val="en-GB"/>
        </w:rPr>
        <w:br/>
      </w:r>
      <w:r w:rsidRPr="00C90649">
        <w:rPr>
          <w:sz w:val="18"/>
          <w:szCs w:val="18"/>
          <w:lang w:val="en-GB"/>
        </w:rPr>
        <w:t>PFS – Progression</w:t>
      </w:r>
      <w:r w:rsidR="000A6DDA" w:rsidRPr="00C90649">
        <w:rPr>
          <w:sz w:val="18"/>
          <w:szCs w:val="18"/>
          <w:lang w:val="en-GB"/>
        </w:rPr>
        <w:noBreakHyphen/>
      </w:r>
      <w:r w:rsidRPr="00C90649">
        <w:rPr>
          <w:sz w:val="18"/>
          <w:szCs w:val="18"/>
          <w:lang w:val="en-GB"/>
        </w:rPr>
        <w:t>Free Survival</w:t>
      </w:r>
      <w:r w:rsidRPr="00C90649">
        <w:rPr>
          <w:sz w:val="18"/>
          <w:szCs w:val="18"/>
          <w:lang w:val="en-GB"/>
        </w:rPr>
        <w:br/>
        <w:t>TTF – Time to Treatment Failure</w:t>
      </w:r>
      <w:r w:rsidRPr="00C90649">
        <w:rPr>
          <w:sz w:val="18"/>
          <w:szCs w:val="18"/>
          <w:lang w:val="en-GB"/>
        </w:rPr>
        <w:br/>
        <w:t>OS rates – survival rates at the time of the analyses</w:t>
      </w:r>
    </w:p>
    <w:p w14:paraId="7C331D65" w14:textId="77777777" w:rsidR="008F369D" w:rsidRPr="00C90649" w:rsidRDefault="008F369D" w:rsidP="00E06A78">
      <w:pPr>
        <w:rPr>
          <w:szCs w:val="22"/>
          <w:lang w:val="en-GB"/>
        </w:rPr>
      </w:pPr>
    </w:p>
    <w:p w14:paraId="7C331D66" w14:textId="77777777" w:rsidR="008F369D" w:rsidRPr="00C501E3" w:rsidRDefault="00016F29" w:rsidP="008F369D">
      <w:pPr>
        <w:keepNext/>
        <w:keepLines/>
        <w:outlineLvl w:val="0"/>
        <w:rPr>
          <w:lang w:val="en-GB"/>
        </w:rPr>
      </w:pPr>
      <w:r w:rsidRPr="00C501E3">
        <w:rPr>
          <w:lang w:val="en-GB"/>
        </w:rPr>
        <w:t>Maintenance therapy</w:t>
      </w:r>
    </w:p>
    <w:p w14:paraId="7C331D67" w14:textId="77777777" w:rsidR="008F369D" w:rsidRPr="00C501E3" w:rsidRDefault="008F369D" w:rsidP="008F369D">
      <w:pPr>
        <w:keepNext/>
        <w:keepLines/>
        <w:outlineLvl w:val="0"/>
        <w:rPr>
          <w:i/>
          <w:lang w:val="en-GB"/>
        </w:rPr>
      </w:pPr>
    </w:p>
    <w:p w14:paraId="7C331D68" w14:textId="77777777" w:rsidR="008F369D" w:rsidRPr="00C501E3" w:rsidRDefault="00016F29" w:rsidP="008F369D">
      <w:pPr>
        <w:keepNext/>
        <w:keepLines/>
        <w:tabs>
          <w:tab w:val="left" w:pos="0"/>
        </w:tabs>
        <w:outlineLvl w:val="0"/>
        <w:rPr>
          <w:b/>
          <w:i/>
          <w:lang w:val="en-GB"/>
        </w:rPr>
      </w:pPr>
      <w:r w:rsidRPr="00C501E3">
        <w:rPr>
          <w:i/>
          <w:lang w:val="en-GB"/>
        </w:rPr>
        <w:t xml:space="preserve">Previously untreated follicular lymphoma </w:t>
      </w:r>
    </w:p>
    <w:p w14:paraId="7C331D69" w14:textId="77777777" w:rsidR="008F369D" w:rsidRPr="00CA7007" w:rsidRDefault="00016F29" w:rsidP="008F369D">
      <w:pPr>
        <w:rPr>
          <w:lang w:val="en-GB"/>
        </w:rPr>
      </w:pPr>
      <w:r w:rsidRPr="00CA7007">
        <w:rPr>
          <w:lang w:val="en-GB"/>
        </w:rPr>
        <w:t>In a prospective, open label, international, multi</w:t>
      </w:r>
      <w:r w:rsidR="000A6DDA" w:rsidRPr="00CA7007">
        <w:rPr>
          <w:lang w:val="en-GB"/>
        </w:rPr>
        <w:noBreakHyphen/>
      </w:r>
      <w:r w:rsidRPr="00CA7007">
        <w:rPr>
          <w:lang w:val="en-GB"/>
        </w:rPr>
        <w:t>center, phase III trial 1193 patients with previously untreated advanced follicular lymphoma received induction therapy with R</w:t>
      </w:r>
      <w:r w:rsidR="000A6DDA" w:rsidRPr="00CA7007">
        <w:rPr>
          <w:lang w:val="en-GB"/>
        </w:rPr>
        <w:noBreakHyphen/>
      </w:r>
      <w:r w:rsidRPr="00CA7007">
        <w:rPr>
          <w:lang w:val="en-GB"/>
        </w:rPr>
        <w:t>CHOP (n=881), R</w:t>
      </w:r>
      <w:r w:rsidR="000A6DDA" w:rsidRPr="00CA7007">
        <w:rPr>
          <w:lang w:val="en-GB"/>
        </w:rPr>
        <w:noBreakHyphen/>
      </w:r>
      <w:r w:rsidRPr="00CA7007">
        <w:rPr>
          <w:lang w:val="en-GB"/>
        </w:rPr>
        <w:t>CVP (n=268) or R</w:t>
      </w:r>
      <w:r w:rsidR="000A6DDA" w:rsidRPr="00CA7007">
        <w:rPr>
          <w:lang w:val="en-GB"/>
        </w:rPr>
        <w:noBreakHyphen/>
      </w:r>
      <w:r w:rsidRPr="00CA7007">
        <w:rPr>
          <w:lang w:val="en-GB"/>
        </w:rPr>
        <w:t xml:space="preserve">FCM (n=44), according to the investigators’ choice. A total of 1078 patients responded to induction therapy, of which 1018 were randomized to MabThera maintenance therapy (n=505) or observation (n=513). The two treatment groups were well balanced with regards to baseline characteristics and disease status. MabThera maintenance treatment consisted of a single infusion of MabThera at 375 mg/m2 body surface area given every 2 months until disease progression or for a maximum period of two years. </w:t>
      </w:r>
    </w:p>
    <w:p w14:paraId="7C331D6A" w14:textId="77777777" w:rsidR="008F369D" w:rsidRPr="00CA7007" w:rsidRDefault="008F369D" w:rsidP="008F369D">
      <w:pPr>
        <w:rPr>
          <w:lang w:val="en-GB"/>
        </w:rPr>
      </w:pPr>
    </w:p>
    <w:p w14:paraId="7C331D6B" w14:textId="77777777" w:rsidR="00342FAF" w:rsidRDefault="00016F29" w:rsidP="00342FAF">
      <w:pPr>
        <w:keepNext/>
        <w:keepLines/>
        <w:rPr>
          <w:lang w:val="en-GB"/>
        </w:rPr>
      </w:pPr>
      <w:r>
        <w:rPr>
          <w:lang w:val="en-GB"/>
        </w:rPr>
        <w:t>The pre-specified primary analysis was conducted at a median observation time of 25 months from randomization, maintenance therapy with MabThera resulted in a clinically relevant and statistically significant improvement in the primary endpoint of investigator assessed progression</w:t>
      </w:r>
      <w:r>
        <w:rPr>
          <w:lang w:val="en-GB"/>
        </w:rPr>
        <w:noBreakHyphen/>
        <w:t xml:space="preserve">free survival (PFS) as compared to observation in patients with previously untreated follicular lymphoma (Table 4). </w:t>
      </w:r>
    </w:p>
    <w:p w14:paraId="7C331D6C" w14:textId="77777777" w:rsidR="00342FAF" w:rsidRDefault="00342FAF" w:rsidP="00342FAF">
      <w:pPr>
        <w:rPr>
          <w:lang w:val="en-GB"/>
        </w:rPr>
      </w:pPr>
    </w:p>
    <w:p w14:paraId="7C331D6D" w14:textId="77777777" w:rsidR="00342FAF" w:rsidRDefault="00016F29" w:rsidP="00342FAF">
      <w:pPr>
        <w:rPr>
          <w:lang w:val="en-GB"/>
        </w:rPr>
      </w:pPr>
      <w:r>
        <w:rPr>
          <w:lang w:val="en-GB"/>
        </w:rPr>
        <w:t>Significant benefit from maintenance treatment with MabThera was also seen for the secondary endpoints event</w:t>
      </w:r>
      <w:r>
        <w:rPr>
          <w:lang w:val="en-GB"/>
        </w:rPr>
        <w:noBreakHyphen/>
        <w:t>free survival (EFS), time to next anti</w:t>
      </w:r>
      <w:r>
        <w:rPr>
          <w:lang w:val="en-GB"/>
        </w:rPr>
        <w:noBreakHyphen/>
        <w:t xml:space="preserve">lymphoma treatment (TNLT) time to next chemotherapy (TNCT) and overall response rate (ORR) in the primary analysis (Table 4). </w:t>
      </w:r>
    </w:p>
    <w:p w14:paraId="7C331D6E" w14:textId="77777777" w:rsidR="00342FAF" w:rsidRDefault="00342FAF" w:rsidP="00342FAF">
      <w:pPr>
        <w:rPr>
          <w:lang w:val="en-GB"/>
        </w:rPr>
      </w:pPr>
    </w:p>
    <w:p w14:paraId="7C331D6F" w14:textId="77777777" w:rsidR="00342FAF" w:rsidRDefault="00016F29" w:rsidP="00342FAF">
      <w:r>
        <w:t>Data from extended follow-up of patients in the study (median follow-up 9 years) confirmed the long-term benefit of MabThera maintenance therapy in terms of PFS, EFS, TNLT and TNCT (Table 4).</w:t>
      </w:r>
    </w:p>
    <w:p w14:paraId="7C331D70" w14:textId="77777777" w:rsidR="00342FAF" w:rsidRDefault="00342FAF" w:rsidP="00342FAF"/>
    <w:p w14:paraId="7C331D71" w14:textId="77777777" w:rsidR="00342FAF" w:rsidRDefault="00016F29" w:rsidP="0099733D">
      <w:pPr>
        <w:keepNext/>
        <w:keepLines/>
        <w:ind w:left="1134" w:hanging="1134"/>
        <w:rPr>
          <w:b/>
          <w:lang w:val="en-GB"/>
        </w:rPr>
      </w:pPr>
      <w:r>
        <w:rPr>
          <w:b/>
          <w:lang w:val="en-GB"/>
        </w:rPr>
        <w:t>Table 4</w:t>
      </w:r>
      <w:r>
        <w:rPr>
          <w:b/>
          <w:lang w:val="en-GB"/>
        </w:rPr>
        <w:tab/>
        <w:t>Overview of efficacy results for MabThera maintenance vs. observation at the protocol-defined primary analysis and after 9 years median follow-up (final analysis)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12"/>
        <w:gridCol w:w="1470"/>
        <w:gridCol w:w="1469"/>
        <w:gridCol w:w="1470"/>
        <w:gridCol w:w="1466"/>
      </w:tblGrid>
      <w:tr w:rsidR="003A788B" w14:paraId="7C331D75" w14:textId="77777777" w:rsidTr="00342FAF">
        <w:tc>
          <w:tcPr>
            <w:tcW w:w="3412" w:type="dxa"/>
            <w:vMerge w:val="restart"/>
            <w:tcBorders>
              <w:top w:val="single" w:sz="4" w:space="0" w:color="auto"/>
              <w:left w:val="single" w:sz="4" w:space="0" w:color="auto"/>
              <w:bottom w:val="single" w:sz="4" w:space="0" w:color="auto"/>
              <w:right w:val="single" w:sz="4" w:space="0" w:color="auto"/>
            </w:tcBorders>
          </w:tcPr>
          <w:p w14:paraId="7C331D72" w14:textId="77777777" w:rsidR="00342FAF" w:rsidRDefault="00342FAF" w:rsidP="0099733D">
            <w:pPr>
              <w:keepNext/>
              <w:keepLines/>
              <w:rPr>
                <w:b/>
                <w:szCs w:val="22"/>
                <w:lang w:val="en-GB"/>
              </w:rPr>
            </w:pPr>
          </w:p>
        </w:tc>
        <w:tc>
          <w:tcPr>
            <w:tcW w:w="2939" w:type="dxa"/>
            <w:gridSpan w:val="2"/>
            <w:tcBorders>
              <w:top w:val="single" w:sz="4" w:space="0" w:color="auto"/>
              <w:left w:val="single" w:sz="4" w:space="0" w:color="auto"/>
              <w:bottom w:val="single" w:sz="4" w:space="0" w:color="auto"/>
              <w:right w:val="single" w:sz="4" w:space="0" w:color="auto"/>
            </w:tcBorders>
            <w:hideMark/>
          </w:tcPr>
          <w:p w14:paraId="7C331D73" w14:textId="77777777" w:rsidR="00342FAF" w:rsidRDefault="00016F29" w:rsidP="0099733D">
            <w:pPr>
              <w:keepNext/>
              <w:keepLines/>
              <w:jc w:val="center"/>
              <w:rPr>
                <w:b/>
                <w:szCs w:val="22"/>
                <w:lang w:val="en-GB"/>
              </w:rPr>
            </w:pPr>
            <w:r>
              <w:rPr>
                <w:b/>
                <w:szCs w:val="22"/>
                <w:lang w:val="en-GB"/>
              </w:rPr>
              <w:t>Primary analysis</w:t>
            </w:r>
            <w:r>
              <w:rPr>
                <w:b/>
                <w:szCs w:val="22"/>
                <w:lang w:val="en-GB"/>
              </w:rPr>
              <w:br/>
              <w:t>(median FU: 25 months)</w:t>
            </w:r>
          </w:p>
        </w:tc>
        <w:tc>
          <w:tcPr>
            <w:tcW w:w="2936" w:type="dxa"/>
            <w:gridSpan w:val="2"/>
            <w:tcBorders>
              <w:top w:val="single" w:sz="4" w:space="0" w:color="auto"/>
              <w:left w:val="single" w:sz="4" w:space="0" w:color="auto"/>
              <w:bottom w:val="single" w:sz="4" w:space="0" w:color="auto"/>
              <w:right w:val="single" w:sz="4" w:space="0" w:color="auto"/>
            </w:tcBorders>
            <w:hideMark/>
          </w:tcPr>
          <w:p w14:paraId="7C331D74" w14:textId="77777777" w:rsidR="00342FAF" w:rsidRDefault="00016F29" w:rsidP="0099733D">
            <w:pPr>
              <w:keepNext/>
              <w:keepLines/>
              <w:jc w:val="center"/>
              <w:rPr>
                <w:b/>
                <w:szCs w:val="22"/>
                <w:lang w:val="en-GB"/>
              </w:rPr>
            </w:pPr>
            <w:r>
              <w:rPr>
                <w:b/>
                <w:szCs w:val="22"/>
                <w:lang w:val="en-GB"/>
              </w:rPr>
              <w:t>Final analysis</w:t>
            </w:r>
            <w:r>
              <w:rPr>
                <w:b/>
                <w:szCs w:val="22"/>
                <w:lang w:val="en-GB"/>
              </w:rPr>
              <w:br/>
              <w:t>(median FU: 9.0 years)</w:t>
            </w:r>
          </w:p>
        </w:tc>
      </w:tr>
      <w:tr w:rsidR="003A788B" w14:paraId="7C331D7B" w14:textId="77777777" w:rsidTr="00342FAF">
        <w:tc>
          <w:tcPr>
            <w:tcW w:w="3412" w:type="dxa"/>
            <w:vMerge/>
            <w:tcBorders>
              <w:top w:val="single" w:sz="4" w:space="0" w:color="auto"/>
              <w:left w:val="single" w:sz="4" w:space="0" w:color="auto"/>
              <w:bottom w:val="single" w:sz="4" w:space="0" w:color="auto"/>
              <w:right w:val="single" w:sz="4" w:space="0" w:color="auto"/>
            </w:tcBorders>
            <w:vAlign w:val="center"/>
            <w:hideMark/>
          </w:tcPr>
          <w:p w14:paraId="7C331D76" w14:textId="77777777" w:rsidR="00342FAF" w:rsidRDefault="00342FAF" w:rsidP="0099733D">
            <w:pPr>
              <w:keepNext/>
              <w:keepLines/>
              <w:rPr>
                <w:b/>
                <w:szCs w:val="22"/>
                <w:lang w:val="en-GB"/>
              </w:rPr>
            </w:pPr>
          </w:p>
        </w:tc>
        <w:tc>
          <w:tcPr>
            <w:tcW w:w="1470" w:type="dxa"/>
            <w:tcBorders>
              <w:top w:val="single" w:sz="4" w:space="0" w:color="auto"/>
              <w:left w:val="single" w:sz="4" w:space="0" w:color="auto"/>
              <w:bottom w:val="single" w:sz="4" w:space="0" w:color="auto"/>
              <w:right w:val="nil"/>
            </w:tcBorders>
            <w:hideMark/>
          </w:tcPr>
          <w:p w14:paraId="7C331D77" w14:textId="77777777" w:rsidR="00342FAF" w:rsidRDefault="00016F29" w:rsidP="0099733D">
            <w:pPr>
              <w:keepNext/>
              <w:keepLines/>
              <w:jc w:val="center"/>
              <w:rPr>
                <w:b/>
                <w:szCs w:val="22"/>
                <w:lang w:val="en-GB"/>
              </w:rPr>
            </w:pPr>
            <w:r>
              <w:rPr>
                <w:b/>
                <w:szCs w:val="22"/>
                <w:lang w:val="en-GB"/>
              </w:rPr>
              <w:t>Observation</w:t>
            </w:r>
            <w:r>
              <w:rPr>
                <w:b/>
                <w:szCs w:val="22"/>
                <w:lang w:val="en-GB"/>
              </w:rPr>
              <w:br/>
              <w:t>N=513</w:t>
            </w:r>
          </w:p>
        </w:tc>
        <w:tc>
          <w:tcPr>
            <w:tcW w:w="1469" w:type="dxa"/>
            <w:tcBorders>
              <w:top w:val="single" w:sz="4" w:space="0" w:color="auto"/>
              <w:left w:val="nil"/>
              <w:bottom w:val="single" w:sz="4" w:space="0" w:color="auto"/>
              <w:right w:val="single" w:sz="4" w:space="0" w:color="auto"/>
            </w:tcBorders>
            <w:hideMark/>
          </w:tcPr>
          <w:p w14:paraId="7C331D78" w14:textId="77777777" w:rsidR="00342FAF" w:rsidRDefault="00016F29" w:rsidP="0099733D">
            <w:pPr>
              <w:keepNext/>
              <w:keepLines/>
              <w:jc w:val="center"/>
              <w:rPr>
                <w:b/>
                <w:szCs w:val="22"/>
                <w:lang w:val="en-GB"/>
              </w:rPr>
            </w:pPr>
            <w:r>
              <w:rPr>
                <w:b/>
                <w:szCs w:val="22"/>
                <w:lang w:val="en-GB"/>
              </w:rPr>
              <w:t>MabThera</w:t>
            </w:r>
            <w:r>
              <w:rPr>
                <w:b/>
                <w:szCs w:val="22"/>
                <w:lang w:val="en-GB"/>
              </w:rPr>
              <w:br/>
              <w:t>N=505</w:t>
            </w:r>
          </w:p>
        </w:tc>
        <w:tc>
          <w:tcPr>
            <w:tcW w:w="1470" w:type="dxa"/>
            <w:tcBorders>
              <w:top w:val="single" w:sz="4" w:space="0" w:color="auto"/>
              <w:left w:val="single" w:sz="4" w:space="0" w:color="auto"/>
              <w:bottom w:val="single" w:sz="4" w:space="0" w:color="auto"/>
              <w:right w:val="nil"/>
            </w:tcBorders>
            <w:hideMark/>
          </w:tcPr>
          <w:p w14:paraId="7C331D79" w14:textId="77777777" w:rsidR="00342FAF" w:rsidRDefault="00016F29" w:rsidP="0099733D">
            <w:pPr>
              <w:keepNext/>
              <w:keepLines/>
              <w:jc w:val="center"/>
              <w:rPr>
                <w:b/>
                <w:szCs w:val="22"/>
                <w:lang w:val="en-GB"/>
              </w:rPr>
            </w:pPr>
            <w:r>
              <w:rPr>
                <w:b/>
                <w:szCs w:val="22"/>
                <w:lang w:val="en-GB"/>
              </w:rPr>
              <w:t>Observation</w:t>
            </w:r>
            <w:r>
              <w:rPr>
                <w:b/>
                <w:szCs w:val="22"/>
                <w:lang w:val="en-GB"/>
              </w:rPr>
              <w:br/>
              <w:t>N=513</w:t>
            </w:r>
          </w:p>
        </w:tc>
        <w:tc>
          <w:tcPr>
            <w:tcW w:w="1466" w:type="dxa"/>
            <w:tcBorders>
              <w:top w:val="single" w:sz="4" w:space="0" w:color="auto"/>
              <w:left w:val="nil"/>
              <w:bottom w:val="single" w:sz="4" w:space="0" w:color="auto"/>
              <w:right w:val="single" w:sz="4" w:space="0" w:color="auto"/>
            </w:tcBorders>
            <w:hideMark/>
          </w:tcPr>
          <w:p w14:paraId="7C331D7A" w14:textId="77777777" w:rsidR="00342FAF" w:rsidRDefault="00016F29" w:rsidP="0099733D">
            <w:pPr>
              <w:keepNext/>
              <w:keepLines/>
              <w:jc w:val="center"/>
              <w:rPr>
                <w:b/>
                <w:szCs w:val="22"/>
                <w:lang w:val="en-GB"/>
              </w:rPr>
            </w:pPr>
            <w:r>
              <w:rPr>
                <w:b/>
                <w:szCs w:val="22"/>
                <w:lang w:val="en-GB"/>
              </w:rPr>
              <w:t>MabThera</w:t>
            </w:r>
            <w:r>
              <w:rPr>
                <w:b/>
                <w:szCs w:val="22"/>
                <w:lang w:val="en-GB"/>
              </w:rPr>
              <w:br/>
              <w:t>N=505</w:t>
            </w:r>
          </w:p>
        </w:tc>
      </w:tr>
      <w:tr w:rsidR="003A788B" w14:paraId="7C331D81" w14:textId="77777777" w:rsidTr="00342FAF">
        <w:tc>
          <w:tcPr>
            <w:tcW w:w="3412" w:type="dxa"/>
            <w:tcBorders>
              <w:top w:val="single" w:sz="4" w:space="0" w:color="auto"/>
              <w:left w:val="single" w:sz="4" w:space="0" w:color="auto"/>
              <w:bottom w:val="nil"/>
              <w:right w:val="single" w:sz="4" w:space="0" w:color="auto"/>
            </w:tcBorders>
            <w:hideMark/>
          </w:tcPr>
          <w:p w14:paraId="7C331D7C" w14:textId="77777777" w:rsidR="00342FAF" w:rsidRDefault="00016F29" w:rsidP="0099733D">
            <w:pPr>
              <w:keepNext/>
              <w:keepLines/>
              <w:rPr>
                <w:b/>
                <w:szCs w:val="22"/>
                <w:lang w:val="en-GB"/>
              </w:rPr>
            </w:pPr>
            <w:r>
              <w:rPr>
                <w:b/>
                <w:szCs w:val="22"/>
                <w:lang w:val="en-GB"/>
              </w:rPr>
              <w:t>Primary efficacy</w:t>
            </w:r>
          </w:p>
        </w:tc>
        <w:tc>
          <w:tcPr>
            <w:tcW w:w="1470" w:type="dxa"/>
            <w:tcBorders>
              <w:top w:val="single" w:sz="4" w:space="0" w:color="auto"/>
              <w:left w:val="single" w:sz="4" w:space="0" w:color="auto"/>
              <w:bottom w:val="nil"/>
              <w:right w:val="nil"/>
            </w:tcBorders>
          </w:tcPr>
          <w:p w14:paraId="7C331D7D" w14:textId="77777777" w:rsidR="00342FAF" w:rsidRDefault="00342FAF" w:rsidP="0099733D">
            <w:pPr>
              <w:keepNext/>
              <w:keepLines/>
              <w:jc w:val="center"/>
              <w:rPr>
                <w:szCs w:val="22"/>
                <w:lang w:val="en-GB"/>
              </w:rPr>
            </w:pPr>
          </w:p>
        </w:tc>
        <w:tc>
          <w:tcPr>
            <w:tcW w:w="1469" w:type="dxa"/>
            <w:tcBorders>
              <w:top w:val="single" w:sz="4" w:space="0" w:color="auto"/>
              <w:left w:val="nil"/>
              <w:bottom w:val="nil"/>
              <w:right w:val="single" w:sz="4" w:space="0" w:color="auto"/>
            </w:tcBorders>
          </w:tcPr>
          <w:p w14:paraId="7C331D7E" w14:textId="77777777" w:rsidR="00342FAF" w:rsidRDefault="00342FAF" w:rsidP="0099733D">
            <w:pPr>
              <w:keepNext/>
              <w:keepLines/>
              <w:jc w:val="center"/>
              <w:rPr>
                <w:szCs w:val="22"/>
                <w:lang w:val="en-GB"/>
              </w:rPr>
            </w:pPr>
          </w:p>
        </w:tc>
        <w:tc>
          <w:tcPr>
            <w:tcW w:w="1470" w:type="dxa"/>
            <w:tcBorders>
              <w:top w:val="single" w:sz="4" w:space="0" w:color="auto"/>
              <w:left w:val="single" w:sz="4" w:space="0" w:color="auto"/>
              <w:bottom w:val="nil"/>
              <w:right w:val="nil"/>
            </w:tcBorders>
          </w:tcPr>
          <w:p w14:paraId="7C331D7F" w14:textId="77777777" w:rsidR="00342FAF" w:rsidRDefault="00342FAF" w:rsidP="0099733D">
            <w:pPr>
              <w:keepNext/>
              <w:keepLines/>
              <w:jc w:val="center"/>
              <w:rPr>
                <w:szCs w:val="22"/>
                <w:lang w:val="en-GB"/>
              </w:rPr>
            </w:pPr>
          </w:p>
        </w:tc>
        <w:tc>
          <w:tcPr>
            <w:tcW w:w="1466" w:type="dxa"/>
            <w:tcBorders>
              <w:top w:val="single" w:sz="4" w:space="0" w:color="auto"/>
              <w:left w:val="nil"/>
              <w:bottom w:val="nil"/>
              <w:right w:val="single" w:sz="4" w:space="0" w:color="auto"/>
            </w:tcBorders>
          </w:tcPr>
          <w:p w14:paraId="7C331D80" w14:textId="77777777" w:rsidR="00342FAF" w:rsidRDefault="00342FAF" w:rsidP="0099733D">
            <w:pPr>
              <w:keepNext/>
              <w:keepLines/>
              <w:jc w:val="center"/>
              <w:rPr>
                <w:szCs w:val="22"/>
                <w:lang w:val="en-GB"/>
              </w:rPr>
            </w:pPr>
          </w:p>
        </w:tc>
      </w:tr>
      <w:tr w:rsidR="003A788B" w14:paraId="7C331D87" w14:textId="77777777" w:rsidTr="00342FAF">
        <w:tc>
          <w:tcPr>
            <w:tcW w:w="3412" w:type="dxa"/>
            <w:tcBorders>
              <w:top w:val="nil"/>
              <w:left w:val="single" w:sz="4" w:space="0" w:color="auto"/>
              <w:bottom w:val="nil"/>
              <w:right w:val="single" w:sz="4" w:space="0" w:color="auto"/>
            </w:tcBorders>
            <w:hideMark/>
          </w:tcPr>
          <w:p w14:paraId="7C331D82" w14:textId="77777777" w:rsidR="00342FAF" w:rsidRDefault="00016F29" w:rsidP="0099733D">
            <w:pPr>
              <w:keepNext/>
              <w:keepLines/>
              <w:rPr>
                <w:szCs w:val="22"/>
                <w:lang w:val="en-GB"/>
              </w:rPr>
            </w:pPr>
            <w:r>
              <w:rPr>
                <w:szCs w:val="22"/>
                <w:lang w:val="en-GB"/>
              </w:rPr>
              <w:t>Progression-free survival (median)</w:t>
            </w:r>
          </w:p>
        </w:tc>
        <w:tc>
          <w:tcPr>
            <w:tcW w:w="1470" w:type="dxa"/>
            <w:tcBorders>
              <w:top w:val="nil"/>
              <w:left w:val="single" w:sz="4" w:space="0" w:color="auto"/>
              <w:bottom w:val="nil"/>
              <w:right w:val="nil"/>
            </w:tcBorders>
            <w:hideMark/>
          </w:tcPr>
          <w:p w14:paraId="7C331D83" w14:textId="77777777" w:rsidR="00342FAF" w:rsidRDefault="00016F29" w:rsidP="0099733D">
            <w:pPr>
              <w:keepNext/>
              <w:keepLines/>
              <w:jc w:val="center"/>
              <w:rPr>
                <w:szCs w:val="22"/>
                <w:lang w:val="en-GB"/>
              </w:rPr>
            </w:pPr>
            <w:r>
              <w:rPr>
                <w:szCs w:val="22"/>
                <w:lang w:val="en-GB"/>
              </w:rPr>
              <w:t>NR</w:t>
            </w:r>
          </w:p>
        </w:tc>
        <w:tc>
          <w:tcPr>
            <w:tcW w:w="1469" w:type="dxa"/>
            <w:tcBorders>
              <w:top w:val="nil"/>
              <w:left w:val="nil"/>
              <w:bottom w:val="nil"/>
              <w:right w:val="single" w:sz="4" w:space="0" w:color="auto"/>
            </w:tcBorders>
            <w:hideMark/>
          </w:tcPr>
          <w:p w14:paraId="7C331D84" w14:textId="77777777" w:rsidR="00342FAF" w:rsidRDefault="00016F29" w:rsidP="0099733D">
            <w:pPr>
              <w:keepNext/>
              <w:keepLines/>
              <w:jc w:val="center"/>
              <w:rPr>
                <w:szCs w:val="22"/>
                <w:lang w:val="en-GB"/>
              </w:rPr>
            </w:pPr>
            <w:r>
              <w:rPr>
                <w:szCs w:val="22"/>
                <w:lang w:val="en-GB"/>
              </w:rPr>
              <w:t>NR</w:t>
            </w:r>
          </w:p>
        </w:tc>
        <w:tc>
          <w:tcPr>
            <w:tcW w:w="1470" w:type="dxa"/>
            <w:tcBorders>
              <w:top w:val="nil"/>
              <w:left w:val="single" w:sz="4" w:space="0" w:color="auto"/>
              <w:bottom w:val="nil"/>
              <w:right w:val="nil"/>
            </w:tcBorders>
            <w:hideMark/>
          </w:tcPr>
          <w:p w14:paraId="7C331D85" w14:textId="77777777" w:rsidR="00342FAF" w:rsidRDefault="00016F29" w:rsidP="0099733D">
            <w:pPr>
              <w:keepNext/>
              <w:keepLines/>
              <w:jc w:val="center"/>
              <w:rPr>
                <w:szCs w:val="22"/>
                <w:lang w:val="en-GB"/>
              </w:rPr>
            </w:pPr>
            <w:r>
              <w:rPr>
                <w:szCs w:val="22"/>
                <w:lang w:val="en-GB"/>
              </w:rPr>
              <w:t>4.06 years</w:t>
            </w:r>
          </w:p>
        </w:tc>
        <w:tc>
          <w:tcPr>
            <w:tcW w:w="1466" w:type="dxa"/>
            <w:tcBorders>
              <w:top w:val="nil"/>
              <w:left w:val="nil"/>
              <w:bottom w:val="nil"/>
              <w:right w:val="single" w:sz="4" w:space="0" w:color="auto"/>
            </w:tcBorders>
            <w:hideMark/>
          </w:tcPr>
          <w:p w14:paraId="7C331D86" w14:textId="77777777" w:rsidR="00342FAF" w:rsidRDefault="00016F29" w:rsidP="0099733D">
            <w:pPr>
              <w:keepNext/>
              <w:keepLines/>
              <w:jc w:val="center"/>
              <w:rPr>
                <w:szCs w:val="22"/>
                <w:lang w:val="en-GB"/>
              </w:rPr>
            </w:pPr>
            <w:r>
              <w:rPr>
                <w:szCs w:val="22"/>
                <w:lang w:val="en-GB"/>
              </w:rPr>
              <w:t>10.49 years</w:t>
            </w:r>
          </w:p>
        </w:tc>
      </w:tr>
      <w:tr w:rsidR="003A788B" w14:paraId="7C331D8B" w14:textId="77777777" w:rsidTr="00342FAF">
        <w:tc>
          <w:tcPr>
            <w:tcW w:w="3412" w:type="dxa"/>
            <w:tcBorders>
              <w:top w:val="nil"/>
              <w:left w:val="single" w:sz="4" w:space="0" w:color="auto"/>
              <w:bottom w:val="nil"/>
              <w:right w:val="single" w:sz="4" w:space="0" w:color="auto"/>
            </w:tcBorders>
            <w:hideMark/>
          </w:tcPr>
          <w:p w14:paraId="7C331D88" w14:textId="77777777" w:rsidR="00342FAF" w:rsidRDefault="00016F29" w:rsidP="0099733D">
            <w:pPr>
              <w:keepNext/>
              <w:keepLines/>
              <w:rPr>
                <w:szCs w:val="22"/>
                <w:lang w:val="en-GB"/>
              </w:rPr>
            </w:pPr>
            <w:r>
              <w:rPr>
                <w:szCs w:val="22"/>
                <w:lang w:val="en-GB"/>
              </w:rPr>
              <w:t>log-rank p value</w:t>
            </w:r>
          </w:p>
        </w:tc>
        <w:tc>
          <w:tcPr>
            <w:tcW w:w="2939" w:type="dxa"/>
            <w:gridSpan w:val="2"/>
            <w:tcBorders>
              <w:top w:val="nil"/>
              <w:left w:val="single" w:sz="4" w:space="0" w:color="auto"/>
              <w:bottom w:val="nil"/>
              <w:right w:val="single" w:sz="4" w:space="0" w:color="auto"/>
            </w:tcBorders>
            <w:hideMark/>
          </w:tcPr>
          <w:p w14:paraId="7C331D89" w14:textId="77777777" w:rsidR="00342FAF" w:rsidRDefault="00016F29" w:rsidP="0099733D">
            <w:pPr>
              <w:keepNext/>
              <w:keepLines/>
              <w:jc w:val="center"/>
              <w:rPr>
                <w:szCs w:val="22"/>
                <w:lang w:val="en-GB"/>
              </w:rPr>
            </w:pPr>
            <w:r>
              <w:rPr>
                <w:szCs w:val="22"/>
                <w:lang w:val="en-GB"/>
              </w:rPr>
              <w:t>&lt;0.0001</w:t>
            </w:r>
          </w:p>
        </w:tc>
        <w:tc>
          <w:tcPr>
            <w:tcW w:w="2936" w:type="dxa"/>
            <w:gridSpan w:val="2"/>
            <w:tcBorders>
              <w:top w:val="nil"/>
              <w:left w:val="single" w:sz="4" w:space="0" w:color="auto"/>
              <w:bottom w:val="nil"/>
              <w:right w:val="single" w:sz="4" w:space="0" w:color="auto"/>
            </w:tcBorders>
            <w:hideMark/>
          </w:tcPr>
          <w:p w14:paraId="7C331D8A" w14:textId="77777777" w:rsidR="00342FAF" w:rsidRDefault="00016F29" w:rsidP="0099733D">
            <w:pPr>
              <w:keepNext/>
              <w:keepLines/>
              <w:jc w:val="center"/>
              <w:rPr>
                <w:szCs w:val="22"/>
                <w:lang w:val="en-GB"/>
              </w:rPr>
            </w:pPr>
            <w:r>
              <w:rPr>
                <w:szCs w:val="22"/>
                <w:lang w:val="en-GB"/>
              </w:rPr>
              <w:t>&lt;0.0001</w:t>
            </w:r>
          </w:p>
        </w:tc>
      </w:tr>
      <w:tr w:rsidR="003A788B" w14:paraId="7C331D92" w14:textId="77777777" w:rsidTr="00342FAF">
        <w:tc>
          <w:tcPr>
            <w:tcW w:w="3412" w:type="dxa"/>
            <w:tcBorders>
              <w:top w:val="nil"/>
              <w:left w:val="single" w:sz="4" w:space="0" w:color="auto"/>
              <w:bottom w:val="single" w:sz="4" w:space="0" w:color="auto"/>
              <w:right w:val="single" w:sz="4" w:space="0" w:color="auto"/>
            </w:tcBorders>
            <w:hideMark/>
          </w:tcPr>
          <w:p w14:paraId="7C331D8C" w14:textId="77777777" w:rsidR="00342FAF" w:rsidRDefault="00016F29" w:rsidP="0099733D">
            <w:pPr>
              <w:keepNext/>
              <w:keepLines/>
              <w:rPr>
                <w:szCs w:val="22"/>
                <w:lang w:val="en-GB"/>
              </w:rPr>
            </w:pPr>
            <w:r>
              <w:rPr>
                <w:szCs w:val="22"/>
                <w:lang w:val="en-GB"/>
              </w:rPr>
              <w:t>hazard ratio (95% CI)</w:t>
            </w:r>
          </w:p>
          <w:p w14:paraId="7C331D8D" w14:textId="77777777" w:rsidR="00342FAF" w:rsidRDefault="00016F29" w:rsidP="0099733D">
            <w:pPr>
              <w:keepNext/>
              <w:keepLines/>
              <w:rPr>
                <w:szCs w:val="22"/>
                <w:lang w:val="en-GB"/>
              </w:rPr>
            </w:pPr>
            <w:r>
              <w:rPr>
                <w:szCs w:val="22"/>
                <w:lang w:val="en-GB"/>
              </w:rPr>
              <w:t>risk reduction</w:t>
            </w:r>
          </w:p>
        </w:tc>
        <w:tc>
          <w:tcPr>
            <w:tcW w:w="2939" w:type="dxa"/>
            <w:gridSpan w:val="2"/>
            <w:tcBorders>
              <w:top w:val="nil"/>
              <w:left w:val="single" w:sz="4" w:space="0" w:color="auto"/>
              <w:bottom w:val="single" w:sz="4" w:space="0" w:color="auto"/>
              <w:right w:val="single" w:sz="4" w:space="0" w:color="auto"/>
            </w:tcBorders>
            <w:hideMark/>
          </w:tcPr>
          <w:p w14:paraId="7C331D8E" w14:textId="77777777" w:rsidR="00342FAF" w:rsidRDefault="00016F29" w:rsidP="0099733D">
            <w:pPr>
              <w:keepNext/>
              <w:keepLines/>
              <w:jc w:val="center"/>
              <w:rPr>
                <w:szCs w:val="22"/>
                <w:lang w:val="en-GB"/>
              </w:rPr>
            </w:pPr>
            <w:r>
              <w:rPr>
                <w:szCs w:val="22"/>
                <w:lang w:val="en-GB"/>
              </w:rPr>
              <w:t>0.50 (0.39, 0.64)</w:t>
            </w:r>
          </w:p>
          <w:p w14:paraId="7C331D8F" w14:textId="77777777" w:rsidR="00342FAF" w:rsidRDefault="00016F29" w:rsidP="0099733D">
            <w:pPr>
              <w:keepNext/>
              <w:keepLines/>
              <w:jc w:val="center"/>
              <w:rPr>
                <w:szCs w:val="22"/>
                <w:lang w:val="en-GB"/>
              </w:rPr>
            </w:pPr>
            <w:r>
              <w:rPr>
                <w:szCs w:val="22"/>
                <w:lang w:val="en-GB"/>
              </w:rPr>
              <w:t>50%</w:t>
            </w:r>
          </w:p>
        </w:tc>
        <w:tc>
          <w:tcPr>
            <w:tcW w:w="2936" w:type="dxa"/>
            <w:gridSpan w:val="2"/>
            <w:tcBorders>
              <w:top w:val="nil"/>
              <w:left w:val="single" w:sz="4" w:space="0" w:color="auto"/>
              <w:bottom w:val="single" w:sz="4" w:space="0" w:color="auto"/>
              <w:right w:val="single" w:sz="4" w:space="0" w:color="auto"/>
            </w:tcBorders>
            <w:hideMark/>
          </w:tcPr>
          <w:p w14:paraId="7C331D90" w14:textId="77777777" w:rsidR="00342FAF" w:rsidRDefault="00016F29" w:rsidP="0099733D">
            <w:pPr>
              <w:keepNext/>
              <w:keepLines/>
              <w:jc w:val="center"/>
              <w:rPr>
                <w:szCs w:val="22"/>
                <w:lang w:val="en-GB"/>
              </w:rPr>
            </w:pPr>
            <w:r>
              <w:rPr>
                <w:szCs w:val="22"/>
                <w:lang w:val="en-GB"/>
              </w:rPr>
              <w:t>0.61 (0.52, 0.73)</w:t>
            </w:r>
          </w:p>
          <w:p w14:paraId="7C331D91" w14:textId="77777777" w:rsidR="00342FAF" w:rsidRDefault="00016F29" w:rsidP="0099733D">
            <w:pPr>
              <w:keepNext/>
              <w:keepLines/>
              <w:jc w:val="center"/>
              <w:rPr>
                <w:szCs w:val="22"/>
                <w:lang w:val="en-GB"/>
              </w:rPr>
            </w:pPr>
            <w:r>
              <w:rPr>
                <w:szCs w:val="22"/>
                <w:lang w:val="en-GB"/>
              </w:rPr>
              <w:t>39%</w:t>
            </w:r>
          </w:p>
        </w:tc>
      </w:tr>
      <w:tr w:rsidR="003A788B" w14:paraId="7C331D98" w14:textId="77777777" w:rsidTr="00342FAF">
        <w:tc>
          <w:tcPr>
            <w:tcW w:w="3412" w:type="dxa"/>
            <w:tcBorders>
              <w:top w:val="single" w:sz="4" w:space="0" w:color="auto"/>
              <w:left w:val="single" w:sz="4" w:space="0" w:color="auto"/>
              <w:bottom w:val="nil"/>
              <w:right w:val="single" w:sz="4" w:space="0" w:color="auto"/>
            </w:tcBorders>
            <w:hideMark/>
          </w:tcPr>
          <w:p w14:paraId="7C331D93" w14:textId="77777777" w:rsidR="00342FAF" w:rsidRDefault="00016F29" w:rsidP="0099733D">
            <w:pPr>
              <w:keepNext/>
              <w:keepLines/>
              <w:rPr>
                <w:b/>
                <w:szCs w:val="22"/>
                <w:lang w:val="en-GB"/>
              </w:rPr>
            </w:pPr>
            <w:r>
              <w:rPr>
                <w:b/>
                <w:szCs w:val="22"/>
                <w:lang w:val="en-GB"/>
              </w:rPr>
              <w:t>Secondary efficacy</w:t>
            </w:r>
          </w:p>
        </w:tc>
        <w:tc>
          <w:tcPr>
            <w:tcW w:w="1470" w:type="dxa"/>
            <w:tcBorders>
              <w:top w:val="single" w:sz="4" w:space="0" w:color="auto"/>
              <w:left w:val="single" w:sz="4" w:space="0" w:color="auto"/>
              <w:bottom w:val="nil"/>
              <w:right w:val="nil"/>
            </w:tcBorders>
          </w:tcPr>
          <w:p w14:paraId="7C331D94" w14:textId="77777777" w:rsidR="00342FAF" w:rsidRDefault="00342FAF" w:rsidP="0099733D">
            <w:pPr>
              <w:keepNext/>
              <w:keepLines/>
              <w:jc w:val="center"/>
              <w:rPr>
                <w:szCs w:val="22"/>
                <w:lang w:val="en-GB"/>
              </w:rPr>
            </w:pPr>
          </w:p>
        </w:tc>
        <w:tc>
          <w:tcPr>
            <w:tcW w:w="1469" w:type="dxa"/>
            <w:tcBorders>
              <w:top w:val="single" w:sz="4" w:space="0" w:color="auto"/>
              <w:left w:val="nil"/>
              <w:bottom w:val="nil"/>
              <w:right w:val="single" w:sz="4" w:space="0" w:color="auto"/>
            </w:tcBorders>
          </w:tcPr>
          <w:p w14:paraId="7C331D95" w14:textId="77777777" w:rsidR="00342FAF" w:rsidRDefault="00342FAF" w:rsidP="0099733D">
            <w:pPr>
              <w:keepNext/>
              <w:keepLines/>
              <w:jc w:val="center"/>
              <w:rPr>
                <w:szCs w:val="22"/>
                <w:lang w:val="en-GB"/>
              </w:rPr>
            </w:pPr>
          </w:p>
        </w:tc>
        <w:tc>
          <w:tcPr>
            <w:tcW w:w="1470" w:type="dxa"/>
            <w:tcBorders>
              <w:top w:val="single" w:sz="4" w:space="0" w:color="auto"/>
              <w:left w:val="single" w:sz="4" w:space="0" w:color="auto"/>
              <w:bottom w:val="nil"/>
              <w:right w:val="nil"/>
            </w:tcBorders>
          </w:tcPr>
          <w:p w14:paraId="7C331D96" w14:textId="77777777" w:rsidR="00342FAF" w:rsidRDefault="00342FAF" w:rsidP="0099733D">
            <w:pPr>
              <w:keepNext/>
              <w:keepLines/>
              <w:jc w:val="center"/>
              <w:rPr>
                <w:szCs w:val="22"/>
                <w:lang w:val="en-GB"/>
              </w:rPr>
            </w:pPr>
          </w:p>
        </w:tc>
        <w:tc>
          <w:tcPr>
            <w:tcW w:w="1466" w:type="dxa"/>
            <w:tcBorders>
              <w:top w:val="single" w:sz="4" w:space="0" w:color="auto"/>
              <w:left w:val="nil"/>
              <w:bottom w:val="nil"/>
              <w:right w:val="single" w:sz="4" w:space="0" w:color="auto"/>
            </w:tcBorders>
          </w:tcPr>
          <w:p w14:paraId="7C331D97" w14:textId="77777777" w:rsidR="00342FAF" w:rsidRDefault="00342FAF" w:rsidP="0099733D">
            <w:pPr>
              <w:keepNext/>
              <w:keepLines/>
              <w:jc w:val="center"/>
              <w:rPr>
                <w:szCs w:val="22"/>
                <w:lang w:val="en-GB"/>
              </w:rPr>
            </w:pPr>
          </w:p>
        </w:tc>
      </w:tr>
      <w:tr w:rsidR="003A788B" w14:paraId="7C331D9E" w14:textId="77777777" w:rsidTr="00342FAF">
        <w:tc>
          <w:tcPr>
            <w:tcW w:w="3412" w:type="dxa"/>
            <w:tcBorders>
              <w:top w:val="nil"/>
              <w:left w:val="single" w:sz="4" w:space="0" w:color="auto"/>
              <w:bottom w:val="nil"/>
              <w:right w:val="single" w:sz="4" w:space="0" w:color="auto"/>
            </w:tcBorders>
            <w:hideMark/>
          </w:tcPr>
          <w:p w14:paraId="7C331D99" w14:textId="77777777" w:rsidR="00342FAF" w:rsidRDefault="00016F29" w:rsidP="0099733D">
            <w:pPr>
              <w:keepNext/>
              <w:keepLines/>
              <w:rPr>
                <w:szCs w:val="22"/>
                <w:lang w:val="en-GB"/>
              </w:rPr>
            </w:pPr>
            <w:r>
              <w:rPr>
                <w:szCs w:val="22"/>
                <w:lang w:val="en-GB"/>
              </w:rPr>
              <w:t>Overall survival (median)</w:t>
            </w:r>
          </w:p>
        </w:tc>
        <w:tc>
          <w:tcPr>
            <w:tcW w:w="1470" w:type="dxa"/>
            <w:tcBorders>
              <w:top w:val="nil"/>
              <w:left w:val="single" w:sz="4" w:space="0" w:color="auto"/>
              <w:bottom w:val="nil"/>
              <w:right w:val="nil"/>
            </w:tcBorders>
            <w:hideMark/>
          </w:tcPr>
          <w:p w14:paraId="7C331D9A" w14:textId="77777777" w:rsidR="00342FAF" w:rsidRDefault="00016F29" w:rsidP="0099733D">
            <w:pPr>
              <w:keepNext/>
              <w:keepLines/>
              <w:jc w:val="center"/>
              <w:rPr>
                <w:szCs w:val="22"/>
                <w:lang w:val="en-GB"/>
              </w:rPr>
            </w:pPr>
            <w:r>
              <w:rPr>
                <w:szCs w:val="22"/>
                <w:lang w:val="en-GB"/>
              </w:rPr>
              <w:t>NR</w:t>
            </w:r>
          </w:p>
        </w:tc>
        <w:tc>
          <w:tcPr>
            <w:tcW w:w="1469" w:type="dxa"/>
            <w:tcBorders>
              <w:top w:val="nil"/>
              <w:left w:val="nil"/>
              <w:bottom w:val="nil"/>
              <w:right w:val="single" w:sz="4" w:space="0" w:color="auto"/>
            </w:tcBorders>
            <w:hideMark/>
          </w:tcPr>
          <w:p w14:paraId="7C331D9B" w14:textId="77777777" w:rsidR="00342FAF" w:rsidRDefault="00016F29" w:rsidP="0099733D">
            <w:pPr>
              <w:keepNext/>
              <w:keepLines/>
              <w:jc w:val="center"/>
              <w:rPr>
                <w:szCs w:val="22"/>
                <w:lang w:val="en-GB"/>
              </w:rPr>
            </w:pPr>
            <w:r>
              <w:rPr>
                <w:szCs w:val="22"/>
                <w:lang w:val="en-GB"/>
              </w:rPr>
              <w:t>NR</w:t>
            </w:r>
          </w:p>
        </w:tc>
        <w:tc>
          <w:tcPr>
            <w:tcW w:w="1470" w:type="dxa"/>
            <w:tcBorders>
              <w:top w:val="nil"/>
              <w:left w:val="single" w:sz="4" w:space="0" w:color="auto"/>
              <w:bottom w:val="nil"/>
              <w:right w:val="nil"/>
            </w:tcBorders>
            <w:hideMark/>
          </w:tcPr>
          <w:p w14:paraId="7C331D9C" w14:textId="77777777" w:rsidR="00342FAF" w:rsidRDefault="00016F29" w:rsidP="0099733D">
            <w:pPr>
              <w:keepNext/>
              <w:keepLines/>
              <w:jc w:val="center"/>
              <w:rPr>
                <w:szCs w:val="22"/>
                <w:lang w:val="en-GB"/>
              </w:rPr>
            </w:pPr>
            <w:r>
              <w:rPr>
                <w:szCs w:val="22"/>
                <w:lang w:val="en-GB"/>
              </w:rPr>
              <w:t>NR</w:t>
            </w:r>
          </w:p>
        </w:tc>
        <w:tc>
          <w:tcPr>
            <w:tcW w:w="1466" w:type="dxa"/>
            <w:tcBorders>
              <w:top w:val="nil"/>
              <w:left w:val="nil"/>
              <w:bottom w:val="nil"/>
              <w:right w:val="single" w:sz="4" w:space="0" w:color="auto"/>
            </w:tcBorders>
            <w:hideMark/>
          </w:tcPr>
          <w:p w14:paraId="7C331D9D" w14:textId="77777777" w:rsidR="00342FAF" w:rsidRDefault="00016F29" w:rsidP="0099733D">
            <w:pPr>
              <w:keepNext/>
              <w:keepLines/>
              <w:jc w:val="center"/>
              <w:rPr>
                <w:szCs w:val="22"/>
                <w:lang w:val="en-GB"/>
              </w:rPr>
            </w:pPr>
            <w:r>
              <w:rPr>
                <w:szCs w:val="22"/>
                <w:lang w:val="en-GB"/>
              </w:rPr>
              <w:t>NR</w:t>
            </w:r>
          </w:p>
        </w:tc>
      </w:tr>
      <w:tr w:rsidR="003A788B" w14:paraId="7C331DA2" w14:textId="77777777" w:rsidTr="00342FAF">
        <w:tc>
          <w:tcPr>
            <w:tcW w:w="3412" w:type="dxa"/>
            <w:tcBorders>
              <w:top w:val="nil"/>
              <w:left w:val="single" w:sz="4" w:space="0" w:color="auto"/>
              <w:bottom w:val="nil"/>
              <w:right w:val="single" w:sz="4" w:space="0" w:color="auto"/>
            </w:tcBorders>
            <w:hideMark/>
          </w:tcPr>
          <w:p w14:paraId="7C331D9F" w14:textId="77777777" w:rsidR="00342FAF" w:rsidRDefault="00016F29" w:rsidP="0099733D">
            <w:pPr>
              <w:keepNext/>
              <w:keepLines/>
              <w:rPr>
                <w:szCs w:val="22"/>
                <w:lang w:val="en-GB"/>
              </w:rPr>
            </w:pPr>
            <w:r>
              <w:rPr>
                <w:szCs w:val="22"/>
                <w:lang w:val="en-GB"/>
              </w:rPr>
              <w:t>log-rank p value</w:t>
            </w:r>
          </w:p>
        </w:tc>
        <w:tc>
          <w:tcPr>
            <w:tcW w:w="2939" w:type="dxa"/>
            <w:gridSpan w:val="2"/>
            <w:tcBorders>
              <w:top w:val="nil"/>
              <w:left w:val="single" w:sz="4" w:space="0" w:color="auto"/>
              <w:bottom w:val="nil"/>
              <w:right w:val="single" w:sz="4" w:space="0" w:color="auto"/>
            </w:tcBorders>
            <w:hideMark/>
          </w:tcPr>
          <w:p w14:paraId="7C331DA0" w14:textId="77777777" w:rsidR="00342FAF" w:rsidRDefault="00016F29" w:rsidP="0099733D">
            <w:pPr>
              <w:keepNext/>
              <w:keepLines/>
              <w:jc w:val="center"/>
              <w:rPr>
                <w:szCs w:val="22"/>
                <w:lang w:val="en-GB"/>
              </w:rPr>
            </w:pPr>
            <w:r>
              <w:rPr>
                <w:szCs w:val="22"/>
                <w:lang w:val="en-GB"/>
              </w:rPr>
              <w:t>0.7246</w:t>
            </w:r>
          </w:p>
        </w:tc>
        <w:tc>
          <w:tcPr>
            <w:tcW w:w="2936" w:type="dxa"/>
            <w:gridSpan w:val="2"/>
            <w:tcBorders>
              <w:top w:val="nil"/>
              <w:left w:val="single" w:sz="4" w:space="0" w:color="auto"/>
              <w:bottom w:val="nil"/>
              <w:right w:val="single" w:sz="4" w:space="0" w:color="auto"/>
            </w:tcBorders>
            <w:hideMark/>
          </w:tcPr>
          <w:p w14:paraId="7C331DA1" w14:textId="77777777" w:rsidR="00342FAF" w:rsidRDefault="00016F29" w:rsidP="0099733D">
            <w:pPr>
              <w:keepNext/>
              <w:keepLines/>
              <w:jc w:val="center"/>
              <w:rPr>
                <w:szCs w:val="22"/>
                <w:lang w:val="en-GB"/>
              </w:rPr>
            </w:pPr>
            <w:r>
              <w:rPr>
                <w:szCs w:val="22"/>
                <w:lang w:val="en-GB"/>
              </w:rPr>
              <w:t>0.7948</w:t>
            </w:r>
          </w:p>
        </w:tc>
      </w:tr>
      <w:tr w:rsidR="003A788B" w14:paraId="7C331DA9" w14:textId="77777777" w:rsidTr="00342FAF">
        <w:tc>
          <w:tcPr>
            <w:tcW w:w="3412" w:type="dxa"/>
            <w:tcBorders>
              <w:top w:val="nil"/>
              <w:left w:val="single" w:sz="4" w:space="0" w:color="auto"/>
              <w:bottom w:val="single" w:sz="4" w:space="0" w:color="auto"/>
              <w:right w:val="single" w:sz="4" w:space="0" w:color="auto"/>
            </w:tcBorders>
            <w:hideMark/>
          </w:tcPr>
          <w:p w14:paraId="7C331DA3" w14:textId="77777777" w:rsidR="00342FAF" w:rsidRDefault="00016F29" w:rsidP="0099733D">
            <w:pPr>
              <w:keepNext/>
              <w:keepLines/>
              <w:rPr>
                <w:szCs w:val="22"/>
                <w:lang w:val="en-GB"/>
              </w:rPr>
            </w:pPr>
            <w:r>
              <w:rPr>
                <w:szCs w:val="22"/>
                <w:lang w:val="en-GB"/>
              </w:rPr>
              <w:t>hazard ratio (95% CI)</w:t>
            </w:r>
          </w:p>
          <w:p w14:paraId="7C331DA4" w14:textId="77777777" w:rsidR="00342FAF" w:rsidRDefault="00016F29" w:rsidP="0099733D">
            <w:pPr>
              <w:keepNext/>
              <w:keepLines/>
              <w:rPr>
                <w:szCs w:val="22"/>
                <w:lang w:val="en-GB"/>
              </w:rPr>
            </w:pPr>
            <w:r>
              <w:rPr>
                <w:szCs w:val="22"/>
                <w:lang w:val="en-GB"/>
              </w:rPr>
              <w:t>risk reduction</w:t>
            </w:r>
          </w:p>
        </w:tc>
        <w:tc>
          <w:tcPr>
            <w:tcW w:w="2939" w:type="dxa"/>
            <w:gridSpan w:val="2"/>
            <w:tcBorders>
              <w:top w:val="nil"/>
              <w:left w:val="single" w:sz="4" w:space="0" w:color="auto"/>
              <w:bottom w:val="single" w:sz="4" w:space="0" w:color="auto"/>
              <w:right w:val="single" w:sz="4" w:space="0" w:color="auto"/>
            </w:tcBorders>
            <w:hideMark/>
          </w:tcPr>
          <w:p w14:paraId="7C331DA5" w14:textId="77777777" w:rsidR="00342FAF" w:rsidRDefault="00016F29" w:rsidP="0099733D">
            <w:pPr>
              <w:keepNext/>
              <w:keepLines/>
              <w:jc w:val="center"/>
              <w:rPr>
                <w:szCs w:val="22"/>
                <w:lang w:val="en-GB"/>
              </w:rPr>
            </w:pPr>
            <w:r>
              <w:rPr>
                <w:szCs w:val="22"/>
                <w:lang w:val="en-GB"/>
              </w:rPr>
              <w:t>0.89 (0.45, 1.74)</w:t>
            </w:r>
          </w:p>
          <w:p w14:paraId="7C331DA6" w14:textId="77777777" w:rsidR="00342FAF" w:rsidRDefault="00016F29" w:rsidP="0099733D">
            <w:pPr>
              <w:keepNext/>
              <w:keepLines/>
              <w:jc w:val="center"/>
              <w:rPr>
                <w:szCs w:val="22"/>
                <w:lang w:val="en-GB"/>
              </w:rPr>
            </w:pPr>
            <w:r>
              <w:rPr>
                <w:szCs w:val="22"/>
                <w:lang w:val="en-GB"/>
              </w:rPr>
              <w:t>11%</w:t>
            </w:r>
          </w:p>
        </w:tc>
        <w:tc>
          <w:tcPr>
            <w:tcW w:w="2936" w:type="dxa"/>
            <w:gridSpan w:val="2"/>
            <w:tcBorders>
              <w:top w:val="nil"/>
              <w:left w:val="single" w:sz="4" w:space="0" w:color="auto"/>
              <w:bottom w:val="single" w:sz="4" w:space="0" w:color="auto"/>
              <w:right w:val="single" w:sz="4" w:space="0" w:color="auto"/>
            </w:tcBorders>
            <w:hideMark/>
          </w:tcPr>
          <w:p w14:paraId="7C331DA7" w14:textId="77777777" w:rsidR="00342FAF" w:rsidRDefault="00016F29" w:rsidP="0099733D">
            <w:pPr>
              <w:keepNext/>
              <w:keepLines/>
              <w:jc w:val="center"/>
              <w:rPr>
                <w:szCs w:val="22"/>
                <w:lang w:val="en-GB"/>
              </w:rPr>
            </w:pPr>
            <w:r>
              <w:rPr>
                <w:szCs w:val="22"/>
                <w:lang w:val="en-GB"/>
              </w:rPr>
              <w:t>1.04 (0.77, 1.40)</w:t>
            </w:r>
          </w:p>
          <w:p w14:paraId="7C331DA8" w14:textId="77777777" w:rsidR="00342FAF" w:rsidRDefault="00016F29" w:rsidP="0099733D">
            <w:pPr>
              <w:keepNext/>
              <w:keepLines/>
              <w:jc w:val="center"/>
              <w:rPr>
                <w:szCs w:val="22"/>
                <w:lang w:val="en-GB"/>
              </w:rPr>
            </w:pPr>
            <w:r>
              <w:rPr>
                <w:szCs w:val="22"/>
                <w:lang w:val="en-GB"/>
              </w:rPr>
              <w:t>-6%</w:t>
            </w:r>
          </w:p>
        </w:tc>
      </w:tr>
      <w:tr w:rsidR="003A788B" w14:paraId="7C331DAF" w14:textId="77777777" w:rsidTr="00342FAF">
        <w:tc>
          <w:tcPr>
            <w:tcW w:w="3412" w:type="dxa"/>
            <w:tcBorders>
              <w:top w:val="nil"/>
              <w:left w:val="single" w:sz="4" w:space="0" w:color="auto"/>
              <w:bottom w:val="nil"/>
              <w:right w:val="single" w:sz="4" w:space="0" w:color="auto"/>
            </w:tcBorders>
            <w:hideMark/>
          </w:tcPr>
          <w:p w14:paraId="7C331DAA" w14:textId="77777777" w:rsidR="00342FAF" w:rsidRDefault="00016F29" w:rsidP="0099733D">
            <w:pPr>
              <w:keepNext/>
              <w:keepLines/>
              <w:rPr>
                <w:szCs w:val="22"/>
                <w:lang w:val="en-GB"/>
              </w:rPr>
            </w:pPr>
            <w:r>
              <w:rPr>
                <w:szCs w:val="22"/>
                <w:lang w:val="en-GB"/>
              </w:rPr>
              <w:t>Event-free survival (median)</w:t>
            </w:r>
          </w:p>
        </w:tc>
        <w:tc>
          <w:tcPr>
            <w:tcW w:w="1470" w:type="dxa"/>
            <w:tcBorders>
              <w:top w:val="nil"/>
              <w:left w:val="single" w:sz="4" w:space="0" w:color="auto"/>
              <w:bottom w:val="nil"/>
              <w:right w:val="nil"/>
            </w:tcBorders>
            <w:hideMark/>
          </w:tcPr>
          <w:p w14:paraId="7C331DAB" w14:textId="77777777" w:rsidR="00342FAF" w:rsidRDefault="00016F29" w:rsidP="0099733D">
            <w:pPr>
              <w:keepNext/>
              <w:keepLines/>
              <w:jc w:val="center"/>
              <w:rPr>
                <w:szCs w:val="22"/>
                <w:lang w:val="en-GB"/>
              </w:rPr>
            </w:pPr>
            <w:r>
              <w:rPr>
                <w:szCs w:val="22"/>
                <w:lang w:val="en-GB"/>
              </w:rPr>
              <w:t>38 months</w:t>
            </w:r>
          </w:p>
        </w:tc>
        <w:tc>
          <w:tcPr>
            <w:tcW w:w="1469" w:type="dxa"/>
            <w:tcBorders>
              <w:top w:val="nil"/>
              <w:left w:val="nil"/>
              <w:bottom w:val="nil"/>
              <w:right w:val="single" w:sz="4" w:space="0" w:color="auto"/>
            </w:tcBorders>
            <w:hideMark/>
          </w:tcPr>
          <w:p w14:paraId="7C331DAC" w14:textId="77777777" w:rsidR="00342FAF" w:rsidRDefault="00016F29" w:rsidP="0099733D">
            <w:pPr>
              <w:keepNext/>
              <w:keepLines/>
              <w:jc w:val="center"/>
              <w:rPr>
                <w:szCs w:val="22"/>
                <w:lang w:val="en-GB"/>
              </w:rPr>
            </w:pPr>
            <w:r>
              <w:rPr>
                <w:szCs w:val="22"/>
                <w:lang w:val="en-GB"/>
              </w:rPr>
              <w:t>NR</w:t>
            </w:r>
          </w:p>
        </w:tc>
        <w:tc>
          <w:tcPr>
            <w:tcW w:w="1470" w:type="dxa"/>
            <w:tcBorders>
              <w:top w:val="nil"/>
              <w:left w:val="single" w:sz="4" w:space="0" w:color="auto"/>
              <w:bottom w:val="nil"/>
              <w:right w:val="nil"/>
            </w:tcBorders>
            <w:hideMark/>
          </w:tcPr>
          <w:p w14:paraId="7C331DAD" w14:textId="77777777" w:rsidR="00342FAF" w:rsidRDefault="00016F29" w:rsidP="0099733D">
            <w:pPr>
              <w:keepNext/>
              <w:keepLines/>
              <w:jc w:val="center"/>
              <w:rPr>
                <w:szCs w:val="22"/>
                <w:lang w:val="en-GB"/>
              </w:rPr>
            </w:pPr>
            <w:r>
              <w:rPr>
                <w:szCs w:val="22"/>
                <w:lang w:val="en-GB"/>
              </w:rPr>
              <w:t>4.04 years</w:t>
            </w:r>
          </w:p>
        </w:tc>
        <w:tc>
          <w:tcPr>
            <w:tcW w:w="1466" w:type="dxa"/>
            <w:tcBorders>
              <w:top w:val="nil"/>
              <w:left w:val="nil"/>
              <w:bottom w:val="nil"/>
              <w:right w:val="single" w:sz="4" w:space="0" w:color="auto"/>
            </w:tcBorders>
            <w:hideMark/>
          </w:tcPr>
          <w:p w14:paraId="7C331DAE" w14:textId="77777777" w:rsidR="00342FAF" w:rsidRDefault="00016F29" w:rsidP="0099733D">
            <w:pPr>
              <w:keepNext/>
              <w:keepLines/>
              <w:jc w:val="center"/>
              <w:rPr>
                <w:szCs w:val="22"/>
                <w:lang w:val="en-GB"/>
              </w:rPr>
            </w:pPr>
            <w:r>
              <w:rPr>
                <w:szCs w:val="22"/>
                <w:lang w:val="en-GB"/>
              </w:rPr>
              <w:t>9.25 years</w:t>
            </w:r>
          </w:p>
        </w:tc>
      </w:tr>
      <w:tr w:rsidR="003A788B" w14:paraId="7C331DB3" w14:textId="77777777" w:rsidTr="00342FAF">
        <w:tc>
          <w:tcPr>
            <w:tcW w:w="3412" w:type="dxa"/>
            <w:tcBorders>
              <w:top w:val="nil"/>
              <w:left w:val="single" w:sz="4" w:space="0" w:color="auto"/>
              <w:bottom w:val="nil"/>
              <w:right w:val="single" w:sz="4" w:space="0" w:color="auto"/>
            </w:tcBorders>
            <w:hideMark/>
          </w:tcPr>
          <w:p w14:paraId="7C331DB0" w14:textId="77777777" w:rsidR="00342FAF" w:rsidRDefault="00016F29" w:rsidP="0099733D">
            <w:pPr>
              <w:keepNext/>
              <w:keepLines/>
              <w:rPr>
                <w:szCs w:val="22"/>
                <w:lang w:val="en-GB"/>
              </w:rPr>
            </w:pPr>
            <w:r>
              <w:rPr>
                <w:szCs w:val="22"/>
                <w:lang w:val="en-GB"/>
              </w:rPr>
              <w:t>log-rank p value</w:t>
            </w:r>
          </w:p>
        </w:tc>
        <w:tc>
          <w:tcPr>
            <w:tcW w:w="2939" w:type="dxa"/>
            <w:gridSpan w:val="2"/>
            <w:tcBorders>
              <w:top w:val="nil"/>
              <w:left w:val="single" w:sz="4" w:space="0" w:color="auto"/>
              <w:bottom w:val="nil"/>
              <w:right w:val="single" w:sz="4" w:space="0" w:color="auto"/>
            </w:tcBorders>
            <w:hideMark/>
          </w:tcPr>
          <w:p w14:paraId="7C331DB1" w14:textId="77777777" w:rsidR="00342FAF" w:rsidRDefault="00016F29" w:rsidP="0099733D">
            <w:pPr>
              <w:keepNext/>
              <w:keepLines/>
              <w:jc w:val="center"/>
              <w:rPr>
                <w:szCs w:val="22"/>
                <w:lang w:val="en-GB"/>
              </w:rPr>
            </w:pPr>
            <w:r>
              <w:rPr>
                <w:szCs w:val="22"/>
                <w:lang w:val="en-GB"/>
              </w:rPr>
              <w:t>&lt;0.0001</w:t>
            </w:r>
          </w:p>
        </w:tc>
        <w:tc>
          <w:tcPr>
            <w:tcW w:w="2936" w:type="dxa"/>
            <w:gridSpan w:val="2"/>
            <w:tcBorders>
              <w:top w:val="nil"/>
              <w:left w:val="single" w:sz="4" w:space="0" w:color="auto"/>
              <w:bottom w:val="nil"/>
              <w:right w:val="single" w:sz="4" w:space="0" w:color="auto"/>
            </w:tcBorders>
            <w:hideMark/>
          </w:tcPr>
          <w:p w14:paraId="7C331DB2" w14:textId="77777777" w:rsidR="00342FAF" w:rsidRDefault="00016F29" w:rsidP="0099733D">
            <w:pPr>
              <w:keepNext/>
              <w:keepLines/>
              <w:jc w:val="center"/>
              <w:rPr>
                <w:szCs w:val="22"/>
                <w:lang w:val="en-GB"/>
              </w:rPr>
            </w:pPr>
            <w:r>
              <w:rPr>
                <w:szCs w:val="22"/>
                <w:lang w:val="en-GB"/>
              </w:rPr>
              <w:t>&lt;0.0001</w:t>
            </w:r>
          </w:p>
        </w:tc>
      </w:tr>
      <w:tr w:rsidR="003A788B" w14:paraId="7C331DBA" w14:textId="77777777" w:rsidTr="00342FAF">
        <w:tc>
          <w:tcPr>
            <w:tcW w:w="3412" w:type="dxa"/>
            <w:tcBorders>
              <w:top w:val="nil"/>
              <w:left w:val="single" w:sz="4" w:space="0" w:color="auto"/>
              <w:bottom w:val="single" w:sz="4" w:space="0" w:color="auto"/>
              <w:right w:val="single" w:sz="4" w:space="0" w:color="auto"/>
            </w:tcBorders>
            <w:hideMark/>
          </w:tcPr>
          <w:p w14:paraId="7C331DB4" w14:textId="77777777" w:rsidR="00342FAF" w:rsidRDefault="00016F29" w:rsidP="0099733D">
            <w:pPr>
              <w:keepNext/>
              <w:keepLines/>
              <w:rPr>
                <w:szCs w:val="22"/>
                <w:lang w:val="en-GB"/>
              </w:rPr>
            </w:pPr>
            <w:r>
              <w:rPr>
                <w:szCs w:val="22"/>
                <w:lang w:val="en-GB"/>
              </w:rPr>
              <w:t>hazard ratio (95% CI)</w:t>
            </w:r>
          </w:p>
          <w:p w14:paraId="7C331DB5" w14:textId="77777777" w:rsidR="00342FAF" w:rsidRDefault="00016F29" w:rsidP="0099733D">
            <w:pPr>
              <w:keepNext/>
              <w:keepLines/>
              <w:rPr>
                <w:szCs w:val="22"/>
                <w:lang w:val="en-GB"/>
              </w:rPr>
            </w:pPr>
            <w:r>
              <w:rPr>
                <w:szCs w:val="22"/>
                <w:lang w:val="en-GB"/>
              </w:rPr>
              <w:t xml:space="preserve">risk reduction </w:t>
            </w:r>
          </w:p>
        </w:tc>
        <w:tc>
          <w:tcPr>
            <w:tcW w:w="2939" w:type="dxa"/>
            <w:gridSpan w:val="2"/>
            <w:tcBorders>
              <w:top w:val="nil"/>
              <w:left w:val="single" w:sz="4" w:space="0" w:color="auto"/>
              <w:bottom w:val="single" w:sz="4" w:space="0" w:color="auto"/>
              <w:right w:val="single" w:sz="4" w:space="0" w:color="auto"/>
            </w:tcBorders>
            <w:hideMark/>
          </w:tcPr>
          <w:p w14:paraId="7C331DB6" w14:textId="77777777" w:rsidR="00342FAF" w:rsidRDefault="00016F29" w:rsidP="0099733D">
            <w:pPr>
              <w:keepNext/>
              <w:keepLines/>
              <w:jc w:val="center"/>
              <w:rPr>
                <w:szCs w:val="22"/>
                <w:lang w:val="en-GB"/>
              </w:rPr>
            </w:pPr>
            <w:r>
              <w:rPr>
                <w:szCs w:val="22"/>
                <w:lang w:val="en-GB"/>
              </w:rPr>
              <w:t>0.54 (0.43, 0.69)</w:t>
            </w:r>
          </w:p>
          <w:p w14:paraId="7C331DB7" w14:textId="77777777" w:rsidR="00342FAF" w:rsidRDefault="00016F29" w:rsidP="0099733D">
            <w:pPr>
              <w:keepNext/>
              <w:keepLines/>
              <w:jc w:val="center"/>
              <w:rPr>
                <w:szCs w:val="22"/>
                <w:lang w:val="en-GB"/>
              </w:rPr>
            </w:pPr>
            <w:r>
              <w:rPr>
                <w:szCs w:val="22"/>
                <w:lang w:val="en-GB"/>
              </w:rPr>
              <w:t>46%</w:t>
            </w:r>
          </w:p>
        </w:tc>
        <w:tc>
          <w:tcPr>
            <w:tcW w:w="2936" w:type="dxa"/>
            <w:gridSpan w:val="2"/>
            <w:tcBorders>
              <w:top w:val="nil"/>
              <w:left w:val="single" w:sz="4" w:space="0" w:color="auto"/>
              <w:bottom w:val="single" w:sz="4" w:space="0" w:color="auto"/>
              <w:right w:val="single" w:sz="4" w:space="0" w:color="auto"/>
            </w:tcBorders>
            <w:hideMark/>
          </w:tcPr>
          <w:p w14:paraId="7C331DB8" w14:textId="77777777" w:rsidR="00342FAF" w:rsidRDefault="00016F29" w:rsidP="0099733D">
            <w:pPr>
              <w:keepNext/>
              <w:keepLines/>
              <w:jc w:val="center"/>
              <w:rPr>
                <w:szCs w:val="22"/>
                <w:lang w:val="en-GB"/>
              </w:rPr>
            </w:pPr>
            <w:r>
              <w:rPr>
                <w:szCs w:val="22"/>
                <w:lang w:val="en-GB"/>
              </w:rPr>
              <w:t>0.64 (0.54, 0.76)</w:t>
            </w:r>
          </w:p>
          <w:p w14:paraId="7C331DB9" w14:textId="77777777" w:rsidR="00342FAF" w:rsidRDefault="00016F29" w:rsidP="0099733D">
            <w:pPr>
              <w:keepNext/>
              <w:keepLines/>
              <w:jc w:val="center"/>
              <w:rPr>
                <w:szCs w:val="22"/>
                <w:lang w:val="en-GB"/>
              </w:rPr>
            </w:pPr>
            <w:r>
              <w:rPr>
                <w:szCs w:val="22"/>
                <w:lang w:val="en-GB"/>
              </w:rPr>
              <w:t>36%</w:t>
            </w:r>
          </w:p>
        </w:tc>
      </w:tr>
      <w:tr w:rsidR="003A788B" w14:paraId="7C331DC0" w14:textId="77777777" w:rsidTr="00342FAF">
        <w:tc>
          <w:tcPr>
            <w:tcW w:w="3412" w:type="dxa"/>
            <w:tcBorders>
              <w:top w:val="nil"/>
              <w:left w:val="single" w:sz="4" w:space="0" w:color="auto"/>
              <w:bottom w:val="nil"/>
              <w:right w:val="single" w:sz="4" w:space="0" w:color="auto"/>
            </w:tcBorders>
            <w:hideMark/>
          </w:tcPr>
          <w:p w14:paraId="7C331DBB" w14:textId="77777777" w:rsidR="00342FAF" w:rsidRDefault="00016F29" w:rsidP="0099733D">
            <w:pPr>
              <w:keepNext/>
              <w:keepLines/>
              <w:rPr>
                <w:szCs w:val="22"/>
                <w:lang w:val="en-GB"/>
              </w:rPr>
            </w:pPr>
            <w:r>
              <w:rPr>
                <w:szCs w:val="22"/>
                <w:lang w:val="en-GB"/>
              </w:rPr>
              <w:t>TNLT (median)</w:t>
            </w:r>
          </w:p>
        </w:tc>
        <w:tc>
          <w:tcPr>
            <w:tcW w:w="1470" w:type="dxa"/>
            <w:tcBorders>
              <w:top w:val="nil"/>
              <w:left w:val="single" w:sz="4" w:space="0" w:color="auto"/>
              <w:bottom w:val="nil"/>
              <w:right w:val="nil"/>
            </w:tcBorders>
            <w:hideMark/>
          </w:tcPr>
          <w:p w14:paraId="7C331DBC" w14:textId="77777777" w:rsidR="00342FAF" w:rsidRDefault="00016F29" w:rsidP="0099733D">
            <w:pPr>
              <w:keepNext/>
              <w:keepLines/>
              <w:jc w:val="center"/>
              <w:rPr>
                <w:szCs w:val="22"/>
                <w:lang w:val="en-GB"/>
              </w:rPr>
            </w:pPr>
            <w:r>
              <w:rPr>
                <w:szCs w:val="22"/>
                <w:lang w:val="en-GB"/>
              </w:rPr>
              <w:t>NR</w:t>
            </w:r>
          </w:p>
        </w:tc>
        <w:tc>
          <w:tcPr>
            <w:tcW w:w="1469" w:type="dxa"/>
            <w:tcBorders>
              <w:top w:val="nil"/>
              <w:left w:val="nil"/>
              <w:bottom w:val="nil"/>
              <w:right w:val="single" w:sz="4" w:space="0" w:color="auto"/>
            </w:tcBorders>
            <w:hideMark/>
          </w:tcPr>
          <w:p w14:paraId="7C331DBD" w14:textId="77777777" w:rsidR="00342FAF" w:rsidRDefault="00016F29" w:rsidP="0099733D">
            <w:pPr>
              <w:keepNext/>
              <w:keepLines/>
              <w:jc w:val="center"/>
              <w:rPr>
                <w:szCs w:val="22"/>
                <w:lang w:val="en-GB"/>
              </w:rPr>
            </w:pPr>
            <w:r>
              <w:rPr>
                <w:szCs w:val="22"/>
                <w:lang w:val="en-GB"/>
              </w:rPr>
              <w:t>NR</w:t>
            </w:r>
          </w:p>
        </w:tc>
        <w:tc>
          <w:tcPr>
            <w:tcW w:w="1470" w:type="dxa"/>
            <w:tcBorders>
              <w:top w:val="nil"/>
              <w:left w:val="single" w:sz="4" w:space="0" w:color="auto"/>
              <w:bottom w:val="nil"/>
              <w:right w:val="nil"/>
            </w:tcBorders>
            <w:hideMark/>
          </w:tcPr>
          <w:p w14:paraId="7C331DBE" w14:textId="77777777" w:rsidR="00342FAF" w:rsidRDefault="00016F29" w:rsidP="0099733D">
            <w:pPr>
              <w:keepNext/>
              <w:keepLines/>
              <w:jc w:val="center"/>
              <w:rPr>
                <w:szCs w:val="22"/>
                <w:lang w:val="en-GB"/>
              </w:rPr>
            </w:pPr>
            <w:r>
              <w:rPr>
                <w:szCs w:val="22"/>
                <w:lang w:val="en-GB"/>
              </w:rPr>
              <w:t>6.11 years</w:t>
            </w:r>
          </w:p>
        </w:tc>
        <w:tc>
          <w:tcPr>
            <w:tcW w:w="1466" w:type="dxa"/>
            <w:tcBorders>
              <w:top w:val="nil"/>
              <w:left w:val="nil"/>
              <w:bottom w:val="nil"/>
              <w:right w:val="single" w:sz="4" w:space="0" w:color="auto"/>
            </w:tcBorders>
            <w:hideMark/>
          </w:tcPr>
          <w:p w14:paraId="7C331DBF" w14:textId="77777777" w:rsidR="00342FAF" w:rsidRDefault="00016F29" w:rsidP="0099733D">
            <w:pPr>
              <w:keepNext/>
              <w:keepLines/>
              <w:jc w:val="center"/>
              <w:rPr>
                <w:szCs w:val="22"/>
                <w:lang w:val="en-GB"/>
              </w:rPr>
            </w:pPr>
            <w:r>
              <w:rPr>
                <w:szCs w:val="22"/>
                <w:lang w:val="en-GB"/>
              </w:rPr>
              <w:t>NR</w:t>
            </w:r>
          </w:p>
        </w:tc>
      </w:tr>
      <w:tr w:rsidR="003A788B" w14:paraId="7C331DC4" w14:textId="77777777" w:rsidTr="00342FAF">
        <w:tc>
          <w:tcPr>
            <w:tcW w:w="3412" w:type="dxa"/>
            <w:tcBorders>
              <w:top w:val="nil"/>
              <w:left w:val="single" w:sz="4" w:space="0" w:color="auto"/>
              <w:bottom w:val="nil"/>
              <w:right w:val="single" w:sz="4" w:space="0" w:color="auto"/>
            </w:tcBorders>
            <w:hideMark/>
          </w:tcPr>
          <w:p w14:paraId="7C331DC1" w14:textId="77777777" w:rsidR="00342FAF" w:rsidRDefault="00016F29" w:rsidP="0099733D">
            <w:pPr>
              <w:keepNext/>
              <w:keepLines/>
              <w:rPr>
                <w:szCs w:val="22"/>
                <w:lang w:val="en-GB"/>
              </w:rPr>
            </w:pPr>
            <w:r>
              <w:rPr>
                <w:szCs w:val="22"/>
                <w:lang w:val="en-GB"/>
              </w:rPr>
              <w:t>log-rank p value</w:t>
            </w:r>
          </w:p>
        </w:tc>
        <w:tc>
          <w:tcPr>
            <w:tcW w:w="2939" w:type="dxa"/>
            <w:gridSpan w:val="2"/>
            <w:tcBorders>
              <w:top w:val="nil"/>
              <w:left w:val="single" w:sz="4" w:space="0" w:color="auto"/>
              <w:bottom w:val="nil"/>
              <w:right w:val="single" w:sz="4" w:space="0" w:color="auto"/>
            </w:tcBorders>
            <w:hideMark/>
          </w:tcPr>
          <w:p w14:paraId="7C331DC2" w14:textId="77777777" w:rsidR="00342FAF" w:rsidRDefault="00016F29" w:rsidP="0099733D">
            <w:pPr>
              <w:keepNext/>
              <w:keepLines/>
              <w:jc w:val="center"/>
              <w:rPr>
                <w:szCs w:val="22"/>
                <w:lang w:val="en-GB"/>
              </w:rPr>
            </w:pPr>
            <w:r>
              <w:rPr>
                <w:szCs w:val="22"/>
                <w:lang w:val="en-GB"/>
              </w:rPr>
              <w:t>0.0003</w:t>
            </w:r>
          </w:p>
        </w:tc>
        <w:tc>
          <w:tcPr>
            <w:tcW w:w="2936" w:type="dxa"/>
            <w:gridSpan w:val="2"/>
            <w:tcBorders>
              <w:top w:val="nil"/>
              <w:left w:val="single" w:sz="4" w:space="0" w:color="auto"/>
              <w:bottom w:val="nil"/>
              <w:right w:val="single" w:sz="4" w:space="0" w:color="auto"/>
            </w:tcBorders>
            <w:hideMark/>
          </w:tcPr>
          <w:p w14:paraId="7C331DC3" w14:textId="77777777" w:rsidR="00342FAF" w:rsidRDefault="00016F29" w:rsidP="0099733D">
            <w:pPr>
              <w:keepNext/>
              <w:keepLines/>
              <w:jc w:val="center"/>
              <w:rPr>
                <w:szCs w:val="22"/>
                <w:lang w:val="en-GB"/>
              </w:rPr>
            </w:pPr>
            <w:r>
              <w:rPr>
                <w:szCs w:val="22"/>
                <w:lang w:val="en-GB"/>
              </w:rPr>
              <w:t>&lt;0.0001</w:t>
            </w:r>
          </w:p>
        </w:tc>
      </w:tr>
      <w:tr w:rsidR="003A788B" w14:paraId="7C331DCB" w14:textId="77777777" w:rsidTr="00342FAF">
        <w:tc>
          <w:tcPr>
            <w:tcW w:w="3412" w:type="dxa"/>
            <w:tcBorders>
              <w:top w:val="nil"/>
              <w:left w:val="single" w:sz="4" w:space="0" w:color="auto"/>
              <w:bottom w:val="single" w:sz="4" w:space="0" w:color="auto"/>
              <w:right w:val="single" w:sz="4" w:space="0" w:color="auto"/>
            </w:tcBorders>
            <w:hideMark/>
          </w:tcPr>
          <w:p w14:paraId="7C331DC5" w14:textId="77777777" w:rsidR="00342FAF" w:rsidRDefault="00016F29" w:rsidP="0099733D">
            <w:pPr>
              <w:keepNext/>
              <w:keepLines/>
              <w:rPr>
                <w:szCs w:val="22"/>
                <w:lang w:val="en-GB"/>
              </w:rPr>
            </w:pPr>
            <w:r>
              <w:rPr>
                <w:szCs w:val="22"/>
                <w:lang w:val="en-GB"/>
              </w:rPr>
              <w:t>hazard ratio (95% CI)</w:t>
            </w:r>
          </w:p>
          <w:p w14:paraId="7C331DC6" w14:textId="77777777" w:rsidR="00342FAF" w:rsidRDefault="00016F29" w:rsidP="0099733D">
            <w:pPr>
              <w:keepNext/>
              <w:keepLines/>
              <w:rPr>
                <w:szCs w:val="22"/>
                <w:lang w:val="en-GB"/>
              </w:rPr>
            </w:pPr>
            <w:r>
              <w:rPr>
                <w:szCs w:val="22"/>
                <w:lang w:val="en-GB"/>
              </w:rPr>
              <w:t xml:space="preserve">risk reduction </w:t>
            </w:r>
          </w:p>
        </w:tc>
        <w:tc>
          <w:tcPr>
            <w:tcW w:w="2939" w:type="dxa"/>
            <w:gridSpan w:val="2"/>
            <w:tcBorders>
              <w:top w:val="nil"/>
              <w:left w:val="single" w:sz="4" w:space="0" w:color="auto"/>
              <w:bottom w:val="single" w:sz="4" w:space="0" w:color="auto"/>
              <w:right w:val="single" w:sz="4" w:space="0" w:color="auto"/>
            </w:tcBorders>
            <w:hideMark/>
          </w:tcPr>
          <w:p w14:paraId="7C331DC7" w14:textId="77777777" w:rsidR="00342FAF" w:rsidRDefault="00016F29" w:rsidP="0099733D">
            <w:pPr>
              <w:keepNext/>
              <w:keepLines/>
              <w:jc w:val="center"/>
              <w:rPr>
                <w:szCs w:val="22"/>
                <w:lang w:val="en-GB"/>
              </w:rPr>
            </w:pPr>
            <w:r>
              <w:rPr>
                <w:szCs w:val="22"/>
                <w:lang w:val="en-GB"/>
              </w:rPr>
              <w:t>0.61 (0.46, 0.80)</w:t>
            </w:r>
          </w:p>
          <w:p w14:paraId="7C331DC8" w14:textId="77777777" w:rsidR="00342FAF" w:rsidRDefault="00016F29" w:rsidP="0099733D">
            <w:pPr>
              <w:keepNext/>
              <w:keepLines/>
              <w:jc w:val="center"/>
              <w:rPr>
                <w:szCs w:val="22"/>
                <w:lang w:val="en-GB"/>
              </w:rPr>
            </w:pPr>
            <w:r>
              <w:rPr>
                <w:szCs w:val="22"/>
                <w:lang w:val="en-GB"/>
              </w:rPr>
              <w:t>39%</w:t>
            </w:r>
          </w:p>
        </w:tc>
        <w:tc>
          <w:tcPr>
            <w:tcW w:w="2936" w:type="dxa"/>
            <w:gridSpan w:val="2"/>
            <w:tcBorders>
              <w:top w:val="nil"/>
              <w:left w:val="single" w:sz="4" w:space="0" w:color="auto"/>
              <w:bottom w:val="single" w:sz="4" w:space="0" w:color="auto"/>
              <w:right w:val="single" w:sz="4" w:space="0" w:color="auto"/>
            </w:tcBorders>
            <w:hideMark/>
          </w:tcPr>
          <w:p w14:paraId="7C331DC9" w14:textId="77777777" w:rsidR="00342FAF" w:rsidRDefault="00016F29" w:rsidP="0099733D">
            <w:pPr>
              <w:keepNext/>
              <w:keepLines/>
              <w:jc w:val="center"/>
              <w:rPr>
                <w:szCs w:val="22"/>
                <w:lang w:val="en-GB"/>
              </w:rPr>
            </w:pPr>
            <w:r>
              <w:rPr>
                <w:szCs w:val="22"/>
                <w:lang w:val="en-GB"/>
              </w:rPr>
              <w:t>0.66 (0.55, 0.78)</w:t>
            </w:r>
          </w:p>
          <w:p w14:paraId="7C331DCA" w14:textId="77777777" w:rsidR="00342FAF" w:rsidRDefault="00016F29" w:rsidP="0099733D">
            <w:pPr>
              <w:keepNext/>
              <w:keepLines/>
              <w:jc w:val="center"/>
              <w:rPr>
                <w:szCs w:val="22"/>
                <w:lang w:val="en-GB"/>
              </w:rPr>
            </w:pPr>
            <w:r>
              <w:rPr>
                <w:szCs w:val="22"/>
                <w:lang w:val="en-GB"/>
              </w:rPr>
              <w:t>34%</w:t>
            </w:r>
          </w:p>
        </w:tc>
      </w:tr>
      <w:tr w:rsidR="003A788B" w14:paraId="7C331DD1" w14:textId="77777777" w:rsidTr="00342FAF">
        <w:tc>
          <w:tcPr>
            <w:tcW w:w="3412" w:type="dxa"/>
            <w:tcBorders>
              <w:top w:val="nil"/>
              <w:left w:val="single" w:sz="4" w:space="0" w:color="auto"/>
              <w:bottom w:val="nil"/>
              <w:right w:val="single" w:sz="4" w:space="0" w:color="auto"/>
            </w:tcBorders>
            <w:hideMark/>
          </w:tcPr>
          <w:p w14:paraId="7C331DCC" w14:textId="77777777" w:rsidR="00342FAF" w:rsidRDefault="00016F29" w:rsidP="0099733D">
            <w:pPr>
              <w:keepNext/>
              <w:keepLines/>
              <w:rPr>
                <w:szCs w:val="22"/>
                <w:lang w:val="en-GB"/>
              </w:rPr>
            </w:pPr>
            <w:r>
              <w:rPr>
                <w:szCs w:val="22"/>
                <w:lang w:val="en-GB"/>
              </w:rPr>
              <w:t>TNCT (median)</w:t>
            </w:r>
          </w:p>
        </w:tc>
        <w:tc>
          <w:tcPr>
            <w:tcW w:w="1470" w:type="dxa"/>
            <w:tcBorders>
              <w:top w:val="nil"/>
              <w:left w:val="single" w:sz="4" w:space="0" w:color="auto"/>
              <w:bottom w:val="nil"/>
              <w:right w:val="nil"/>
            </w:tcBorders>
            <w:hideMark/>
          </w:tcPr>
          <w:p w14:paraId="7C331DCD" w14:textId="77777777" w:rsidR="00342FAF" w:rsidRDefault="00016F29" w:rsidP="0099733D">
            <w:pPr>
              <w:keepNext/>
              <w:keepLines/>
              <w:jc w:val="center"/>
              <w:rPr>
                <w:szCs w:val="22"/>
                <w:lang w:val="en-GB"/>
              </w:rPr>
            </w:pPr>
            <w:r>
              <w:rPr>
                <w:szCs w:val="22"/>
                <w:lang w:val="en-GB"/>
              </w:rPr>
              <w:t>NR</w:t>
            </w:r>
          </w:p>
        </w:tc>
        <w:tc>
          <w:tcPr>
            <w:tcW w:w="1469" w:type="dxa"/>
            <w:tcBorders>
              <w:top w:val="nil"/>
              <w:left w:val="nil"/>
              <w:bottom w:val="nil"/>
              <w:right w:val="single" w:sz="4" w:space="0" w:color="auto"/>
            </w:tcBorders>
            <w:hideMark/>
          </w:tcPr>
          <w:p w14:paraId="7C331DCE" w14:textId="77777777" w:rsidR="00342FAF" w:rsidRDefault="00016F29" w:rsidP="0099733D">
            <w:pPr>
              <w:keepNext/>
              <w:keepLines/>
              <w:jc w:val="center"/>
              <w:rPr>
                <w:szCs w:val="22"/>
                <w:lang w:val="en-GB"/>
              </w:rPr>
            </w:pPr>
            <w:r>
              <w:rPr>
                <w:szCs w:val="22"/>
                <w:lang w:val="en-GB"/>
              </w:rPr>
              <w:t>NR</w:t>
            </w:r>
          </w:p>
        </w:tc>
        <w:tc>
          <w:tcPr>
            <w:tcW w:w="1470" w:type="dxa"/>
            <w:tcBorders>
              <w:top w:val="nil"/>
              <w:left w:val="single" w:sz="4" w:space="0" w:color="auto"/>
              <w:bottom w:val="nil"/>
              <w:right w:val="nil"/>
            </w:tcBorders>
            <w:hideMark/>
          </w:tcPr>
          <w:p w14:paraId="7C331DCF" w14:textId="77777777" w:rsidR="00342FAF" w:rsidRDefault="00016F29" w:rsidP="0099733D">
            <w:pPr>
              <w:keepNext/>
              <w:keepLines/>
              <w:jc w:val="center"/>
              <w:rPr>
                <w:szCs w:val="22"/>
                <w:lang w:val="en-GB"/>
              </w:rPr>
            </w:pPr>
            <w:r>
              <w:rPr>
                <w:szCs w:val="22"/>
                <w:lang w:val="en-GB"/>
              </w:rPr>
              <w:t>9.32 years</w:t>
            </w:r>
          </w:p>
        </w:tc>
        <w:tc>
          <w:tcPr>
            <w:tcW w:w="1466" w:type="dxa"/>
            <w:tcBorders>
              <w:top w:val="nil"/>
              <w:left w:val="nil"/>
              <w:bottom w:val="nil"/>
              <w:right w:val="single" w:sz="4" w:space="0" w:color="auto"/>
            </w:tcBorders>
            <w:hideMark/>
          </w:tcPr>
          <w:p w14:paraId="7C331DD0" w14:textId="77777777" w:rsidR="00342FAF" w:rsidRDefault="00016F29" w:rsidP="0099733D">
            <w:pPr>
              <w:keepNext/>
              <w:keepLines/>
              <w:jc w:val="center"/>
              <w:rPr>
                <w:szCs w:val="22"/>
                <w:lang w:val="en-GB"/>
              </w:rPr>
            </w:pPr>
            <w:r>
              <w:rPr>
                <w:szCs w:val="22"/>
                <w:lang w:val="en-GB"/>
              </w:rPr>
              <w:t>NR</w:t>
            </w:r>
          </w:p>
        </w:tc>
      </w:tr>
      <w:tr w:rsidR="003A788B" w14:paraId="7C331DD5" w14:textId="77777777" w:rsidTr="00342FAF">
        <w:tc>
          <w:tcPr>
            <w:tcW w:w="3412" w:type="dxa"/>
            <w:tcBorders>
              <w:top w:val="nil"/>
              <w:left w:val="single" w:sz="4" w:space="0" w:color="auto"/>
              <w:bottom w:val="nil"/>
              <w:right w:val="single" w:sz="4" w:space="0" w:color="auto"/>
            </w:tcBorders>
            <w:hideMark/>
          </w:tcPr>
          <w:p w14:paraId="7C331DD2" w14:textId="77777777" w:rsidR="00342FAF" w:rsidRDefault="00016F29" w:rsidP="0099733D">
            <w:pPr>
              <w:keepNext/>
              <w:keepLines/>
              <w:rPr>
                <w:szCs w:val="22"/>
                <w:lang w:val="en-GB"/>
              </w:rPr>
            </w:pPr>
            <w:r>
              <w:rPr>
                <w:szCs w:val="22"/>
                <w:lang w:val="en-GB"/>
              </w:rPr>
              <w:t>log-rank p value</w:t>
            </w:r>
          </w:p>
        </w:tc>
        <w:tc>
          <w:tcPr>
            <w:tcW w:w="2939" w:type="dxa"/>
            <w:gridSpan w:val="2"/>
            <w:tcBorders>
              <w:top w:val="nil"/>
              <w:left w:val="single" w:sz="4" w:space="0" w:color="auto"/>
              <w:bottom w:val="nil"/>
              <w:right w:val="single" w:sz="4" w:space="0" w:color="auto"/>
            </w:tcBorders>
            <w:hideMark/>
          </w:tcPr>
          <w:p w14:paraId="7C331DD3" w14:textId="77777777" w:rsidR="00342FAF" w:rsidRDefault="00016F29" w:rsidP="0099733D">
            <w:pPr>
              <w:keepNext/>
              <w:keepLines/>
              <w:jc w:val="center"/>
              <w:rPr>
                <w:szCs w:val="22"/>
                <w:lang w:val="en-GB"/>
              </w:rPr>
            </w:pPr>
            <w:r>
              <w:rPr>
                <w:szCs w:val="22"/>
                <w:lang w:val="en-GB"/>
              </w:rPr>
              <w:t>0.0011</w:t>
            </w:r>
          </w:p>
        </w:tc>
        <w:tc>
          <w:tcPr>
            <w:tcW w:w="2936" w:type="dxa"/>
            <w:gridSpan w:val="2"/>
            <w:tcBorders>
              <w:top w:val="nil"/>
              <w:left w:val="single" w:sz="4" w:space="0" w:color="auto"/>
              <w:bottom w:val="nil"/>
              <w:right w:val="single" w:sz="4" w:space="0" w:color="auto"/>
            </w:tcBorders>
            <w:hideMark/>
          </w:tcPr>
          <w:p w14:paraId="7C331DD4" w14:textId="77777777" w:rsidR="00342FAF" w:rsidRDefault="00016F29" w:rsidP="0099733D">
            <w:pPr>
              <w:keepNext/>
              <w:keepLines/>
              <w:jc w:val="center"/>
              <w:rPr>
                <w:szCs w:val="22"/>
                <w:lang w:val="en-GB"/>
              </w:rPr>
            </w:pPr>
            <w:r>
              <w:rPr>
                <w:szCs w:val="22"/>
                <w:lang w:val="en-GB"/>
              </w:rPr>
              <w:t>0.0004</w:t>
            </w:r>
          </w:p>
        </w:tc>
      </w:tr>
      <w:tr w:rsidR="003A788B" w14:paraId="7C331DDC" w14:textId="77777777" w:rsidTr="00342FAF">
        <w:tc>
          <w:tcPr>
            <w:tcW w:w="3412" w:type="dxa"/>
            <w:tcBorders>
              <w:top w:val="nil"/>
              <w:left w:val="single" w:sz="4" w:space="0" w:color="auto"/>
              <w:bottom w:val="single" w:sz="4" w:space="0" w:color="auto"/>
              <w:right w:val="single" w:sz="4" w:space="0" w:color="auto"/>
            </w:tcBorders>
            <w:hideMark/>
          </w:tcPr>
          <w:p w14:paraId="7C331DD6" w14:textId="77777777" w:rsidR="00342FAF" w:rsidRDefault="00016F29" w:rsidP="0099733D">
            <w:pPr>
              <w:keepNext/>
              <w:keepLines/>
              <w:rPr>
                <w:szCs w:val="22"/>
                <w:lang w:val="en-GB"/>
              </w:rPr>
            </w:pPr>
            <w:r>
              <w:rPr>
                <w:szCs w:val="22"/>
                <w:lang w:val="en-GB"/>
              </w:rPr>
              <w:t>hazard ratio (95% CI)</w:t>
            </w:r>
          </w:p>
          <w:p w14:paraId="7C331DD7" w14:textId="77777777" w:rsidR="00342FAF" w:rsidRDefault="00016F29" w:rsidP="0099733D">
            <w:pPr>
              <w:keepNext/>
              <w:keepLines/>
              <w:rPr>
                <w:szCs w:val="22"/>
                <w:lang w:val="en-GB"/>
              </w:rPr>
            </w:pPr>
            <w:r>
              <w:rPr>
                <w:szCs w:val="22"/>
                <w:lang w:val="en-GB"/>
              </w:rPr>
              <w:t xml:space="preserve">risk reduction </w:t>
            </w:r>
          </w:p>
        </w:tc>
        <w:tc>
          <w:tcPr>
            <w:tcW w:w="2939" w:type="dxa"/>
            <w:gridSpan w:val="2"/>
            <w:tcBorders>
              <w:top w:val="nil"/>
              <w:left w:val="single" w:sz="4" w:space="0" w:color="auto"/>
              <w:bottom w:val="single" w:sz="4" w:space="0" w:color="auto"/>
              <w:right w:val="single" w:sz="4" w:space="0" w:color="auto"/>
            </w:tcBorders>
            <w:hideMark/>
          </w:tcPr>
          <w:p w14:paraId="7C331DD8" w14:textId="77777777" w:rsidR="00342FAF" w:rsidRDefault="00016F29" w:rsidP="0099733D">
            <w:pPr>
              <w:keepNext/>
              <w:keepLines/>
              <w:jc w:val="center"/>
              <w:rPr>
                <w:szCs w:val="22"/>
                <w:lang w:val="en-GB"/>
              </w:rPr>
            </w:pPr>
            <w:r>
              <w:rPr>
                <w:szCs w:val="22"/>
                <w:lang w:val="en-GB"/>
              </w:rPr>
              <w:t>0.60 (0.44, 0.82)</w:t>
            </w:r>
          </w:p>
          <w:p w14:paraId="7C331DD9" w14:textId="77777777" w:rsidR="00342FAF" w:rsidRDefault="00016F29" w:rsidP="0099733D">
            <w:pPr>
              <w:keepNext/>
              <w:keepLines/>
              <w:jc w:val="center"/>
              <w:rPr>
                <w:szCs w:val="22"/>
                <w:lang w:val="en-GB"/>
              </w:rPr>
            </w:pPr>
            <w:r>
              <w:rPr>
                <w:szCs w:val="22"/>
                <w:lang w:val="en-GB"/>
              </w:rPr>
              <w:t>40%</w:t>
            </w:r>
          </w:p>
        </w:tc>
        <w:tc>
          <w:tcPr>
            <w:tcW w:w="2936" w:type="dxa"/>
            <w:gridSpan w:val="2"/>
            <w:tcBorders>
              <w:top w:val="nil"/>
              <w:left w:val="single" w:sz="4" w:space="0" w:color="auto"/>
              <w:bottom w:val="single" w:sz="4" w:space="0" w:color="auto"/>
              <w:right w:val="single" w:sz="4" w:space="0" w:color="auto"/>
            </w:tcBorders>
            <w:hideMark/>
          </w:tcPr>
          <w:p w14:paraId="7C331DDA" w14:textId="77777777" w:rsidR="00342FAF" w:rsidRDefault="00016F29" w:rsidP="0099733D">
            <w:pPr>
              <w:keepNext/>
              <w:keepLines/>
              <w:jc w:val="center"/>
              <w:rPr>
                <w:szCs w:val="22"/>
                <w:lang w:val="en-GB"/>
              </w:rPr>
            </w:pPr>
            <w:r>
              <w:rPr>
                <w:szCs w:val="22"/>
                <w:lang w:val="en-GB"/>
              </w:rPr>
              <w:t>0.71 (0.59, 0.86)</w:t>
            </w:r>
          </w:p>
          <w:p w14:paraId="7C331DDB" w14:textId="77777777" w:rsidR="00342FAF" w:rsidRDefault="00016F29" w:rsidP="0099733D">
            <w:pPr>
              <w:keepNext/>
              <w:keepLines/>
              <w:jc w:val="center"/>
              <w:rPr>
                <w:szCs w:val="22"/>
                <w:lang w:val="en-GB"/>
              </w:rPr>
            </w:pPr>
            <w:r>
              <w:rPr>
                <w:szCs w:val="22"/>
                <w:lang w:val="en-GB"/>
              </w:rPr>
              <w:t>39%</w:t>
            </w:r>
          </w:p>
        </w:tc>
      </w:tr>
      <w:tr w:rsidR="003A788B" w14:paraId="7C331DE2" w14:textId="77777777" w:rsidTr="00342FAF">
        <w:tc>
          <w:tcPr>
            <w:tcW w:w="3412" w:type="dxa"/>
            <w:tcBorders>
              <w:top w:val="nil"/>
              <w:left w:val="single" w:sz="4" w:space="0" w:color="auto"/>
              <w:bottom w:val="nil"/>
              <w:right w:val="single" w:sz="4" w:space="0" w:color="auto"/>
            </w:tcBorders>
            <w:hideMark/>
          </w:tcPr>
          <w:p w14:paraId="7C331DDD" w14:textId="77777777" w:rsidR="00342FAF" w:rsidRDefault="00016F29" w:rsidP="0099733D">
            <w:pPr>
              <w:keepNext/>
              <w:keepLines/>
              <w:rPr>
                <w:szCs w:val="22"/>
                <w:lang w:val="en-GB"/>
              </w:rPr>
            </w:pPr>
            <w:r>
              <w:rPr>
                <w:szCs w:val="22"/>
                <w:lang w:val="en-GB"/>
              </w:rPr>
              <w:t>Overall response rate*</w:t>
            </w:r>
          </w:p>
        </w:tc>
        <w:tc>
          <w:tcPr>
            <w:tcW w:w="1470" w:type="dxa"/>
            <w:tcBorders>
              <w:top w:val="nil"/>
              <w:left w:val="single" w:sz="4" w:space="0" w:color="auto"/>
              <w:bottom w:val="nil"/>
              <w:right w:val="nil"/>
            </w:tcBorders>
            <w:hideMark/>
          </w:tcPr>
          <w:p w14:paraId="7C331DDE" w14:textId="77777777" w:rsidR="00342FAF" w:rsidRDefault="00016F29" w:rsidP="0099733D">
            <w:pPr>
              <w:keepNext/>
              <w:keepLines/>
              <w:jc w:val="center"/>
              <w:rPr>
                <w:szCs w:val="22"/>
                <w:lang w:val="en-GB"/>
              </w:rPr>
            </w:pPr>
            <w:r>
              <w:rPr>
                <w:szCs w:val="22"/>
                <w:lang w:val="en-GB"/>
              </w:rPr>
              <w:t>55%</w:t>
            </w:r>
          </w:p>
        </w:tc>
        <w:tc>
          <w:tcPr>
            <w:tcW w:w="1469" w:type="dxa"/>
            <w:tcBorders>
              <w:top w:val="nil"/>
              <w:left w:val="nil"/>
              <w:bottom w:val="nil"/>
              <w:right w:val="single" w:sz="4" w:space="0" w:color="auto"/>
            </w:tcBorders>
            <w:hideMark/>
          </w:tcPr>
          <w:p w14:paraId="7C331DDF" w14:textId="77777777" w:rsidR="00342FAF" w:rsidRDefault="00016F29" w:rsidP="0099733D">
            <w:pPr>
              <w:keepNext/>
              <w:keepLines/>
              <w:jc w:val="center"/>
              <w:rPr>
                <w:szCs w:val="22"/>
                <w:lang w:val="en-GB"/>
              </w:rPr>
            </w:pPr>
            <w:r>
              <w:rPr>
                <w:szCs w:val="22"/>
                <w:lang w:val="en-GB"/>
              </w:rPr>
              <w:t>74%</w:t>
            </w:r>
          </w:p>
        </w:tc>
        <w:tc>
          <w:tcPr>
            <w:tcW w:w="1470" w:type="dxa"/>
            <w:tcBorders>
              <w:top w:val="nil"/>
              <w:left w:val="single" w:sz="4" w:space="0" w:color="auto"/>
              <w:bottom w:val="nil"/>
              <w:right w:val="nil"/>
            </w:tcBorders>
            <w:hideMark/>
          </w:tcPr>
          <w:p w14:paraId="7C331DE0" w14:textId="77777777" w:rsidR="00342FAF" w:rsidRDefault="00016F29" w:rsidP="0099733D">
            <w:pPr>
              <w:keepNext/>
              <w:keepLines/>
              <w:jc w:val="center"/>
              <w:rPr>
                <w:szCs w:val="22"/>
                <w:lang w:val="en-GB"/>
              </w:rPr>
            </w:pPr>
            <w:r>
              <w:rPr>
                <w:szCs w:val="22"/>
                <w:lang w:val="en-GB"/>
              </w:rPr>
              <w:t>61%</w:t>
            </w:r>
          </w:p>
        </w:tc>
        <w:tc>
          <w:tcPr>
            <w:tcW w:w="1466" w:type="dxa"/>
            <w:tcBorders>
              <w:top w:val="nil"/>
              <w:left w:val="nil"/>
              <w:bottom w:val="nil"/>
              <w:right w:val="single" w:sz="4" w:space="0" w:color="auto"/>
            </w:tcBorders>
            <w:hideMark/>
          </w:tcPr>
          <w:p w14:paraId="7C331DE1" w14:textId="77777777" w:rsidR="00342FAF" w:rsidRDefault="00016F29" w:rsidP="0099733D">
            <w:pPr>
              <w:keepNext/>
              <w:keepLines/>
              <w:jc w:val="center"/>
              <w:rPr>
                <w:szCs w:val="22"/>
                <w:lang w:val="en-GB"/>
              </w:rPr>
            </w:pPr>
            <w:r>
              <w:rPr>
                <w:szCs w:val="22"/>
                <w:lang w:val="en-GB"/>
              </w:rPr>
              <w:t>79%</w:t>
            </w:r>
          </w:p>
        </w:tc>
      </w:tr>
      <w:tr w:rsidR="003A788B" w14:paraId="7C331DE6" w14:textId="77777777" w:rsidTr="00342FAF">
        <w:tc>
          <w:tcPr>
            <w:tcW w:w="3412" w:type="dxa"/>
            <w:tcBorders>
              <w:top w:val="nil"/>
              <w:left w:val="single" w:sz="4" w:space="0" w:color="auto"/>
              <w:bottom w:val="nil"/>
              <w:right w:val="single" w:sz="4" w:space="0" w:color="auto"/>
            </w:tcBorders>
            <w:hideMark/>
          </w:tcPr>
          <w:p w14:paraId="7C331DE3" w14:textId="77777777" w:rsidR="00342FAF" w:rsidRDefault="00016F29" w:rsidP="0099733D">
            <w:pPr>
              <w:keepNext/>
              <w:keepLines/>
              <w:rPr>
                <w:szCs w:val="22"/>
                <w:lang w:val="en-GB"/>
              </w:rPr>
            </w:pPr>
            <w:r>
              <w:rPr>
                <w:szCs w:val="22"/>
                <w:lang w:val="en-GB"/>
              </w:rPr>
              <w:t>chi-squared test p value</w:t>
            </w:r>
          </w:p>
        </w:tc>
        <w:tc>
          <w:tcPr>
            <w:tcW w:w="2939" w:type="dxa"/>
            <w:gridSpan w:val="2"/>
            <w:tcBorders>
              <w:top w:val="nil"/>
              <w:left w:val="single" w:sz="4" w:space="0" w:color="auto"/>
              <w:bottom w:val="nil"/>
              <w:right w:val="single" w:sz="4" w:space="0" w:color="auto"/>
            </w:tcBorders>
            <w:hideMark/>
          </w:tcPr>
          <w:p w14:paraId="7C331DE4" w14:textId="77777777" w:rsidR="00342FAF" w:rsidRDefault="00016F29" w:rsidP="0099733D">
            <w:pPr>
              <w:keepNext/>
              <w:keepLines/>
              <w:jc w:val="center"/>
              <w:rPr>
                <w:szCs w:val="22"/>
                <w:lang w:val="en-GB"/>
              </w:rPr>
            </w:pPr>
            <w:r>
              <w:rPr>
                <w:szCs w:val="22"/>
                <w:lang w:val="en-GB"/>
              </w:rPr>
              <w:t>&lt;0.0001</w:t>
            </w:r>
          </w:p>
        </w:tc>
        <w:tc>
          <w:tcPr>
            <w:tcW w:w="2936" w:type="dxa"/>
            <w:gridSpan w:val="2"/>
            <w:tcBorders>
              <w:top w:val="nil"/>
              <w:left w:val="single" w:sz="4" w:space="0" w:color="auto"/>
              <w:bottom w:val="nil"/>
              <w:right w:val="single" w:sz="4" w:space="0" w:color="auto"/>
            </w:tcBorders>
            <w:hideMark/>
          </w:tcPr>
          <w:p w14:paraId="7C331DE5" w14:textId="77777777" w:rsidR="00342FAF" w:rsidRDefault="00016F29" w:rsidP="0099733D">
            <w:pPr>
              <w:keepNext/>
              <w:keepLines/>
              <w:jc w:val="center"/>
              <w:rPr>
                <w:szCs w:val="22"/>
                <w:lang w:val="en-GB"/>
              </w:rPr>
            </w:pPr>
            <w:r>
              <w:rPr>
                <w:szCs w:val="22"/>
                <w:lang w:val="en-GB"/>
              </w:rPr>
              <w:t>&lt;0.0001</w:t>
            </w:r>
          </w:p>
        </w:tc>
      </w:tr>
      <w:tr w:rsidR="003A788B" w14:paraId="7C331DEA" w14:textId="77777777" w:rsidTr="00342FAF">
        <w:tc>
          <w:tcPr>
            <w:tcW w:w="3412" w:type="dxa"/>
            <w:tcBorders>
              <w:top w:val="nil"/>
              <w:left w:val="single" w:sz="4" w:space="0" w:color="auto"/>
              <w:bottom w:val="single" w:sz="4" w:space="0" w:color="auto"/>
              <w:right w:val="single" w:sz="4" w:space="0" w:color="auto"/>
            </w:tcBorders>
            <w:hideMark/>
          </w:tcPr>
          <w:p w14:paraId="7C331DE7" w14:textId="77777777" w:rsidR="00342FAF" w:rsidRDefault="00016F29" w:rsidP="0099733D">
            <w:pPr>
              <w:keepNext/>
              <w:keepLines/>
              <w:rPr>
                <w:szCs w:val="22"/>
                <w:lang w:val="en-GB"/>
              </w:rPr>
            </w:pPr>
            <w:r>
              <w:rPr>
                <w:szCs w:val="22"/>
                <w:lang w:val="en-GB"/>
              </w:rPr>
              <w:t>odds ratio (95% CI)</w:t>
            </w:r>
          </w:p>
        </w:tc>
        <w:tc>
          <w:tcPr>
            <w:tcW w:w="2939" w:type="dxa"/>
            <w:gridSpan w:val="2"/>
            <w:tcBorders>
              <w:top w:val="nil"/>
              <w:left w:val="single" w:sz="4" w:space="0" w:color="auto"/>
              <w:bottom w:val="single" w:sz="4" w:space="0" w:color="auto"/>
              <w:right w:val="single" w:sz="4" w:space="0" w:color="auto"/>
            </w:tcBorders>
            <w:hideMark/>
          </w:tcPr>
          <w:p w14:paraId="7C331DE8" w14:textId="77777777" w:rsidR="00342FAF" w:rsidRDefault="00016F29" w:rsidP="0099733D">
            <w:pPr>
              <w:keepNext/>
              <w:keepLines/>
              <w:jc w:val="center"/>
              <w:rPr>
                <w:szCs w:val="22"/>
                <w:lang w:val="en-GB"/>
              </w:rPr>
            </w:pPr>
            <w:r>
              <w:rPr>
                <w:szCs w:val="22"/>
                <w:lang w:val="en-GB"/>
              </w:rPr>
              <w:t>2.33 (1.73, 3.15)</w:t>
            </w:r>
          </w:p>
        </w:tc>
        <w:tc>
          <w:tcPr>
            <w:tcW w:w="2936" w:type="dxa"/>
            <w:gridSpan w:val="2"/>
            <w:tcBorders>
              <w:top w:val="nil"/>
              <w:left w:val="single" w:sz="4" w:space="0" w:color="auto"/>
              <w:bottom w:val="single" w:sz="4" w:space="0" w:color="auto"/>
              <w:right w:val="single" w:sz="4" w:space="0" w:color="auto"/>
            </w:tcBorders>
            <w:hideMark/>
          </w:tcPr>
          <w:p w14:paraId="7C331DE9" w14:textId="77777777" w:rsidR="00342FAF" w:rsidRDefault="00016F29" w:rsidP="0099733D">
            <w:pPr>
              <w:keepNext/>
              <w:keepLines/>
              <w:jc w:val="center"/>
              <w:rPr>
                <w:szCs w:val="22"/>
                <w:lang w:val="en-GB"/>
              </w:rPr>
            </w:pPr>
            <w:r>
              <w:rPr>
                <w:szCs w:val="22"/>
                <w:lang w:val="en-GB"/>
              </w:rPr>
              <w:t>2.43 (1.84, 3.22)</w:t>
            </w:r>
          </w:p>
        </w:tc>
      </w:tr>
      <w:tr w:rsidR="003A788B" w14:paraId="7C331DF0" w14:textId="77777777" w:rsidTr="00342FAF">
        <w:tc>
          <w:tcPr>
            <w:tcW w:w="3412" w:type="dxa"/>
            <w:tcBorders>
              <w:top w:val="nil"/>
              <w:left w:val="single" w:sz="4" w:space="0" w:color="auto"/>
              <w:bottom w:val="nil"/>
              <w:right w:val="single" w:sz="4" w:space="0" w:color="auto"/>
            </w:tcBorders>
            <w:hideMark/>
          </w:tcPr>
          <w:p w14:paraId="7C331DEB" w14:textId="77777777" w:rsidR="00342FAF" w:rsidRDefault="00016F29" w:rsidP="0099733D">
            <w:pPr>
              <w:keepNext/>
              <w:keepLines/>
              <w:rPr>
                <w:szCs w:val="22"/>
                <w:lang w:val="en-GB"/>
              </w:rPr>
            </w:pPr>
            <w:r>
              <w:rPr>
                <w:szCs w:val="22"/>
                <w:lang w:val="en-GB"/>
              </w:rPr>
              <w:t>Complete response (CR/CRu) rate*</w:t>
            </w:r>
          </w:p>
        </w:tc>
        <w:tc>
          <w:tcPr>
            <w:tcW w:w="1470" w:type="dxa"/>
            <w:tcBorders>
              <w:top w:val="nil"/>
              <w:left w:val="single" w:sz="4" w:space="0" w:color="auto"/>
              <w:bottom w:val="nil"/>
              <w:right w:val="nil"/>
            </w:tcBorders>
            <w:hideMark/>
          </w:tcPr>
          <w:p w14:paraId="7C331DEC" w14:textId="77777777" w:rsidR="00342FAF" w:rsidRDefault="00016F29" w:rsidP="0099733D">
            <w:pPr>
              <w:keepNext/>
              <w:keepLines/>
              <w:jc w:val="center"/>
              <w:rPr>
                <w:szCs w:val="22"/>
                <w:lang w:val="en-GB"/>
              </w:rPr>
            </w:pPr>
            <w:r>
              <w:rPr>
                <w:szCs w:val="22"/>
                <w:lang w:val="en-GB"/>
              </w:rPr>
              <w:t>48%</w:t>
            </w:r>
          </w:p>
        </w:tc>
        <w:tc>
          <w:tcPr>
            <w:tcW w:w="1469" w:type="dxa"/>
            <w:tcBorders>
              <w:top w:val="nil"/>
              <w:left w:val="nil"/>
              <w:bottom w:val="nil"/>
              <w:right w:val="single" w:sz="4" w:space="0" w:color="auto"/>
            </w:tcBorders>
            <w:hideMark/>
          </w:tcPr>
          <w:p w14:paraId="7C331DED" w14:textId="77777777" w:rsidR="00342FAF" w:rsidRDefault="00016F29" w:rsidP="0099733D">
            <w:pPr>
              <w:keepNext/>
              <w:keepLines/>
              <w:jc w:val="center"/>
              <w:rPr>
                <w:szCs w:val="22"/>
                <w:lang w:val="en-GB"/>
              </w:rPr>
            </w:pPr>
            <w:r>
              <w:rPr>
                <w:szCs w:val="22"/>
                <w:lang w:val="en-GB"/>
              </w:rPr>
              <w:t>67%</w:t>
            </w:r>
          </w:p>
        </w:tc>
        <w:tc>
          <w:tcPr>
            <w:tcW w:w="1470" w:type="dxa"/>
            <w:tcBorders>
              <w:top w:val="nil"/>
              <w:left w:val="single" w:sz="4" w:space="0" w:color="auto"/>
              <w:bottom w:val="nil"/>
              <w:right w:val="nil"/>
            </w:tcBorders>
            <w:hideMark/>
          </w:tcPr>
          <w:p w14:paraId="7C331DEE" w14:textId="77777777" w:rsidR="00342FAF" w:rsidRDefault="00016F29" w:rsidP="0099733D">
            <w:pPr>
              <w:keepNext/>
              <w:keepLines/>
              <w:jc w:val="center"/>
              <w:rPr>
                <w:szCs w:val="22"/>
                <w:lang w:val="en-GB"/>
              </w:rPr>
            </w:pPr>
            <w:r>
              <w:rPr>
                <w:szCs w:val="22"/>
                <w:lang w:val="en-GB"/>
              </w:rPr>
              <w:t>53%</w:t>
            </w:r>
          </w:p>
        </w:tc>
        <w:tc>
          <w:tcPr>
            <w:tcW w:w="1466" w:type="dxa"/>
            <w:tcBorders>
              <w:top w:val="nil"/>
              <w:left w:val="nil"/>
              <w:bottom w:val="nil"/>
              <w:right w:val="single" w:sz="4" w:space="0" w:color="auto"/>
            </w:tcBorders>
            <w:hideMark/>
          </w:tcPr>
          <w:p w14:paraId="7C331DEF" w14:textId="77777777" w:rsidR="00342FAF" w:rsidRDefault="00016F29" w:rsidP="0099733D">
            <w:pPr>
              <w:keepNext/>
              <w:keepLines/>
              <w:jc w:val="center"/>
              <w:rPr>
                <w:szCs w:val="22"/>
                <w:lang w:val="en-GB"/>
              </w:rPr>
            </w:pPr>
            <w:r>
              <w:rPr>
                <w:szCs w:val="22"/>
                <w:lang w:val="en-GB"/>
              </w:rPr>
              <w:t>67%</w:t>
            </w:r>
          </w:p>
        </w:tc>
      </w:tr>
      <w:tr w:rsidR="003A788B" w14:paraId="7C331DF4" w14:textId="77777777" w:rsidTr="00342FAF">
        <w:tc>
          <w:tcPr>
            <w:tcW w:w="3412" w:type="dxa"/>
            <w:tcBorders>
              <w:top w:val="nil"/>
              <w:left w:val="single" w:sz="4" w:space="0" w:color="auto"/>
              <w:bottom w:val="nil"/>
              <w:right w:val="single" w:sz="4" w:space="0" w:color="auto"/>
            </w:tcBorders>
            <w:hideMark/>
          </w:tcPr>
          <w:p w14:paraId="7C331DF1" w14:textId="77777777" w:rsidR="00342FAF" w:rsidRDefault="00016F29" w:rsidP="0099733D">
            <w:pPr>
              <w:keepNext/>
              <w:keepLines/>
              <w:rPr>
                <w:szCs w:val="22"/>
                <w:lang w:val="en-GB"/>
              </w:rPr>
            </w:pPr>
            <w:r>
              <w:rPr>
                <w:szCs w:val="22"/>
                <w:lang w:val="en-GB"/>
              </w:rPr>
              <w:t>chi-squared test p value</w:t>
            </w:r>
          </w:p>
        </w:tc>
        <w:tc>
          <w:tcPr>
            <w:tcW w:w="2939" w:type="dxa"/>
            <w:gridSpan w:val="2"/>
            <w:tcBorders>
              <w:top w:val="nil"/>
              <w:left w:val="single" w:sz="4" w:space="0" w:color="auto"/>
              <w:bottom w:val="nil"/>
              <w:right w:val="single" w:sz="4" w:space="0" w:color="auto"/>
            </w:tcBorders>
            <w:hideMark/>
          </w:tcPr>
          <w:p w14:paraId="7C331DF2" w14:textId="77777777" w:rsidR="00342FAF" w:rsidRDefault="00016F29" w:rsidP="0099733D">
            <w:pPr>
              <w:keepNext/>
              <w:keepLines/>
              <w:jc w:val="center"/>
              <w:rPr>
                <w:szCs w:val="22"/>
                <w:lang w:val="en-GB"/>
              </w:rPr>
            </w:pPr>
            <w:r>
              <w:rPr>
                <w:szCs w:val="22"/>
                <w:lang w:val="en-GB"/>
              </w:rPr>
              <w:t>&lt;0.0001</w:t>
            </w:r>
          </w:p>
        </w:tc>
        <w:tc>
          <w:tcPr>
            <w:tcW w:w="2936" w:type="dxa"/>
            <w:gridSpan w:val="2"/>
            <w:tcBorders>
              <w:top w:val="nil"/>
              <w:left w:val="single" w:sz="4" w:space="0" w:color="auto"/>
              <w:bottom w:val="nil"/>
              <w:right w:val="single" w:sz="4" w:space="0" w:color="auto"/>
            </w:tcBorders>
            <w:hideMark/>
          </w:tcPr>
          <w:p w14:paraId="7C331DF3" w14:textId="77777777" w:rsidR="00342FAF" w:rsidRDefault="00016F29" w:rsidP="0099733D">
            <w:pPr>
              <w:keepNext/>
              <w:keepLines/>
              <w:jc w:val="center"/>
              <w:rPr>
                <w:szCs w:val="22"/>
                <w:lang w:val="en-GB"/>
              </w:rPr>
            </w:pPr>
            <w:r>
              <w:rPr>
                <w:szCs w:val="22"/>
                <w:lang w:val="en-GB"/>
              </w:rPr>
              <w:t>&lt;0.0001</w:t>
            </w:r>
          </w:p>
        </w:tc>
      </w:tr>
      <w:tr w:rsidR="003A788B" w14:paraId="7C331DF8" w14:textId="77777777" w:rsidTr="00342FAF">
        <w:tc>
          <w:tcPr>
            <w:tcW w:w="3412" w:type="dxa"/>
            <w:tcBorders>
              <w:top w:val="nil"/>
              <w:left w:val="single" w:sz="4" w:space="0" w:color="auto"/>
              <w:bottom w:val="single" w:sz="4" w:space="0" w:color="auto"/>
              <w:right w:val="single" w:sz="4" w:space="0" w:color="auto"/>
            </w:tcBorders>
            <w:hideMark/>
          </w:tcPr>
          <w:p w14:paraId="7C331DF5" w14:textId="77777777" w:rsidR="00342FAF" w:rsidRDefault="00016F29" w:rsidP="0099733D">
            <w:pPr>
              <w:keepNext/>
              <w:keepLines/>
              <w:rPr>
                <w:szCs w:val="22"/>
                <w:lang w:val="en-GB"/>
              </w:rPr>
            </w:pPr>
            <w:r>
              <w:rPr>
                <w:szCs w:val="22"/>
                <w:lang w:val="en-GB"/>
              </w:rPr>
              <w:t>odds ratio (95% CI)</w:t>
            </w:r>
          </w:p>
        </w:tc>
        <w:tc>
          <w:tcPr>
            <w:tcW w:w="2939" w:type="dxa"/>
            <w:gridSpan w:val="2"/>
            <w:tcBorders>
              <w:top w:val="nil"/>
              <w:left w:val="single" w:sz="4" w:space="0" w:color="auto"/>
              <w:bottom w:val="single" w:sz="4" w:space="0" w:color="auto"/>
              <w:right w:val="single" w:sz="4" w:space="0" w:color="auto"/>
            </w:tcBorders>
            <w:hideMark/>
          </w:tcPr>
          <w:p w14:paraId="7C331DF6" w14:textId="77777777" w:rsidR="00342FAF" w:rsidRDefault="00016F29" w:rsidP="0099733D">
            <w:pPr>
              <w:keepNext/>
              <w:keepLines/>
              <w:jc w:val="center"/>
              <w:rPr>
                <w:szCs w:val="22"/>
                <w:lang w:val="en-GB"/>
              </w:rPr>
            </w:pPr>
            <w:r>
              <w:rPr>
                <w:szCs w:val="22"/>
                <w:lang w:val="en-GB"/>
              </w:rPr>
              <w:t>2.21 (1.65, 2.94)</w:t>
            </w:r>
          </w:p>
        </w:tc>
        <w:tc>
          <w:tcPr>
            <w:tcW w:w="2936" w:type="dxa"/>
            <w:gridSpan w:val="2"/>
            <w:tcBorders>
              <w:top w:val="nil"/>
              <w:left w:val="single" w:sz="4" w:space="0" w:color="auto"/>
              <w:bottom w:val="single" w:sz="4" w:space="0" w:color="auto"/>
              <w:right w:val="single" w:sz="4" w:space="0" w:color="auto"/>
            </w:tcBorders>
            <w:hideMark/>
          </w:tcPr>
          <w:p w14:paraId="7C331DF7" w14:textId="77777777" w:rsidR="00342FAF" w:rsidRDefault="00016F29" w:rsidP="0099733D">
            <w:pPr>
              <w:keepNext/>
              <w:keepLines/>
              <w:jc w:val="center"/>
              <w:rPr>
                <w:szCs w:val="22"/>
                <w:lang w:val="en-GB"/>
              </w:rPr>
            </w:pPr>
            <w:r>
              <w:rPr>
                <w:szCs w:val="22"/>
                <w:lang w:val="en-GB"/>
              </w:rPr>
              <w:t xml:space="preserve">2.34 (1.80, 3.03) </w:t>
            </w:r>
          </w:p>
        </w:tc>
      </w:tr>
    </w:tbl>
    <w:p w14:paraId="7C331DF9" w14:textId="77777777" w:rsidR="00342FAF" w:rsidRDefault="00016F29" w:rsidP="0099733D">
      <w:pPr>
        <w:keepNext/>
        <w:keepLines/>
        <w:rPr>
          <w:sz w:val="18"/>
          <w:szCs w:val="22"/>
          <w:lang w:val="en-GB"/>
        </w:rPr>
      </w:pPr>
      <w:r>
        <w:rPr>
          <w:sz w:val="18"/>
          <w:szCs w:val="22"/>
          <w:lang w:val="en-GB"/>
        </w:rPr>
        <w:t xml:space="preserve">* at end of maintenance/observation; final analysis results based on median follow-up of 73 months. </w:t>
      </w:r>
    </w:p>
    <w:p w14:paraId="7C331DFA" w14:textId="77777777" w:rsidR="00342FAF" w:rsidRDefault="00016F29" w:rsidP="0099733D">
      <w:pPr>
        <w:keepNext/>
        <w:keepLines/>
        <w:rPr>
          <w:sz w:val="18"/>
          <w:szCs w:val="22"/>
          <w:lang w:val="en-GB"/>
        </w:rPr>
      </w:pPr>
      <w:r>
        <w:rPr>
          <w:sz w:val="18"/>
          <w:szCs w:val="22"/>
          <w:lang w:val="en-GB"/>
        </w:rPr>
        <w:t>FU: follow-up; NR: not reached at time of clinical cut off, TNCT: time to next chemotherapy treatment; TNLT: time to next anti lymphoma treatment.</w:t>
      </w:r>
    </w:p>
    <w:p w14:paraId="7C331DFB" w14:textId="77777777" w:rsidR="008F369D" w:rsidRPr="00436931" w:rsidRDefault="008F369D" w:rsidP="008F369D">
      <w:pPr>
        <w:rPr>
          <w:lang w:val="en-GB"/>
        </w:rPr>
      </w:pPr>
    </w:p>
    <w:p w14:paraId="7C331DFC" w14:textId="77777777" w:rsidR="008F369D" w:rsidRPr="00436931" w:rsidRDefault="00016F29" w:rsidP="008F369D">
      <w:pPr>
        <w:rPr>
          <w:lang w:val="en-GB"/>
        </w:rPr>
      </w:pPr>
      <w:r w:rsidRPr="00436931">
        <w:rPr>
          <w:lang w:val="en-GB"/>
        </w:rPr>
        <w:t>MabThera maintenance treatment provided consistent benefit in all predefined subgroups tested: gender (male, female), age (</w:t>
      </w:r>
      <w:r w:rsidR="008E2113">
        <w:rPr>
          <w:lang w:val="en-GB"/>
        </w:rPr>
        <w:t xml:space="preserve">&lt; </w:t>
      </w:r>
      <w:r w:rsidRPr="00436931">
        <w:rPr>
          <w:lang w:val="en-GB"/>
        </w:rPr>
        <w:t>60 years, &gt;= 60 years), FLIPI score (&lt;=1, 2 or &gt;= 3), induction therapy (R</w:t>
      </w:r>
      <w:r w:rsidR="000A6DDA" w:rsidRPr="00436931">
        <w:rPr>
          <w:lang w:val="en-GB"/>
        </w:rPr>
        <w:noBreakHyphen/>
      </w:r>
      <w:r w:rsidRPr="00436931">
        <w:rPr>
          <w:lang w:val="en-GB"/>
        </w:rPr>
        <w:t>CHOP, R</w:t>
      </w:r>
      <w:r w:rsidR="000A6DDA" w:rsidRPr="00436931">
        <w:rPr>
          <w:lang w:val="en-GB"/>
        </w:rPr>
        <w:noBreakHyphen/>
      </w:r>
      <w:r w:rsidRPr="00436931">
        <w:rPr>
          <w:lang w:val="en-GB"/>
        </w:rPr>
        <w:t>CVP or R</w:t>
      </w:r>
      <w:r w:rsidR="000A6DDA" w:rsidRPr="00436931">
        <w:rPr>
          <w:lang w:val="en-GB"/>
        </w:rPr>
        <w:noBreakHyphen/>
      </w:r>
      <w:r w:rsidRPr="00436931">
        <w:rPr>
          <w:lang w:val="en-GB"/>
        </w:rPr>
        <w:t>FCM) and regardless of the quality of response to induction treatment (CR/CRu or PR). Exploratory analyses of the benefit of maintenance treatment showed a less pronounced effect in elderly patients (&gt; 70 years of age), however sample sizes were small.</w:t>
      </w:r>
    </w:p>
    <w:p w14:paraId="7C331DFD" w14:textId="77777777" w:rsidR="008F369D" w:rsidRPr="00C501E3" w:rsidRDefault="008F369D" w:rsidP="008F369D">
      <w:pPr>
        <w:outlineLvl w:val="0"/>
        <w:rPr>
          <w:i/>
          <w:lang w:val="en-GB"/>
        </w:rPr>
      </w:pPr>
    </w:p>
    <w:p w14:paraId="7C331DFE" w14:textId="77777777" w:rsidR="008F369D" w:rsidRPr="00C501E3" w:rsidRDefault="00016F29" w:rsidP="008F369D">
      <w:pPr>
        <w:keepNext/>
        <w:keepLines/>
        <w:tabs>
          <w:tab w:val="left" w:pos="0"/>
        </w:tabs>
        <w:outlineLvl w:val="0"/>
        <w:rPr>
          <w:b/>
          <w:i/>
          <w:lang w:val="en-GB"/>
        </w:rPr>
      </w:pPr>
      <w:r w:rsidRPr="00C501E3">
        <w:rPr>
          <w:i/>
          <w:lang w:val="en-GB"/>
        </w:rPr>
        <w:t xml:space="preserve">Relapsed/Refractory follicular lymphoma </w:t>
      </w:r>
    </w:p>
    <w:p w14:paraId="7C331DFF" w14:textId="77777777" w:rsidR="008F369D" w:rsidRPr="00C501E3" w:rsidRDefault="00016F29" w:rsidP="008F369D">
      <w:pPr>
        <w:rPr>
          <w:lang w:val="en-GB"/>
        </w:rPr>
      </w:pPr>
      <w:r w:rsidRPr="00E91851">
        <w:rPr>
          <w:lang w:val="en-GB"/>
        </w:rPr>
        <w:t>In a prospective, open label, international, multi</w:t>
      </w:r>
      <w:r w:rsidR="000A6DDA" w:rsidRPr="00E91851">
        <w:rPr>
          <w:lang w:val="en-GB"/>
        </w:rPr>
        <w:noBreakHyphen/>
      </w:r>
      <w:r w:rsidRPr="00E91851">
        <w:rPr>
          <w:lang w:val="en-GB"/>
        </w:rPr>
        <w:t>centre, phase III trial, 465 patients with relapsed/refractory follicular lymphoma were randomised in a first step to induction therapy with either CHOP (cyclophosphamide, doxorubicin, vincristine, prednisolone; n=231) or MabThera plus CHOP (R</w:t>
      </w:r>
      <w:r w:rsidR="000A6DDA" w:rsidRPr="00E91851">
        <w:rPr>
          <w:lang w:val="en-GB"/>
        </w:rPr>
        <w:noBreakHyphen/>
      </w:r>
      <w:r w:rsidRPr="00E91851">
        <w:rPr>
          <w:lang w:val="en-GB"/>
        </w:rPr>
        <w:t>CHOP, n=234). The two treatment groups were well balanced with regard to baseline characteristics and disease status. A total of 334 patients achieving a complete or partial remission following induction therapy were randomised in a second step to MabThera maintenance therapy (n=167) or observation (n=167). MabThera maintenance treatment consisted of a single infusion of</w:t>
      </w:r>
      <w:r w:rsidRPr="00C501E3">
        <w:rPr>
          <w:lang w:val="en-GB"/>
        </w:rPr>
        <w:t xml:space="preserve"> MabThera at 375 mg/m</w:t>
      </w:r>
      <w:r w:rsidRPr="00C501E3">
        <w:rPr>
          <w:vertAlign w:val="superscript"/>
          <w:lang w:val="en-GB"/>
        </w:rPr>
        <w:t>2</w:t>
      </w:r>
      <w:r w:rsidRPr="00C501E3">
        <w:rPr>
          <w:lang w:val="en-GB"/>
        </w:rPr>
        <w:t xml:space="preserve"> body surface area given every 3 months until disease progression or for a maximum period of two years. </w:t>
      </w:r>
    </w:p>
    <w:p w14:paraId="7C331E00" w14:textId="77777777" w:rsidR="008F369D" w:rsidRPr="00C501E3" w:rsidRDefault="008F369D" w:rsidP="008F369D">
      <w:pPr>
        <w:rPr>
          <w:lang w:val="en-GB"/>
        </w:rPr>
      </w:pPr>
    </w:p>
    <w:p w14:paraId="7C331E01" w14:textId="77777777" w:rsidR="008F369D" w:rsidRPr="00C501E3" w:rsidRDefault="00016F29" w:rsidP="008F369D">
      <w:pPr>
        <w:rPr>
          <w:lang w:val="en-GB"/>
        </w:rPr>
      </w:pPr>
      <w:r w:rsidRPr="006A7787">
        <w:rPr>
          <w:lang w:val="en-GB"/>
        </w:rPr>
        <w:t>The final efficacy analysis included all patients randomized to both parts of the trial. After a median observation time of 31 months for patients randomised to the induction phase, R</w:t>
      </w:r>
      <w:r w:rsidR="000A6DDA" w:rsidRPr="006A7787">
        <w:rPr>
          <w:lang w:val="en-GB"/>
        </w:rPr>
        <w:noBreakHyphen/>
      </w:r>
      <w:r w:rsidRPr="006A7787">
        <w:rPr>
          <w:lang w:val="en-GB"/>
        </w:rPr>
        <w:t>CHOP significantly improved the outcome of patients with relapsed/refractory follicular lymphoma when compared to</w:t>
      </w:r>
      <w:r w:rsidRPr="00C501E3">
        <w:rPr>
          <w:lang w:val="en-GB"/>
        </w:rPr>
        <w:t xml:space="preserve"> CHOP (see </w:t>
      </w:r>
      <w:r w:rsidRPr="007152D5">
        <w:rPr>
          <w:lang w:val="en-GB"/>
        </w:rPr>
        <w:t>Table </w:t>
      </w:r>
      <w:r w:rsidR="00E90C58" w:rsidRPr="007152D5">
        <w:rPr>
          <w:lang w:val="en-GB"/>
        </w:rPr>
        <w:t>5</w:t>
      </w:r>
      <w:r w:rsidRPr="007152D5">
        <w:rPr>
          <w:lang w:val="en-GB"/>
        </w:rPr>
        <w:t>).</w:t>
      </w:r>
    </w:p>
    <w:p w14:paraId="7C331E02" w14:textId="77777777" w:rsidR="008F369D" w:rsidRPr="00C501E3" w:rsidRDefault="008F369D" w:rsidP="008F369D">
      <w:pPr>
        <w:rPr>
          <w:lang w:val="en-GB"/>
        </w:rPr>
      </w:pPr>
    </w:p>
    <w:p w14:paraId="7C331E03" w14:textId="77777777" w:rsidR="008F369D" w:rsidRPr="00C501E3" w:rsidRDefault="00016F29" w:rsidP="008F369D">
      <w:pPr>
        <w:keepNext/>
        <w:keepLines/>
        <w:ind w:left="1134" w:hanging="1134"/>
        <w:rPr>
          <w:b/>
          <w:lang w:val="en-GB"/>
        </w:rPr>
      </w:pPr>
      <w:r w:rsidRPr="006A7787">
        <w:rPr>
          <w:b/>
          <w:lang w:val="en-GB"/>
        </w:rPr>
        <w:t>Table </w:t>
      </w:r>
      <w:r w:rsidR="00E90C58" w:rsidRPr="006A7787">
        <w:rPr>
          <w:b/>
          <w:lang w:val="en-GB"/>
        </w:rPr>
        <w:t>5</w:t>
      </w:r>
      <w:r w:rsidRPr="006A7787">
        <w:rPr>
          <w:b/>
          <w:lang w:val="en-GB"/>
        </w:rPr>
        <w:tab/>
        <w:t>Induction phase: overview of efficacy results for CHOP vs. R</w:t>
      </w:r>
      <w:r w:rsidR="000A6DDA" w:rsidRPr="006A7787">
        <w:rPr>
          <w:b/>
          <w:lang w:val="en-GB"/>
        </w:rPr>
        <w:noBreakHyphen/>
      </w:r>
      <w:r w:rsidRPr="006A7787">
        <w:rPr>
          <w:b/>
          <w:lang w:val="en-GB"/>
        </w:rPr>
        <w:t>CHOP (31 months</w:t>
      </w:r>
      <w:r w:rsidRPr="00C501E3">
        <w:rPr>
          <w:b/>
          <w:lang w:val="en-GB"/>
        </w:rPr>
        <w:t xml:space="preserve"> median observation time) </w:t>
      </w:r>
    </w:p>
    <w:tbl>
      <w:tblPr>
        <w:tblW w:w="7750" w:type="dxa"/>
        <w:jc w:val="center"/>
        <w:tblBorders>
          <w:top w:val="single" w:sz="6" w:space="0" w:color="000000"/>
          <w:bottom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870"/>
        <w:gridCol w:w="1320"/>
        <w:gridCol w:w="1440"/>
        <w:gridCol w:w="1200"/>
        <w:gridCol w:w="1920"/>
      </w:tblGrid>
      <w:tr w:rsidR="003A788B" w14:paraId="7C331E09" w14:textId="77777777" w:rsidTr="008919D7">
        <w:trPr>
          <w:tblHeader/>
          <w:jc w:val="center"/>
        </w:trPr>
        <w:tc>
          <w:tcPr>
            <w:tcW w:w="1870" w:type="dxa"/>
            <w:tcBorders>
              <w:top w:val="single" w:sz="6" w:space="0" w:color="000000"/>
              <w:bottom w:val="single" w:sz="6" w:space="0" w:color="000000"/>
            </w:tcBorders>
          </w:tcPr>
          <w:p w14:paraId="7C331E04" w14:textId="77777777" w:rsidR="008F369D" w:rsidRPr="00C501E3" w:rsidRDefault="008F369D" w:rsidP="008919D7">
            <w:pPr>
              <w:keepNext/>
              <w:keepLines/>
              <w:jc w:val="center"/>
              <w:rPr>
                <w:b/>
                <w:szCs w:val="22"/>
                <w:lang w:val="en-GB"/>
              </w:rPr>
            </w:pPr>
          </w:p>
        </w:tc>
        <w:tc>
          <w:tcPr>
            <w:tcW w:w="1320" w:type="dxa"/>
            <w:tcBorders>
              <w:top w:val="single" w:sz="6" w:space="0" w:color="000000"/>
              <w:bottom w:val="single" w:sz="6" w:space="0" w:color="000000"/>
            </w:tcBorders>
          </w:tcPr>
          <w:p w14:paraId="7C331E05" w14:textId="77777777" w:rsidR="008F369D" w:rsidRPr="00C501E3" w:rsidRDefault="00016F29" w:rsidP="008919D7">
            <w:pPr>
              <w:keepNext/>
              <w:keepLines/>
              <w:jc w:val="center"/>
              <w:rPr>
                <w:b/>
                <w:szCs w:val="22"/>
                <w:lang w:val="en-GB"/>
              </w:rPr>
            </w:pPr>
            <w:r w:rsidRPr="00C501E3">
              <w:rPr>
                <w:b/>
                <w:szCs w:val="22"/>
                <w:lang w:val="en-GB"/>
              </w:rPr>
              <w:t>CHOP</w:t>
            </w:r>
          </w:p>
        </w:tc>
        <w:tc>
          <w:tcPr>
            <w:tcW w:w="1440" w:type="dxa"/>
            <w:tcBorders>
              <w:top w:val="single" w:sz="6" w:space="0" w:color="000000"/>
              <w:bottom w:val="single" w:sz="6" w:space="0" w:color="000000"/>
            </w:tcBorders>
          </w:tcPr>
          <w:p w14:paraId="7C331E06" w14:textId="77777777" w:rsidR="008F369D" w:rsidRPr="00C501E3" w:rsidRDefault="00016F29" w:rsidP="008919D7">
            <w:pPr>
              <w:keepNext/>
              <w:keepLines/>
              <w:jc w:val="center"/>
              <w:rPr>
                <w:b/>
                <w:szCs w:val="22"/>
                <w:lang w:val="en-GB"/>
              </w:rPr>
            </w:pPr>
            <w:r w:rsidRPr="00C501E3">
              <w:rPr>
                <w:b/>
                <w:szCs w:val="22"/>
                <w:lang w:val="en-GB"/>
              </w:rPr>
              <w:t>R</w:t>
            </w:r>
            <w:r w:rsidR="000A6DDA">
              <w:rPr>
                <w:rFonts w:ascii="Cambria Math" w:hAnsi="Cambria Math" w:cs="Cambria Math"/>
                <w:b/>
                <w:szCs w:val="22"/>
                <w:lang w:val="en-GB"/>
              </w:rPr>
              <w:noBreakHyphen/>
            </w:r>
            <w:r w:rsidRPr="00C501E3">
              <w:rPr>
                <w:b/>
                <w:szCs w:val="22"/>
                <w:lang w:val="en-GB"/>
              </w:rPr>
              <w:t>CHOP</w:t>
            </w:r>
          </w:p>
        </w:tc>
        <w:tc>
          <w:tcPr>
            <w:tcW w:w="1200" w:type="dxa"/>
            <w:tcBorders>
              <w:top w:val="single" w:sz="6" w:space="0" w:color="000000"/>
              <w:bottom w:val="single" w:sz="6" w:space="0" w:color="000000"/>
            </w:tcBorders>
          </w:tcPr>
          <w:p w14:paraId="7C331E07" w14:textId="77777777" w:rsidR="008F369D" w:rsidRPr="00C501E3" w:rsidRDefault="00016F29" w:rsidP="008919D7">
            <w:pPr>
              <w:keepNext/>
              <w:keepLines/>
              <w:jc w:val="center"/>
              <w:rPr>
                <w:b/>
                <w:szCs w:val="22"/>
                <w:lang w:val="en-GB"/>
              </w:rPr>
            </w:pPr>
            <w:r w:rsidRPr="00C501E3">
              <w:rPr>
                <w:b/>
                <w:szCs w:val="22"/>
                <w:lang w:val="en-GB"/>
              </w:rPr>
              <w:t>p</w:t>
            </w:r>
            <w:r w:rsidR="000A6DDA">
              <w:rPr>
                <w:rFonts w:ascii="Cambria Math" w:hAnsi="Cambria Math" w:cs="Cambria Math"/>
                <w:b/>
                <w:szCs w:val="22"/>
                <w:lang w:val="en-GB"/>
              </w:rPr>
              <w:noBreakHyphen/>
            </w:r>
            <w:r w:rsidRPr="00C501E3">
              <w:rPr>
                <w:b/>
                <w:szCs w:val="22"/>
                <w:lang w:val="en-GB"/>
              </w:rPr>
              <w:t>value</w:t>
            </w:r>
          </w:p>
        </w:tc>
        <w:tc>
          <w:tcPr>
            <w:tcW w:w="1920" w:type="dxa"/>
            <w:tcBorders>
              <w:top w:val="single" w:sz="6" w:space="0" w:color="000000"/>
              <w:bottom w:val="single" w:sz="6" w:space="0" w:color="000000"/>
            </w:tcBorders>
          </w:tcPr>
          <w:p w14:paraId="7C331E08" w14:textId="77777777" w:rsidR="008F369D" w:rsidRPr="00C501E3" w:rsidRDefault="00016F29" w:rsidP="008919D7">
            <w:pPr>
              <w:keepNext/>
              <w:keepLines/>
              <w:jc w:val="center"/>
              <w:rPr>
                <w:b/>
                <w:szCs w:val="22"/>
                <w:lang w:val="en-GB"/>
              </w:rPr>
            </w:pPr>
            <w:r w:rsidRPr="00C501E3">
              <w:rPr>
                <w:b/>
                <w:szCs w:val="22"/>
                <w:lang w:val="en-GB"/>
              </w:rPr>
              <w:t>Risk Reduction</w:t>
            </w:r>
            <w:r w:rsidRPr="00C501E3">
              <w:rPr>
                <w:b/>
                <w:szCs w:val="22"/>
                <w:vertAlign w:val="superscript"/>
                <w:lang w:val="en-GB"/>
              </w:rPr>
              <w:t>1)</w:t>
            </w:r>
          </w:p>
        </w:tc>
      </w:tr>
      <w:tr w:rsidR="003A788B" w14:paraId="7C331E0F" w14:textId="77777777" w:rsidTr="008919D7">
        <w:trPr>
          <w:jc w:val="center"/>
        </w:trPr>
        <w:tc>
          <w:tcPr>
            <w:tcW w:w="1870" w:type="dxa"/>
            <w:tcBorders>
              <w:top w:val="single" w:sz="6" w:space="0" w:color="000000"/>
            </w:tcBorders>
          </w:tcPr>
          <w:p w14:paraId="7C331E0A" w14:textId="77777777" w:rsidR="008F369D" w:rsidRPr="00C501E3" w:rsidRDefault="00016F29" w:rsidP="008919D7">
            <w:pPr>
              <w:keepNext/>
              <w:keepLines/>
              <w:rPr>
                <w:b/>
                <w:szCs w:val="22"/>
                <w:lang w:val="en-GB"/>
              </w:rPr>
            </w:pPr>
            <w:r>
              <w:rPr>
                <w:b/>
                <w:szCs w:val="22"/>
                <w:lang w:val="en-GB"/>
              </w:rPr>
              <w:t>Primary e</w:t>
            </w:r>
            <w:r w:rsidRPr="00C501E3">
              <w:rPr>
                <w:b/>
                <w:szCs w:val="22"/>
                <w:lang w:val="en-GB"/>
              </w:rPr>
              <w:t xml:space="preserve">fficacy </w:t>
            </w:r>
          </w:p>
        </w:tc>
        <w:tc>
          <w:tcPr>
            <w:tcW w:w="1320" w:type="dxa"/>
            <w:tcBorders>
              <w:top w:val="single" w:sz="6" w:space="0" w:color="000000"/>
            </w:tcBorders>
          </w:tcPr>
          <w:p w14:paraId="7C331E0B" w14:textId="77777777" w:rsidR="008F369D" w:rsidRPr="00C501E3" w:rsidRDefault="008F369D" w:rsidP="008919D7">
            <w:pPr>
              <w:keepNext/>
              <w:keepLines/>
              <w:jc w:val="center"/>
              <w:rPr>
                <w:szCs w:val="22"/>
                <w:lang w:val="en-GB"/>
              </w:rPr>
            </w:pPr>
          </w:p>
        </w:tc>
        <w:tc>
          <w:tcPr>
            <w:tcW w:w="1440" w:type="dxa"/>
            <w:tcBorders>
              <w:top w:val="single" w:sz="6" w:space="0" w:color="000000"/>
            </w:tcBorders>
          </w:tcPr>
          <w:p w14:paraId="7C331E0C" w14:textId="77777777" w:rsidR="008F369D" w:rsidRPr="00C501E3" w:rsidRDefault="008F369D" w:rsidP="008919D7">
            <w:pPr>
              <w:keepNext/>
              <w:keepLines/>
              <w:jc w:val="center"/>
              <w:rPr>
                <w:szCs w:val="22"/>
                <w:lang w:val="en-GB"/>
              </w:rPr>
            </w:pPr>
          </w:p>
        </w:tc>
        <w:tc>
          <w:tcPr>
            <w:tcW w:w="1200" w:type="dxa"/>
            <w:tcBorders>
              <w:top w:val="single" w:sz="6" w:space="0" w:color="000000"/>
            </w:tcBorders>
          </w:tcPr>
          <w:p w14:paraId="7C331E0D" w14:textId="77777777" w:rsidR="008F369D" w:rsidRPr="00C501E3" w:rsidRDefault="008F369D" w:rsidP="008919D7">
            <w:pPr>
              <w:keepNext/>
              <w:keepLines/>
              <w:jc w:val="center"/>
              <w:rPr>
                <w:szCs w:val="22"/>
                <w:lang w:val="en-GB"/>
              </w:rPr>
            </w:pPr>
          </w:p>
        </w:tc>
        <w:tc>
          <w:tcPr>
            <w:tcW w:w="1920" w:type="dxa"/>
            <w:tcBorders>
              <w:top w:val="single" w:sz="6" w:space="0" w:color="000000"/>
            </w:tcBorders>
          </w:tcPr>
          <w:p w14:paraId="7C331E0E" w14:textId="77777777" w:rsidR="008F369D" w:rsidRPr="00C501E3" w:rsidRDefault="008F369D" w:rsidP="008919D7">
            <w:pPr>
              <w:keepNext/>
              <w:keepLines/>
              <w:jc w:val="center"/>
              <w:rPr>
                <w:szCs w:val="22"/>
                <w:lang w:val="en-GB"/>
              </w:rPr>
            </w:pPr>
          </w:p>
        </w:tc>
      </w:tr>
      <w:tr w:rsidR="003A788B" w14:paraId="7C331E15" w14:textId="77777777" w:rsidTr="008919D7">
        <w:trPr>
          <w:jc w:val="center"/>
        </w:trPr>
        <w:tc>
          <w:tcPr>
            <w:tcW w:w="1870" w:type="dxa"/>
          </w:tcPr>
          <w:p w14:paraId="7C331E10" w14:textId="77777777" w:rsidR="008F369D" w:rsidRPr="00C501E3" w:rsidRDefault="00016F29" w:rsidP="008919D7">
            <w:pPr>
              <w:keepNext/>
              <w:keepLines/>
              <w:jc w:val="right"/>
              <w:rPr>
                <w:szCs w:val="22"/>
                <w:lang w:val="en-GB"/>
              </w:rPr>
            </w:pPr>
            <w:r w:rsidRPr="00C501E3">
              <w:rPr>
                <w:szCs w:val="22"/>
                <w:lang w:val="en-GB"/>
              </w:rPr>
              <w:t>ORR</w:t>
            </w:r>
            <w:r w:rsidRPr="00C501E3">
              <w:rPr>
                <w:szCs w:val="22"/>
                <w:vertAlign w:val="superscript"/>
                <w:lang w:val="en-GB"/>
              </w:rPr>
              <w:t>2)</w:t>
            </w:r>
          </w:p>
        </w:tc>
        <w:tc>
          <w:tcPr>
            <w:tcW w:w="1320" w:type="dxa"/>
          </w:tcPr>
          <w:p w14:paraId="7C331E11" w14:textId="77777777" w:rsidR="008F369D" w:rsidRPr="00C501E3" w:rsidRDefault="00016F29" w:rsidP="008919D7">
            <w:pPr>
              <w:keepNext/>
              <w:keepLines/>
              <w:jc w:val="center"/>
              <w:rPr>
                <w:szCs w:val="22"/>
                <w:lang w:val="en-GB"/>
              </w:rPr>
            </w:pPr>
            <w:r w:rsidRPr="00C501E3">
              <w:rPr>
                <w:szCs w:val="22"/>
                <w:lang w:val="en-GB"/>
              </w:rPr>
              <w:t>74 %</w:t>
            </w:r>
          </w:p>
        </w:tc>
        <w:tc>
          <w:tcPr>
            <w:tcW w:w="1440" w:type="dxa"/>
          </w:tcPr>
          <w:p w14:paraId="7C331E12" w14:textId="77777777" w:rsidR="008F369D" w:rsidRPr="00C501E3" w:rsidRDefault="00016F29" w:rsidP="008919D7">
            <w:pPr>
              <w:keepNext/>
              <w:keepLines/>
              <w:jc w:val="center"/>
              <w:rPr>
                <w:szCs w:val="22"/>
                <w:lang w:val="en-GB"/>
              </w:rPr>
            </w:pPr>
            <w:r w:rsidRPr="00C501E3">
              <w:rPr>
                <w:szCs w:val="22"/>
                <w:lang w:val="en-GB"/>
              </w:rPr>
              <w:t>87 %</w:t>
            </w:r>
          </w:p>
        </w:tc>
        <w:tc>
          <w:tcPr>
            <w:tcW w:w="1200" w:type="dxa"/>
          </w:tcPr>
          <w:p w14:paraId="7C331E13" w14:textId="77777777" w:rsidR="008F369D" w:rsidRPr="00C501E3" w:rsidRDefault="00016F29" w:rsidP="008919D7">
            <w:pPr>
              <w:keepNext/>
              <w:keepLines/>
              <w:jc w:val="center"/>
              <w:rPr>
                <w:szCs w:val="22"/>
                <w:lang w:val="en-GB"/>
              </w:rPr>
            </w:pPr>
            <w:r w:rsidRPr="00C501E3">
              <w:rPr>
                <w:szCs w:val="22"/>
                <w:lang w:val="en-GB"/>
              </w:rPr>
              <w:t>0.0003</w:t>
            </w:r>
          </w:p>
        </w:tc>
        <w:tc>
          <w:tcPr>
            <w:tcW w:w="1920" w:type="dxa"/>
          </w:tcPr>
          <w:p w14:paraId="7C331E14" w14:textId="77777777" w:rsidR="008F369D" w:rsidRPr="00C501E3" w:rsidRDefault="00016F29" w:rsidP="008919D7">
            <w:pPr>
              <w:keepNext/>
              <w:keepLines/>
              <w:jc w:val="center"/>
              <w:rPr>
                <w:szCs w:val="22"/>
                <w:lang w:val="en-GB"/>
              </w:rPr>
            </w:pPr>
            <w:r w:rsidRPr="00C501E3">
              <w:rPr>
                <w:szCs w:val="22"/>
                <w:lang w:val="en-GB"/>
              </w:rPr>
              <w:t>Na</w:t>
            </w:r>
          </w:p>
        </w:tc>
      </w:tr>
      <w:tr w:rsidR="003A788B" w14:paraId="7C331E1B" w14:textId="77777777" w:rsidTr="008919D7">
        <w:trPr>
          <w:jc w:val="center"/>
        </w:trPr>
        <w:tc>
          <w:tcPr>
            <w:tcW w:w="1870" w:type="dxa"/>
          </w:tcPr>
          <w:p w14:paraId="7C331E16" w14:textId="77777777" w:rsidR="008F369D" w:rsidRPr="00C501E3" w:rsidRDefault="00016F29" w:rsidP="008919D7">
            <w:pPr>
              <w:keepNext/>
              <w:keepLines/>
              <w:jc w:val="right"/>
              <w:rPr>
                <w:szCs w:val="22"/>
                <w:lang w:val="en-GB"/>
              </w:rPr>
            </w:pPr>
            <w:r w:rsidRPr="00C501E3">
              <w:rPr>
                <w:szCs w:val="22"/>
                <w:lang w:val="en-GB"/>
              </w:rPr>
              <w:t>CR</w:t>
            </w:r>
            <w:r w:rsidRPr="00C501E3">
              <w:rPr>
                <w:szCs w:val="22"/>
                <w:vertAlign w:val="superscript"/>
                <w:lang w:val="en-GB"/>
              </w:rPr>
              <w:t>2)</w:t>
            </w:r>
          </w:p>
        </w:tc>
        <w:tc>
          <w:tcPr>
            <w:tcW w:w="1320" w:type="dxa"/>
          </w:tcPr>
          <w:p w14:paraId="7C331E17" w14:textId="77777777" w:rsidR="008F369D" w:rsidRPr="00C501E3" w:rsidRDefault="00016F29" w:rsidP="008919D7">
            <w:pPr>
              <w:keepNext/>
              <w:keepLines/>
              <w:jc w:val="center"/>
              <w:rPr>
                <w:szCs w:val="22"/>
                <w:lang w:val="en-GB"/>
              </w:rPr>
            </w:pPr>
            <w:r w:rsidRPr="00C501E3">
              <w:rPr>
                <w:szCs w:val="22"/>
                <w:lang w:val="en-GB"/>
              </w:rPr>
              <w:t>16 %</w:t>
            </w:r>
          </w:p>
        </w:tc>
        <w:tc>
          <w:tcPr>
            <w:tcW w:w="1440" w:type="dxa"/>
          </w:tcPr>
          <w:p w14:paraId="7C331E18" w14:textId="77777777" w:rsidR="008F369D" w:rsidRPr="00C501E3" w:rsidRDefault="00016F29" w:rsidP="008919D7">
            <w:pPr>
              <w:keepNext/>
              <w:keepLines/>
              <w:jc w:val="center"/>
              <w:rPr>
                <w:szCs w:val="22"/>
                <w:lang w:val="en-GB"/>
              </w:rPr>
            </w:pPr>
            <w:r w:rsidRPr="00C501E3">
              <w:rPr>
                <w:szCs w:val="22"/>
                <w:lang w:val="en-GB"/>
              </w:rPr>
              <w:t>29 %</w:t>
            </w:r>
          </w:p>
        </w:tc>
        <w:tc>
          <w:tcPr>
            <w:tcW w:w="1200" w:type="dxa"/>
          </w:tcPr>
          <w:p w14:paraId="7C331E19" w14:textId="77777777" w:rsidR="008F369D" w:rsidRPr="00C501E3" w:rsidRDefault="00016F29" w:rsidP="008919D7">
            <w:pPr>
              <w:keepNext/>
              <w:keepLines/>
              <w:jc w:val="center"/>
              <w:rPr>
                <w:szCs w:val="22"/>
                <w:lang w:val="en-GB"/>
              </w:rPr>
            </w:pPr>
            <w:r w:rsidRPr="00C501E3">
              <w:rPr>
                <w:szCs w:val="22"/>
                <w:lang w:val="en-GB"/>
              </w:rPr>
              <w:t>0.0005</w:t>
            </w:r>
          </w:p>
        </w:tc>
        <w:tc>
          <w:tcPr>
            <w:tcW w:w="1920" w:type="dxa"/>
          </w:tcPr>
          <w:p w14:paraId="7C331E1A" w14:textId="77777777" w:rsidR="008F369D" w:rsidRPr="00C501E3" w:rsidRDefault="00016F29" w:rsidP="008919D7">
            <w:pPr>
              <w:keepNext/>
              <w:keepLines/>
              <w:jc w:val="center"/>
              <w:rPr>
                <w:szCs w:val="22"/>
                <w:lang w:val="en-GB"/>
              </w:rPr>
            </w:pPr>
            <w:r w:rsidRPr="00C501E3">
              <w:rPr>
                <w:szCs w:val="22"/>
                <w:lang w:val="en-GB"/>
              </w:rPr>
              <w:t>Na</w:t>
            </w:r>
          </w:p>
        </w:tc>
      </w:tr>
      <w:tr w:rsidR="003A788B" w14:paraId="7C331E21" w14:textId="77777777" w:rsidTr="008919D7">
        <w:trPr>
          <w:jc w:val="center"/>
        </w:trPr>
        <w:tc>
          <w:tcPr>
            <w:tcW w:w="1870" w:type="dxa"/>
          </w:tcPr>
          <w:p w14:paraId="7C331E1C" w14:textId="77777777" w:rsidR="008F369D" w:rsidRPr="00C501E3" w:rsidRDefault="00016F29" w:rsidP="008919D7">
            <w:pPr>
              <w:keepNext/>
              <w:keepLines/>
              <w:jc w:val="right"/>
              <w:rPr>
                <w:szCs w:val="22"/>
                <w:lang w:val="en-GB"/>
              </w:rPr>
            </w:pPr>
            <w:r w:rsidRPr="00C501E3">
              <w:rPr>
                <w:szCs w:val="22"/>
                <w:lang w:val="en-GB"/>
              </w:rPr>
              <w:t>PR</w:t>
            </w:r>
            <w:r w:rsidRPr="00C501E3">
              <w:rPr>
                <w:szCs w:val="22"/>
                <w:vertAlign w:val="superscript"/>
                <w:lang w:val="en-GB"/>
              </w:rPr>
              <w:t>2)</w:t>
            </w:r>
          </w:p>
        </w:tc>
        <w:tc>
          <w:tcPr>
            <w:tcW w:w="1320" w:type="dxa"/>
          </w:tcPr>
          <w:p w14:paraId="7C331E1D" w14:textId="77777777" w:rsidR="008F369D" w:rsidRPr="00C501E3" w:rsidRDefault="00016F29" w:rsidP="008919D7">
            <w:pPr>
              <w:keepNext/>
              <w:keepLines/>
              <w:jc w:val="center"/>
              <w:rPr>
                <w:szCs w:val="22"/>
                <w:lang w:val="en-GB"/>
              </w:rPr>
            </w:pPr>
            <w:r w:rsidRPr="00C501E3">
              <w:rPr>
                <w:szCs w:val="22"/>
                <w:lang w:val="en-GB"/>
              </w:rPr>
              <w:t>58 %</w:t>
            </w:r>
          </w:p>
        </w:tc>
        <w:tc>
          <w:tcPr>
            <w:tcW w:w="1440" w:type="dxa"/>
          </w:tcPr>
          <w:p w14:paraId="7C331E1E" w14:textId="77777777" w:rsidR="008F369D" w:rsidRPr="00C501E3" w:rsidRDefault="00016F29" w:rsidP="008919D7">
            <w:pPr>
              <w:keepNext/>
              <w:keepLines/>
              <w:jc w:val="center"/>
              <w:rPr>
                <w:szCs w:val="22"/>
                <w:lang w:val="en-GB"/>
              </w:rPr>
            </w:pPr>
            <w:r w:rsidRPr="00C501E3">
              <w:rPr>
                <w:szCs w:val="22"/>
                <w:lang w:val="en-GB"/>
              </w:rPr>
              <w:t>58 %</w:t>
            </w:r>
          </w:p>
        </w:tc>
        <w:tc>
          <w:tcPr>
            <w:tcW w:w="1200" w:type="dxa"/>
          </w:tcPr>
          <w:p w14:paraId="7C331E1F" w14:textId="77777777" w:rsidR="008F369D" w:rsidRPr="00C501E3" w:rsidRDefault="00016F29" w:rsidP="008919D7">
            <w:pPr>
              <w:keepNext/>
              <w:keepLines/>
              <w:jc w:val="center"/>
              <w:rPr>
                <w:szCs w:val="22"/>
                <w:lang w:val="en-GB"/>
              </w:rPr>
            </w:pPr>
            <w:r w:rsidRPr="00C501E3">
              <w:rPr>
                <w:szCs w:val="22"/>
                <w:lang w:val="en-GB"/>
              </w:rPr>
              <w:t>0.9449</w:t>
            </w:r>
          </w:p>
        </w:tc>
        <w:tc>
          <w:tcPr>
            <w:tcW w:w="1920" w:type="dxa"/>
          </w:tcPr>
          <w:p w14:paraId="7C331E20" w14:textId="77777777" w:rsidR="008F369D" w:rsidRPr="00C501E3" w:rsidRDefault="00016F29" w:rsidP="008919D7">
            <w:pPr>
              <w:keepNext/>
              <w:keepLines/>
              <w:jc w:val="center"/>
              <w:rPr>
                <w:szCs w:val="22"/>
                <w:lang w:val="en-GB"/>
              </w:rPr>
            </w:pPr>
            <w:r w:rsidRPr="00C501E3">
              <w:rPr>
                <w:szCs w:val="22"/>
                <w:lang w:val="en-GB"/>
              </w:rPr>
              <w:t>Na</w:t>
            </w:r>
          </w:p>
        </w:tc>
      </w:tr>
    </w:tbl>
    <w:p w14:paraId="7C331E22" w14:textId="77777777" w:rsidR="008F369D" w:rsidRPr="00C501E3" w:rsidRDefault="00016F29" w:rsidP="008F369D">
      <w:pPr>
        <w:keepNext/>
        <w:keepLines/>
        <w:rPr>
          <w:sz w:val="18"/>
          <w:szCs w:val="18"/>
          <w:lang w:val="en-GB"/>
        </w:rPr>
      </w:pPr>
      <w:r w:rsidRPr="00C501E3">
        <w:rPr>
          <w:sz w:val="18"/>
          <w:szCs w:val="18"/>
          <w:vertAlign w:val="superscript"/>
          <w:lang w:val="en-GB"/>
        </w:rPr>
        <w:t>1)</w:t>
      </w:r>
      <w:r w:rsidRPr="00C501E3">
        <w:rPr>
          <w:sz w:val="18"/>
          <w:szCs w:val="18"/>
          <w:lang w:val="en-GB"/>
        </w:rPr>
        <w:t xml:space="preserve"> Estimates were calculated by hazard ratios</w:t>
      </w:r>
    </w:p>
    <w:p w14:paraId="7C331E23" w14:textId="77777777" w:rsidR="008F369D" w:rsidRPr="00E93A02" w:rsidRDefault="00016F29" w:rsidP="008F369D">
      <w:pPr>
        <w:keepLines/>
        <w:rPr>
          <w:sz w:val="18"/>
          <w:szCs w:val="18"/>
          <w:lang w:val="en-GB"/>
        </w:rPr>
      </w:pPr>
      <w:r w:rsidRPr="00C501E3">
        <w:rPr>
          <w:sz w:val="18"/>
          <w:szCs w:val="18"/>
          <w:vertAlign w:val="superscript"/>
          <w:lang w:val="en-GB"/>
        </w:rPr>
        <w:t>2)</w:t>
      </w:r>
      <w:r w:rsidRPr="00C501E3">
        <w:rPr>
          <w:sz w:val="18"/>
          <w:szCs w:val="18"/>
          <w:lang w:val="en-GB"/>
        </w:rPr>
        <w:t xml:space="preserve"> Last tumour response as assessed by the investigator. The “primary” statistical test for “response” was the trend test of CR </w:t>
      </w:r>
      <w:r w:rsidRPr="00E93A02">
        <w:rPr>
          <w:sz w:val="18"/>
          <w:szCs w:val="18"/>
          <w:lang w:val="en-GB"/>
        </w:rPr>
        <w:t>versus PR versus non</w:t>
      </w:r>
      <w:r w:rsidR="000A6DDA" w:rsidRPr="00E93A02">
        <w:rPr>
          <w:sz w:val="18"/>
          <w:szCs w:val="18"/>
          <w:lang w:val="en-GB"/>
        </w:rPr>
        <w:noBreakHyphen/>
      </w:r>
      <w:r w:rsidRPr="00E93A02">
        <w:rPr>
          <w:sz w:val="18"/>
          <w:szCs w:val="18"/>
          <w:lang w:val="en-GB"/>
        </w:rPr>
        <w:t xml:space="preserve">response (p &lt; 0.0001) </w:t>
      </w:r>
    </w:p>
    <w:p w14:paraId="7C331E24" w14:textId="77777777" w:rsidR="008F369D" w:rsidRPr="00E93A02" w:rsidRDefault="00016F29" w:rsidP="008F369D">
      <w:pPr>
        <w:rPr>
          <w:sz w:val="18"/>
          <w:szCs w:val="18"/>
          <w:lang w:val="en-GB"/>
        </w:rPr>
      </w:pPr>
      <w:r w:rsidRPr="00E93A02">
        <w:rPr>
          <w:sz w:val="18"/>
          <w:szCs w:val="18"/>
          <w:lang w:val="en-GB"/>
        </w:rPr>
        <w:t>Abbreviations: NA, not available; ORR: overall response rate; CR: complete response; PR: partial response</w:t>
      </w:r>
    </w:p>
    <w:p w14:paraId="7C331E25" w14:textId="77777777" w:rsidR="008F369D" w:rsidRPr="00E93A02" w:rsidRDefault="008F369D" w:rsidP="008F369D">
      <w:pPr>
        <w:rPr>
          <w:lang w:val="en-GB"/>
        </w:rPr>
      </w:pPr>
    </w:p>
    <w:p w14:paraId="7C331E26" w14:textId="77777777" w:rsidR="008F369D" w:rsidRPr="003D4A12" w:rsidRDefault="00016F29" w:rsidP="008F369D">
      <w:pPr>
        <w:rPr>
          <w:szCs w:val="22"/>
          <w:lang w:val="en-GB"/>
        </w:rPr>
      </w:pPr>
      <w:r w:rsidRPr="00E93A02">
        <w:rPr>
          <w:szCs w:val="22"/>
          <w:lang w:val="en-GB"/>
        </w:rPr>
        <w:t>For patients randomized to the maintenance phase of the trial, the median observation time was 28 months from maintenance randomisation. Maintenance treatment with MabThera led to a clinically relevant and statistically significant improvement in the primary endpoint, PFS, (time from maintenance randomisation to relapse, disease progression or death) when compared to observation alone (p&lt; 0.0001 log</w:t>
      </w:r>
      <w:r w:rsidR="000A6DDA" w:rsidRPr="00E93A02">
        <w:rPr>
          <w:szCs w:val="22"/>
          <w:lang w:val="en-GB"/>
        </w:rPr>
        <w:noBreakHyphen/>
      </w:r>
      <w:r w:rsidRPr="00E93A02">
        <w:rPr>
          <w:szCs w:val="22"/>
          <w:lang w:val="en-GB"/>
        </w:rPr>
        <w:t>rank test).The median PFS was 42.2 months in the MabThera maintenance arm compared to 14.3 months in the observation arm. Using a cox regression analysis, the risk of</w:t>
      </w:r>
      <w:r w:rsidRPr="00C501E3">
        <w:rPr>
          <w:szCs w:val="22"/>
          <w:lang w:val="en-GB"/>
        </w:rPr>
        <w:t xml:space="preserve"> experiencing progressive disease or death was reduced by 61 % with MabThera maintenance </w:t>
      </w:r>
      <w:r w:rsidRPr="003D4A12">
        <w:rPr>
          <w:szCs w:val="22"/>
          <w:lang w:val="en-GB"/>
        </w:rPr>
        <w:t>treatment when compared to observation (95 % CI; 45 %</w:t>
      </w:r>
      <w:r w:rsidR="000A6DDA" w:rsidRPr="003D4A12">
        <w:rPr>
          <w:szCs w:val="22"/>
          <w:lang w:val="en-GB"/>
        </w:rPr>
        <w:noBreakHyphen/>
      </w:r>
      <w:r w:rsidRPr="003D4A12">
        <w:rPr>
          <w:szCs w:val="22"/>
          <w:lang w:val="en-GB"/>
        </w:rPr>
        <w:t>72 %). Kaplan</w:t>
      </w:r>
      <w:r w:rsidR="000A6DDA" w:rsidRPr="003D4A12">
        <w:rPr>
          <w:szCs w:val="22"/>
          <w:lang w:val="en-GB"/>
        </w:rPr>
        <w:noBreakHyphen/>
      </w:r>
      <w:r w:rsidRPr="003D4A12">
        <w:rPr>
          <w:szCs w:val="22"/>
          <w:lang w:val="en-GB"/>
        </w:rPr>
        <w:t>Meier estimated progression</w:t>
      </w:r>
      <w:r w:rsidR="000A6DDA" w:rsidRPr="003D4A12">
        <w:rPr>
          <w:szCs w:val="22"/>
          <w:lang w:val="en-GB"/>
        </w:rPr>
        <w:noBreakHyphen/>
      </w:r>
      <w:r w:rsidRPr="003D4A12">
        <w:rPr>
          <w:szCs w:val="22"/>
          <w:lang w:val="en-GB"/>
        </w:rPr>
        <w:t>free rates at 12 months were 78 % in the MabThera maintenance group vs. 57 % in the observation group. An analysis of overall survival confirmed the significant benefit of MabThera maintenance over observation (p=0.0039 log</w:t>
      </w:r>
      <w:r w:rsidR="000A6DDA" w:rsidRPr="003D4A12">
        <w:rPr>
          <w:szCs w:val="22"/>
          <w:lang w:val="en-GB"/>
        </w:rPr>
        <w:noBreakHyphen/>
      </w:r>
      <w:r w:rsidRPr="003D4A12">
        <w:rPr>
          <w:szCs w:val="22"/>
          <w:lang w:val="en-GB"/>
        </w:rPr>
        <w:t>rank test). MabThera maintenance treatment reduced the risk of death by 56 % (95 % CI; 22 %</w:t>
      </w:r>
      <w:r w:rsidR="000A6DDA" w:rsidRPr="003D4A12">
        <w:rPr>
          <w:szCs w:val="22"/>
          <w:lang w:val="en-GB"/>
        </w:rPr>
        <w:noBreakHyphen/>
      </w:r>
      <w:r w:rsidRPr="003D4A12">
        <w:rPr>
          <w:szCs w:val="22"/>
          <w:lang w:val="en-GB"/>
        </w:rPr>
        <w:t>75 %).</w:t>
      </w:r>
    </w:p>
    <w:p w14:paraId="7C331E27" w14:textId="77777777" w:rsidR="008F369D" w:rsidRDefault="008F369D" w:rsidP="008F369D">
      <w:pPr>
        <w:rPr>
          <w:szCs w:val="22"/>
          <w:lang w:val="en-GB"/>
        </w:rPr>
      </w:pPr>
    </w:p>
    <w:p w14:paraId="7C331E28" w14:textId="77777777" w:rsidR="008F369D" w:rsidRPr="00C501E3" w:rsidRDefault="00016F29" w:rsidP="008F369D">
      <w:pPr>
        <w:keepNext/>
        <w:keepLines/>
        <w:ind w:left="1134" w:hanging="1134"/>
        <w:rPr>
          <w:b/>
          <w:lang w:val="en-GB"/>
        </w:rPr>
      </w:pPr>
      <w:r w:rsidRPr="007152D5">
        <w:rPr>
          <w:b/>
          <w:lang w:val="en-GB"/>
        </w:rPr>
        <w:t>Table </w:t>
      </w:r>
      <w:r w:rsidR="00E90C58" w:rsidRPr="007152D5">
        <w:rPr>
          <w:b/>
          <w:lang w:val="en-GB"/>
        </w:rPr>
        <w:t>6</w:t>
      </w:r>
      <w:r w:rsidRPr="00C501E3">
        <w:rPr>
          <w:b/>
          <w:lang w:val="en-GB"/>
        </w:rPr>
        <w:tab/>
        <w:t xml:space="preserve">Maintenance phase: overview of efficacy results MabThera vs. observation (28 months median observation time) </w:t>
      </w:r>
    </w:p>
    <w:tbl>
      <w:tblPr>
        <w:tblW w:w="8613" w:type="dxa"/>
        <w:jc w:val="center"/>
        <w:tblBorders>
          <w:top w:val="single" w:sz="6" w:space="0" w:color="000000"/>
          <w:bottom w:val="single" w:sz="6" w:space="0" w:color="000000"/>
          <w:insideV w:val="single" w:sz="6" w:space="0" w:color="000000"/>
        </w:tblBorders>
        <w:tblLayout w:type="fixed"/>
        <w:tblLook w:val="0000" w:firstRow="0" w:lastRow="0" w:firstColumn="0" w:lastColumn="0" w:noHBand="0" w:noVBand="0"/>
      </w:tblPr>
      <w:tblGrid>
        <w:gridCol w:w="3108"/>
        <w:gridCol w:w="1440"/>
        <w:gridCol w:w="1372"/>
        <w:gridCol w:w="1276"/>
        <w:gridCol w:w="1417"/>
      </w:tblGrid>
      <w:tr w:rsidR="003A788B" w14:paraId="7C331E2C" w14:textId="77777777" w:rsidTr="008919D7">
        <w:trPr>
          <w:cantSplit/>
          <w:tblHeader/>
          <w:jc w:val="center"/>
        </w:trPr>
        <w:tc>
          <w:tcPr>
            <w:tcW w:w="3108" w:type="dxa"/>
            <w:vMerge w:val="restart"/>
            <w:tcBorders>
              <w:top w:val="single" w:sz="6" w:space="0" w:color="000000"/>
              <w:left w:val="single" w:sz="4" w:space="0" w:color="auto"/>
            </w:tcBorders>
          </w:tcPr>
          <w:p w14:paraId="7C331E29" w14:textId="77777777" w:rsidR="008F369D" w:rsidRPr="00C501E3" w:rsidRDefault="00016F29" w:rsidP="008919D7">
            <w:pPr>
              <w:keepNext/>
              <w:keepLines/>
              <w:jc w:val="center"/>
              <w:rPr>
                <w:b/>
                <w:szCs w:val="22"/>
                <w:lang w:val="en-GB"/>
              </w:rPr>
            </w:pPr>
            <w:r w:rsidRPr="00C501E3">
              <w:rPr>
                <w:b/>
                <w:szCs w:val="22"/>
                <w:lang w:val="en-GB"/>
              </w:rPr>
              <w:t>Efficacy Parameter</w:t>
            </w:r>
          </w:p>
        </w:tc>
        <w:tc>
          <w:tcPr>
            <w:tcW w:w="4088" w:type="dxa"/>
            <w:gridSpan w:val="3"/>
            <w:tcBorders>
              <w:top w:val="single" w:sz="6" w:space="0" w:color="000000"/>
              <w:bottom w:val="single" w:sz="6" w:space="0" w:color="000000"/>
            </w:tcBorders>
          </w:tcPr>
          <w:p w14:paraId="7C331E2A" w14:textId="77777777" w:rsidR="008F369D" w:rsidRPr="00AD003E" w:rsidRDefault="00016F29" w:rsidP="008919D7">
            <w:pPr>
              <w:keepNext/>
              <w:keepLines/>
              <w:jc w:val="center"/>
              <w:rPr>
                <w:b/>
                <w:szCs w:val="22"/>
                <w:lang w:val="en-GB"/>
              </w:rPr>
            </w:pPr>
            <w:r w:rsidRPr="00AD003E">
              <w:rPr>
                <w:b/>
                <w:szCs w:val="22"/>
                <w:lang w:val="en-GB"/>
              </w:rPr>
              <w:t>Kaplan</w:t>
            </w:r>
            <w:r w:rsidR="000A6DDA" w:rsidRPr="00AD003E">
              <w:rPr>
                <w:b/>
                <w:szCs w:val="22"/>
                <w:lang w:val="en-GB"/>
              </w:rPr>
              <w:noBreakHyphen/>
            </w:r>
            <w:r w:rsidRPr="00AD003E">
              <w:rPr>
                <w:b/>
                <w:szCs w:val="22"/>
                <w:lang w:val="en-GB"/>
              </w:rPr>
              <w:t xml:space="preserve">Meier Estimate of </w:t>
            </w:r>
            <w:r w:rsidRPr="00AD003E">
              <w:rPr>
                <w:b/>
                <w:szCs w:val="22"/>
                <w:lang w:val="en-GB"/>
              </w:rPr>
              <w:br/>
              <w:t>Median Time to Event (Months)</w:t>
            </w:r>
          </w:p>
        </w:tc>
        <w:tc>
          <w:tcPr>
            <w:tcW w:w="1417" w:type="dxa"/>
            <w:vMerge w:val="restart"/>
            <w:tcBorders>
              <w:top w:val="single" w:sz="6" w:space="0" w:color="000000"/>
              <w:right w:val="single" w:sz="6" w:space="0" w:color="000000"/>
            </w:tcBorders>
          </w:tcPr>
          <w:p w14:paraId="7C331E2B" w14:textId="77777777" w:rsidR="008F369D" w:rsidRPr="00C501E3" w:rsidRDefault="00016F29" w:rsidP="008919D7">
            <w:pPr>
              <w:keepNext/>
              <w:keepLines/>
              <w:jc w:val="center"/>
              <w:rPr>
                <w:b/>
                <w:szCs w:val="22"/>
                <w:vertAlign w:val="superscript"/>
                <w:lang w:val="en-GB"/>
              </w:rPr>
            </w:pPr>
            <w:r w:rsidRPr="00C501E3">
              <w:rPr>
                <w:b/>
                <w:szCs w:val="22"/>
                <w:lang w:val="en-GB"/>
              </w:rPr>
              <w:t>Risk Reduction</w:t>
            </w:r>
          </w:p>
        </w:tc>
      </w:tr>
      <w:tr w:rsidR="003A788B" w14:paraId="7C331E34" w14:textId="77777777" w:rsidTr="008919D7">
        <w:trPr>
          <w:cantSplit/>
          <w:tblHeader/>
          <w:jc w:val="center"/>
        </w:trPr>
        <w:tc>
          <w:tcPr>
            <w:tcW w:w="3108" w:type="dxa"/>
            <w:vMerge/>
            <w:tcBorders>
              <w:left w:val="single" w:sz="4" w:space="0" w:color="auto"/>
              <w:bottom w:val="single" w:sz="6" w:space="0" w:color="000000"/>
            </w:tcBorders>
          </w:tcPr>
          <w:p w14:paraId="7C331E2D" w14:textId="77777777" w:rsidR="008F369D" w:rsidRPr="00C501E3" w:rsidRDefault="008F369D" w:rsidP="008919D7">
            <w:pPr>
              <w:keepNext/>
              <w:keepLines/>
              <w:jc w:val="center"/>
              <w:rPr>
                <w:b/>
                <w:szCs w:val="22"/>
                <w:lang w:val="en-GB"/>
              </w:rPr>
            </w:pPr>
          </w:p>
        </w:tc>
        <w:tc>
          <w:tcPr>
            <w:tcW w:w="1440" w:type="dxa"/>
            <w:tcBorders>
              <w:top w:val="single" w:sz="6" w:space="0" w:color="000000"/>
              <w:bottom w:val="single" w:sz="6" w:space="0" w:color="000000"/>
            </w:tcBorders>
          </w:tcPr>
          <w:p w14:paraId="7C331E2E" w14:textId="77777777" w:rsidR="008F369D" w:rsidRPr="00C501E3" w:rsidRDefault="00016F29" w:rsidP="008919D7">
            <w:pPr>
              <w:keepNext/>
              <w:keepLines/>
              <w:jc w:val="center"/>
              <w:rPr>
                <w:b/>
                <w:szCs w:val="22"/>
                <w:lang w:val="en-GB"/>
              </w:rPr>
            </w:pPr>
            <w:r w:rsidRPr="00C501E3">
              <w:rPr>
                <w:b/>
                <w:szCs w:val="22"/>
                <w:lang w:val="en-GB"/>
              </w:rPr>
              <w:t>Observation</w:t>
            </w:r>
          </w:p>
          <w:p w14:paraId="7C331E2F" w14:textId="77777777" w:rsidR="008F369D" w:rsidRPr="00C501E3" w:rsidRDefault="00016F29" w:rsidP="008919D7">
            <w:pPr>
              <w:keepNext/>
              <w:keepLines/>
              <w:jc w:val="center"/>
              <w:rPr>
                <w:b/>
                <w:szCs w:val="22"/>
                <w:lang w:val="en-GB"/>
              </w:rPr>
            </w:pPr>
            <w:r w:rsidRPr="00C501E3">
              <w:rPr>
                <w:b/>
                <w:szCs w:val="22"/>
                <w:lang w:val="en-GB"/>
              </w:rPr>
              <w:t>(N = 167)</w:t>
            </w:r>
          </w:p>
        </w:tc>
        <w:tc>
          <w:tcPr>
            <w:tcW w:w="1372" w:type="dxa"/>
            <w:tcBorders>
              <w:top w:val="single" w:sz="6" w:space="0" w:color="000000"/>
              <w:bottom w:val="single" w:sz="6" w:space="0" w:color="000000"/>
            </w:tcBorders>
          </w:tcPr>
          <w:p w14:paraId="7C331E30" w14:textId="77777777" w:rsidR="008F369D" w:rsidRPr="00C501E3" w:rsidRDefault="00016F29" w:rsidP="008919D7">
            <w:pPr>
              <w:keepNext/>
              <w:keepLines/>
              <w:jc w:val="center"/>
              <w:rPr>
                <w:b/>
                <w:szCs w:val="22"/>
                <w:lang w:val="en-GB"/>
              </w:rPr>
            </w:pPr>
            <w:r w:rsidRPr="00C501E3">
              <w:rPr>
                <w:b/>
                <w:szCs w:val="22"/>
                <w:lang w:val="en-GB"/>
              </w:rPr>
              <w:t>MabThera</w:t>
            </w:r>
          </w:p>
          <w:p w14:paraId="7C331E31" w14:textId="77777777" w:rsidR="008F369D" w:rsidRPr="00C501E3" w:rsidRDefault="00016F29" w:rsidP="008919D7">
            <w:pPr>
              <w:keepNext/>
              <w:keepLines/>
              <w:jc w:val="center"/>
              <w:rPr>
                <w:b/>
                <w:szCs w:val="22"/>
                <w:lang w:val="en-GB"/>
              </w:rPr>
            </w:pPr>
            <w:r w:rsidRPr="00C501E3">
              <w:rPr>
                <w:b/>
                <w:szCs w:val="22"/>
                <w:lang w:val="en-GB"/>
              </w:rPr>
              <w:t>(N=167)</w:t>
            </w:r>
          </w:p>
        </w:tc>
        <w:tc>
          <w:tcPr>
            <w:tcW w:w="1276" w:type="dxa"/>
            <w:tcBorders>
              <w:top w:val="single" w:sz="6" w:space="0" w:color="000000"/>
              <w:bottom w:val="single" w:sz="6" w:space="0" w:color="000000"/>
            </w:tcBorders>
          </w:tcPr>
          <w:p w14:paraId="7C331E32" w14:textId="77777777" w:rsidR="008F369D" w:rsidRPr="00CF7702" w:rsidRDefault="00016F29" w:rsidP="008919D7">
            <w:pPr>
              <w:keepNext/>
              <w:keepLines/>
              <w:jc w:val="center"/>
              <w:rPr>
                <w:b/>
                <w:szCs w:val="22"/>
                <w:lang w:val="en-GB"/>
              </w:rPr>
            </w:pPr>
            <w:r w:rsidRPr="00CF7702">
              <w:rPr>
                <w:b/>
                <w:szCs w:val="22"/>
                <w:lang w:val="en-GB"/>
              </w:rPr>
              <w:t>Log</w:t>
            </w:r>
            <w:r w:rsidR="000A6DDA" w:rsidRPr="00CF7702">
              <w:rPr>
                <w:b/>
                <w:szCs w:val="22"/>
                <w:lang w:val="en-GB"/>
              </w:rPr>
              <w:noBreakHyphen/>
            </w:r>
            <w:r w:rsidRPr="00CF7702">
              <w:rPr>
                <w:b/>
                <w:szCs w:val="22"/>
                <w:lang w:val="en-GB"/>
              </w:rPr>
              <w:t xml:space="preserve">Rank </w:t>
            </w:r>
            <w:r w:rsidRPr="00CF7702">
              <w:rPr>
                <w:b/>
                <w:szCs w:val="22"/>
                <w:lang w:val="en-GB"/>
              </w:rPr>
              <w:br/>
              <w:t>p value</w:t>
            </w:r>
          </w:p>
        </w:tc>
        <w:tc>
          <w:tcPr>
            <w:tcW w:w="1417" w:type="dxa"/>
            <w:vMerge/>
            <w:tcBorders>
              <w:bottom w:val="single" w:sz="6" w:space="0" w:color="000000"/>
              <w:right w:val="single" w:sz="6" w:space="0" w:color="000000"/>
            </w:tcBorders>
          </w:tcPr>
          <w:p w14:paraId="7C331E33" w14:textId="77777777" w:rsidR="008F369D" w:rsidRPr="00C501E3" w:rsidRDefault="008F369D" w:rsidP="008919D7">
            <w:pPr>
              <w:keepNext/>
              <w:keepLines/>
              <w:jc w:val="center"/>
              <w:rPr>
                <w:b/>
                <w:szCs w:val="22"/>
                <w:lang w:val="en-GB"/>
              </w:rPr>
            </w:pPr>
          </w:p>
        </w:tc>
      </w:tr>
      <w:tr w:rsidR="003A788B" w14:paraId="7C331E3A" w14:textId="77777777" w:rsidTr="008919D7">
        <w:trPr>
          <w:jc w:val="center"/>
        </w:trPr>
        <w:tc>
          <w:tcPr>
            <w:tcW w:w="3108" w:type="dxa"/>
            <w:tcBorders>
              <w:top w:val="single" w:sz="6" w:space="0" w:color="000000"/>
              <w:left w:val="single" w:sz="4" w:space="0" w:color="auto"/>
              <w:bottom w:val="nil"/>
            </w:tcBorders>
          </w:tcPr>
          <w:p w14:paraId="7C331E35" w14:textId="77777777" w:rsidR="008F369D" w:rsidRPr="00DF4561" w:rsidRDefault="00016F29" w:rsidP="008919D7">
            <w:pPr>
              <w:keepNext/>
              <w:rPr>
                <w:b/>
                <w:szCs w:val="22"/>
                <w:lang w:val="en-GB"/>
              </w:rPr>
            </w:pPr>
            <w:r w:rsidRPr="00DF4561">
              <w:rPr>
                <w:szCs w:val="22"/>
                <w:lang w:val="en-GB"/>
              </w:rPr>
              <w:t>Progression</w:t>
            </w:r>
            <w:r w:rsidR="000A6DDA" w:rsidRPr="00DF4561">
              <w:rPr>
                <w:rFonts w:ascii="Cambria Math" w:hAnsi="Cambria Math" w:cs="Cambria Math"/>
                <w:szCs w:val="22"/>
                <w:lang w:val="en-GB"/>
              </w:rPr>
              <w:noBreakHyphen/>
            </w:r>
            <w:r w:rsidRPr="00DF4561">
              <w:rPr>
                <w:szCs w:val="22"/>
                <w:lang w:val="en-GB"/>
              </w:rPr>
              <w:t>free survival (PFS)</w:t>
            </w:r>
          </w:p>
        </w:tc>
        <w:tc>
          <w:tcPr>
            <w:tcW w:w="1440" w:type="dxa"/>
            <w:tcBorders>
              <w:top w:val="single" w:sz="6" w:space="0" w:color="000000"/>
              <w:bottom w:val="nil"/>
            </w:tcBorders>
          </w:tcPr>
          <w:p w14:paraId="7C331E36" w14:textId="77777777" w:rsidR="008F369D" w:rsidRPr="00C501E3" w:rsidRDefault="00016F29" w:rsidP="008919D7">
            <w:pPr>
              <w:keepNext/>
              <w:jc w:val="center"/>
              <w:rPr>
                <w:i/>
                <w:szCs w:val="22"/>
                <w:lang w:val="en-GB"/>
              </w:rPr>
            </w:pPr>
            <w:r w:rsidRPr="00C501E3">
              <w:rPr>
                <w:i/>
                <w:szCs w:val="22"/>
                <w:lang w:val="en-GB"/>
              </w:rPr>
              <w:t>14.3</w:t>
            </w:r>
          </w:p>
        </w:tc>
        <w:tc>
          <w:tcPr>
            <w:tcW w:w="1372" w:type="dxa"/>
            <w:tcBorders>
              <w:top w:val="single" w:sz="6" w:space="0" w:color="000000"/>
              <w:bottom w:val="nil"/>
            </w:tcBorders>
          </w:tcPr>
          <w:p w14:paraId="7C331E37" w14:textId="77777777" w:rsidR="008F369D" w:rsidRPr="00C501E3" w:rsidRDefault="00016F29" w:rsidP="008919D7">
            <w:pPr>
              <w:keepNext/>
              <w:jc w:val="center"/>
              <w:rPr>
                <w:i/>
                <w:szCs w:val="22"/>
                <w:lang w:val="en-GB"/>
              </w:rPr>
            </w:pPr>
            <w:r w:rsidRPr="00C501E3">
              <w:rPr>
                <w:i/>
                <w:szCs w:val="22"/>
                <w:lang w:val="en-GB"/>
              </w:rPr>
              <w:t>42.2</w:t>
            </w:r>
          </w:p>
        </w:tc>
        <w:tc>
          <w:tcPr>
            <w:tcW w:w="1276" w:type="dxa"/>
            <w:tcBorders>
              <w:top w:val="single" w:sz="6" w:space="0" w:color="000000"/>
              <w:bottom w:val="nil"/>
            </w:tcBorders>
          </w:tcPr>
          <w:p w14:paraId="7C331E38" w14:textId="77777777" w:rsidR="008F369D" w:rsidRPr="00C501E3" w:rsidRDefault="00016F29" w:rsidP="008919D7">
            <w:pPr>
              <w:keepNext/>
              <w:jc w:val="center"/>
              <w:rPr>
                <w:i/>
                <w:szCs w:val="22"/>
                <w:lang w:val="en-GB"/>
              </w:rPr>
            </w:pPr>
            <w:r w:rsidRPr="00C501E3">
              <w:rPr>
                <w:i/>
                <w:szCs w:val="22"/>
                <w:lang w:val="en-GB"/>
              </w:rPr>
              <w:t>&lt; 0.0001</w:t>
            </w:r>
          </w:p>
        </w:tc>
        <w:tc>
          <w:tcPr>
            <w:tcW w:w="1417" w:type="dxa"/>
            <w:tcBorders>
              <w:top w:val="single" w:sz="6" w:space="0" w:color="000000"/>
              <w:bottom w:val="nil"/>
              <w:right w:val="single" w:sz="6" w:space="0" w:color="000000"/>
            </w:tcBorders>
          </w:tcPr>
          <w:p w14:paraId="7C331E39" w14:textId="77777777" w:rsidR="008F369D" w:rsidRPr="00C501E3" w:rsidRDefault="00016F29" w:rsidP="008919D7">
            <w:pPr>
              <w:keepNext/>
              <w:jc w:val="center"/>
              <w:rPr>
                <w:i/>
                <w:szCs w:val="22"/>
                <w:lang w:val="en-GB"/>
              </w:rPr>
            </w:pPr>
            <w:r w:rsidRPr="00C501E3">
              <w:rPr>
                <w:i/>
                <w:szCs w:val="22"/>
                <w:lang w:val="en-GB"/>
              </w:rPr>
              <w:t>61 %</w:t>
            </w:r>
          </w:p>
        </w:tc>
      </w:tr>
      <w:tr w:rsidR="003A788B" w14:paraId="7C331E40" w14:textId="77777777" w:rsidTr="008919D7">
        <w:trPr>
          <w:jc w:val="center"/>
        </w:trPr>
        <w:tc>
          <w:tcPr>
            <w:tcW w:w="3108" w:type="dxa"/>
            <w:tcBorders>
              <w:top w:val="nil"/>
              <w:left w:val="single" w:sz="4" w:space="0" w:color="auto"/>
              <w:bottom w:val="single" w:sz="4" w:space="0" w:color="auto"/>
            </w:tcBorders>
          </w:tcPr>
          <w:p w14:paraId="7C331E3B" w14:textId="77777777" w:rsidR="008F369D" w:rsidRPr="00DF4561" w:rsidRDefault="008F369D" w:rsidP="008919D7">
            <w:pPr>
              <w:keepNext/>
              <w:jc w:val="right"/>
              <w:rPr>
                <w:szCs w:val="22"/>
                <w:lang w:val="en-GB"/>
              </w:rPr>
            </w:pPr>
          </w:p>
        </w:tc>
        <w:tc>
          <w:tcPr>
            <w:tcW w:w="1440" w:type="dxa"/>
            <w:tcBorders>
              <w:top w:val="nil"/>
              <w:bottom w:val="single" w:sz="4" w:space="0" w:color="auto"/>
            </w:tcBorders>
          </w:tcPr>
          <w:p w14:paraId="7C331E3C" w14:textId="77777777" w:rsidR="008F369D" w:rsidRPr="00C501E3" w:rsidRDefault="008F369D" w:rsidP="008919D7">
            <w:pPr>
              <w:keepNext/>
              <w:jc w:val="center"/>
              <w:rPr>
                <w:i/>
                <w:szCs w:val="22"/>
                <w:lang w:val="en-GB"/>
              </w:rPr>
            </w:pPr>
          </w:p>
        </w:tc>
        <w:tc>
          <w:tcPr>
            <w:tcW w:w="1372" w:type="dxa"/>
            <w:tcBorders>
              <w:top w:val="nil"/>
              <w:bottom w:val="single" w:sz="4" w:space="0" w:color="auto"/>
            </w:tcBorders>
          </w:tcPr>
          <w:p w14:paraId="7C331E3D" w14:textId="77777777" w:rsidR="008F369D" w:rsidRPr="00C501E3" w:rsidRDefault="008F369D" w:rsidP="008919D7">
            <w:pPr>
              <w:keepNext/>
              <w:jc w:val="center"/>
              <w:rPr>
                <w:i/>
                <w:szCs w:val="22"/>
                <w:lang w:val="en-GB"/>
              </w:rPr>
            </w:pPr>
          </w:p>
        </w:tc>
        <w:tc>
          <w:tcPr>
            <w:tcW w:w="1276" w:type="dxa"/>
            <w:tcBorders>
              <w:top w:val="nil"/>
              <w:bottom w:val="single" w:sz="4" w:space="0" w:color="auto"/>
            </w:tcBorders>
          </w:tcPr>
          <w:p w14:paraId="7C331E3E" w14:textId="77777777" w:rsidR="008F369D" w:rsidRPr="00C501E3" w:rsidRDefault="008F369D" w:rsidP="008919D7">
            <w:pPr>
              <w:keepNext/>
              <w:jc w:val="center"/>
              <w:rPr>
                <w:i/>
                <w:szCs w:val="22"/>
                <w:lang w:val="en-GB"/>
              </w:rPr>
            </w:pPr>
          </w:p>
        </w:tc>
        <w:tc>
          <w:tcPr>
            <w:tcW w:w="1417" w:type="dxa"/>
            <w:tcBorders>
              <w:top w:val="nil"/>
              <w:bottom w:val="single" w:sz="4" w:space="0" w:color="auto"/>
              <w:right w:val="single" w:sz="6" w:space="0" w:color="000000"/>
            </w:tcBorders>
          </w:tcPr>
          <w:p w14:paraId="7C331E3F" w14:textId="77777777" w:rsidR="008F369D" w:rsidRPr="00C501E3" w:rsidRDefault="008F369D" w:rsidP="008919D7">
            <w:pPr>
              <w:keepNext/>
              <w:jc w:val="center"/>
              <w:rPr>
                <w:i/>
                <w:szCs w:val="22"/>
                <w:lang w:val="en-GB"/>
              </w:rPr>
            </w:pPr>
          </w:p>
        </w:tc>
      </w:tr>
      <w:tr w:rsidR="003A788B" w14:paraId="7C331E46" w14:textId="77777777" w:rsidTr="008919D7">
        <w:trPr>
          <w:jc w:val="center"/>
        </w:trPr>
        <w:tc>
          <w:tcPr>
            <w:tcW w:w="3108" w:type="dxa"/>
            <w:tcBorders>
              <w:top w:val="single" w:sz="4" w:space="0" w:color="auto"/>
              <w:left w:val="single" w:sz="4" w:space="0" w:color="auto"/>
              <w:bottom w:val="nil"/>
            </w:tcBorders>
          </w:tcPr>
          <w:p w14:paraId="7C331E41" w14:textId="77777777" w:rsidR="008F369D" w:rsidRPr="00DF4561" w:rsidRDefault="00016F29" w:rsidP="00615F7C">
            <w:pPr>
              <w:keepNext/>
              <w:rPr>
                <w:b/>
                <w:szCs w:val="22"/>
                <w:lang w:val="en-GB"/>
              </w:rPr>
            </w:pPr>
            <w:r w:rsidRPr="00DF4561">
              <w:rPr>
                <w:szCs w:val="22"/>
                <w:lang w:val="en-GB"/>
              </w:rPr>
              <w:t>Overa</w:t>
            </w:r>
            <w:r w:rsidR="00615F7C" w:rsidRPr="00DF4561">
              <w:rPr>
                <w:szCs w:val="22"/>
                <w:lang w:val="en-GB"/>
              </w:rPr>
              <w:t>ll s</w:t>
            </w:r>
            <w:r w:rsidRPr="00DF4561">
              <w:rPr>
                <w:szCs w:val="22"/>
                <w:lang w:val="en-GB"/>
              </w:rPr>
              <w:t xml:space="preserve">urvival </w:t>
            </w:r>
          </w:p>
        </w:tc>
        <w:tc>
          <w:tcPr>
            <w:tcW w:w="1440" w:type="dxa"/>
            <w:tcBorders>
              <w:top w:val="single" w:sz="4" w:space="0" w:color="auto"/>
              <w:bottom w:val="nil"/>
            </w:tcBorders>
          </w:tcPr>
          <w:p w14:paraId="7C331E42" w14:textId="77777777" w:rsidR="008F369D" w:rsidRPr="00C501E3" w:rsidRDefault="00016F29" w:rsidP="008919D7">
            <w:pPr>
              <w:keepNext/>
              <w:jc w:val="center"/>
              <w:rPr>
                <w:i/>
                <w:szCs w:val="22"/>
                <w:lang w:val="en-GB"/>
              </w:rPr>
            </w:pPr>
            <w:r w:rsidRPr="00C501E3">
              <w:rPr>
                <w:i/>
                <w:szCs w:val="22"/>
                <w:lang w:val="en-GB"/>
              </w:rPr>
              <w:t>NR</w:t>
            </w:r>
          </w:p>
        </w:tc>
        <w:tc>
          <w:tcPr>
            <w:tcW w:w="1372" w:type="dxa"/>
            <w:tcBorders>
              <w:top w:val="single" w:sz="4" w:space="0" w:color="auto"/>
              <w:bottom w:val="nil"/>
            </w:tcBorders>
          </w:tcPr>
          <w:p w14:paraId="7C331E43" w14:textId="77777777" w:rsidR="008F369D" w:rsidRPr="00C501E3" w:rsidRDefault="00016F29" w:rsidP="008919D7">
            <w:pPr>
              <w:keepNext/>
              <w:jc w:val="center"/>
              <w:rPr>
                <w:i/>
                <w:szCs w:val="22"/>
                <w:lang w:val="en-GB"/>
              </w:rPr>
            </w:pPr>
            <w:r w:rsidRPr="00C501E3">
              <w:rPr>
                <w:i/>
                <w:szCs w:val="22"/>
                <w:lang w:val="en-GB"/>
              </w:rPr>
              <w:t>NR</w:t>
            </w:r>
          </w:p>
        </w:tc>
        <w:tc>
          <w:tcPr>
            <w:tcW w:w="1276" w:type="dxa"/>
            <w:tcBorders>
              <w:top w:val="single" w:sz="4" w:space="0" w:color="auto"/>
              <w:bottom w:val="nil"/>
            </w:tcBorders>
          </w:tcPr>
          <w:p w14:paraId="7C331E44" w14:textId="77777777" w:rsidR="008F369D" w:rsidRPr="00C501E3" w:rsidRDefault="00016F29" w:rsidP="008919D7">
            <w:pPr>
              <w:keepNext/>
              <w:jc w:val="center"/>
              <w:rPr>
                <w:i/>
                <w:szCs w:val="22"/>
                <w:lang w:val="en-GB"/>
              </w:rPr>
            </w:pPr>
            <w:r w:rsidRPr="00C501E3">
              <w:rPr>
                <w:i/>
                <w:szCs w:val="22"/>
                <w:lang w:val="en-GB"/>
              </w:rPr>
              <w:t>0.0039</w:t>
            </w:r>
          </w:p>
        </w:tc>
        <w:tc>
          <w:tcPr>
            <w:tcW w:w="1417" w:type="dxa"/>
            <w:tcBorders>
              <w:top w:val="single" w:sz="4" w:space="0" w:color="auto"/>
              <w:bottom w:val="nil"/>
              <w:right w:val="single" w:sz="6" w:space="0" w:color="000000"/>
            </w:tcBorders>
          </w:tcPr>
          <w:p w14:paraId="7C331E45" w14:textId="77777777" w:rsidR="008F369D" w:rsidRPr="00C501E3" w:rsidRDefault="00016F29" w:rsidP="008919D7">
            <w:pPr>
              <w:keepNext/>
              <w:jc w:val="center"/>
              <w:rPr>
                <w:i/>
                <w:szCs w:val="22"/>
                <w:lang w:val="en-GB"/>
              </w:rPr>
            </w:pPr>
            <w:r w:rsidRPr="00C501E3">
              <w:rPr>
                <w:i/>
                <w:szCs w:val="22"/>
                <w:lang w:val="en-GB"/>
              </w:rPr>
              <w:t>56 %</w:t>
            </w:r>
          </w:p>
        </w:tc>
      </w:tr>
      <w:tr w:rsidR="003A788B" w14:paraId="7C331E4C" w14:textId="77777777" w:rsidTr="008919D7">
        <w:trPr>
          <w:jc w:val="center"/>
        </w:trPr>
        <w:tc>
          <w:tcPr>
            <w:tcW w:w="3108" w:type="dxa"/>
            <w:tcBorders>
              <w:top w:val="nil"/>
              <w:left w:val="single" w:sz="4" w:space="0" w:color="auto"/>
              <w:bottom w:val="single" w:sz="4" w:space="0" w:color="auto"/>
            </w:tcBorders>
          </w:tcPr>
          <w:p w14:paraId="7C331E47" w14:textId="77777777" w:rsidR="008F369D" w:rsidRPr="00DF4561" w:rsidRDefault="008F369D" w:rsidP="008919D7">
            <w:pPr>
              <w:keepNext/>
              <w:jc w:val="right"/>
              <w:rPr>
                <w:szCs w:val="22"/>
                <w:lang w:val="en-GB"/>
              </w:rPr>
            </w:pPr>
          </w:p>
        </w:tc>
        <w:tc>
          <w:tcPr>
            <w:tcW w:w="1440" w:type="dxa"/>
            <w:tcBorders>
              <w:top w:val="nil"/>
              <w:bottom w:val="single" w:sz="4" w:space="0" w:color="auto"/>
            </w:tcBorders>
          </w:tcPr>
          <w:p w14:paraId="7C331E48" w14:textId="77777777" w:rsidR="008F369D" w:rsidRPr="00C501E3" w:rsidRDefault="008F369D" w:rsidP="008919D7">
            <w:pPr>
              <w:keepNext/>
              <w:jc w:val="center"/>
              <w:rPr>
                <w:i/>
                <w:szCs w:val="22"/>
                <w:lang w:val="en-GB"/>
              </w:rPr>
            </w:pPr>
          </w:p>
        </w:tc>
        <w:tc>
          <w:tcPr>
            <w:tcW w:w="1372" w:type="dxa"/>
            <w:tcBorders>
              <w:top w:val="nil"/>
              <w:bottom w:val="single" w:sz="4" w:space="0" w:color="auto"/>
            </w:tcBorders>
          </w:tcPr>
          <w:p w14:paraId="7C331E49" w14:textId="77777777" w:rsidR="008F369D" w:rsidRPr="00C501E3" w:rsidRDefault="008F369D" w:rsidP="008919D7">
            <w:pPr>
              <w:keepNext/>
              <w:jc w:val="center"/>
              <w:rPr>
                <w:i/>
                <w:szCs w:val="22"/>
                <w:lang w:val="en-GB"/>
              </w:rPr>
            </w:pPr>
          </w:p>
        </w:tc>
        <w:tc>
          <w:tcPr>
            <w:tcW w:w="1276" w:type="dxa"/>
            <w:tcBorders>
              <w:top w:val="nil"/>
              <w:bottom w:val="single" w:sz="4" w:space="0" w:color="auto"/>
            </w:tcBorders>
          </w:tcPr>
          <w:p w14:paraId="7C331E4A" w14:textId="77777777" w:rsidR="008F369D" w:rsidRPr="00C501E3" w:rsidRDefault="008F369D" w:rsidP="008919D7">
            <w:pPr>
              <w:keepNext/>
              <w:jc w:val="center"/>
              <w:rPr>
                <w:i/>
                <w:szCs w:val="22"/>
                <w:lang w:val="en-GB"/>
              </w:rPr>
            </w:pPr>
          </w:p>
        </w:tc>
        <w:tc>
          <w:tcPr>
            <w:tcW w:w="1417" w:type="dxa"/>
            <w:tcBorders>
              <w:top w:val="nil"/>
              <w:bottom w:val="single" w:sz="4" w:space="0" w:color="auto"/>
              <w:right w:val="single" w:sz="6" w:space="0" w:color="000000"/>
            </w:tcBorders>
          </w:tcPr>
          <w:p w14:paraId="7C331E4B" w14:textId="77777777" w:rsidR="008F369D" w:rsidRPr="00C501E3" w:rsidRDefault="008F369D" w:rsidP="008919D7">
            <w:pPr>
              <w:keepNext/>
              <w:jc w:val="center"/>
              <w:rPr>
                <w:i/>
                <w:szCs w:val="22"/>
                <w:lang w:val="en-GB"/>
              </w:rPr>
            </w:pPr>
          </w:p>
        </w:tc>
      </w:tr>
      <w:tr w:rsidR="003A788B" w14:paraId="7C331E52" w14:textId="77777777" w:rsidTr="008919D7">
        <w:trPr>
          <w:jc w:val="center"/>
        </w:trPr>
        <w:tc>
          <w:tcPr>
            <w:tcW w:w="3108" w:type="dxa"/>
            <w:tcBorders>
              <w:top w:val="single" w:sz="4" w:space="0" w:color="auto"/>
              <w:left w:val="single" w:sz="4" w:space="0" w:color="auto"/>
              <w:bottom w:val="nil"/>
            </w:tcBorders>
          </w:tcPr>
          <w:p w14:paraId="7C331E4D" w14:textId="77777777" w:rsidR="008F369D" w:rsidRPr="00DF4561" w:rsidRDefault="00016F29" w:rsidP="008919D7">
            <w:pPr>
              <w:keepNext/>
              <w:rPr>
                <w:szCs w:val="22"/>
                <w:lang w:val="en-GB"/>
              </w:rPr>
            </w:pPr>
            <w:r w:rsidRPr="00DF4561">
              <w:rPr>
                <w:szCs w:val="22"/>
                <w:lang w:val="en-GB"/>
              </w:rPr>
              <w:t>Time to new lymphoma treatment</w:t>
            </w:r>
          </w:p>
        </w:tc>
        <w:tc>
          <w:tcPr>
            <w:tcW w:w="1440" w:type="dxa"/>
            <w:tcBorders>
              <w:top w:val="single" w:sz="4" w:space="0" w:color="auto"/>
              <w:bottom w:val="nil"/>
            </w:tcBorders>
          </w:tcPr>
          <w:p w14:paraId="7C331E4E" w14:textId="77777777" w:rsidR="008F369D" w:rsidRPr="00C501E3" w:rsidRDefault="00016F29" w:rsidP="008919D7">
            <w:pPr>
              <w:keepNext/>
              <w:jc w:val="center"/>
              <w:rPr>
                <w:i/>
                <w:szCs w:val="22"/>
                <w:lang w:val="en-GB"/>
              </w:rPr>
            </w:pPr>
            <w:r w:rsidRPr="00C501E3">
              <w:rPr>
                <w:i/>
                <w:szCs w:val="22"/>
                <w:lang w:val="en-GB"/>
              </w:rPr>
              <w:t>20.1</w:t>
            </w:r>
          </w:p>
        </w:tc>
        <w:tc>
          <w:tcPr>
            <w:tcW w:w="1372" w:type="dxa"/>
            <w:tcBorders>
              <w:top w:val="single" w:sz="4" w:space="0" w:color="auto"/>
              <w:bottom w:val="nil"/>
            </w:tcBorders>
          </w:tcPr>
          <w:p w14:paraId="7C331E4F" w14:textId="77777777" w:rsidR="008F369D" w:rsidRPr="00C501E3" w:rsidRDefault="00016F29" w:rsidP="008919D7">
            <w:pPr>
              <w:keepNext/>
              <w:jc w:val="center"/>
              <w:rPr>
                <w:i/>
                <w:szCs w:val="22"/>
                <w:lang w:val="en-GB"/>
              </w:rPr>
            </w:pPr>
            <w:r w:rsidRPr="00C501E3">
              <w:rPr>
                <w:i/>
                <w:szCs w:val="22"/>
                <w:lang w:val="en-GB"/>
              </w:rPr>
              <w:t>38.8</w:t>
            </w:r>
          </w:p>
        </w:tc>
        <w:tc>
          <w:tcPr>
            <w:tcW w:w="1276" w:type="dxa"/>
            <w:tcBorders>
              <w:top w:val="single" w:sz="4" w:space="0" w:color="auto"/>
              <w:bottom w:val="nil"/>
            </w:tcBorders>
          </w:tcPr>
          <w:p w14:paraId="7C331E50" w14:textId="77777777" w:rsidR="008F369D" w:rsidRPr="00C501E3" w:rsidRDefault="00016F29" w:rsidP="008919D7">
            <w:pPr>
              <w:keepNext/>
              <w:jc w:val="center"/>
              <w:rPr>
                <w:i/>
                <w:szCs w:val="22"/>
                <w:lang w:val="en-GB"/>
              </w:rPr>
            </w:pPr>
            <w:r w:rsidRPr="00C501E3">
              <w:rPr>
                <w:i/>
                <w:szCs w:val="22"/>
                <w:lang w:val="en-GB"/>
              </w:rPr>
              <w:t>&lt; 0.0001</w:t>
            </w:r>
          </w:p>
        </w:tc>
        <w:tc>
          <w:tcPr>
            <w:tcW w:w="1417" w:type="dxa"/>
            <w:tcBorders>
              <w:top w:val="single" w:sz="4" w:space="0" w:color="auto"/>
              <w:bottom w:val="nil"/>
              <w:right w:val="single" w:sz="6" w:space="0" w:color="000000"/>
            </w:tcBorders>
          </w:tcPr>
          <w:p w14:paraId="7C331E51" w14:textId="77777777" w:rsidR="008F369D" w:rsidRPr="00C501E3" w:rsidRDefault="00016F29" w:rsidP="008919D7">
            <w:pPr>
              <w:keepNext/>
              <w:jc w:val="center"/>
              <w:rPr>
                <w:i/>
                <w:szCs w:val="22"/>
                <w:lang w:val="en-GB"/>
              </w:rPr>
            </w:pPr>
            <w:r w:rsidRPr="00C501E3">
              <w:rPr>
                <w:i/>
                <w:szCs w:val="22"/>
                <w:lang w:val="en-GB"/>
              </w:rPr>
              <w:t>50 %</w:t>
            </w:r>
          </w:p>
        </w:tc>
      </w:tr>
      <w:tr w:rsidR="003A788B" w14:paraId="7C331E58" w14:textId="77777777" w:rsidTr="008919D7">
        <w:trPr>
          <w:jc w:val="center"/>
        </w:trPr>
        <w:tc>
          <w:tcPr>
            <w:tcW w:w="3108" w:type="dxa"/>
            <w:tcBorders>
              <w:left w:val="single" w:sz="4" w:space="0" w:color="auto"/>
              <w:bottom w:val="nil"/>
            </w:tcBorders>
          </w:tcPr>
          <w:p w14:paraId="7C331E53" w14:textId="77777777" w:rsidR="008F369D" w:rsidRPr="00DF4561" w:rsidRDefault="008F369D" w:rsidP="008919D7">
            <w:pPr>
              <w:keepNext/>
              <w:jc w:val="right"/>
              <w:rPr>
                <w:szCs w:val="22"/>
                <w:lang w:val="en-GB"/>
              </w:rPr>
            </w:pPr>
          </w:p>
        </w:tc>
        <w:tc>
          <w:tcPr>
            <w:tcW w:w="1440" w:type="dxa"/>
            <w:tcBorders>
              <w:bottom w:val="nil"/>
            </w:tcBorders>
          </w:tcPr>
          <w:p w14:paraId="7C331E54" w14:textId="77777777" w:rsidR="008F369D" w:rsidRPr="00C501E3" w:rsidRDefault="008F369D" w:rsidP="008919D7">
            <w:pPr>
              <w:keepNext/>
              <w:jc w:val="center"/>
              <w:rPr>
                <w:i/>
                <w:szCs w:val="22"/>
                <w:lang w:val="en-GB"/>
              </w:rPr>
            </w:pPr>
          </w:p>
        </w:tc>
        <w:tc>
          <w:tcPr>
            <w:tcW w:w="1372" w:type="dxa"/>
            <w:tcBorders>
              <w:bottom w:val="nil"/>
            </w:tcBorders>
          </w:tcPr>
          <w:p w14:paraId="7C331E55" w14:textId="77777777" w:rsidR="008F369D" w:rsidRPr="00C501E3" w:rsidRDefault="008F369D" w:rsidP="008919D7">
            <w:pPr>
              <w:keepNext/>
              <w:jc w:val="center"/>
              <w:rPr>
                <w:i/>
                <w:szCs w:val="22"/>
                <w:lang w:val="en-GB"/>
              </w:rPr>
            </w:pPr>
          </w:p>
        </w:tc>
        <w:tc>
          <w:tcPr>
            <w:tcW w:w="1276" w:type="dxa"/>
            <w:tcBorders>
              <w:bottom w:val="nil"/>
            </w:tcBorders>
          </w:tcPr>
          <w:p w14:paraId="7C331E56" w14:textId="77777777" w:rsidR="008F369D" w:rsidRPr="00C501E3" w:rsidRDefault="008F369D" w:rsidP="008919D7">
            <w:pPr>
              <w:keepNext/>
              <w:jc w:val="center"/>
              <w:rPr>
                <w:i/>
                <w:szCs w:val="22"/>
                <w:lang w:val="en-GB"/>
              </w:rPr>
            </w:pPr>
          </w:p>
        </w:tc>
        <w:tc>
          <w:tcPr>
            <w:tcW w:w="1417" w:type="dxa"/>
            <w:tcBorders>
              <w:bottom w:val="nil"/>
              <w:right w:val="single" w:sz="6" w:space="0" w:color="000000"/>
            </w:tcBorders>
          </w:tcPr>
          <w:p w14:paraId="7C331E57" w14:textId="77777777" w:rsidR="008F369D" w:rsidRPr="00C501E3" w:rsidRDefault="008F369D" w:rsidP="008919D7">
            <w:pPr>
              <w:keepNext/>
              <w:jc w:val="center"/>
              <w:rPr>
                <w:i/>
                <w:szCs w:val="22"/>
                <w:lang w:val="en-GB"/>
              </w:rPr>
            </w:pPr>
          </w:p>
        </w:tc>
      </w:tr>
      <w:tr w:rsidR="003A788B" w14:paraId="7C331E5F" w14:textId="77777777" w:rsidTr="008919D7">
        <w:trPr>
          <w:jc w:val="center"/>
        </w:trPr>
        <w:tc>
          <w:tcPr>
            <w:tcW w:w="3108" w:type="dxa"/>
            <w:tcBorders>
              <w:top w:val="nil"/>
              <w:left w:val="single" w:sz="4" w:space="0" w:color="auto"/>
              <w:bottom w:val="single" w:sz="4" w:space="0" w:color="auto"/>
            </w:tcBorders>
          </w:tcPr>
          <w:p w14:paraId="7C331E59" w14:textId="77777777" w:rsidR="008F369D" w:rsidRPr="00DF4561" w:rsidRDefault="00016F29" w:rsidP="008919D7">
            <w:pPr>
              <w:keepNext/>
              <w:rPr>
                <w:szCs w:val="22"/>
                <w:vertAlign w:val="superscript"/>
                <w:lang w:val="en-GB"/>
              </w:rPr>
            </w:pPr>
            <w:r w:rsidRPr="00DF4561">
              <w:rPr>
                <w:szCs w:val="22"/>
                <w:lang w:val="en-GB"/>
              </w:rPr>
              <w:t>Disease</w:t>
            </w:r>
            <w:r w:rsidR="000A6DDA" w:rsidRPr="00DF4561">
              <w:rPr>
                <w:rFonts w:ascii="Cambria Math" w:hAnsi="Cambria Math" w:cs="Cambria Math"/>
                <w:szCs w:val="22"/>
                <w:lang w:val="en-GB"/>
              </w:rPr>
              <w:noBreakHyphen/>
            </w:r>
            <w:r w:rsidRPr="00DF4561">
              <w:rPr>
                <w:szCs w:val="22"/>
                <w:lang w:val="en-GB"/>
              </w:rPr>
              <w:t>free survival</w:t>
            </w:r>
            <w:r w:rsidRPr="00DF4561">
              <w:rPr>
                <w:szCs w:val="22"/>
                <w:vertAlign w:val="superscript"/>
                <w:lang w:val="en-GB"/>
              </w:rPr>
              <w:t>a</w:t>
            </w:r>
          </w:p>
          <w:p w14:paraId="7C331E5A" w14:textId="77777777" w:rsidR="008F369D" w:rsidRPr="00DF4561" w:rsidRDefault="008F369D" w:rsidP="008919D7">
            <w:pPr>
              <w:keepNext/>
              <w:rPr>
                <w:szCs w:val="22"/>
                <w:lang w:val="en-GB"/>
              </w:rPr>
            </w:pPr>
          </w:p>
        </w:tc>
        <w:tc>
          <w:tcPr>
            <w:tcW w:w="1440" w:type="dxa"/>
            <w:tcBorders>
              <w:top w:val="nil"/>
              <w:bottom w:val="single" w:sz="4" w:space="0" w:color="auto"/>
            </w:tcBorders>
          </w:tcPr>
          <w:p w14:paraId="7C331E5B" w14:textId="77777777" w:rsidR="008F369D" w:rsidRPr="00C501E3" w:rsidRDefault="00016F29" w:rsidP="008919D7">
            <w:pPr>
              <w:keepNext/>
              <w:jc w:val="center"/>
              <w:rPr>
                <w:i/>
                <w:szCs w:val="22"/>
                <w:lang w:val="en-GB"/>
              </w:rPr>
            </w:pPr>
            <w:r w:rsidRPr="00C501E3">
              <w:rPr>
                <w:i/>
                <w:szCs w:val="22"/>
                <w:lang w:val="en-GB"/>
              </w:rPr>
              <w:t>16.5</w:t>
            </w:r>
          </w:p>
        </w:tc>
        <w:tc>
          <w:tcPr>
            <w:tcW w:w="1372" w:type="dxa"/>
            <w:tcBorders>
              <w:top w:val="nil"/>
              <w:bottom w:val="single" w:sz="4" w:space="0" w:color="auto"/>
            </w:tcBorders>
          </w:tcPr>
          <w:p w14:paraId="7C331E5C" w14:textId="77777777" w:rsidR="008F369D" w:rsidRPr="00C501E3" w:rsidRDefault="00016F29" w:rsidP="008919D7">
            <w:pPr>
              <w:keepNext/>
              <w:jc w:val="center"/>
              <w:rPr>
                <w:i/>
                <w:szCs w:val="22"/>
                <w:lang w:val="en-GB"/>
              </w:rPr>
            </w:pPr>
            <w:r w:rsidRPr="00C501E3">
              <w:rPr>
                <w:i/>
                <w:szCs w:val="22"/>
                <w:lang w:val="en-GB"/>
              </w:rPr>
              <w:t>53.7</w:t>
            </w:r>
          </w:p>
        </w:tc>
        <w:tc>
          <w:tcPr>
            <w:tcW w:w="1276" w:type="dxa"/>
            <w:tcBorders>
              <w:top w:val="nil"/>
              <w:bottom w:val="single" w:sz="4" w:space="0" w:color="auto"/>
            </w:tcBorders>
          </w:tcPr>
          <w:p w14:paraId="7C331E5D" w14:textId="77777777" w:rsidR="008F369D" w:rsidRPr="00C501E3" w:rsidRDefault="00016F29" w:rsidP="008919D7">
            <w:pPr>
              <w:keepNext/>
              <w:jc w:val="center"/>
              <w:rPr>
                <w:i/>
                <w:szCs w:val="22"/>
                <w:lang w:val="en-GB"/>
              </w:rPr>
            </w:pPr>
            <w:r w:rsidRPr="00C501E3">
              <w:rPr>
                <w:i/>
                <w:szCs w:val="22"/>
                <w:lang w:val="en-GB"/>
              </w:rPr>
              <w:t>0.0003</w:t>
            </w:r>
          </w:p>
        </w:tc>
        <w:tc>
          <w:tcPr>
            <w:tcW w:w="1417" w:type="dxa"/>
            <w:tcBorders>
              <w:top w:val="nil"/>
              <w:bottom w:val="single" w:sz="4" w:space="0" w:color="auto"/>
              <w:right w:val="single" w:sz="6" w:space="0" w:color="000000"/>
            </w:tcBorders>
          </w:tcPr>
          <w:p w14:paraId="7C331E5E" w14:textId="77777777" w:rsidR="008F369D" w:rsidRPr="00C501E3" w:rsidRDefault="00016F29" w:rsidP="008919D7">
            <w:pPr>
              <w:keepNext/>
              <w:jc w:val="center"/>
              <w:rPr>
                <w:i/>
                <w:szCs w:val="22"/>
                <w:lang w:val="en-GB"/>
              </w:rPr>
            </w:pPr>
            <w:r w:rsidRPr="00C501E3">
              <w:rPr>
                <w:i/>
                <w:szCs w:val="22"/>
                <w:lang w:val="en-GB"/>
              </w:rPr>
              <w:t>67 %</w:t>
            </w:r>
          </w:p>
        </w:tc>
      </w:tr>
      <w:tr w:rsidR="003A788B" w14:paraId="7C331E65" w14:textId="77777777" w:rsidTr="008919D7">
        <w:trPr>
          <w:jc w:val="center"/>
        </w:trPr>
        <w:tc>
          <w:tcPr>
            <w:tcW w:w="3108" w:type="dxa"/>
            <w:tcBorders>
              <w:top w:val="single" w:sz="4" w:space="0" w:color="auto"/>
              <w:left w:val="single" w:sz="4" w:space="0" w:color="auto"/>
              <w:bottom w:val="nil"/>
            </w:tcBorders>
          </w:tcPr>
          <w:p w14:paraId="7C331E60" w14:textId="77777777" w:rsidR="008F369D" w:rsidRPr="00DF4561" w:rsidRDefault="00016F29" w:rsidP="00615F7C">
            <w:pPr>
              <w:keepNext/>
              <w:rPr>
                <w:szCs w:val="22"/>
                <w:lang w:val="en-GB"/>
              </w:rPr>
            </w:pPr>
            <w:r w:rsidRPr="00DF4561">
              <w:rPr>
                <w:szCs w:val="22"/>
                <w:lang w:val="en-GB"/>
              </w:rPr>
              <w:t>Subgroup analysis</w:t>
            </w:r>
          </w:p>
        </w:tc>
        <w:tc>
          <w:tcPr>
            <w:tcW w:w="1440" w:type="dxa"/>
            <w:tcBorders>
              <w:top w:val="single" w:sz="4" w:space="0" w:color="auto"/>
              <w:bottom w:val="nil"/>
            </w:tcBorders>
          </w:tcPr>
          <w:p w14:paraId="7C331E61" w14:textId="77777777" w:rsidR="008F369D" w:rsidRPr="00C501E3" w:rsidRDefault="008F369D" w:rsidP="008919D7">
            <w:pPr>
              <w:keepNext/>
              <w:jc w:val="center"/>
              <w:rPr>
                <w:i/>
                <w:szCs w:val="22"/>
                <w:lang w:val="en-GB"/>
              </w:rPr>
            </w:pPr>
          </w:p>
        </w:tc>
        <w:tc>
          <w:tcPr>
            <w:tcW w:w="1372" w:type="dxa"/>
            <w:tcBorders>
              <w:top w:val="single" w:sz="4" w:space="0" w:color="auto"/>
              <w:bottom w:val="nil"/>
            </w:tcBorders>
          </w:tcPr>
          <w:p w14:paraId="7C331E62" w14:textId="77777777" w:rsidR="008F369D" w:rsidRPr="00C501E3" w:rsidRDefault="008F369D" w:rsidP="008919D7">
            <w:pPr>
              <w:keepNext/>
              <w:jc w:val="center"/>
              <w:rPr>
                <w:i/>
                <w:szCs w:val="22"/>
                <w:lang w:val="en-GB"/>
              </w:rPr>
            </w:pPr>
          </w:p>
        </w:tc>
        <w:tc>
          <w:tcPr>
            <w:tcW w:w="1276" w:type="dxa"/>
            <w:tcBorders>
              <w:top w:val="single" w:sz="4" w:space="0" w:color="auto"/>
              <w:bottom w:val="nil"/>
            </w:tcBorders>
          </w:tcPr>
          <w:p w14:paraId="7C331E63" w14:textId="77777777" w:rsidR="008F369D" w:rsidRPr="00C501E3" w:rsidRDefault="008F369D" w:rsidP="008919D7">
            <w:pPr>
              <w:keepNext/>
              <w:jc w:val="center"/>
              <w:rPr>
                <w:i/>
                <w:szCs w:val="22"/>
                <w:lang w:val="en-GB"/>
              </w:rPr>
            </w:pPr>
          </w:p>
        </w:tc>
        <w:tc>
          <w:tcPr>
            <w:tcW w:w="1417" w:type="dxa"/>
            <w:tcBorders>
              <w:top w:val="single" w:sz="4" w:space="0" w:color="auto"/>
              <w:bottom w:val="nil"/>
              <w:right w:val="single" w:sz="6" w:space="0" w:color="000000"/>
            </w:tcBorders>
          </w:tcPr>
          <w:p w14:paraId="7C331E64" w14:textId="77777777" w:rsidR="008F369D" w:rsidRPr="00C501E3" w:rsidRDefault="008F369D" w:rsidP="008919D7">
            <w:pPr>
              <w:keepNext/>
              <w:jc w:val="center"/>
              <w:rPr>
                <w:i/>
                <w:szCs w:val="22"/>
                <w:lang w:val="en-GB"/>
              </w:rPr>
            </w:pPr>
          </w:p>
        </w:tc>
      </w:tr>
      <w:tr w:rsidR="003A788B" w14:paraId="7C331E99" w14:textId="77777777" w:rsidTr="008919D7">
        <w:trPr>
          <w:jc w:val="center"/>
        </w:trPr>
        <w:tc>
          <w:tcPr>
            <w:tcW w:w="3108" w:type="dxa"/>
            <w:tcBorders>
              <w:top w:val="nil"/>
              <w:left w:val="single" w:sz="4" w:space="0" w:color="auto"/>
              <w:bottom w:val="single" w:sz="4" w:space="0" w:color="auto"/>
            </w:tcBorders>
          </w:tcPr>
          <w:p w14:paraId="7C331E66" w14:textId="77777777" w:rsidR="008F369D" w:rsidRPr="00383DC8" w:rsidRDefault="00016F29" w:rsidP="008919D7">
            <w:pPr>
              <w:keepNext/>
              <w:rPr>
                <w:szCs w:val="22"/>
                <w:lang w:val="pt-BR"/>
              </w:rPr>
            </w:pPr>
            <w:r w:rsidRPr="00383DC8">
              <w:rPr>
                <w:szCs w:val="22"/>
                <w:lang w:val="pt-BR"/>
              </w:rPr>
              <w:t>PFS</w:t>
            </w:r>
          </w:p>
          <w:p w14:paraId="7C331E67" w14:textId="77777777" w:rsidR="008F369D" w:rsidRPr="00383DC8" w:rsidRDefault="00016F29" w:rsidP="008919D7">
            <w:pPr>
              <w:keepNext/>
              <w:jc w:val="right"/>
              <w:rPr>
                <w:szCs w:val="22"/>
                <w:lang w:val="pt-BR"/>
              </w:rPr>
            </w:pPr>
            <w:r w:rsidRPr="00383DC8">
              <w:rPr>
                <w:szCs w:val="22"/>
                <w:lang w:val="pt-BR"/>
              </w:rPr>
              <w:t>CHOP</w:t>
            </w:r>
          </w:p>
          <w:p w14:paraId="7C331E68" w14:textId="77777777" w:rsidR="008F369D" w:rsidRPr="00383DC8" w:rsidRDefault="00016F29" w:rsidP="008919D7">
            <w:pPr>
              <w:keepNext/>
              <w:jc w:val="right"/>
              <w:rPr>
                <w:szCs w:val="22"/>
                <w:lang w:val="pt-BR"/>
              </w:rPr>
            </w:pPr>
            <w:r w:rsidRPr="00383DC8">
              <w:rPr>
                <w:szCs w:val="22"/>
                <w:lang w:val="pt-BR"/>
              </w:rPr>
              <w:t>R</w:t>
            </w:r>
            <w:r w:rsidRPr="00383DC8">
              <w:rPr>
                <w:szCs w:val="22"/>
                <w:lang w:val="pt-BR"/>
              </w:rPr>
              <w:noBreakHyphen/>
              <w:t>CHOP</w:t>
            </w:r>
          </w:p>
          <w:p w14:paraId="7C331E69" w14:textId="77777777" w:rsidR="008F369D" w:rsidRPr="00383DC8" w:rsidRDefault="00016F29" w:rsidP="008919D7">
            <w:pPr>
              <w:keepNext/>
              <w:jc w:val="right"/>
              <w:rPr>
                <w:szCs w:val="22"/>
                <w:lang w:val="pt-BR"/>
              </w:rPr>
            </w:pPr>
            <w:r w:rsidRPr="00383DC8">
              <w:rPr>
                <w:szCs w:val="22"/>
                <w:lang w:val="pt-BR"/>
              </w:rPr>
              <w:t>CR</w:t>
            </w:r>
          </w:p>
          <w:p w14:paraId="7C331E6A" w14:textId="77777777" w:rsidR="008F369D" w:rsidRPr="00383DC8" w:rsidRDefault="00016F29" w:rsidP="008919D7">
            <w:pPr>
              <w:keepNext/>
              <w:jc w:val="right"/>
              <w:rPr>
                <w:szCs w:val="22"/>
                <w:lang w:val="pt-BR"/>
              </w:rPr>
            </w:pPr>
            <w:r w:rsidRPr="00383DC8">
              <w:rPr>
                <w:szCs w:val="22"/>
                <w:lang w:val="pt-BR"/>
              </w:rPr>
              <w:t>PR</w:t>
            </w:r>
          </w:p>
          <w:p w14:paraId="7C331E6B" w14:textId="77777777" w:rsidR="008F369D" w:rsidRPr="00383DC8" w:rsidRDefault="008F369D" w:rsidP="008919D7">
            <w:pPr>
              <w:keepNext/>
              <w:rPr>
                <w:szCs w:val="22"/>
                <w:u w:val="single"/>
                <w:lang w:val="pt-BR"/>
              </w:rPr>
            </w:pPr>
          </w:p>
          <w:p w14:paraId="7C331E6C" w14:textId="77777777" w:rsidR="008F369D" w:rsidRPr="00383DC8" w:rsidRDefault="008F369D" w:rsidP="008919D7">
            <w:pPr>
              <w:keepNext/>
              <w:rPr>
                <w:szCs w:val="22"/>
                <w:u w:val="single"/>
                <w:lang w:val="pt-BR"/>
              </w:rPr>
            </w:pPr>
          </w:p>
          <w:p w14:paraId="7C331E6D" w14:textId="77777777" w:rsidR="008F369D" w:rsidRPr="00E06A78" w:rsidRDefault="00016F29" w:rsidP="008919D7">
            <w:pPr>
              <w:keepNext/>
              <w:rPr>
                <w:lang w:val="pt-BR"/>
              </w:rPr>
            </w:pPr>
            <w:r w:rsidRPr="00E06A78">
              <w:rPr>
                <w:lang w:val="pt-BR"/>
              </w:rPr>
              <w:t>OS</w:t>
            </w:r>
          </w:p>
          <w:p w14:paraId="7C331E6E" w14:textId="77777777" w:rsidR="008F369D" w:rsidRPr="007B2F20" w:rsidRDefault="00016F29" w:rsidP="008919D7">
            <w:pPr>
              <w:keepNext/>
              <w:jc w:val="right"/>
              <w:rPr>
                <w:szCs w:val="22"/>
                <w:lang w:val="en-GB"/>
              </w:rPr>
            </w:pPr>
            <w:r w:rsidRPr="007B2F20">
              <w:rPr>
                <w:szCs w:val="22"/>
                <w:lang w:val="en-GB"/>
              </w:rPr>
              <w:t>CHOP</w:t>
            </w:r>
          </w:p>
          <w:p w14:paraId="7C331E6F" w14:textId="77777777" w:rsidR="008F369D" w:rsidRPr="007B2F20" w:rsidRDefault="00016F29" w:rsidP="008919D7">
            <w:pPr>
              <w:keepNext/>
              <w:jc w:val="right"/>
              <w:rPr>
                <w:szCs w:val="22"/>
                <w:lang w:val="en-GB"/>
              </w:rPr>
            </w:pPr>
            <w:r w:rsidRPr="007B2F20">
              <w:rPr>
                <w:szCs w:val="22"/>
                <w:lang w:val="en-GB"/>
              </w:rPr>
              <w:t>R</w:t>
            </w:r>
            <w:r w:rsidR="000A6DDA" w:rsidRPr="007B2F20">
              <w:rPr>
                <w:szCs w:val="22"/>
                <w:lang w:val="en-GB"/>
              </w:rPr>
              <w:noBreakHyphen/>
            </w:r>
            <w:r w:rsidRPr="007B2F20">
              <w:rPr>
                <w:szCs w:val="22"/>
                <w:lang w:val="en-GB"/>
              </w:rPr>
              <w:t>CHOP</w:t>
            </w:r>
          </w:p>
          <w:p w14:paraId="7C331E70" w14:textId="77777777" w:rsidR="008F369D" w:rsidRPr="007B2F20" w:rsidRDefault="008F369D" w:rsidP="008919D7">
            <w:pPr>
              <w:keepNext/>
              <w:rPr>
                <w:szCs w:val="22"/>
                <w:u w:val="single"/>
                <w:lang w:val="en-GB"/>
              </w:rPr>
            </w:pPr>
          </w:p>
        </w:tc>
        <w:tc>
          <w:tcPr>
            <w:tcW w:w="1440" w:type="dxa"/>
            <w:tcBorders>
              <w:top w:val="nil"/>
              <w:bottom w:val="single" w:sz="4" w:space="0" w:color="auto"/>
            </w:tcBorders>
          </w:tcPr>
          <w:p w14:paraId="7C331E71" w14:textId="77777777" w:rsidR="008F369D" w:rsidRPr="00C501E3" w:rsidRDefault="008F369D" w:rsidP="008919D7">
            <w:pPr>
              <w:keepNext/>
              <w:jc w:val="center"/>
              <w:rPr>
                <w:i/>
                <w:szCs w:val="22"/>
                <w:lang w:val="en-GB"/>
              </w:rPr>
            </w:pPr>
          </w:p>
          <w:p w14:paraId="7C331E72" w14:textId="77777777" w:rsidR="008F369D" w:rsidRPr="00C501E3" w:rsidRDefault="00016F29" w:rsidP="008919D7">
            <w:pPr>
              <w:keepNext/>
              <w:jc w:val="center"/>
              <w:rPr>
                <w:i/>
                <w:szCs w:val="22"/>
                <w:lang w:val="en-GB"/>
              </w:rPr>
            </w:pPr>
            <w:r w:rsidRPr="00C501E3">
              <w:rPr>
                <w:i/>
                <w:szCs w:val="22"/>
                <w:lang w:val="en-GB"/>
              </w:rPr>
              <w:t>11.6</w:t>
            </w:r>
          </w:p>
          <w:p w14:paraId="7C331E73" w14:textId="77777777" w:rsidR="008F369D" w:rsidRPr="00C501E3" w:rsidRDefault="00016F29" w:rsidP="008919D7">
            <w:pPr>
              <w:keepNext/>
              <w:jc w:val="center"/>
              <w:rPr>
                <w:i/>
                <w:szCs w:val="22"/>
                <w:lang w:val="en-GB"/>
              </w:rPr>
            </w:pPr>
            <w:r w:rsidRPr="00C501E3">
              <w:rPr>
                <w:i/>
                <w:szCs w:val="22"/>
                <w:lang w:val="en-GB"/>
              </w:rPr>
              <w:t>22.1</w:t>
            </w:r>
          </w:p>
          <w:p w14:paraId="7C331E74" w14:textId="77777777" w:rsidR="008F369D" w:rsidRPr="00C501E3" w:rsidRDefault="00016F29" w:rsidP="008919D7">
            <w:pPr>
              <w:keepNext/>
              <w:jc w:val="center"/>
              <w:rPr>
                <w:i/>
                <w:szCs w:val="22"/>
                <w:lang w:val="en-GB"/>
              </w:rPr>
            </w:pPr>
            <w:r w:rsidRPr="00C501E3">
              <w:rPr>
                <w:i/>
                <w:szCs w:val="22"/>
                <w:lang w:val="en-GB"/>
              </w:rPr>
              <w:t>14.3</w:t>
            </w:r>
          </w:p>
          <w:p w14:paraId="7C331E75" w14:textId="77777777" w:rsidR="008F369D" w:rsidRPr="00C501E3" w:rsidRDefault="00016F29" w:rsidP="008919D7">
            <w:pPr>
              <w:keepNext/>
              <w:jc w:val="center"/>
              <w:rPr>
                <w:i/>
                <w:szCs w:val="22"/>
                <w:lang w:val="en-GB"/>
              </w:rPr>
            </w:pPr>
            <w:r w:rsidRPr="00C501E3">
              <w:rPr>
                <w:i/>
                <w:szCs w:val="22"/>
                <w:lang w:val="en-GB"/>
              </w:rPr>
              <w:t>14.3</w:t>
            </w:r>
          </w:p>
          <w:p w14:paraId="7C331E76" w14:textId="77777777" w:rsidR="008F369D" w:rsidRPr="00C501E3" w:rsidRDefault="008F369D" w:rsidP="008919D7">
            <w:pPr>
              <w:keepNext/>
              <w:jc w:val="center"/>
              <w:rPr>
                <w:i/>
                <w:szCs w:val="22"/>
                <w:lang w:val="en-GB"/>
              </w:rPr>
            </w:pPr>
          </w:p>
          <w:p w14:paraId="7C331E77" w14:textId="77777777" w:rsidR="008F369D" w:rsidRPr="00C501E3" w:rsidRDefault="008F369D" w:rsidP="008919D7">
            <w:pPr>
              <w:keepNext/>
              <w:jc w:val="center"/>
              <w:rPr>
                <w:i/>
                <w:szCs w:val="22"/>
                <w:lang w:val="en-GB"/>
              </w:rPr>
            </w:pPr>
          </w:p>
          <w:p w14:paraId="7C331E78" w14:textId="77777777" w:rsidR="008F369D" w:rsidRPr="00C501E3" w:rsidRDefault="008F369D" w:rsidP="008919D7">
            <w:pPr>
              <w:keepNext/>
              <w:jc w:val="center"/>
              <w:rPr>
                <w:i/>
                <w:szCs w:val="22"/>
                <w:lang w:val="en-GB"/>
              </w:rPr>
            </w:pPr>
          </w:p>
          <w:p w14:paraId="7C331E79" w14:textId="77777777" w:rsidR="008F369D" w:rsidRPr="00C501E3" w:rsidRDefault="00016F29" w:rsidP="008919D7">
            <w:pPr>
              <w:keepNext/>
              <w:jc w:val="center"/>
              <w:rPr>
                <w:i/>
                <w:szCs w:val="22"/>
                <w:lang w:val="en-GB"/>
              </w:rPr>
            </w:pPr>
            <w:r w:rsidRPr="00C501E3">
              <w:rPr>
                <w:i/>
                <w:szCs w:val="22"/>
                <w:lang w:val="en-GB"/>
              </w:rPr>
              <w:t>NR</w:t>
            </w:r>
          </w:p>
          <w:p w14:paraId="7C331E7A" w14:textId="77777777" w:rsidR="008F369D" w:rsidRPr="00C501E3" w:rsidRDefault="00016F29" w:rsidP="008919D7">
            <w:pPr>
              <w:keepNext/>
              <w:jc w:val="center"/>
              <w:rPr>
                <w:i/>
                <w:szCs w:val="22"/>
                <w:lang w:val="en-GB"/>
              </w:rPr>
            </w:pPr>
            <w:r w:rsidRPr="00C501E3">
              <w:rPr>
                <w:i/>
                <w:szCs w:val="22"/>
                <w:lang w:val="en-GB"/>
              </w:rPr>
              <w:t>NR</w:t>
            </w:r>
          </w:p>
        </w:tc>
        <w:tc>
          <w:tcPr>
            <w:tcW w:w="1372" w:type="dxa"/>
            <w:tcBorders>
              <w:top w:val="nil"/>
              <w:bottom w:val="single" w:sz="4" w:space="0" w:color="auto"/>
            </w:tcBorders>
          </w:tcPr>
          <w:p w14:paraId="7C331E7B" w14:textId="77777777" w:rsidR="008F369D" w:rsidRPr="00C501E3" w:rsidRDefault="008F369D" w:rsidP="008919D7">
            <w:pPr>
              <w:keepNext/>
              <w:jc w:val="center"/>
              <w:rPr>
                <w:i/>
                <w:szCs w:val="22"/>
                <w:lang w:val="en-GB"/>
              </w:rPr>
            </w:pPr>
          </w:p>
          <w:p w14:paraId="7C331E7C" w14:textId="77777777" w:rsidR="008F369D" w:rsidRPr="00C501E3" w:rsidRDefault="00016F29" w:rsidP="008919D7">
            <w:pPr>
              <w:keepNext/>
              <w:jc w:val="center"/>
              <w:rPr>
                <w:i/>
                <w:szCs w:val="22"/>
                <w:lang w:val="en-GB"/>
              </w:rPr>
            </w:pPr>
            <w:r w:rsidRPr="00C501E3">
              <w:rPr>
                <w:i/>
                <w:szCs w:val="22"/>
                <w:lang w:val="en-GB"/>
              </w:rPr>
              <w:t>37.5</w:t>
            </w:r>
          </w:p>
          <w:p w14:paraId="7C331E7D" w14:textId="77777777" w:rsidR="008F369D" w:rsidRPr="00C501E3" w:rsidRDefault="00016F29" w:rsidP="008919D7">
            <w:pPr>
              <w:keepNext/>
              <w:jc w:val="center"/>
              <w:rPr>
                <w:i/>
                <w:szCs w:val="22"/>
                <w:lang w:val="en-GB"/>
              </w:rPr>
            </w:pPr>
            <w:r w:rsidRPr="00C501E3">
              <w:rPr>
                <w:i/>
                <w:szCs w:val="22"/>
                <w:lang w:val="en-GB"/>
              </w:rPr>
              <w:t>51.9</w:t>
            </w:r>
          </w:p>
          <w:p w14:paraId="7C331E7E" w14:textId="77777777" w:rsidR="008F369D" w:rsidRPr="00C501E3" w:rsidRDefault="00016F29" w:rsidP="008919D7">
            <w:pPr>
              <w:keepNext/>
              <w:jc w:val="center"/>
              <w:rPr>
                <w:i/>
                <w:szCs w:val="22"/>
                <w:lang w:val="en-GB"/>
              </w:rPr>
            </w:pPr>
            <w:r w:rsidRPr="00C501E3">
              <w:rPr>
                <w:i/>
                <w:szCs w:val="22"/>
                <w:lang w:val="en-GB"/>
              </w:rPr>
              <w:t>52.8</w:t>
            </w:r>
          </w:p>
          <w:p w14:paraId="7C331E7F" w14:textId="77777777" w:rsidR="008F369D" w:rsidRPr="00C501E3" w:rsidRDefault="00016F29" w:rsidP="008919D7">
            <w:pPr>
              <w:keepNext/>
              <w:jc w:val="center"/>
              <w:rPr>
                <w:i/>
                <w:szCs w:val="22"/>
                <w:lang w:val="en-GB"/>
              </w:rPr>
            </w:pPr>
            <w:r w:rsidRPr="00C501E3">
              <w:rPr>
                <w:i/>
                <w:szCs w:val="22"/>
                <w:lang w:val="en-GB"/>
              </w:rPr>
              <w:t>37.8</w:t>
            </w:r>
          </w:p>
          <w:p w14:paraId="7C331E80" w14:textId="77777777" w:rsidR="008F369D" w:rsidRPr="00C501E3" w:rsidRDefault="008F369D" w:rsidP="008919D7">
            <w:pPr>
              <w:keepNext/>
              <w:jc w:val="center"/>
              <w:rPr>
                <w:i/>
                <w:szCs w:val="22"/>
                <w:lang w:val="en-GB"/>
              </w:rPr>
            </w:pPr>
          </w:p>
          <w:p w14:paraId="7C331E81" w14:textId="77777777" w:rsidR="008F369D" w:rsidRPr="00C501E3" w:rsidRDefault="008F369D" w:rsidP="008919D7">
            <w:pPr>
              <w:keepNext/>
              <w:jc w:val="center"/>
              <w:rPr>
                <w:i/>
                <w:szCs w:val="22"/>
                <w:lang w:val="en-GB"/>
              </w:rPr>
            </w:pPr>
          </w:p>
          <w:p w14:paraId="7C331E82" w14:textId="77777777" w:rsidR="008F369D" w:rsidRPr="00C501E3" w:rsidRDefault="008F369D" w:rsidP="008919D7">
            <w:pPr>
              <w:keepNext/>
              <w:jc w:val="center"/>
              <w:rPr>
                <w:i/>
                <w:szCs w:val="22"/>
                <w:lang w:val="en-GB"/>
              </w:rPr>
            </w:pPr>
          </w:p>
          <w:p w14:paraId="7C331E83" w14:textId="77777777" w:rsidR="008F369D" w:rsidRPr="00C501E3" w:rsidRDefault="00016F29" w:rsidP="008919D7">
            <w:pPr>
              <w:keepNext/>
              <w:jc w:val="center"/>
              <w:rPr>
                <w:i/>
                <w:szCs w:val="22"/>
                <w:lang w:val="en-GB"/>
              </w:rPr>
            </w:pPr>
            <w:r w:rsidRPr="00C501E3">
              <w:rPr>
                <w:i/>
                <w:szCs w:val="22"/>
                <w:lang w:val="en-GB"/>
              </w:rPr>
              <w:t>NR</w:t>
            </w:r>
          </w:p>
          <w:p w14:paraId="7C331E84" w14:textId="77777777" w:rsidR="008F369D" w:rsidRPr="00C501E3" w:rsidRDefault="00016F29" w:rsidP="008919D7">
            <w:pPr>
              <w:keepNext/>
              <w:jc w:val="center"/>
              <w:rPr>
                <w:i/>
                <w:szCs w:val="22"/>
                <w:lang w:val="en-GB"/>
              </w:rPr>
            </w:pPr>
            <w:r w:rsidRPr="00C501E3">
              <w:rPr>
                <w:i/>
                <w:szCs w:val="22"/>
                <w:lang w:val="en-GB"/>
              </w:rPr>
              <w:t>NR</w:t>
            </w:r>
          </w:p>
        </w:tc>
        <w:tc>
          <w:tcPr>
            <w:tcW w:w="1276" w:type="dxa"/>
            <w:tcBorders>
              <w:top w:val="nil"/>
              <w:bottom w:val="single" w:sz="4" w:space="0" w:color="auto"/>
            </w:tcBorders>
          </w:tcPr>
          <w:p w14:paraId="7C331E85" w14:textId="77777777" w:rsidR="008F369D" w:rsidRPr="00C501E3" w:rsidRDefault="008F369D" w:rsidP="008919D7">
            <w:pPr>
              <w:keepNext/>
              <w:jc w:val="center"/>
              <w:rPr>
                <w:i/>
                <w:szCs w:val="22"/>
                <w:lang w:val="en-GB"/>
              </w:rPr>
            </w:pPr>
          </w:p>
          <w:p w14:paraId="7C331E86" w14:textId="77777777" w:rsidR="008F369D" w:rsidRPr="00C501E3" w:rsidRDefault="00016F29" w:rsidP="008919D7">
            <w:pPr>
              <w:keepNext/>
              <w:jc w:val="center"/>
              <w:rPr>
                <w:i/>
                <w:szCs w:val="22"/>
                <w:lang w:val="en-GB"/>
              </w:rPr>
            </w:pPr>
            <w:r w:rsidRPr="00C501E3">
              <w:rPr>
                <w:i/>
                <w:szCs w:val="22"/>
                <w:lang w:val="en-GB"/>
              </w:rPr>
              <w:t>&lt; 0.0001</w:t>
            </w:r>
          </w:p>
          <w:p w14:paraId="7C331E87" w14:textId="77777777" w:rsidR="008F369D" w:rsidRPr="00C501E3" w:rsidRDefault="00016F29" w:rsidP="008919D7">
            <w:pPr>
              <w:keepNext/>
              <w:jc w:val="center"/>
              <w:rPr>
                <w:i/>
                <w:szCs w:val="22"/>
                <w:lang w:val="en-GB"/>
              </w:rPr>
            </w:pPr>
            <w:r w:rsidRPr="00C501E3">
              <w:rPr>
                <w:i/>
                <w:szCs w:val="22"/>
                <w:lang w:val="en-GB"/>
              </w:rPr>
              <w:t>0.0071</w:t>
            </w:r>
          </w:p>
          <w:p w14:paraId="7C331E88" w14:textId="77777777" w:rsidR="008F369D" w:rsidRPr="00C501E3" w:rsidRDefault="00016F29" w:rsidP="008919D7">
            <w:pPr>
              <w:keepNext/>
              <w:jc w:val="center"/>
              <w:rPr>
                <w:i/>
                <w:szCs w:val="22"/>
                <w:lang w:val="en-GB"/>
              </w:rPr>
            </w:pPr>
            <w:r w:rsidRPr="00C501E3">
              <w:rPr>
                <w:i/>
                <w:szCs w:val="22"/>
                <w:lang w:val="en-GB"/>
              </w:rPr>
              <w:t xml:space="preserve"> 0.0008</w:t>
            </w:r>
          </w:p>
          <w:p w14:paraId="7C331E89" w14:textId="77777777" w:rsidR="008F369D" w:rsidRPr="00C501E3" w:rsidRDefault="00016F29" w:rsidP="008919D7">
            <w:pPr>
              <w:keepNext/>
              <w:jc w:val="center"/>
              <w:rPr>
                <w:i/>
                <w:szCs w:val="22"/>
                <w:lang w:val="en-GB"/>
              </w:rPr>
            </w:pPr>
            <w:r w:rsidRPr="00C501E3">
              <w:rPr>
                <w:i/>
                <w:szCs w:val="22"/>
                <w:lang w:val="en-GB"/>
              </w:rPr>
              <w:t>&lt; 0.0001</w:t>
            </w:r>
          </w:p>
          <w:p w14:paraId="7C331E8A" w14:textId="77777777" w:rsidR="008F369D" w:rsidRPr="00C501E3" w:rsidRDefault="008F369D" w:rsidP="008919D7">
            <w:pPr>
              <w:keepNext/>
              <w:jc w:val="center"/>
              <w:rPr>
                <w:i/>
                <w:szCs w:val="22"/>
                <w:lang w:val="en-GB"/>
              </w:rPr>
            </w:pPr>
          </w:p>
          <w:p w14:paraId="7C331E8B" w14:textId="77777777" w:rsidR="008F369D" w:rsidRPr="00C501E3" w:rsidRDefault="008F369D" w:rsidP="008919D7">
            <w:pPr>
              <w:keepNext/>
              <w:jc w:val="center"/>
              <w:rPr>
                <w:i/>
                <w:szCs w:val="22"/>
                <w:lang w:val="en-GB"/>
              </w:rPr>
            </w:pPr>
          </w:p>
          <w:p w14:paraId="7C331E8C" w14:textId="77777777" w:rsidR="008F369D" w:rsidRPr="00C501E3" w:rsidRDefault="008F369D" w:rsidP="008919D7">
            <w:pPr>
              <w:keepNext/>
              <w:jc w:val="center"/>
              <w:rPr>
                <w:i/>
                <w:szCs w:val="22"/>
                <w:lang w:val="en-GB"/>
              </w:rPr>
            </w:pPr>
          </w:p>
          <w:p w14:paraId="7C331E8D" w14:textId="77777777" w:rsidR="008F369D" w:rsidRPr="00C501E3" w:rsidRDefault="00016F29" w:rsidP="008919D7">
            <w:pPr>
              <w:keepNext/>
              <w:jc w:val="center"/>
              <w:rPr>
                <w:i/>
                <w:szCs w:val="22"/>
                <w:lang w:val="en-GB"/>
              </w:rPr>
            </w:pPr>
            <w:r w:rsidRPr="00C501E3">
              <w:rPr>
                <w:i/>
                <w:szCs w:val="22"/>
                <w:lang w:val="en-GB"/>
              </w:rPr>
              <w:t>0.0348</w:t>
            </w:r>
          </w:p>
          <w:p w14:paraId="7C331E8E" w14:textId="77777777" w:rsidR="008F369D" w:rsidRPr="00C501E3" w:rsidRDefault="00016F29" w:rsidP="008919D7">
            <w:pPr>
              <w:keepNext/>
              <w:jc w:val="center"/>
              <w:rPr>
                <w:i/>
                <w:szCs w:val="22"/>
                <w:lang w:val="en-GB"/>
              </w:rPr>
            </w:pPr>
            <w:r w:rsidRPr="00C501E3">
              <w:rPr>
                <w:i/>
                <w:szCs w:val="22"/>
                <w:lang w:val="en-GB"/>
              </w:rPr>
              <w:t>0.0482</w:t>
            </w:r>
          </w:p>
        </w:tc>
        <w:tc>
          <w:tcPr>
            <w:tcW w:w="1417" w:type="dxa"/>
            <w:tcBorders>
              <w:top w:val="nil"/>
              <w:bottom w:val="single" w:sz="4" w:space="0" w:color="auto"/>
              <w:right w:val="single" w:sz="4" w:space="0" w:color="auto"/>
            </w:tcBorders>
          </w:tcPr>
          <w:p w14:paraId="7C331E8F" w14:textId="77777777" w:rsidR="008F369D" w:rsidRPr="00C501E3" w:rsidRDefault="008F369D" w:rsidP="008919D7">
            <w:pPr>
              <w:keepNext/>
              <w:jc w:val="center"/>
              <w:rPr>
                <w:i/>
                <w:szCs w:val="22"/>
                <w:lang w:val="en-GB"/>
              </w:rPr>
            </w:pPr>
          </w:p>
          <w:p w14:paraId="7C331E90" w14:textId="77777777" w:rsidR="008F369D" w:rsidRPr="00C501E3" w:rsidRDefault="00016F29" w:rsidP="008919D7">
            <w:pPr>
              <w:keepNext/>
              <w:jc w:val="center"/>
              <w:rPr>
                <w:i/>
                <w:szCs w:val="22"/>
                <w:lang w:val="en-GB"/>
              </w:rPr>
            </w:pPr>
            <w:r w:rsidRPr="00C501E3">
              <w:rPr>
                <w:i/>
                <w:szCs w:val="22"/>
                <w:lang w:val="en-GB"/>
              </w:rPr>
              <w:t>71 %</w:t>
            </w:r>
          </w:p>
          <w:p w14:paraId="7C331E91" w14:textId="77777777" w:rsidR="008F369D" w:rsidRPr="00C501E3" w:rsidRDefault="00016F29" w:rsidP="008919D7">
            <w:pPr>
              <w:keepNext/>
              <w:jc w:val="center"/>
              <w:rPr>
                <w:i/>
                <w:szCs w:val="22"/>
                <w:lang w:val="en-GB"/>
              </w:rPr>
            </w:pPr>
            <w:r w:rsidRPr="00C501E3">
              <w:rPr>
                <w:i/>
                <w:szCs w:val="22"/>
                <w:lang w:val="en-GB"/>
              </w:rPr>
              <w:t>46 %</w:t>
            </w:r>
          </w:p>
          <w:p w14:paraId="7C331E92" w14:textId="77777777" w:rsidR="008F369D" w:rsidRPr="00C501E3" w:rsidRDefault="00016F29" w:rsidP="008919D7">
            <w:pPr>
              <w:keepNext/>
              <w:jc w:val="center"/>
              <w:rPr>
                <w:i/>
                <w:szCs w:val="22"/>
                <w:lang w:val="en-GB"/>
              </w:rPr>
            </w:pPr>
            <w:r w:rsidRPr="00C501E3">
              <w:rPr>
                <w:i/>
                <w:szCs w:val="22"/>
                <w:lang w:val="en-GB"/>
              </w:rPr>
              <w:t>64 %</w:t>
            </w:r>
          </w:p>
          <w:p w14:paraId="7C331E93" w14:textId="77777777" w:rsidR="008F369D" w:rsidRPr="00C501E3" w:rsidRDefault="00016F29" w:rsidP="008919D7">
            <w:pPr>
              <w:keepNext/>
              <w:jc w:val="center"/>
              <w:rPr>
                <w:i/>
                <w:szCs w:val="22"/>
                <w:lang w:val="en-GB"/>
              </w:rPr>
            </w:pPr>
            <w:r w:rsidRPr="00C501E3">
              <w:rPr>
                <w:i/>
                <w:szCs w:val="22"/>
                <w:lang w:val="en-GB"/>
              </w:rPr>
              <w:t>54 %</w:t>
            </w:r>
          </w:p>
          <w:p w14:paraId="7C331E94" w14:textId="77777777" w:rsidR="008F369D" w:rsidRPr="00C501E3" w:rsidRDefault="008F369D" w:rsidP="008919D7">
            <w:pPr>
              <w:keepNext/>
              <w:jc w:val="center"/>
              <w:rPr>
                <w:i/>
                <w:szCs w:val="22"/>
                <w:lang w:val="en-GB"/>
              </w:rPr>
            </w:pPr>
          </w:p>
          <w:p w14:paraId="7C331E95" w14:textId="77777777" w:rsidR="008F369D" w:rsidRPr="00C501E3" w:rsidRDefault="008F369D" w:rsidP="008919D7">
            <w:pPr>
              <w:keepNext/>
              <w:jc w:val="center"/>
              <w:rPr>
                <w:i/>
                <w:szCs w:val="22"/>
                <w:lang w:val="en-GB"/>
              </w:rPr>
            </w:pPr>
          </w:p>
          <w:p w14:paraId="7C331E96" w14:textId="77777777" w:rsidR="008F369D" w:rsidRPr="00C501E3" w:rsidRDefault="008F369D" w:rsidP="008919D7">
            <w:pPr>
              <w:keepNext/>
              <w:jc w:val="center"/>
              <w:rPr>
                <w:i/>
                <w:szCs w:val="22"/>
                <w:lang w:val="en-GB"/>
              </w:rPr>
            </w:pPr>
          </w:p>
          <w:p w14:paraId="7C331E97" w14:textId="77777777" w:rsidR="008F369D" w:rsidRPr="00C501E3" w:rsidRDefault="00016F29" w:rsidP="008919D7">
            <w:pPr>
              <w:keepNext/>
              <w:jc w:val="center"/>
              <w:rPr>
                <w:i/>
                <w:szCs w:val="22"/>
                <w:lang w:val="en-GB"/>
              </w:rPr>
            </w:pPr>
            <w:r w:rsidRPr="00C501E3">
              <w:rPr>
                <w:i/>
                <w:szCs w:val="22"/>
                <w:lang w:val="en-GB"/>
              </w:rPr>
              <w:t>55 %</w:t>
            </w:r>
          </w:p>
          <w:p w14:paraId="7C331E98" w14:textId="77777777" w:rsidR="008F369D" w:rsidRPr="00C501E3" w:rsidRDefault="00016F29" w:rsidP="008919D7">
            <w:pPr>
              <w:keepNext/>
              <w:jc w:val="center"/>
              <w:rPr>
                <w:i/>
                <w:szCs w:val="22"/>
                <w:lang w:val="en-GB"/>
              </w:rPr>
            </w:pPr>
            <w:r w:rsidRPr="00C501E3">
              <w:rPr>
                <w:i/>
                <w:szCs w:val="22"/>
                <w:lang w:val="en-GB"/>
              </w:rPr>
              <w:t>56 %</w:t>
            </w:r>
          </w:p>
        </w:tc>
      </w:tr>
    </w:tbl>
    <w:p w14:paraId="7C331E9A" w14:textId="77777777" w:rsidR="008F369D" w:rsidRPr="00C501E3" w:rsidRDefault="00016F29" w:rsidP="008F369D">
      <w:pPr>
        <w:outlineLvl w:val="0"/>
        <w:rPr>
          <w:sz w:val="18"/>
          <w:szCs w:val="18"/>
          <w:lang w:val="en-GB"/>
        </w:rPr>
      </w:pPr>
      <w:r w:rsidRPr="00C501E3">
        <w:rPr>
          <w:sz w:val="18"/>
          <w:szCs w:val="18"/>
          <w:lang w:val="en-GB"/>
        </w:rPr>
        <w:t xml:space="preserve">NR: not reached; </w:t>
      </w:r>
      <w:r w:rsidRPr="00C501E3">
        <w:rPr>
          <w:sz w:val="18"/>
          <w:szCs w:val="18"/>
          <w:vertAlign w:val="superscript"/>
          <w:lang w:val="en-GB"/>
        </w:rPr>
        <w:t>a</w:t>
      </w:r>
      <w:r w:rsidRPr="00C501E3">
        <w:rPr>
          <w:sz w:val="18"/>
          <w:szCs w:val="18"/>
          <w:lang w:val="en-GB"/>
        </w:rPr>
        <w:t>: only applicable to patients achieving a CR</w:t>
      </w:r>
    </w:p>
    <w:p w14:paraId="7C331E9B" w14:textId="77777777" w:rsidR="008F369D" w:rsidRPr="00C501E3" w:rsidRDefault="008F369D" w:rsidP="008F369D">
      <w:pPr>
        <w:rPr>
          <w:lang w:val="en-GB"/>
        </w:rPr>
      </w:pPr>
    </w:p>
    <w:p w14:paraId="7C331E9C" w14:textId="77777777" w:rsidR="008F369D" w:rsidRPr="00CB6D30" w:rsidRDefault="00016F29" w:rsidP="008F369D">
      <w:pPr>
        <w:rPr>
          <w:szCs w:val="22"/>
          <w:lang w:val="en-GB"/>
        </w:rPr>
      </w:pPr>
      <w:r w:rsidRPr="00C501E3">
        <w:rPr>
          <w:szCs w:val="22"/>
          <w:lang w:val="en-GB"/>
        </w:rPr>
        <w:t xml:space="preserve">The benefit of MabThera maintenance treatment was confirmed in all subgroups analysed, regardless </w:t>
      </w:r>
      <w:r w:rsidRPr="00CB6D30">
        <w:rPr>
          <w:szCs w:val="22"/>
          <w:lang w:val="en-GB"/>
        </w:rPr>
        <w:t>of induction regimen (CHOP or R</w:t>
      </w:r>
      <w:r w:rsidR="000A6DDA" w:rsidRPr="00CB6D30">
        <w:rPr>
          <w:szCs w:val="22"/>
          <w:lang w:val="en-GB"/>
        </w:rPr>
        <w:noBreakHyphen/>
      </w:r>
      <w:r w:rsidRPr="00CB6D30">
        <w:rPr>
          <w:szCs w:val="22"/>
          <w:lang w:val="en-GB"/>
        </w:rPr>
        <w:t>CHOP) or quality of response to induction treatment (CR or PR) (table </w:t>
      </w:r>
      <w:r w:rsidR="00E90C58" w:rsidRPr="00CB6D30">
        <w:rPr>
          <w:szCs w:val="22"/>
          <w:lang w:val="en-GB"/>
        </w:rPr>
        <w:t>6</w:t>
      </w:r>
      <w:r w:rsidRPr="00CB6D30">
        <w:rPr>
          <w:szCs w:val="22"/>
          <w:lang w:val="en-GB"/>
        </w:rPr>
        <w:t>). MabThera maintenance treatment significantly prolonged median PFS in patients responding to CHOP induction therapy (median PFS 37.5 months vs. 11.6 months, p&lt; 0.0001) as well as in those responding to R</w:t>
      </w:r>
      <w:r w:rsidR="000A6DDA" w:rsidRPr="00CB6D30">
        <w:rPr>
          <w:szCs w:val="22"/>
          <w:lang w:val="en-GB"/>
        </w:rPr>
        <w:noBreakHyphen/>
      </w:r>
      <w:r w:rsidRPr="00CB6D30">
        <w:rPr>
          <w:szCs w:val="22"/>
          <w:lang w:val="en-GB"/>
        </w:rPr>
        <w:t>CHOP induction (median PFS 51.9 months vs. 22.1 months, p=0.0071). Although subgroups were small, MabThera maintenance treatment provided a significant benefit in terms of overall survival for both patients responding to CHOP and patients responding to R</w:t>
      </w:r>
      <w:r w:rsidR="000A6DDA" w:rsidRPr="00CB6D30">
        <w:rPr>
          <w:szCs w:val="22"/>
          <w:lang w:val="en-GB"/>
        </w:rPr>
        <w:noBreakHyphen/>
      </w:r>
      <w:r w:rsidRPr="00CB6D30">
        <w:rPr>
          <w:szCs w:val="22"/>
          <w:lang w:val="en-GB"/>
        </w:rPr>
        <w:t>CHOP, although longer follow</w:t>
      </w:r>
      <w:r w:rsidR="000A6DDA" w:rsidRPr="00CB6D30">
        <w:rPr>
          <w:szCs w:val="22"/>
          <w:lang w:val="en-GB"/>
        </w:rPr>
        <w:noBreakHyphen/>
      </w:r>
      <w:r w:rsidRPr="00CB6D30">
        <w:rPr>
          <w:szCs w:val="22"/>
          <w:lang w:val="en-GB"/>
        </w:rPr>
        <w:t xml:space="preserve">up is required to confirm this observation. </w:t>
      </w:r>
    </w:p>
    <w:p w14:paraId="7C331E9D" w14:textId="77777777" w:rsidR="008F369D" w:rsidRPr="00CB6D30" w:rsidRDefault="008F369D" w:rsidP="008F369D">
      <w:pPr>
        <w:rPr>
          <w:b/>
          <w:i/>
          <w:szCs w:val="22"/>
          <w:lang w:val="en-GB"/>
        </w:rPr>
      </w:pPr>
    </w:p>
    <w:p w14:paraId="7C331E9E" w14:textId="77777777" w:rsidR="008F369D" w:rsidRPr="00CB6D30" w:rsidRDefault="00016F29" w:rsidP="008F369D">
      <w:pPr>
        <w:keepNext/>
        <w:keepLines/>
        <w:outlineLvl w:val="0"/>
        <w:rPr>
          <w:i/>
          <w:szCs w:val="22"/>
          <w:lang w:val="fr-FR"/>
        </w:rPr>
      </w:pPr>
      <w:r w:rsidRPr="00CB6D30">
        <w:rPr>
          <w:i/>
          <w:szCs w:val="22"/>
          <w:lang w:val="fr-FR"/>
        </w:rPr>
        <w:t>Diffuse large B cell non</w:t>
      </w:r>
      <w:r w:rsidR="000A6DDA" w:rsidRPr="00CB6D30">
        <w:rPr>
          <w:i/>
          <w:szCs w:val="22"/>
          <w:lang w:val="fr-FR"/>
        </w:rPr>
        <w:noBreakHyphen/>
      </w:r>
      <w:r w:rsidRPr="00CB6D30">
        <w:rPr>
          <w:i/>
          <w:szCs w:val="22"/>
          <w:lang w:val="fr-FR"/>
        </w:rPr>
        <w:t>Hodgkin’s lymphoma</w:t>
      </w:r>
    </w:p>
    <w:p w14:paraId="7C331E9F" w14:textId="77777777" w:rsidR="008F369D" w:rsidRPr="00CB6D30" w:rsidRDefault="008F369D" w:rsidP="008F369D">
      <w:pPr>
        <w:keepNext/>
        <w:keepLines/>
        <w:outlineLvl w:val="0"/>
        <w:rPr>
          <w:i/>
          <w:szCs w:val="22"/>
          <w:u w:val="single"/>
          <w:lang w:val="fr-FR"/>
        </w:rPr>
      </w:pPr>
    </w:p>
    <w:p w14:paraId="7C331EA0" w14:textId="77777777" w:rsidR="008F369D" w:rsidRPr="00FF157B" w:rsidRDefault="00016F29" w:rsidP="008F369D">
      <w:pPr>
        <w:keepNext/>
        <w:keepLines/>
        <w:rPr>
          <w:szCs w:val="22"/>
          <w:lang w:val="en-GB"/>
        </w:rPr>
      </w:pPr>
      <w:r w:rsidRPr="00CB6D30">
        <w:rPr>
          <w:szCs w:val="22"/>
          <w:lang w:val="en-GB"/>
        </w:rPr>
        <w:t>In a randomised, open</w:t>
      </w:r>
      <w:r w:rsidR="000A6DDA" w:rsidRPr="00CB6D30">
        <w:rPr>
          <w:szCs w:val="22"/>
          <w:lang w:val="en-GB"/>
        </w:rPr>
        <w:noBreakHyphen/>
      </w:r>
      <w:r w:rsidRPr="00CB6D30">
        <w:rPr>
          <w:szCs w:val="22"/>
          <w:lang w:val="en-GB"/>
        </w:rPr>
        <w:t>label trial, a total of 399 previously untreated elderly patients (age 60 to 80</w:t>
      </w:r>
      <w:r w:rsidRPr="00C501E3">
        <w:rPr>
          <w:szCs w:val="22"/>
          <w:lang w:val="en-GB"/>
        </w:rPr>
        <w:t xml:space="preserve"> years) with diffuse large B cell lymphoma received standard CHOP chemotherapy (cyclophosphamide 750 mg/m</w:t>
      </w:r>
      <w:r w:rsidRPr="00C501E3">
        <w:rPr>
          <w:szCs w:val="22"/>
          <w:vertAlign w:val="superscript"/>
          <w:lang w:val="en-GB"/>
        </w:rPr>
        <w:t>2</w:t>
      </w:r>
      <w:r w:rsidRPr="00C501E3">
        <w:rPr>
          <w:szCs w:val="22"/>
          <w:lang w:val="en-GB"/>
        </w:rPr>
        <w:t>, doxorubicin 50 mg/m</w:t>
      </w:r>
      <w:r w:rsidRPr="00C501E3">
        <w:rPr>
          <w:szCs w:val="22"/>
          <w:vertAlign w:val="superscript"/>
          <w:lang w:val="en-GB"/>
        </w:rPr>
        <w:t>2</w:t>
      </w:r>
      <w:r w:rsidRPr="00C501E3">
        <w:rPr>
          <w:szCs w:val="22"/>
          <w:lang w:val="en-GB"/>
        </w:rPr>
        <w:t>, vincristine 1.4 mg/m</w:t>
      </w:r>
      <w:r w:rsidRPr="00C501E3">
        <w:rPr>
          <w:szCs w:val="22"/>
          <w:vertAlign w:val="superscript"/>
          <w:lang w:val="en-GB"/>
        </w:rPr>
        <w:t>2</w:t>
      </w:r>
      <w:r w:rsidRPr="00C501E3">
        <w:rPr>
          <w:szCs w:val="22"/>
          <w:lang w:val="en-GB"/>
        </w:rPr>
        <w:t xml:space="preserve"> up to a maximum of 2 mg on day 1, and </w:t>
      </w:r>
      <w:r w:rsidRPr="00FF157B">
        <w:rPr>
          <w:szCs w:val="22"/>
          <w:lang w:val="en-GB"/>
        </w:rPr>
        <w:t>prednisolone 40 mg/m</w:t>
      </w:r>
      <w:r w:rsidRPr="00FF157B">
        <w:rPr>
          <w:szCs w:val="22"/>
          <w:vertAlign w:val="superscript"/>
          <w:lang w:val="en-GB"/>
        </w:rPr>
        <w:t>2</w:t>
      </w:r>
      <w:r w:rsidRPr="00FF157B">
        <w:rPr>
          <w:szCs w:val="22"/>
          <w:lang w:val="en-GB"/>
        </w:rPr>
        <w:t>/day on days 1</w:t>
      </w:r>
      <w:r w:rsidR="000A6DDA" w:rsidRPr="00FF157B">
        <w:rPr>
          <w:szCs w:val="22"/>
          <w:lang w:val="en-GB"/>
        </w:rPr>
        <w:noBreakHyphen/>
      </w:r>
      <w:r w:rsidRPr="00FF157B">
        <w:rPr>
          <w:szCs w:val="22"/>
          <w:lang w:val="en-GB"/>
        </w:rPr>
        <w:t>5) every 3 weeks for eight cycles, or MabThera 375 mg/m</w:t>
      </w:r>
      <w:r w:rsidRPr="00FF157B">
        <w:rPr>
          <w:szCs w:val="22"/>
          <w:vertAlign w:val="superscript"/>
          <w:lang w:val="en-GB"/>
        </w:rPr>
        <w:t>2</w:t>
      </w:r>
      <w:r w:rsidRPr="00FF157B">
        <w:rPr>
          <w:szCs w:val="22"/>
          <w:lang w:val="en-GB"/>
        </w:rPr>
        <w:t xml:space="preserve"> plus CHOP (R</w:t>
      </w:r>
      <w:r w:rsidR="000A6DDA" w:rsidRPr="00FF157B">
        <w:rPr>
          <w:szCs w:val="22"/>
          <w:lang w:val="en-GB"/>
        </w:rPr>
        <w:noBreakHyphen/>
      </w:r>
      <w:r w:rsidRPr="00FF157B">
        <w:rPr>
          <w:szCs w:val="22"/>
          <w:lang w:val="en-GB"/>
        </w:rPr>
        <w:t xml:space="preserve">CHOP). MabThera was administered on the first day of the treatment cycle. </w:t>
      </w:r>
    </w:p>
    <w:p w14:paraId="7C331EA1" w14:textId="77777777" w:rsidR="008F369D" w:rsidRPr="00FF157B" w:rsidRDefault="008F369D" w:rsidP="008F369D">
      <w:pPr>
        <w:rPr>
          <w:szCs w:val="22"/>
          <w:lang w:val="en-GB"/>
        </w:rPr>
      </w:pPr>
    </w:p>
    <w:p w14:paraId="7C331EA2" w14:textId="77777777" w:rsidR="008F369D" w:rsidRPr="00FF157B" w:rsidRDefault="00016F29" w:rsidP="008F369D">
      <w:pPr>
        <w:rPr>
          <w:szCs w:val="22"/>
          <w:lang w:val="en-GB"/>
        </w:rPr>
      </w:pPr>
      <w:r w:rsidRPr="00FF157B">
        <w:rPr>
          <w:szCs w:val="22"/>
          <w:lang w:val="en-GB"/>
        </w:rPr>
        <w:t>The final efficacy analysis included all randomised patients (197 CHOP, 202 R</w:t>
      </w:r>
      <w:r w:rsidR="000A6DDA" w:rsidRPr="00FF157B">
        <w:rPr>
          <w:szCs w:val="22"/>
          <w:lang w:val="en-GB"/>
        </w:rPr>
        <w:noBreakHyphen/>
      </w:r>
      <w:r w:rsidRPr="00FF157B">
        <w:rPr>
          <w:szCs w:val="22"/>
          <w:lang w:val="en-GB"/>
        </w:rPr>
        <w:t>CHOP),</w:t>
      </w:r>
      <w:r w:rsidRPr="00FF157B">
        <w:rPr>
          <w:snapToGrid w:val="0"/>
          <w:szCs w:val="22"/>
          <w:lang w:val="en-GB"/>
        </w:rPr>
        <w:t xml:space="preserve"> and had a median follow</w:t>
      </w:r>
      <w:r w:rsidR="000A6DDA" w:rsidRPr="00FF157B">
        <w:rPr>
          <w:snapToGrid w:val="0"/>
          <w:szCs w:val="22"/>
          <w:lang w:val="en-GB"/>
        </w:rPr>
        <w:noBreakHyphen/>
      </w:r>
      <w:r w:rsidRPr="00FF157B">
        <w:rPr>
          <w:snapToGrid w:val="0"/>
          <w:szCs w:val="22"/>
          <w:lang w:val="en-GB"/>
        </w:rPr>
        <w:t xml:space="preserve">up duration of approximately 31 months. </w:t>
      </w:r>
      <w:r w:rsidRPr="00FF157B">
        <w:rPr>
          <w:szCs w:val="22"/>
          <w:lang w:val="en-GB"/>
        </w:rPr>
        <w:t xml:space="preserve">The two treatment groups were well balanced in baseline disease characteristics and disease status. </w:t>
      </w:r>
      <w:r w:rsidRPr="00FF157B">
        <w:rPr>
          <w:snapToGrid w:val="0"/>
          <w:szCs w:val="22"/>
          <w:lang w:val="en-GB"/>
        </w:rPr>
        <w:t>The final analysis</w:t>
      </w:r>
      <w:r w:rsidRPr="00FF157B">
        <w:rPr>
          <w:szCs w:val="22"/>
          <w:lang w:val="en-GB"/>
        </w:rPr>
        <w:t xml:space="preserve"> confirmed that R</w:t>
      </w:r>
      <w:r w:rsidR="000A6DDA" w:rsidRPr="00FF157B">
        <w:rPr>
          <w:szCs w:val="22"/>
          <w:lang w:val="en-GB"/>
        </w:rPr>
        <w:noBreakHyphen/>
      </w:r>
      <w:r w:rsidRPr="00FF157B">
        <w:rPr>
          <w:szCs w:val="22"/>
          <w:lang w:val="en-GB"/>
        </w:rPr>
        <w:t>CHOP treatment was associated with a clinically relevant and statistically significant improvement in the duration of event</w:t>
      </w:r>
      <w:r w:rsidR="000A6DDA" w:rsidRPr="00FF157B">
        <w:rPr>
          <w:szCs w:val="22"/>
          <w:lang w:val="en-GB"/>
        </w:rPr>
        <w:noBreakHyphen/>
      </w:r>
      <w:r w:rsidRPr="00FF157B">
        <w:rPr>
          <w:szCs w:val="22"/>
          <w:lang w:val="en-GB"/>
        </w:rPr>
        <w:t>free survival (the primary efficacy parameter; where events were death, relapse or progression of lymphoma, or institution of a new anti</w:t>
      </w:r>
      <w:r w:rsidR="000A6DDA" w:rsidRPr="00FF157B">
        <w:rPr>
          <w:szCs w:val="22"/>
          <w:lang w:val="en-GB"/>
        </w:rPr>
        <w:noBreakHyphen/>
      </w:r>
      <w:r w:rsidRPr="00FF157B">
        <w:rPr>
          <w:szCs w:val="22"/>
          <w:lang w:val="en-GB"/>
        </w:rPr>
        <w:t>lymphoma treatment) (p = 0.0001). Kaplan</w:t>
      </w:r>
      <w:r w:rsidRPr="00C501E3">
        <w:rPr>
          <w:szCs w:val="22"/>
          <w:lang w:val="en-GB"/>
        </w:rPr>
        <w:t xml:space="preserve"> </w:t>
      </w:r>
      <w:r w:rsidRPr="00FF157B">
        <w:rPr>
          <w:szCs w:val="22"/>
          <w:lang w:val="en-GB"/>
        </w:rPr>
        <w:t>Meier estimates of the median duration of event</w:t>
      </w:r>
      <w:r w:rsidR="000A6DDA" w:rsidRPr="00FF157B">
        <w:rPr>
          <w:szCs w:val="22"/>
          <w:lang w:val="en-GB"/>
        </w:rPr>
        <w:noBreakHyphen/>
      </w:r>
      <w:r w:rsidRPr="00FF157B">
        <w:rPr>
          <w:szCs w:val="22"/>
          <w:lang w:val="en-GB"/>
        </w:rPr>
        <w:t>free survival were 35 months in the R</w:t>
      </w:r>
      <w:r w:rsidR="000A6DDA" w:rsidRPr="00FF157B">
        <w:rPr>
          <w:szCs w:val="22"/>
          <w:lang w:val="en-GB"/>
        </w:rPr>
        <w:noBreakHyphen/>
      </w:r>
      <w:r w:rsidRPr="00FF157B">
        <w:rPr>
          <w:szCs w:val="22"/>
          <w:lang w:val="en-GB"/>
        </w:rPr>
        <w:t>CHOP arm compared to 13 months in the CHOP arm, representing a risk reduction of 41 %. At 24 months, estimates for overall survival were 68.2 % in the R</w:t>
      </w:r>
      <w:r w:rsidR="000A6DDA" w:rsidRPr="00FF157B">
        <w:rPr>
          <w:szCs w:val="22"/>
          <w:lang w:val="en-GB"/>
        </w:rPr>
        <w:noBreakHyphen/>
      </w:r>
      <w:r w:rsidRPr="00FF157B">
        <w:rPr>
          <w:szCs w:val="22"/>
          <w:lang w:val="en-GB"/>
        </w:rPr>
        <w:t>CHOP arm compared to 57.4 % in the CHOP arm. A subsequent analysis of the duration of overall survival, carried out with a median follow</w:t>
      </w:r>
      <w:r w:rsidR="000A6DDA" w:rsidRPr="00FF157B">
        <w:rPr>
          <w:szCs w:val="22"/>
          <w:lang w:val="en-GB"/>
        </w:rPr>
        <w:noBreakHyphen/>
      </w:r>
      <w:r w:rsidRPr="00FF157B">
        <w:rPr>
          <w:szCs w:val="22"/>
          <w:lang w:val="en-GB"/>
        </w:rPr>
        <w:t>up duration of 60 months, confirmed the benefit of R</w:t>
      </w:r>
      <w:r w:rsidR="000A6DDA" w:rsidRPr="00FF157B">
        <w:rPr>
          <w:szCs w:val="22"/>
          <w:lang w:val="en-GB"/>
        </w:rPr>
        <w:noBreakHyphen/>
      </w:r>
      <w:r w:rsidRPr="00FF157B">
        <w:rPr>
          <w:szCs w:val="22"/>
          <w:lang w:val="en-GB"/>
        </w:rPr>
        <w:t>CHOP over CHOP treatment (p=0.0071), representing a risk reduction of 32 %.</w:t>
      </w:r>
    </w:p>
    <w:p w14:paraId="7C331EA3" w14:textId="77777777" w:rsidR="008F369D" w:rsidRPr="00FF157B" w:rsidRDefault="008F369D" w:rsidP="008F369D">
      <w:pPr>
        <w:rPr>
          <w:szCs w:val="22"/>
          <w:lang w:val="en-GB"/>
        </w:rPr>
      </w:pPr>
    </w:p>
    <w:p w14:paraId="7C331EA4" w14:textId="77777777" w:rsidR="008F369D" w:rsidRPr="00FF157B" w:rsidRDefault="00016F29" w:rsidP="008F369D">
      <w:pPr>
        <w:rPr>
          <w:szCs w:val="22"/>
          <w:lang w:val="en-GB"/>
        </w:rPr>
      </w:pPr>
      <w:r w:rsidRPr="00FF157B">
        <w:rPr>
          <w:szCs w:val="22"/>
          <w:lang w:val="en-GB"/>
        </w:rPr>
        <w:t>The analysis of all secondary parameters (response rates, progression</w:t>
      </w:r>
      <w:r w:rsidR="000A6DDA" w:rsidRPr="00FF157B">
        <w:rPr>
          <w:szCs w:val="22"/>
          <w:lang w:val="en-GB"/>
        </w:rPr>
        <w:noBreakHyphen/>
      </w:r>
      <w:r w:rsidRPr="00FF157B">
        <w:rPr>
          <w:szCs w:val="22"/>
          <w:lang w:val="en-GB"/>
        </w:rPr>
        <w:t>free survival, disease</w:t>
      </w:r>
      <w:r w:rsidR="000A6DDA" w:rsidRPr="00FF157B">
        <w:rPr>
          <w:szCs w:val="22"/>
          <w:lang w:val="en-GB"/>
        </w:rPr>
        <w:noBreakHyphen/>
      </w:r>
      <w:r w:rsidRPr="00FF157B">
        <w:rPr>
          <w:szCs w:val="22"/>
          <w:lang w:val="en-GB"/>
        </w:rPr>
        <w:t>free survival, duration of response) verified the treatment effect of R</w:t>
      </w:r>
      <w:r w:rsidR="000A6DDA" w:rsidRPr="00FF157B">
        <w:rPr>
          <w:szCs w:val="22"/>
          <w:lang w:val="en-GB"/>
        </w:rPr>
        <w:noBreakHyphen/>
      </w:r>
      <w:r w:rsidRPr="00FF157B">
        <w:rPr>
          <w:szCs w:val="22"/>
          <w:lang w:val="en-GB"/>
        </w:rPr>
        <w:t>CHOP compared to CHOP. The</w:t>
      </w:r>
      <w:r w:rsidRPr="00C501E3">
        <w:rPr>
          <w:szCs w:val="22"/>
          <w:lang w:val="en-GB"/>
        </w:rPr>
        <w:t xml:space="preserve"> </w:t>
      </w:r>
      <w:r w:rsidRPr="00FF157B">
        <w:rPr>
          <w:szCs w:val="22"/>
          <w:lang w:val="en-GB"/>
        </w:rPr>
        <w:t>complete response rate after cycle 8 was 76.2 % in the R</w:t>
      </w:r>
      <w:r w:rsidR="000A6DDA" w:rsidRPr="00FF157B">
        <w:rPr>
          <w:szCs w:val="22"/>
          <w:lang w:val="en-GB"/>
        </w:rPr>
        <w:noBreakHyphen/>
      </w:r>
      <w:r w:rsidRPr="00FF157B">
        <w:rPr>
          <w:szCs w:val="22"/>
          <w:lang w:val="en-GB"/>
        </w:rPr>
        <w:t>CHOP group and 62.4 % in the CHOP group (p=0.0028). The risk of disease progression was reduced by 46 % and the risk of relapse by 51 %.</w:t>
      </w:r>
    </w:p>
    <w:p w14:paraId="7C331EA5" w14:textId="77777777" w:rsidR="008F369D" w:rsidRPr="00FF157B" w:rsidRDefault="00016F29" w:rsidP="008F369D">
      <w:pPr>
        <w:rPr>
          <w:szCs w:val="22"/>
          <w:lang w:val="en-GB"/>
        </w:rPr>
      </w:pPr>
      <w:r w:rsidRPr="00FF157B">
        <w:rPr>
          <w:szCs w:val="22"/>
          <w:lang w:val="en-GB"/>
        </w:rPr>
        <w:t>In all patients subgroups (gender, age, age adjusted IPI, Ann Arbor stage, ECOG, β2 microglobulin, LDH, albumin, B symptoms, bulky disease, extranodal sites, bone marrow involvement), the risk ratios for event</w:t>
      </w:r>
      <w:r w:rsidR="000A6DDA" w:rsidRPr="00FF157B">
        <w:rPr>
          <w:szCs w:val="22"/>
          <w:lang w:val="en-GB"/>
        </w:rPr>
        <w:noBreakHyphen/>
      </w:r>
      <w:r w:rsidRPr="00FF157B">
        <w:rPr>
          <w:szCs w:val="22"/>
          <w:lang w:val="en-GB"/>
        </w:rPr>
        <w:t>free survival and overall survival (R</w:t>
      </w:r>
      <w:r w:rsidR="000A6DDA" w:rsidRPr="00FF157B">
        <w:rPr>
          <w:szCs w:val="22"/>
          <w:lang w:val="en-GB"/>
        </w:rPr>
        <w:noBreakHyphen/>
      </w:r>
      <w:r w:rsidRPr="00FF157B">
        <w:rPr>
          <w:szCs w:val="22"/>
          <w:lang w:val="en-GB"/>
        </w:rPr>
        <w:t>CHOP compared with CHOP) were less than 0.83 and 0.95 respectively. R</w:t>
      </w:r>
      <w:r w:rsidR="000A6DDA" w:rsidRPr="00FF157B">
        <w:rPr>
          <w:szCs w:val="22"/>
          <w:lang w:val="en-GB"/>
        </w:rPr>
        <w:noBreakHyphen/>
      </w:r>
      <w:r w:rsidRPr="00FF157B">
        <w:rPr>
          <w:szCs w:val="22"/>
          <w:lang w:val="en-GB"/>
        </w:rPr>
        <w:t>CHOP was associated with improvements in outcome for both high</w:t>
      </w:r>
      <w:r w:rsidR="000A6DDA" w:rsidRPr="00FF157B">
        <w:rPr>
          <w:szCs w:val="22"/>
          <w:lang w:val="en-GB"/>
        </w:rPr>
        <w:noBreakHyphen/>
      </w:r>
      <w:r w:rsidRPr="00FF157B">
        <w:rPr>
          <w:szCs w:val="22"/>
          <w:lang w:val="en-GB"/>
        </w:rPr>
        <w:t xml:space="preserve"> and low</w:t>
      </w:r>
      <w:r w:rsidR="000A6DDA" w:rsidRPr="00FF157B">
        <w:rPr>
          <w:szCs w:val="22"/>
          <w:lang w:val="en-GB"/>
        </w:rPr>
        <w:noBreakHyphen/>
      </w:r>
      <w:r w:rsidRPr="00FF157B">
        <w:rPr>
          <w:szCs w:val="22"/>
          <w:lang w:val="en-GB"/>
        </w:rPr>
        <w:t>risk patients according to age adjusted IPI.</w:t>
      </w:r>
    </w:p>
    <w:p w14:paraId="7C331EA6" w14:textId="77777777" w:rsidR="008F369D" w:rsidRPr="00C501E3" w:rsidRDefault="008F369D" w:rsidP="008F369D">
      <w:pPr>
        <w:rPr>
          <w:szCs w:val="22"/>
          <w:lang w:val="en-GB"/>
        </w:rPr>
      </w:pPr>
    </w:p>
    <w:p w14:paraId="7C331EA7" w14:textId="77777777" w:rsidR="008F369D" w:rsidRPr="00C501E3" w:rsidRDefault="00016F29" w:rsidP="008F369D">
      <w:pPr>
        <w:outlineLvl w:val="0"/>
        <w:rPr>
          <w:szCs w:val="22"/>
          <w:u w:val="single"/>
          <w:lang w:val="en-GB"/>
        </w:rPr>
      </w:pPr>
      <w:r w:rsidRPr="00C501E3">
        <w:rPr>
          <w:szCs w:val="22"/>
          <w:u w:val="single"/>
          <w:lang w:val="en-GB"/>
        </w:rPr>
        <w:t xml:space="preserve">Clinical laboratory findings </w:t>
      </w:r>
    </w:p>
    <w:p w14:paraId="7C331EA8" w14:textId="77777777" w:rsidR="008F369D" w:rsidRPr="00C501E3" w:rsidRDefault="008F369D" w:rsidP="008F369D">
      <w:pPr>
        <w:outlineLvl w:val="0"/>
        <w:rPr>
          <w:i/>
          <w:szCs w:val="22"/>
          <w:lang w:val="en-GB"/>
        </w:rPr>
      </w:pPr>
    </w:p>
    <w:p w14:paraId="7C331EA9" w14:textId="77777777" w:rsidR="008F369D" w:rsidRPr="00C501E3" w:rsidRDefault="00016F29" w:rsidP="008F369D">
      <w:pPr>
        <w:rPr>
          <w:szCs w:val="22"/>
          <w:lang w:val="en-GB"/>
        </w:rPr>
      </w:pPr>
      <w:r w:rsidRPr="00027FE2">
        <w:rPr>
          <w:szCs w:val="22"/>
          <w:lang w:val="en-GB"/>
        </w:rPr>
        <w:t xml:space="preserve">Of 67 patients evaluated for </w:t>
      </w:r>
      <w:r w:rsidRPr="00027FE2">
        <w:rPr>
          <w:caps/>
          <w:szCs w:val="22"/>
          <w:lang w:val="en-GB"/>
        </w:rPr>
        <w:t>hama</w:t>
      </w:r>
      <w:r w:rsidRPr="00027FE2">
        <w:rPr>
          <w:szCs w:val="22"/>
          <w:lang w:val="en-GB"/>
        </w:rPr>
        <w:t>, no responses were noted. Of</w:t>
      </w:r>
      <w:r w:rsidRPr="00C501E3">
        <w:rPr>
          <w:szCs w:val="22"/>
          <w:lang w:val="en-GB"/>
        </w:rPr>
        <w:t xml:space="preserve"> 356 patients evaluated for </w:t>
      </w:r>
      <w:r w:rsidR="00D1276F">
        <w:rPr>
          <w:caps/>
          <w:szCs w:val="22"/>
          <w:lang w:val="en-GB"/>
        </w:rPr>
        <w:t>ADA</w:t>
      </w:r>
      <w:r w:rsidRPr="00C501E3">
        <w:rPr>
          <w:szCs w:val="22"/>
          <w:lang w:val="en-GB"/>
        </w:rPr>
        <w:t>, 1.1 % (4 patients) were positive.</w:t>
      </w:r>
    </w:p>
    <w:p w14:paraId="7C331EAA" w14:textId="77777777" w:rsidR="008F369D" w:rsidRPr="00C501E3" w:rsidRDefault="008F369D" w:rsidP="008F369D">
      <w:pPr>
        <w:rPr>
          <w:lang w:val="en-GB"/>
        </w:rPr>
      </w:pPr>
    </w:p>
    <w:p w14:paraId="7C331EAB" w14:textId="77777777" w:rsidR="008F369D" w:rsidRPr="00C501E3" w:rsidRDefault="00016F29" w:rsidP="008F369D">
      <w:pPr>
        <w:rPr>
          <w:szCs w:val="22"/>
          <w:u w:val="single"/>
          <w:lang w:val="en-GB"/>
        </w:rPr>
      </w:pPr>
      <w:r w:rsidRPr="00C501E3">
        <w:rPr>
          <w:szCs w:val="22"/>
          <w:u w:val="single"/>
          <w:lang w:val="en-GB"/>
        </w:rPr>
        <w:t>Paediatric population</w:t>
      </w:r>
    </w:p>
    <w:p w14:paraId="7C331EAC" w14:textId="77777777" w:rsidR="008F369D" w:rsidRPr="00C501E3" w:rsidRDefault="008F369D" w:rsidP="008F369D">
      <w:pPr>
        <w:rPr>
          <w:i/>
          <w:szCs w:val="22"/>
          <w:u w:val="single"/>
          <w:lang w:val="en-GB"/>
        </w:rPr>
      </w:pPr>
    </w:p>
    <w:p w14:paraId="7C331EAD" w14:textId="77777777" w:rsidR="008F369D" w:rsidRPr="00C501E3" w:rsidRDefault="00016F29" w:rsidP="008F369D">
      <w:pPr>
        <w:rPr>
          <w:i/>
          <w:szCs w:val="22"/>
          <w:u w:val="single"/>
          <w:lang w:val="en-GB"/>
        </w:rPr>
      </w:pPr>
      <w:r w:rsidRPr="00C501E3">
        <w:rPr>
          <w:szCs w:val="22"/>
          <w:lang w:val="en-GB"/>
        </w:rPr>
        <w:t>The European Medicines Agency has waived the obligation to submit the results of studies with rituximab in all subsets of the paediatric population with follicular lymphoma. See Section 4.2 for information on paediatric use.</w:t>
      </w:r>
    </w:p>
    <w:p w14:paraId="7C331EAE" w14:textId="77777777" w:rsidR="008F369D" w:rsidRPr="00C501E3" w:rsidRDefault="008F369D" w:rsidP="008F369D">
      <w:pPr>
        <w:rPr>
          <w:szCs w:val="22"/>
          <w:lang w:val="en-GB"/>
        </w:rPr>
      </w:pPr>
    </w:p>
    <w:p w14:paraId="7C331EAF" w14:textId="77777777" w:rsidR="008F369D" w:rsidRPr="00C501E3" w:rsidRDefault="00016F29" w:rsidP="008F369D">
      <w:pPr>
        <w:keepNext/>
        <w:keepLines/>
        <w:ind w:left="567" w:hanging="567"/>
        <w:outlineLvl w:val="0"/>
        <w:rPr>
          <w:szCs w:val="22"/>
          <w:lang w:val="en-GB"/>
        </w:rPr>
      </w:pPr>
      <w:r w:rsidRPr="00C501E3">
        <w:rPr>
          <w:b/>
          <w:szCs w:val="22"/>
          <w:lang w:val="en-GB"/>
        </w:rPr>
        <w:t>5.2</w:t>
      </w:r>
      <w:r w:rsidRPr="00C501E3">
        <w:rPr>
          <w:b/>
          <w:szCs w:val="22"/>
          <w:lang w:val="en-GB"/>
        </w:rPr>
        <w:tab/>
        <w:t>Pharmacokinetic properties</w:t>
      </w:r>
    </w:p>
    <w:p w14:paraId="7C331EB0" w14:textId="77777777" w:rsidR="008F369D" w:rsidRPr="00C501E3" w:rsidRDefault="008F369D" w:rsidP="008F369D">
      <w:pPr>
        <w:keepNext/>
        <w:keepLines/>
        <w:rPr>
          <w:szCs w:val="22"/>
          <w:lang w:val="en-GB"/>
        </w:rPr>
      </w:pPr>
    </w:p>
    <w:p w14:paraId="7C331EB1" w14:textId="77777777" w:rsidR="008F369D" w:rsidRPr="00C501E3" w:rsidRDefault="00016F29" w:rsidP="008F369D">
      <w:pPr>
        <w:rPr>
          <w:szCs w:val="22"/>
          <w:u w:val="single"/>
          <w:lang w:val="en-GB"/>
        </w:rPr>
      </w:pPr>
      <w:r w:rsidRPr="00C501E3">
        <w:rPr>
          <w:szCs w:val="22"/>
          <w:u w:val="single"/>
          <w:lang w:val="en-GB"/>
        </w:rPr>
        <w:t>Absorption</w:t>
      </w:r>
    </w:p>
    <w:p w14:paraId="7C331EB2" w14:textId="77777777" w:rsidR="008F369D" w:rsidRPr="00C501E3" w:rsidRDefault="008F369D" w:rsidP="008F369D">
      <w:pPr>
        <w:rPr>
          <w:szCs w:val="22"/>
          <w:u w:val="single"/>
          <w:lang w:val="en-GB"/>
        </w:rPr>
      </w:pPr>
    </w:p>
    <w:p w14:paraId="7C331EB3" w14:textId="77777777" w:rsidR="008F369D" w:rsidRPr="004A3A3A" w:rsidRDefault="00016F29" w:rsidP="008F369D">
      <w:pPr>
        <w:rPr>
          <w:b/>
          <w:szCs w:val="22"/>
          <w:lang w:val="en-GB"/>
        </w:rPr>
      </w:pPr>
      <w:r w:rsidRPr="00C501E3">
        <w:rPr>
          <w:szCs w:val="22"/>
          <w:lang w:val="en-GB"/>
        </w:rPr>
        <w:t>Rituximab pharmacokinetics following single dose administration of MabThera subcutaneous 375</w:t>
      </w:r>
      <w:r w:rsidR="00A033E3">
        <w:rPr>
          <w:szCs w:val="22"/>
          <w:lang w:val="en-GB"/>
        </w:rPr>
        <w:t> </w:t>
      </w:r>
      <w:r w:rsidRPr="00C501E3">
        <w:rPr>
          <w:szCs w:val="22"/>
          <w:lang w:val="en-GB"/>
        </w:rPr>
        <w:t>mg/m</w:t>
      </w:r>
      <w:r w:rsidRPr="00C501E3">
        <w:rPr>
          <w:szCs w:val="22"/>
          <w:vertAlign w:val="superscript"/>
          <w:lang w:val="en-GB"/>
        </w:rPr>
        <w:t>2</w:t>
      </w:r>
      <w:r w:rsidRPr="00C501E3">
        <w:rPr>
          <w:szCs w:val="22"/>
          <w:lang w:val="en-GB"/>
        </w:rPr>
        <w:t>, 625 mg/ m</w:t>
      </w:r>
      <w:r w:rsidRPr="00C501E3">
        <w:rPr>
          <w:szCs w:val="22"/>
          <w:vertAlign w:val="superscript"/>
          <w:lang w:val="en-GB"/>
        </w:rPr>
        <w:t>2</w:t>
      </w:r>
      <w:r w:rsidRPr="00C501E3">
        <w:rPr>
          <w:szCs w:val="22"/>
          <w:lang w:val="en-GB"/>
        </w:rPr>
        <w:t xml:space="preserve"> and 800 mg/ m</w:t>
      </w:r>
      <w:r w:rsidRPr="00C501E3">
        <w:rPr>
          <w:szCs w:val="22"/>
          <w:vertAlign w:val="superscript"/>
          <w:lang w:val="en-GB"/>
        </w:rPr>
        <w:t>2</w:t>
      </w:r>
      <w:r w:rsidRPr="00C501E3">
        <w:rPr>
          <w:szCs w:val="22"/>
          <w:lang w:val="en-GB"/>
        </w:rPr>
        <w:t xml:space="preserve"> were compared with MabThera intravenous 375 mg/ m</w:t>
      </w:r>
      <w:r w:rsidRPr="00C501E3">
        <w:rPr>
          <w:szCs w:val="22"/>
          <w:vertAlign w:val="superscript"/>
          <w:lang w:val="en-GB"/>
        </w:rPr>
        <w:t>2</w:t>
      </w:r>
      <w:r w:rsidRPr="00C501E3">
        <w:rPr>
          <w:szCs w:val="22"/>
          <w:lang w:val="en-GB"/>
        </w:rPr>
        <w:t xml:space="preserve"> in FL patients. Following subcutaneous administration, the absorption of rituximab is slow, reaching maximal concentrations about 3 days after administration. Based on popPK analysis an absolute bioavailability of 71% was estimated. Rituximab exposure increased dose proportional over the 375</w:t>
      </w:r>
      <w:r w:rsidR="00A033E3">
        <w:rPr>
          <w:szCs w:val="22"/>
          <w:lang w:val="en-GB"/>
        </w:rPr>
        <w:t> </w:t>
      </w:r>
      <w:r w:rsidRPr="00C501E3">
        <w:rPr>
          <w:szCs w:val="22"/>
          <w:lang w:val="en-GB"/>
        </w:rPr>
        <w:t>mg/m</w:t>
      </w:r>
      <w:r w:rsidRPr="00C501E3">
        <w:rPr>
          <w:szCs w:val="22"/>
          <w:vertAlign w:val="superscript"/>
          <w:lang w:val="en-GB"/>
        </w:rPr>
        <w:t>2</w:t>
      </w:r>
      <w:r w:rsidRPr="00C501E3">
        <w:rPr>
          <w:szCs w:val="22"/>
          <w:lang w:val="en-GB"/>
        </w:rPr>
        <w:t xml:space="preserve"> to 800 mg/m</w:t>
      </w:r>
      <w:r w:rsidRPr="00C501E3">
        <w:rPr>
          <w:szCs w:val="22"/>
          <w:vertAlign w:val="superscript"/>
          <w:lang w:val="en-GB"/>
        </w:rPr>
        <w:t>2</w:t>
      </w:r>
      <w:r w:rsidRPr="00C501E3">
        <w:rPr>
          <w:szCs w:val="22"/>
          <w:lang w:val="en-GB"/>
        </w:rPr>
        <w:t xml:space="preserve"> subcutaneous dose range. Pharmacokinetic parameters such as clearance, </w:t>
      </w:r>
      <w:r w:rsidRPr="004A3A3A">
        <w:rPr>
          <w:szCs w:val="22"/>
          <w:lang w:val="en-GB"/>
        </w:rPr>
        <w:t>distribution volume, and elimination half</w:t>
      </w:r>
      <w:r w:rsidR="000A6DDA" w:rsidRPr="004A3A3A">
        <w:rPr>
          <w:szCs w:val="22"/>
          <w:lang w:val="en-GB"/>
        </w:rPr>
        <w:noBreakHyphen/>
      </w:r>
      <w:r w:rsidRPr="004A3A3A">
        <w:rPr>
          <w:szCs w:val="22"/>
          <w:lang w:val="en-GB"/>
        </w:rPr>
        <w:t>life were comparable for both formulations.</w:t>
      </w:r>
    </w:p>
    <w:p w14:paraId="7C331EB4" w14:textId="77777777" w:rsidR="008F369D" w:rsidRPr="00C501E3" w:rsidRDefault="008F369D" w:rsidP="008F369D">
      <w:pPr>
        <w:rPr>
          <w:szCs w:val="22"/>
          <w:u w:val="single"/>
          <w:lang w:val="en-GB"/>
        </w:rPr>
      </w:pPr>
    </w:p>
    <w:p w14:paraId="7C331EB5" w14:textId="77777777" w:rsidR="008F369D" w:rsidRPr="00C501E3" w:rsidRDefault="00016F29" w:rsidP="008F369D">
      <w:pPr>
        <w:rPr>
          <w:rFonts w:cs="Arial"/>
          <w:i/>
          <w:lang w:val="en-GB"/>
        </w:rPr>
      </w:pPr>
      <w:r w:rsidRPr="00C501E3">
        <w:rPr>
          <w:rFonts w:cs="Arial"/>
          <w:i/>
          <w:lang w:val="en-GB"/>
        </w:rPr>
        <w:t>Trial BP22333 (SparkThera)</w:t>
      </w:r>
    </w:p>
    <w:p w14:paraId="7C331EB6" w14:textId="77777777" w:rsidR="008F369D" w:rsidRPr="00C501E3" w:rsidRDefault="00016F29" w:rsidP="008F369D">
      <w:pPr>
        <w:rPr>
          <w:lang w:val="en-GB"/>
        </w:rPr>
      </w:pPr>
      <w:r w:rsidRPr="00F07BA5">
        <w:rPr>
          <w:lang w:val="en-GB"/>
        </w:rPr>
        <w:t>A two</w:t>
      </w:r>
      <w:r w:rsidR="000A6DDA" w:rsidRPr="00F07BA5">
        <w:rPr>
          <w:lang w:val="en-GB"/>
        </w:rPr>
        <w:noBreakHyphen/>
      </w:r>
      <w:r w:rsidRPr="00F07BA5">
        <w:rPr>
          <w:lang w:val="en-GB"/>
        </w:rPr>
        <w:t>stage phase Ib trial to investigate the pharmacokinetics, safety and tolerability of MabThera</w:t>
      </w:r>
      <w:r w:rsidRPr="00C501E3">
        <w:rPr>
          <w:lang w:val="en-GB"/>
        </w:rPr>
        <w:t xml:space="preserve"> subcutaneous formulation in patients with </w:t>
      </w:r>
      <w:r w:rsidRPr="00C501E3">
        <w:rPr>
          <w:szCs w:val="22"/>
          <w:lang w:val="en-GB"/>
        </w:rPr>
        <w:t>follicular lymphoma (FL)</w:t>
      </w:r>
      <w:r w:rsidRPr="00C501E3">
        <w:rPr>
          <w:lang w:val="en-GB"/>
        </w:rPr>
        <w:t xml:space="preserve"> as part of maintenance treatment.</w:t>
      </w:r>
    </w:p>
    <w:p w14:paraId="7C331EB7" w14:textId="77777777" w:rsidR="008F369D" w:rsidRPr="00C501E3" w:rsidRDefault="00016F29" w:rsidP="008F369D">
      <w:pPr>
        <w:rPr>
          <w:szCs w:val="22"/>
          <w:lang w:val="en-GB"/>
        </w:rPr>
      </w:pPr>
      <w:r w:rsidRPr="00C501E3">
        <w:rPr>
          <w:szCs w:val="22"/>
          <w:lang w:val="en-GB"/>
        </w:rPr>
        <w:t xml:space="preserve">In stage 2, MabThera subcutaneous formulation at a fixed dose of 1400 mg was administered as subcutaneous injection during maintenance treatment, after at least one cycle of </w:t>
      </w:r>
      <w:r w:rsidRPr="00C501E3">
        <w:rPr>
          <w:rFonts w:cs="Arial"/>
          <w:szCs w:val="22"/>
          <w:lang w:val="en-GB"/>
        </w:rPr>
        <w:t>MabThera intravenous formulation to</w:t>
      </w:r>
      <w:r w:rsidRPr="00C501E3">
        <w:rPr>
          <w:szCs w:val="22"/>
          <w:lang w:val="en-GB"/>
        </w:rPr>
        <w:t xml:space="preserve"> FL patients who had previously responded to </w:t>
      </w:r>
      <w:r w:rsidRPr="00C501E3">
        <w:rPr>
          <w:rFonts w:cs="Arial"/>
          <w:szCs w:val="22"/>
          <w:lang w:val="en-GB"/>
        </w:rPr>
        <w:t>MabThera intravenous formulation</w:t>
      </w:r>
      <w:r w:rsidRPr="00C501E3">
        <w:rPr>
          <w:szCs w:val="22"/>
          <w:lang w:val="en-GB"/>
        </w:rPr>
        <w:t xml:space="preserve"> in induction.</w:t>
      </w:r>
    </w:p>
    <w:p w14:paraId="7C331EB8" w14:textId="77777777" w:rsidR="008F369D" w:rsidRPr="00C501E3" w:rsidRDefault="008F369D" w:rsidP="008F369D">
      <w:pPr>
        <w:rPr>
          <w:szCs w:val="22"/>
          <w:lang w:val="en-GB"/>
        </w:rPr>
      </w:pPr>
    </w:p>
    <w:p w14:paraId="7C331EB9" w14:textId="77777777" w:rsidR="008F369D" w:rsidRPr="007152D5" w:rsidRDefault="00016F29" w:rsidP="008F369D">
      <w:pPr>
        <w:rPr>
          <w:rFonts w:cs="Arial"/>
          <w:b/>
          <w:lang w:val="en-GB"/>
        </w:rPr>
      </w:pPr>
      <w:r w:rsidRPr="00C501E3">
        <w:rPr>
          <w:szCs w:val="22"/>
          <w:lang w:val="en-GB"/>
        </w:rPr>
        <w:t>The comparison of predicted median C</w:t>
      </w:r>
      <w:r w:rsidRPr="00C501E3">
        <w:rPr>
          <w:szCs w:val="22"/>
          <w:vertAlign w:val="subscript"/>
          <w:lang w:val="en-GB"/>
        </w:rPr>
        <w:t>max</w:t>
      </w:r>
      <w:r w:rsidRPr="00C501E3">
        <w:rPr>
          <w:szCs w:val="22"/>
          <w:lang w:val="en-GB"/>
        </w:rPr>
        <w:t xml:space="preserve"> data for MabThera subcutaneous formulation and </w:t>
      </w:r>
      <w:r w:rsidRPr="00C501E3">
        <w:rPr>
          <w:rFonts w:cs="Arial"/>
          <w:szCs w:val="22"/>
          <w:lang w:val="en-GB"/>
        </w:rPr>
        <w:t>intravenous formulation</w:t>
      </w:r>
      <w:r w:rsidRPr="00C501E3">
        <w:rPr>
          <w:sz w:val="20"/>
          <w:szCs w:val="22"/>
          <w:lang w:val="en-GB"/>
        </w:rPr>
        <w:t xml:space="preserve"> </w:t>
      </w:r>
      <w:r w:rsidRPr="00C501E3">
        <w:rPr>
          <w:szCs w:val="22"/>
          <w:lang w:val="en-GB"/>
        </w:rPr>
        <w:t xml:space="preserve">are summarized in </w:t>
      </w:r>
      <w:r w:rsidRPr="0055025F">
        <w:rPr>
          <w:szCs w:val="22"/>
          <w:lang w:val="en-GB"/>
        </w:rPr>
        <w:t>Table</w:t>
      </w:r>
      <w:r w:rsidRPr="00C501E3">
        <w:rPr>
          <w:szCs w:val="22"/>
          <w:lang w:val="en-GB"/>
        </w:rPr>
        <w:t xml:space="preserve"> </w:t>
      </w:r>
      <w:r w:rsidR="00E90C58" w:rsidRPr="007152D5">
        <w:rPr>
          <w:szCs w:val="22"/>
          <w:lang w:val="en-GB"/>
        </w:rPr>
        <w:t>7</w:t>
      </w:r>
      <w:r w:rsidRPr="007152D5">
        <w:rPr>
          <w:sz w:val="20"/>
          <w:szCs w:val="22"/>
          <w:lang w:val="en-GB"/>
        </w:rPr>
        <w:t xml:space="preserve">.  </w:t>
      </w:r>
    </w:p>
    <w:p w14:paraId="7C331EBA" w14:textId="77777777" w:rsidR="008F369D" w:rsidRPr="007152D5" w:rsidRDefault="008F369D" w:rsidP="008F369D">
      <w:pPr>
        <w:rPr>
          <w:szCs w:val="22"/>
          <w:lang w:val="en-GB"/>
        </w:rPr>
      </w:pPr>
    </w:p>
    <w:p w14:paraId="7C331EBB" w14:textId="77777777" w:rsidR="008F369D" w:rsidRPr="00C501E3" w:rsidRDefault="00016F29" w:rsidP="00142E95">
      <w:pPr>
        <w:keepNext/>
        <w:keepLines/>
        <w:rPr>
          <w:rFonts w:cs="Arial"/>
          <w:b/>
          <w:szCs w:val="22"/>
          <w:lang w:val="en-GB"/>
        </w:rPr>
      </w:pPr>
      <w:r w:rsidRPr="00A07C42">
        <w:rPr>
          <w:b/>
          <w:szCs w:val="22"/>
          <w:lang w:val="en-GB"/>
        </w:rPr>
        <w:t xml:space="preserve">Table </w:t>
      </w:r>
      <w:r w:rsidR="00E90C58" w:rsidRPr="00A07C42">
        <w:rPr>
          <w:b/>
          <w:szCs w:val="22"/>
          <w:lang w:val="en-GB"/>
        </w:rPr>
        <w:t>7</w:t>
      </w:r>
      <w:r w:rsidRPr="00A07C42">
        <w:rPr>
          <w:b/>
          <w:szCs w:val="22"/>
          <w:lang w:val="en-GB"/>
        </w:rPr>
        <w:t xml:space="preserve">:  Trial BP22333 (SparkThera): Absorption </w:t>
      </w:r>
      <w:r w:rsidR="000A6DDA" w:rsidRPr="00A07C42">
        <w:rPr>
          <w:b/>
          <w:szCs w:val="22"/>
          <w:lang w:val="en-GB"/>
        </w:rPr>
        <w:noBreakHyphen/>
      </w:r>
      <w:r w:rsidRPr="00A07C42">
        <w:rPr>
          <w:b/>
          <w:szCs w:val="22"/>
          <w:lang w:val="en-GB"/>
        </w:rPr>
        <w:t xml:space="preserve"> Pharmacokinetic parameters of</w:t>
      </w:r>
      <w:r w:rsidRPr="00C501E3">
        <w:rPr>
          <w:rFonts w:cs="Arial"/>
          <w:b/>
          <w:szCs w:val="22"/>
          <w:lang w:val="en-GB"/>
        </w:rPr>
        <w:t xml:space="preserve"> </w:t>
      </w:r>
      <w:smartTag w:uri="urn:schemas-microsoft-com:office:smarttags" w:element="place">
        <w:smartTag w:uri="urn:schemas-microsoft-com:office:smarttags" w:element="City">
          <w:r w:rsidRPr="00C501E3">
            <w:rPr>
              <w:rFonts w:cs="Arial"/>
              <w:b/>
              <w:szCs w:val="22"/>
              <w:lang w:val="en-GB"/>
            </w:rPr>
            <w:t>MabThera</w:t>
          </w:r>
        </w:smartTag>
        <w:r w:rsidRPr="00C501E3">
          <w:rPr>
            <w:rFonts w:cs="Arial"/>
            <w:b/>
            <w:szCs w:val="22"/>
            <w:lang w:val="en-GB"/>
          </w:rPr>
          <w:t xml:space="preserve"> </w:t>
        </w:r>
        <w:smartTag w:uri="urn:schemas-microsoft-com:office:smarttags" w:element="State">
          <w:r w:rsidRPr="00C501E3">
            <w:rPr>
              <w:rFonts w:cs="Arial"/>
              <w:b/>
              <w:szCs w:val="22"/>
              <w:lang w:val="en-GB"/>
            </w:rPr>
            <w:t>SC</w:t>
          </w:r>
        </w:smartTag>
      </w:smartTag>
      <w:r w:rsidRPr="00C501E3">
        <w:rPr>
          <w:rFonts w:cs="Arial"/>
          <w:b/>
          <w:szCs w:val="22"/>
          <w:lang w:val="en-GB"/>
        </w:rPr>
        <w:t xml:space="preserve"> compared to MabThera IV</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2518"/>
        <w:gridCol w:w="1503"/>
        <w:gridCol w:w="1616"/>
      </w:tblGrid>
      <w:tr w:rsidR="003A788B" w14:paraId="7C331EBF" w14:textId="77777777" w:rsidTr="008919D7">
        <w:trPr>
          <w:trHeight w:val="454"/>
          <w:jc w:val="center"/>
        </w:trPr>
        <w:tc>
          <w:tcPr>
            <w:tcW w:w="2518" w:type="dxa"/>
            <w:tcBorders>
              <w:top w:val="nil"/>
              <w:left w:val="nil"/>
            </w:tcBorders>
            <w:shd w:val="clear" w:color="auto" w:fill="FFFFFF"/>
          </w:tcPr>
          <w:p w14:paraId="7C331EBC" w14:textId="77777777" w:rsidR="008F369D" w:rsidRPr="00C501E3" w:rsidRDefault="008F369D" w:rsidP="00E06A78">
            <w:pPr>
              <w:rPr>
                <w:rFonts w:cs="Arial"/>
                <w:szCs w:val="22"/>
                <w:lang w:val="en-GB"/>
              </w:rPr>
            </w:pPr>
          </w:p>
        </w:tc>
        <w:tc>
          <w:tcPr>
            <w:tcW w:w="1503" w:type="dxa"/>
            <w:shd w:val="clear" w:color="auto" w:fill="FFFFFF"/>
          </w:tcPr>
          <w:p w14:paraId="7C331EBD" w14:textId="77777777" w:rsidR="008F369D" w:rsidRPr="00C501E3" w:rsidRDefault="00016F29" w:rsidP="00E06A78">
            <w:pPr>
              <w:keepNext/>
              <w:keepLines/>
              <w:rPr>
                <w:rFonts w:cs="Arial"/>
                <w:szCs w:val="22"/>
                <w:lang w:val="en-GB"/>
              </w:rPr>
            </w:pPr>
            <w:r w:rsidRPr="00C501E3">
              <w:rPr>
                <w:rFonts w:cs="Arial"/>
                <w:szCs w:val="22"/>
                <w:lang w:val="en-GB"/>
              </w:rPr>
              <w:t xml:space="preserve">MabThera </w:t>
            </w:r>
            <w:r w:rsidRPr="00C501E3">
              <w:rPr>
                <w:szCs w:val="22"/>
                <w:lang w:val="en-GB"/>
              </w:rPr>
              <w:t>subcutaneous</w:t>
            </w:r>
          </w:p>
        </w:tc>
        <w:tc>
          <w:tcPr>
            <w:tcW w:w="1616" w:type="dxa"/>
            <w:shd w:val="clear" w:color="auto" w:fill="FFFFFF"/>
          </w:tcPr>
          <w:p w14:paraId="7C331EBE" w14:textId="77777777" w:rsidR="008F369D" w:rsidRPr="00C501E3" w:rsidRDefault="00016F29" w:rsidP="00E06A78">
            <w:pPr>
              <w:keepNext/>
              <w:keepLines/>
              <w:rPr>
                <w:rFonts w:cs="Arial"/>
                <w:szCs w:val="22"/>
                <w:lang w:val="en-GB"/>
              </w:rPr>
            </w:pPr>
            <w:r w:rsidRPr="00C501E3">
              <w:rPr>
                <w:rFonts w:cs="Arial"/>
                <w:szCs w:val="22"/>
                <w:lang w:val="en-GB"/>
              </w:rPr>
              <w:t xml:space="preserve">MabThera </w:t>
            </w:r>
            <w:r w:rsidRPr="00C501E3">
              <w:rPr>
                <w:szCs w:val="22"/>
                <w:lang w:val="en-GB"/>
              </w:rPr>
              <w:t>intravenous</w:t>
            </w:r>
          </w:p>
        </w:tc>
      </w:tr>
      <w:tr w:rsidR="003A788B" w14:paraId="7C331EC3" w14:textId="77777777" w:rsidTr="008919D7">
        <w:trPr>
          <w:trHeight w:val="454"/>
          <w:jc w:val="center"/>
        </w:trPr>
        <w:tc>
          <w:tcPr>
            <w:tcW w:w="2518" w:type="dxa"/>
            <w:shd w:val="clear" w:color="auto" w:fill="FFFFFF"/>
          </w:tcPr>
          <w:p w14:paraId="7C331EC0" w14:textId="77777777" w:rsidR="008F369D" w:rsidRPr="00C501E3" w:rsidRDefault="00016F29" w:rsidP="00E06A78">
            <w:pPr>
              <w:keepNext/>
              <w:keepLines/>
              <w:rPr>
                <w:rFonts w:cs="Arial"/>
                <w:szCs w:val="22"/>
                <w:lang w:val="en-GB"/>
              </w:rPr>
            </w:pPr>
            <w:r w:rsidRPr="00C501E3">
              <w:rPr>
                <w:rFonts w:cs="Arial"/>
                <w:szCs w:val="22"/>
                <w:lang w:val="en-GB"/>
              </w:rPr>
              <w:t>Predicted median C</w:t>
            </w:r>
            <w:r w:rsidRPr="00C501E3">
              <w:rPr>
                <w:rFonts w:cs="Arial"/>
                <w:szCs w:val="22"/>
                <w:vertAlign w:val="subscript"/>
                <w:lang w:val="en-GB"/>
              </w:rPr>
              <w:t>max</w:t>
            </w:r>
            <w:r w:rsidRPr="00C501E3">
              <w:rPr>
                <w:rFonts w:cs="Arial"/>
                <w:szCs w:val="22"/>
                <w:lang w:val="en-GB"/>
              </w:rPr>
              <w:t xml:space="preserve"> (q2m) µg/m</w:t>
            </w:r>
            <w:r w:rsidRPr="00C501E3">
              <w:rPr>
                <w:szCs w:val="22"/>
                <w:lang w:val="en-GB"/>
              </w:rPr>
              <w:t>L</w:t>
            </w:r>
          </w:p>
        </w:tc>
        <w:tc>
          <w:tcPr>
            <w:tcW w:w="1503" w:type="dxa"/>
            <w:shd w:val="clear" w:color="auto" w:fill="FFFFFF"/>
          </w:tcPr>
          <w:p w14:paraId="7C331EC1" w14:textId="77777777" w:rsidR="008F369D" w:rsidRPr="00C501E3" w:rsidRDefault="00016F29" w:rsidP="00E06A78">
            <w:pPr>
              <w:keepNext/>
              <w:keepLines/>
              <w:rPr>
                <w:rFonts w:cs="Arial"/>
                <w:szCs w:val="22"/>
                <w:lang w:val="en-GB"/>
              </w:rPr>
            </w:pPr>
            <w:r w:rsidRPr="00C501E3">
              <w:rPr>
                <w:rFonts w:cs="Arial"/>
                <w:szCs w:val="22"/>
                <w:lang w:val="en-GB"/>
              </w:rPr>
              <w:t>201</w:t>
            </w:r>
          </w:p>
        </w:tc>
        <w:tc>
          <w:tcPr>
            <w:tcW w:w="1616" w:type="dxa"/>
            <w:shd w:val="clear" w:color="auto" w:fill="FFFFFF"/>
          </w:tcPr>
          <w:p w14:paraId="7C331EC2" w14:textId="77777777" w:rsidR="008F369D" w:rsidRPr="00C501E3" w:rsidRDefault="00016F29" w:rsidP="00E06A78">
            <w:pPr>
              <w:keepNext/>
              <w:keepLines/>
              <w:rPr>
                <w:rFonts w:cs="Arial"/>
                <w:szCs w:val="22"/>
                <w:lang w:val="en-GB"/>
              </w:rPr>
            </w:pPr>
            <w:r w:rsidRPr="00C501E3">
              <w:rPr>
                <w:rFonts w:cs="Arial"/>
                <w:szCs w:val="22"/>
                <w:lang w:val="en-GB"/>
              </w:rPr>
              <w:t>209</w:t>
            </w:r>
          </w:p>
        </w:tc>
      </w:tr>
      <w:tr w:rsidR="003A788B" w14:paraId="7C331EC7" w14:textId="77777777" w:rsidTr="008919D7">
        <w:trPr>
          <w:trHeight w:val="454"/>
          <w:jc w:val="center"/>
        </w:trPr>
        <w:tc>
          <w:tcPr>
            <w:tcW w:w="2518" w:type="dxa"/>
            <w:shd w:val="clear" w:color="auto" w:fill="FFFFFF"/>
          </w:tcPr>
          <w:p w14:paraId="7C331EC4" w14:textId="77777777" w:rsidR="008F369D" w:rsidRPr="00C501E3" w:rsidRDefault="00016F29" w:rsidP="00E06A78">
            <w:pPr>
              <w:keepNext/>
              <w:keepLines/>
              <w:rPr>
                <w:rFonts w:cs="Arial"/>
                <w:szCs w:val="22"/>
                <w:lang w:val="en-GB"/>
              </w:rPr>
            </w:pPr>
            <w:r w:rsidRPr="00C501E3">
              <w:rPr>
                <w:rFonts w:cs="Arial"/>
                <w:szCs w:val="22"/>
                <w:lang w:val="en-GB"/>
              </w:rPr>
              <w:t>Predicted median C</w:t>
            </w:r>
            <w:r w:rsidRPr="00C501E3">
              <w:rPr>
                <w:rFonts w:cs="Arial"/>
                <w:szCs w:val="22"/>
                <w:vertAlign w:val="subscript"/>
                <w:lang w:val="en-GB"/>
              </w:rPr>
              <w:t>max</w:t>
            </w:r>
            <w:r w:rsidRPr="00C501E3">
              <w:rPr>
                <w:rFonts w:cs="Arial"/>
                <w:szCs w:val="22"/>
                <w:lang w:val="en-GB"/>
              </w:rPr>
              <w:t xml:space="preserve"> (q3m) µg/m</w:t>
            </w:r>
            <w:r w:rsidRPr="00C501E3">
              <w:rPr>
                <w:szCs w:val="22"/>
                <w:lang w:val="en-GB"/>
              </w:rPr>
              <w:t>L</w:t>
            </w:r>
          </w:p>
        </w:tc>
        <w:tc>
          <w:tcPr>
            <w:tcW w:w="1503" w:type="dxa"/>
            <w:shd w:val="clear" w:color="auto" w:fill="FFFFFF"/>
          </w:tcPr>
          <w:p w14:paraId="7C331EC5" w14:textId="77777777" w:rsidR="008F369D" w:rsidRPr="00C501E3" w:rsidRDefault="00016F29" w:rsidP="00E06A78">
            <w:pPr>
              <w:keepNext/>
              <w:keepLines/>
              <w:rPr>
                <w:rFonts w:cs="Arial"/>
                <w:szCs w:val="22"/>
                <w:lang w:val="en-GB"/>
              </w:rPr>
            </w:pPr>
            <w:r w:rsidRPr="00C501E3">
              <w:rPr>
                <w:rFonts w:cs="Arial"/>
                <w:szCs w:val="22"/>
                <w:lang w:val="en-GB"/>
              </w:rPr>
              <w:t>189 </w:t>
            </w:r>
          </w:p>
        </w:tc>
        <w:tc>
          <w:tcPr>
            <w:tcW w:w="1616" w:type="dxa"/>
            <w:shd w:val="clear" w:color="auto" w:fill="FFFFFF"/>
          </w:tcPr>
          <w:p w14:paraId="7C331EC6" w14:textId="77777777" w:rsidR="008F369D" w:rsidRPr="00C501E3" w:rsidRDefault="00016F29" w:rsidP="00E06A78">
            <w:pPr>
              <w:keepNext/>
              <w:keepLines/>
              <w:rPr>
                <w:rFonts w:cs="Arial"/>
                <w:szCs w:val="22"/>
                <w:lang w:val="en-GB"/>
              </w:rPr>
            </w:pPr>
            <w:r w:rsidRPr="00C501E3">
              <w:rPr>
                <w:rFonts w:cs="Arial"/>
                <w:szCs w:val="22"/>
                <w:lang w:val="en-GB"/>
              </w:rPr>
              <w:t>184</w:t>
            </w:r>
          </w:p>
        </w:tc>
      </w:tr>
    </w:tbl>
    <w:p w14:paraId="7C331EC8" w14:textId="77777777" w:rsidR="008F369D" w:rsidRPr="00C501E3" w:rsidRDefault="008F369D" w:rsidP="00E06A78">
      <w:pPr>
        <w:rPr>
          <w:szCs w:val="22"/>
          <w:lang w:val="en-GB"/>
        </w:rPr>
      </w:pPr>
    </w:p>
    <w:p w14:paraId="7C331EC9" w14:textId="77777777" w:rsidR="008F369D" w:rsidRPr="00C501E3" w:rsidRDefault="00016F29" w:rsidP="00E06A78">
      <w:pPr>
        <w:keepNext/>
        <w:keepLines/>
        <w:rPr>
          <w:rFonts w:cs="Arial"/>
          <w:lang w:val="en-GB"/>
        </w:rPr>
      </w:pPr>
      <w:r w:rsidRPr="00C501E3">
        <w:rPr>
          <w:szCs w:val="22"/>
          <w:lang w:val="en-GB"/>
        </w:rPr>
        <w:t>The median T</w:t>
      </w:r>
      <w:r w:rsidRPr="00C501E3">
        <w:rPr>
          <w:szCs w:val="22"/>
          <w:vertAlign w:val="subscript"/>
          <w:lang w:val="en-GB"/>
        </w:rPr>
        <w:t>max</w:t>
      </w:r>
      <w:r w:rsidRPr="00C501E3">
        <w:rPr>
          <w:szCs w:val="22"/>
          <w:lang w:val="en-GB"/>
        </w:rPr>
        <w:t xml:space="preserve"> in the MabThera subcutaneous formulation was approximately 3 days as compared to the T</w:t>
      </w:r>
      <w:r w:rsidRPr="00C501E3">
        <w:rPr>
          <w:szCs w:val="22"/>
          <w:vertAlign w:val="subscript"/>
          <w:lang w:val="en-GB"/>
        </w:rPr>
        <w:t>max</w:t>
      </w:r>
      <w:r w:rsidRPr="00C501E3">
        <w:rPr>
          <w:szCs w:val="22"/>
          <w:lang w:val="en-GB"/>
        </w:rPr>
        <w:t xml:space="preserve"> occuring at or close to the end of the infusion for the </w:t>
      </w:r>
      <w:r w:rsidRPr="00C501E3">
        <w:rPr>
          <w:rFonts w:cs="Arial"/>
          <w:szCs w:val="22"/>
          <w:lang w:val="en-GB"/>
        </w:rPr>
        <w:t>intravenous formulation</w:t>
      </w:r>
      <w:r w:rsidRPr="00C501E3">
        <w:rPr>
          <w:szCs w:val="22"/>
          <w:lang w:val="en-GB"/>
        </w:rPr>
        <w:t>.</w:t>
      </w:r>
    </w:p>
    <w:p w14:paraId="7C331ECA" w14:textId="77777777" w:rsidR="008F369D" w:rsidRPr="00C501E3" w:rsidRDefault="008F369D" w:rsidP="008F369D">
      <w:pPr>
        <w:rPr>
          <w:szCs w:val="22"/>
          <w:lang w:val="en-GB"/>
        </w:rPr>
      </w:pPr>
    </w:p>
    <w:p w14:paraId="7C331ECB" w14:textId="77777777" w:rsidR="008F369D" w:rsidRPr="00C501E3" w:rsidRDefault="00016F29" w:rsidP="008F369D">
      <w:pPr>
        <w:rPr>
          <w:szCs w:val="22"/>
          <w:lang w:val="en-GB"/>
        </w:rPr>
      </w:pPr>
      <w:r w:rsidRPr="00C501E3">
        <w:rPr>
          <w:rFonts w:cs="Arial"/>
          <w:i/>
          <w:lang w:val="en-GB"/>
        </w:rPr>
        <w:t>Trial BO22334 (SABRINA)</w:t>
      </w:r>
    </w:p>
    <w:p w14:paraId="7C331ECC" w14:textId="77777777" w:rsidR="008F369D" w:rsidRPr="00C501E3" w:rsidRDefault="00016F29" w:rsidP="008F369D">
      <w:pPr>
        <w:rPr>
          <w:szCs w:val="22"/>
          <w:lang w:val="en-GB"/>
        </w:rPr>
      </w:pPr>
      <w:r w:rsidRPr="00C501E3">
        <w:rPr>
          <w:szCs w:val="22"/>
          <w:lang w:val="en-GB"/>
        </w:rPr>
        <w:t xml:space="preserve">MabThera subcutaneous formulation at a fixed dose of 1400 mg was administered for 6 cycles </w:t>
      </w:r>
      <w:r w:rsidRPr="000C1CC1">
        <w:rPr>
          <w:szCs w:val="22"/>
          <w:lang w:val="en-GB"/>
        </w:rPr>
        <w:t>subcutaneously during induction at 3</w:t>
      </w:r>
      <w:r w:rsidR="000A6DDA" w:rsidRPr="000C1CC1">
        <w:rPr>
          <w:szCs w:val="22"/>
          <w:lang w:val="en-GB"/>
        </w:rPr>
        <w:noBreakHyphen/>
      </w:r>
      <w:r w:rsidRPr="000C1CC1">
        <w:rPr>
          <w:szCs w:val="22"/>
          <w:lang w:val="en-GB"/>
        </w:rPr>
        <w:t>weekly intervals, following the first cycle of MabThera</w:t>
      </w:r>
      <w:r w:rsidRPr="00C501E3">
        <w:rPr>
          <w:rFonts w:cs="Arial"/>
          <w:szCs w:val="22"/>
          <w:lang w:val="en-GB"/>
        </w:rPr>
        <w:t xml:space="preserve"> intravenous formulation</w:t>
      </w:r>
      <w:r w:rsidRPr="00C501E3">
        <w:rPr>
          <w:szCs w:val="22"/>
          <w:lang w:val="en-GB"/>
        </w:rPr>
        <w:t>, in previously untreated FL patients in combination with chemotherapy. The serum rituximab C</w:t>
      </w:r>
      <w:r w:rsidRPr="00C501E3">
        <w:rPr>
          <w:szCs w:val="22"/>
          <w:vertAlign w:val="subscript"/>
          <w:lang w:val="en-GB"/>
        </w:rPr>
        <w:t>max</w:t>
      </w:r>
      <w:r w:rsidRPr="00C501E3">
        <w:rPr>
          <w:szCs w:val="22"/>
          <w:lang w:val="en-GB"/>
        </w:rPr>
        <w:t xml:space="preserve"> at cycle 7 was similar between the two treatment arms, with geometric mean (CV%) values of 250.63 (19.01) μg/mL and 236.82 (29.41) μg/mL for the </w:t>
      </w:r>
      <w:r w:rsidRPr="00C501E3">
        <w:rPr>
          <w:rFonts w:cs="Arial"/>
          <w:szCs w:val="22"/>
          <w:lang w:val="en-GB"/>
        </w:rPr>
        <w:t xml:space="preserve">intravenous </w:t>
      </w:r>
      <w:r w:rsidRPr="00C501E3">
        <w:rPr>
          <w:szCs w:val="22"/>
          <w:lang w:val="en-GB"/>
        </w:rPr>
        <w:t>and the subcutaneous formulations respectively, with the resulting geometric mean ratio (C</w:t>
      </w:r>
      <w:r w:rsidRPr="00C501E3">
        <w:rPr>
          <w:szCs w:val="22"/>
          <w:vertAlign w:val="subscript"/>
          <w:lang w:val="en-GB"/>
        </w:rPr>
        <w:t>max, SC</w:t>
      </w:r>
      <w:r w:rsidRPr="00C501E3">
        <w:rPr>
          <w:szCs w:val="22"/>
          <w:lang w:val="en-GB"/>
        </w:rPr>
        <w:t>/C</w:t>
      </w:r>
      <w:r w:rsidRPr="00C501E3">
        <w:rPr>
          <w:szCs w:val="22"/>
          <w:vertAlign w:val="subscript"/>
          <w:lang w:val="en-GB"/>
        </w:rPr>
        <w:t>max, IV</w:t>
      </w:r>
      <w:r w:rsidRPr="00C501E3">
        <w:rPr>
          <w:szCs w:val="22"/>
          <w:lang w:val="en-GB"/>
        </w:rPr>
        <w:t xml:space="preserve">) of 0.941 (90% CI: 0.872, 1.015). </w:t>
      </w:r>
    </w:p>
    <w:p w14:paraId="7C331ECD" w14:textId="77777777" w:rsidR="008F369D" w:rsidRPr="00C501E3" w:rsidRDefault="008F369D" w:rsidP="008F369D">
      <w:pPr>
        <w:rPr>
          <w:szCs w:val="22"/>
          <w:lang w:val="en-GB"/>
        </w:rPr>
      </w:pPr>
    </w:p>
    <w:p w14:paraId="7C331ECE" w14:textId="77777777" w:rsidR="008F369D" w:rsidRPr="00C501E3" w:rsidRDefault="00016F29" w:rsidP="008F369D">
      <w:pPr>
        <w:rPr>
          <w:szCs w:val="22"/>
          <w:u w:val="single"/>
          <w:lang w:val="en-GB"/>
        </w:rPr>
      </w:pPr>
      <w:r w:rsidRPr="00C501E3">
        <w:rPr>
          <w:szCs w:val="22"/>
          <w:u w:val="single"/>
          <w:lang w:val="en-GB"/>
        </w:rPr>
        <w:t>Distribution/Elimination</w:t>
      </w:r>
    </w:p>
    <w:p w14:paraId="7C331ECF" w14:textId="77777777" w:rsidR="008F369D" w:rsidRPr="00C501E3" w:rsidRDefault="008F369D" w:rsidP="008F369D">
      <w:pPr>
        <w:rPr>
          <w:szCs w:val="22"/>
          <w:u w:val="single"/>
          <w:lang w:val="en-GB"/>
        </w:rPr>
      </w:pPr>
    </w:p>
    <w:p w14:paraId="7C331ED0" w14:textId="77777777" w:rsidR="008F369D" w:rsidRPr="00C501E3" w:rsidRDefault="00016F29" w:rsidP="008F369D">
      <w:pPr>
        <w:rPr>
          <w:rFonts w:cs="Arial"/>
          <w:lang w:val="en-GB"/>
        </w:rPr>
      </w:pPr>
      <w:r w:rsidRPr="00C501E3">
        <w:rPr>
          <w:rFonts w:cs="Arial"/>
          <w:lang w:val="en-GB"/>
        </w:rPr>
        <w:t xml:space="preserve">Geometric mean </w:t>
      </w:r>
      <w:r w:rsidRPr="00C501E3">
        <w:rPr>
          <w:rFonts w:cs="Arial"/>
          <w:sz w:val="20"/>
          <w:lang w:val="en-GB"/>
        </w:rPr>
        <w:t>C</w:t>
      </w:r>
      <w:r w:rsidRPr="00C501E3">
        <w:rPr>
          <w:rFonts w:cs="Arial"/>
          <w:sz w:val="20"/>
          <w:vertAlign w:val="subscript"/>
          <w:lang w:val="en-GB"/>
        </w:rPr>
        <w:t>trough</w:t>
      </w:r>
      <w:r w:rsidRPr="00C501E3">
        <w:rPr>
          <w:rFonts w:cs="Arial"/>
          <w:lang w:val="en-GB"/>
        </w:rPr>
        <w:t xml:space="preserve"> and geometric mean AUC</w:t>
      </w:r>
      <w:r w:rsidRPr="00C501E3">
        <w:rPr>
          <w:color w:val="222222"/>
          <w:szCs w:val="22"/>
          <w:lang w:val="en-GB" w:eastAsia="en-US"/>
        </w:rPr>
        <w:t>τ</w:t>
      </w:r>
      <w:r w:rsidRPr="00C501E3">
        <w:rPr>
          <w:rFonts w:cs="Arial"/>
          <w:lang w:val="en-GB"/>
        </w:rPr>
        <w:t xml:space="preserve"> from </w:t>
      </w:r>
      <w:r w:rsidRPr="006651D5">
        <w:rPr>
          <w:rFonts w:cs="Arial"/>
          <w:lang w:val="en-GB"/>
        </w:rPr>
        <w:t>the BP</w:t>
      </w:r>
      <w:r w:rsidRPr="001F63EB">
        <w:rPr>
          <w:rFonts w:cs="Arial"/>
          <w:lang w:val="en-GB"/>
        </w:rPr>
        <w:t>22333</w:t>
      </w:r>
      <w:r w:rsidRPr="006651D5">
        <w:rPr>
          <w:rFonts w:cs="Arial"/>
          <w:lang w:val="en-GB"/>
        </w:rPr>
        <w:t xml:space="preserve"> and</w:t>
      </w:r>
      <w:r w:rsidRPr="00C501E3">
        <w:rPr>
          <w:rFonts w:cs="Arial"/>
          <w:lang w:val="en-GB"/>
        </w:rPr>
        <w:t xml:space="preserve"> BO22334 trials are summarized in </w:t>
      </w:r>
      <w:r w:rsidRPr="007152D5">
        <w:rPr>
          <w:rFonts w:cs="Arial"/>
          <w:lang w:val="en-GB"/>
        </w:rPr>
        <w:t xml:space="preserve">Table </w:t>
      </w:r>
      <w:r w:rsidR="00E90C58" w:rsidRPr="007152D5">
        <w:rPr>
          <w:rFonts w:cs="Arial"/>
          <w:lang w:val="en-GB"/>
        </w:rPr>
        <w:t>8</w:t>
      </w:r>
      <w:r w:rsidRPr="00C501E3">
        <w:rPr>
          <w:rFonts w:cs="Arial"/>
          <w:lang w:val="en-GB"/>
        </w:rPr>
        <w:t>.</w:t>
      </w:r>
    </w:p>
    <w:p w14:paraId="7C331ED1" w14:textId="77777777" w:rsidR="008F369D" w:rsidRPr="00C501E3" w:rsidRDefault="008F369D" w:rsidP="008F369D">
      <w:pPr>
        <w:rPr>
          <w:rFonts w:cs="Arial"/>
          <w:lang w:val="en-GB"/>
        </w:rPr>
      </w:pPr>
    </w:p>
    <w:p w14:paraId="7C331ED2" w14:textId="77777777" w:rsidR="008F369D" w:rsidRPr="00C501E3" w:rsidRDefault="00016F29" w:rsidP="002C6ABF">
      <w:pPr>
        <w:keepNext/>
        <w:keepLines/>
        <w:rPr>
          <w:rFonts w:cs="Arial"/>
          <w:b/>
          <w:szCs w:val="22"/>
          <w:lang w:val="en-GB"/>
        </w:rPr>
      </w:pPr>
      <w:r w:rsidRPr="00E06B79">
        <w:rPr>
          <w:b/>
          <w:szCs w:val="22"/>
          <w:lang w:val="en-GB"/>
        </w:rPr>
        <w:t xml:space="preserve">Table </w:t>
      </w:r>
      <w:r w:rsidR="00E90C58" w:rsidRPr="00E06B79">
        <w:rPr>
          <w:b/>
          <w:szCs w:val="22"/>
          <w:lang w:val="en-GB"/>
        </w:rPr>
        <w:t>8</w:t>
      </w:r>
      <w:r w:rsidRPr="00E06B79">
        <w:rPr>
          <w:b/>
          <w:szCs w:val="22"/>
          <w:lang w:val="en-GB"/>
        </w:rPr>
        <w:t xml:space="preserve">: Distribution/Elimination </w:t>
      </w:r>
      <w:r w:rsidR="000A6DDA" w:rsidRPr="00E06B79">
        <w:rPr>
          <w:b/>
          <w:szCs w:val="22"/>
          <w:lang w:val="en-GB"/>
        </w:rPr>
        <w:noBreakHyphen/>
      </w:r>
      <w:r w:rsidRPr="00E06B79">
        <w:rPr>
          <w:b/>
          <w:szCs w:val="22"/>
          <w:lang w:val="en-GB"/>
        </w:rPr>
        <w:t xml:space="preserve"> Pharmacokinetic parameters of MabThera subcutaneous</w:t>
      </w:r>
      <w:r w:rsidRPr="00C501E3">
        <w:rPr>
          <w:rFonts w:cs="Arial"/>
          <w:b/>
          <w:szCs w:val="22"/>
          <w:lang w:val="en-GB"/>
        </w:rPr>
        <w:t xml:space="preserve"> compared to MabThera intravenous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547"/>
        <w:gridCol w:w="1548"/>
        <w:gridCol w:w="1548"/>
        <w:gridCol w:w="1548"/>
        <w:gridCol w:w="1548"/>
      </w:tblGrid>
      <w:tr w:rsidR="003A788B" w14:paraId="7C331ED4" w14:textId="77777777" w:rsidTr="008919D7">
        <w:trPr>
          <w:trHeight w:val="340"/>
          <w:jc w:val="center"/>
        </w:trPr>
        <w:tc>
          <w:tcPr>
            <w:tcW w:w="7739" w:type="dxa"/>
            <w:gridSpan w:val="5"/>
            <w:shd w:val="clear" w:color="auto" w:fill="FFFFFF"/>
            <w:vAlign w:val="center"/>
          </w:tcPr>
          <w:p w14:paraId="7C331ED3" w14:textId="77777777" w:rsidR="008F369D" w:rsidRPr="00C501E3" w:rsidRDefault="00016F29" w:rsidP="002C6ABF">
            <w:pPr>
              <w:keepNext/>
              <w:keepLines/>
              <w:rPr>
                <w:rFonts w:cs="Arial"/>
                <w:b/>
                <w:szCs w:val="22"/>
                <w:lang w:val="en-GB"/>
              </w:rPr>
            </w:pPr>
            <w:r w:rsidRPr="00C501E3">
              <w:rPr>
                <w:rFonts w:cs="Arial"/>
                <w:b/>
                <w:szCs w:val="22"/>
                <w:lang w:val="en-GB"/>
              </w:rPr>
              <w:t>Trial BP22333 (SparkThera)</w:t>
            </w:r>
          </w:p>
        </w:tc>
      </w:tr>
      <w:tr w:rsidR="003A788B" w14:paraId="7C331EDE" w14:textId="77777777" w:rsidTr="008919D7">
        <w:trPr>
          <w:jc w:val="center"/>
        </w:trPr>
        <w:tc>
          <w:tcPr>
            <w:tcW w:w="1547" w:type="dxa"/>
            <w:shd w:val="clear" w:color="auto" w:fill="FFFFFF"/>
          </w:tcPr>
          <w:p w14:paraId="7C331ED5" w14:textId="77777777" w:rsidR="008F369D" w:rsidRPr="00C501E3" w:rsidRDefault="008F369D" w:rsidP="002C6ABF">
            <w:pPr>
              <w:keepNext/>
              <w:keepLines/>
              <w:rPr>
                <w:rFonts w:cs="Arial"/>
                <w:szCs w:val="22"/>
                <w:lang w:val="en-GB"/>
              </w:rPr>
            </w:pPr>
          </w:p>
        </w:tc>
        <w:tc>
          <w:tcPr>
            <w:tcW w:w="1548" w:type="dxa"/>
            <w:shd w:val="clear" w:color="auto" w:fill="FFFFFF"/>
          </w:tcPr>
          <w:p w14:paraId="7C331ED6" w14:textId="77777777" w:rsidR="008F369D" w:rsidRPr="00C501E3" w:rsidRDefault="00016F29" w:rsidP="002C6ABF">
            <w:pPr>
              <w:keepNext/>
              <w:keepLines/>
              <w:rPr>
                <w:rFonts w:cs="Arial"/>
                <w:szCs w:val="22"/>
                <w:lang w:val="en-GB"/>
              </w:rPr>
            </w:pPr>
            <w:r w:rsidRPr="00C501E3">
              <w:rPr>
                <w:rFonts w:cs="Arial"/>
                <w:szCs w:val="22"/>
                <w:lang w:val="en-GB"/>
              </w:rPr>
              <w:t>Geometric mean C</w:t>
            </w:r>
            <w:r w:rsidRPr="00C501E3">
              <w:rPr>
                <w:rFonts w:cs="Arial"/>
                <w:szCs w:val="22"/>
                <w:vertAlign w:val="subscript"/>
                <w:lang w:val="en-GB"/>
              </w:rPr>
              <w:t>trough</w:t>
            </w:r>
            <w:r w:rsidRPr="00C501E3">
              <w:rPr>
                <w:rFonts w:cs="Arial"/>
                <w:szCs w:val="22"/>
                <w:lang w:val="en-GB"/>
              </w:rPr>
              <w:t xml:space="preserve"> (q2m) µg/m</w:t>
            </w:r>
            <w:r w:rsidRPr="00C501E3">
              <w:rPr>
                <w:szCs w:val="22"/>
                <w:lang w:val="en-GB"/>
              </w:rPr>
              <w:t>L</w:t>
            </w:r>
            <w:r w:rsidRPr="00C501E3">
              <w:rPr>
                <w:rFonts w:cs="Arial"/>
                <w:szCs w:val="22"/>
                <w:lang w:val="en-GB"/>
              </w:rPr>
              <w:t xml:space="preserve"> </w:t>
            </w:r>
          </w:p>
        </w:tc>
        <w:tc>
          <w:tcPr>
            <w:tcW w:w="1548" w:type="dxa"/>
            <w:shd w:val="clear" w:color="auto" w:fill="FFFFFF"/>
          </w:tcPr>
          <w:p w14:paraId="7C331ED7" w14:textId="77777777" w:rsidR="008F369D" w:rsidRPr="00C501E3" w:rsidRDefault="00016F29" w:rsidP="002C6ABF">
            <w:pPr>
              <w:keepNext/>
              <w:keepLines/>
              <w:rPr>
                <w:rFonts w:cs="Arial"/>
                <w:szCs w:val="22"/>
                <w:lang w:val="en-GB"/>
              </w:rPr>
            </w:pPr>
            <w:r w:rsidRPr="00C501E3">
              <w:rPr>
                <w:rFonts w:cs="Arial"/>
                <w:szCs w:val="22"/>
                <w:lang w:val="en-GB"/>
              </w:rPr>
              <w:t>Geometric mean C</w:t>
            </w:r>
            <w:r w:rsidRPr="00C501E3">
              <w:rPr>
                <w:rFonts w:cs="Arial"/>
                <w:szCs w:val="22"/>
                <w:vertAlign w:val="subscript"/>
                <w:lang w:val="en-GB"/>
              </w:rPr>
              <w:t>trough</w:t>
            </w:r>
            <w:r w:rsidRPr="00C501E3">
              <w:rPr>
                <w:rFonts w:cs="Arial"/>
                <w:szCs w:val="22"/>
                <w:lang w:val="en-GB"/>
              </w:rPr>
              <w:t xml:space="preserve"> (q3m) µg/m</w:t>
            </w:r>
            <w:r w:rsidRPr="00C501E3">
              <w:rPr>
                <w:szCs w:val="22"/>
                <w:lang w:val="en-GB"/>
              </w:rPr>
              <w:t>L</w:t>
            </w:r>
          </w:p>
        </w:tc>
        <w:tc>
          <w:tcPr>
            <w:tcW w:w="1548" w:type="dxa"/>
            <w:shd w:val="clear" w:color="auto" w:fill="FFFFFF"/>
          </w:tcPr>
          <w:p w14:paraId="7C331ED8" w14:textId="77777777" w:rsidR="008F369D" w:rsidRPr="00C501E3" w:rsidRDefault="00016F29" w:rsidP="002C6ABF">
            <w:pPr>
              <w:keepNext/>
              <w:keepLines/>
              <w:rPr>
                <w:rFonts w:cs="Arial"/>
                <w:szCs w:val="22"/>
                <w:vertAlign w:val="subscript"/>
                <w:lang w:val="en-GB"/>
              </w:rPr>
            </w:pPr>
            <w:r w:rsidRPr="00C501E3">
              <w:rPr>
                <w:rFonts w:cs="Arial"/>
                <w:szCs w:val="22"/>
                <w:lang w:val="en-GB"/>
              </w:rPr>
              <w:t>Geometric mean AUC</w:t>
            </w:r>
            <w:r w:rsidRPr="00C501E3">
              <w:rPr>
                <w:color w:val="222222"/>
                <w:szCs w:val="22"/>
                <w:lang w:val="en-GB" w:eastAsia="en-US"/>
              </w:rPr>
              <w:t>τ</w:t>
            </w:r>
          </w:p>
          <w:p w14:paraId="7C331ED9" w14:textId="77777777" w:rsidR="008F369D" w:rsidRPr="00C501E3" w:rsidRDefault="00016F29" w:rsidP="002C6ABF">
            <w:pPr>
              <w:keepNext/>
              <w:keepLines/>
              <w:rPr>
                <w:rFonts w:cs="Arial"/>
                <w:szCs w:val="22"/>
                <w:vertAlign w:val="subscript"/>
                <w:lang w:val="en-GB"/>
              </w:rPr>
            </w:pPr>
            <w:r w:rsidRPr="00C501E3">
              <w:rPr>
                <w:rFonts w:cs="Arial"/>
                <w:szCs w:val="22"/>
                <w:vertAlign w:val="subscript"/>
                <w:lang w:val="en-GB"/>
              </w:rPr>
              <w:t>cycle 2 (q2m)</w:t>
            </w:r>
          </w:p>
          <w:p w14:paraId="7C331EDA" w14:textId="77777777" w:rsidR="008F369D" w:rsidRPr="00C501E3" w:rsidRDefault="00016F29" w:rsidP="002C6ABF">
            <w:pPr>
              <w:keepNext/>
              <w:keepLines/>
              <w:rPr>
                <w:rFonts w:cs="Arial"/>
                <w:szCs w:val="22"/>
                <w:lang w:val="en-GB"/>
              </w:rPr>
            </w:pPr>
            <w:r w:rsidRPr="00C501E3">
              <w:rPr>
                <w:rFonts w:cs="Arial"/>
                <w:szCs w:val="22"/>
                <w:lang w:val="en-GB"/>
              </w:rPr>
              <w:t>µg.day/m</w:t>
            </w:r>
            <w:r w:rsidRPr="00C501E3">
              <w:rPr>
                <w:szCs w:val="22"/>
                <w:lang w:val="en-GB"/>
              </w:rPr>
              <w:t>L</w:t>
            </w:r>
          </w:p>
        </w:tc>
        <w:tc>
          <w:tcPr>
            <w:tcW w:w="1548" w:type="dxa"/>
            <w:shd w:val="clear" w:color="auto" w:fill="FFFFFF"/>
          </w:tcPr>
          <w:p w14:paraId="7C331EDB" w14:textId="77777777" w:rsidR="008F369D" w:rsidRPr="00C501E3" w:rsidRDefault="00016F29" w:rsidP="002C6ABF">
            <w:pPr>
              <w:keepNext/>
              <w:keepLines/>
              <w:rPr>
                <w:rFonts w:cs="Arial"/>
                <w:szCs w:val="22"/>
                <w:vertAlign w:val="subscript"/>
                <w:lang w:val="en-GB"/>
              </w:rPr>
            </w:pPr>
            <w:r w:rsidRPr="00C501E3">
              <w:rPr>
                <w:rFonts w:cs="Arial"/>
                <w:szCs w:val="22"/>
                <w:lang w:val="en-GB"/>
              </w:rPr>
              <w:t>Geometric mean AUC</w:t>
            </w:r>
            <w:r w:rsidRPr="00C501E3">
              <w:rPr>
                <w:color w:val="222222"/>
                <w:szCs w:val="22"/>
                <w:lang w:val="en-GB" w:eastAsia="en-US"/>
              </w:rPr>
              <w:t>τ</w:t>
            </w:r>
          </w:p>
          <w:p w14:paraId="7C331EDC" w14:textId="77777777" w:rsidR="008F369D" w:rsidRPr="00C501E3" w:rsidRDefault="00016F29" w:rsidP="002C6ABF">
            <w:pPr>
              <w:keepNext/>
              <w:keepLines/>
              <w:rPr>
                <w:rFonts w:cs="Arial"/>
                <w:szCs w:val="22"/>
                <w:vertAlign w:val="subscript"/>
                <w:lang w:val="en-GB"/>
              </w:rPr>
            </w:pPr>
            <w:r w:rsidRPr="00C501E3">
              <w:rPr>
                <w:rFonts w:cs="Arial"/>
                <w:szCs w:val="22"/>
                <w:vertAlign w:val="subscript"/>
                <w:lang w:val="en-GB"/>
              </w:rPr>
              <w:t>cycle 2 (q3m)</w:t>
            </w:r>
          </w:p>
          <w:p w14:paraId="7C331EDD" w14:textId="77777777" w:rsidR="008F369D" w:rsidRPr="00C501E3" w:rsidRDefault="00016F29" w:rsidP="002C6ABF">
            <w:pPr>
              <w:keepNext/>
              <w:keepLines/>
              <w:rPr>
                <w:rFonts w:cs="Arial"/>
                <w:szCs w:val="22"/>
                <w:lang w:val="en-GB"/>
              </w:rPr>
            </w:pPr>
            <w:r w:rsidRPr="00C501E3">
              <w:rPr>
                <w:rFonts w:cs="Arial"/>
                <w:szCs w:val="22"/>
                <w:lang w:val="en-GB"/>
              </w:rPr>
              <w:t>µg.day/m</w:t>
            </w:r>
            <w:r w:rsidRPr="00C501E3">
              <w:rPr>
                <w:szCs w:val="22"/>
                <w:lang w:val="en-GB"/>
              </w:rPr>
              <w:t>L</w:t>
            </w:r>
          </w:p>
        </w:tc>
      </w:tr>
      <w:tr w:rsidR="003A788B" w14:paraId="7C331EE4" w14:textId="77777777" w:rsidTr="008919D7">
        <w:trPr>
          <w:jc w:val="center"/>
        </w:trPr>
        <w:tc>
          <w:tcPr>
            <w:tcW w:w="1547" w:type="dxa"/>
            <w:shd w:val="clear" w:color="auto" w:fill="FFFFFF"/>
          </w:tcPr>
          <w:p w14:paraId="7C331EDF" w14:textId="77777777" w:rsidR="008F369D" w:rsidRPr="00C501E3" w:rsidRDefault="00016F29" w:rsidP="002C6ABF">
            <w:pPr>
              <w:keepNext/>
              <w:keepLines/>
              <w:rPr>
                <w:rFonts w:cs="Arial"/>
                <w:szCs w:val="22"/>
                <w:lang w:val="en-GB"/>
              </w:rPr>
            </w:pPr>
            <w:r w:rsidRPr="00C501E3">
              <w:rPr>
                <w:rFonts w:cs="Arial"/>
                <w:szCs w:val="22"/>
                <w:lang w:val="en-GB"/>
              </w:rPr>
              <w:t>MabThera subcutaneous formulation</w:t>
            </w:r>
          </w:p>
        </w:tc>
        <w:tc>
          <w:tcPr>
            <w:tcW w:w="1548" w:type="dxa"/>
            <w:shd w:val="clear" w:color="auto" w:fill="FFFFFF"/>
          </w:tcPr>
          <w:p w14:paraId="7C331EE0" w14:textId="77777777" w:rsidR="008F369D" w:rsidRPr="00C501E3" w:rsidRDefault="00016F29" w:rsidP="002C6ABF">
            <w:pPr>
              <w:keepNext/>
              <w:keepLines/>
              <w:rPr>
                <w:rFonts w:cs="Arial"/>
                <w:szCs w:val="22"/>
                <w:lang w:val="en-GB"/>
              </w:rPr>
            </w:pPr>
            <w:r w:rsidRPr="00C501E3">
              <w:rPr>
                <w:rFonts w:cs="Arial"/>
                <w:szCs w:val="22"/>
                <w:lang w:val="en-GB"/>
              </w:rPr>
              <w:t>32.2</w:t>
            </w:r>
          </w:p>
        </w:tc>
        <w:tc>
          <w:tcPr>
            <w:tcW w:w="1548" w:type="dxa"/>
            <w:shd w:val="clear" w:color="auto" w:fill="FFFFFF"/>
          </w:tcPr>
          <w:p w14:paraId="7C331EE1" w14:textId="77777777" w:rsidR="008F369D" w:rsidRPr="00C501E3" w:rsidRDefault="00016F29" w:rsidP="002C6ABF">
            <w:pPr>
              <w:keepNext/>
              <w:keepLines/>
              <w:rPr>
                <w:rFonts w:cs="Arial"/>
                <w:szCs w:val="22"/>
                <w:lang w:val="en-GB"/>
              </w:rPr>
            </w:pPr>
            <w:r w:rsidRPr="00C501E3">
              <w:rPr>
                <w:rFonts w:cs="Arial"/>
                <w:szCs w:val="22"/>
                <w:lang w:val="en-GB"/>
              </w:rPr>
              <w:t>12.1</w:t>
            </w:r>
          </w:p>
        </w:tc>
        <w:tc>
          <w:tcPr>
            <w:tcW w:w="1548" w:type="dxa"/>
            <w:shd w:val="clear" w:color="auto" w:fill="FFFFFF"/>
          </w:tcPr>
          <w:p w14:paraId="7C331EE2" w14:textId="77777777" w:rsidR="008F369D" w:rsidRPr="00C501E3" w:rsidRDefault="00016F29" w:rsidP="002C6ABF">
            <w:pPr>
              <w:keepNext/>
              <w:keepLines/>
              <w:rPr>
                <w:rFonts w:cs="Arial"/>
                <w:szCs w:val="22"/>
                <w:lang w:val="en-GB"/>
              </w:rPr>
            </w:pPr>
            <w:r w:rsidRPr="00C501E3">
              <w:rPr>
                <w:rFonts w:cs="Arial"/>
                <w:szCs w:val="22"/>
                <w:lang w:val="en-GB"/>
              </w:rPr>
              <w:t>5430</w:t>
            </w:r>
          </w:p>
        </w:tc>
        <w:tc>
          <w:tcPr>
            <w:tcW w:w="1548" w:type="dxa"/>
            <w:shd w:val="clear" w:color="auto" w:fill="FFFFFF"/>
          </w:tcPr>
          <w:p w14:paraId="7C331EE3" w14:textId="77777777" w:rsidR="008F369D" w:rsidRPr="00C501E3" w:rsidRDefault="00016F29" w:rsidP="002C6ABF">
            <w:pPr>
              <w:keepNext/>
              <w:keepLines/>
              <w:rPr>
                <w:rFonts w:cs="Arial"/>
                <w:szCs w:val="22"/>
                <w:lang w:val="en-GB"/>
              </w:rPr>
            </w:pPr>
            <w:r w:rsidRPr="00C501E3">
              <w:rPr>
                <w:rFonts w:cs="Arial"/>
                <w:szCs w:val="22"/>
                <w:lang w:val="en-GB"/>
              </w:rPr>
              <w:t>5320</w:t>
            </w:r>
          </w:p>
        </w:tc>
      </w:tr>
      <w:tr w:rsidR="003A788B" w14:paraId="7C331EEA" w14:textId="77777777" w:rsidTr="008919D7">
        <w:trPr>
          <w:jc w:val="center"/>
        </w:trPr>
        <w:tc>
          <w:tcPr>
            <w:tcW w:w="1547" w:type="dxa"/>
            <w:shd w:val="clear" w:color="auto" w:fill="FFFFFF"/>
          </w:tcPr>
          <w:p w14:paraId="7C331EE5" w14:textId="77777777" w:rsidR="008F369D" w:rsidRPr="00C501E3" w:rsidRDefault="00016F29" w:rsidP="002C6ABF">
            <w:pPr>
              <w:keepNext/>
              <w:keepLines/>
              <w:rPr>
                <w:rFonts w:cs="Arial"/>
                <w:szCs w:val="22"/>
                <w:lang w:val="en-GB"/>
              </w:rPr>
            </w:pPr>
            <w:r w:rsidRPr="00C501E3">
              <w:rPr>
                <w:rFonts w:cs="Arial"/>
                <w:szCs w:val="22"/>
                <w:lang w:val="en-GB"/>
              </w:rPr>
              <w:t>MabThera intravenous formulation</w:t>
            </w:r>
          </w:p>
        </w:tc>
        <w:tc>
          <w:tcPr>
            <w:tcW w:w="1548" w:type="dxa"/>
            <w:shd w:val="clear" w:color="auto" w:fill="FFFFFF"/>
          </w:tcPr>
          <w:p w14:paraId="7C331EE6" w14:textId="77777777" w:rsidR="008F369D" w:rsidRPr="00C501E3" w:rsidRDefault="00016F29" w:rsidP="002C6ABF">
            <w:pPr>
              <w:keepNext/>
              <w:keepLines/>
              <w:rPr>
                <w:rFonts w:cs="Arial"/>
                <w:szCs w:val="22"/>
                <w:lang w:val="en-GB"/>
              </w:rPr>
            </w:pPr>
            <w:r w:rsidRPr="00C501E3">
              <w:rPr>
                <w:rFonts w:cs="Arial"/>
                <w:szCs w:val="22"/>
                <w:lang w:val="en-GB"/>
              </w:rPr>
              <w:t>25.9 </w:t>
            </w:r>
          </w:p>
        </w:tc>
        <w:tc>
          <w:tcPr>
            <w:tcW w:w="1548" w:type="dxa"/>
            <w:shd w:val="clear" w:color="auto" w:fill="FFFFFF"/>
          </w:tcPr>
          <w:p w14:paraId="7C331EE7" w14:textId="77777777" w:rsidR="008F369D" w:rsidRPr="00C501E3" w:rsidRDefault="00016F29" w:rsidP="002C6ABF">
            <w:pPr>
              <w:keepNext/>
              <w:keepLines/>
              <w:rPr>
                <w:rFonts w:cs="Arial"/>
                <w:szCs w:val="22"/>
                <w:lang w:val="en-GB"/>
              </w:rPr>
            </w:pPr>
            <w:r w:rsidRPr="00C501E3">
              <w:rPr>
                <w:rFonts w:cs="Arial"/>
                <w:szCs w:val="22"/>
                <w:lang w:val="en-GB"/>
              </w:rPr>
              <w:t>10.9 </w:t>
            </w:r>
          </w:p>
        </w:tc>
        <w:tc>
          <w:tcPr>
            <w:tcW w:w="1548" w:type="dxa"/>
            <w:shd w:val="clear" w:color="auto" w:fill="FFFFFF"/>
          </w:tcPr>
          <w:p w14:paraId="7C331EE8" w14:textId="77777777" w:rsidR="008F369D" w:rsidRPr="00C501E3" w:rsidRDefault="00016F29" w:rsidP="002C6ABF">
            <w:pPr>
              <w:keepNext/>
              <w:keepLines/>
              <w:rPr>
                <w:rFonts w:cs="Arial"/>
                <w:szCs w:val="22"/>
                <w:lang w:val="en-GB"/>
              </w:rPr>
            </w:pPr>
            <w:r w:rsidRPr="00C501E3">
              <w:rPr>
                <w:rFonts w:cs="Arial"/>
                <w:szCs w:val="22"/>
                <w:lang w:val="en-GB"/>
              </w:rPr>
              <w:t>4012</w:t>
            </w:r>
          </w:p>
        </w:tc>
        <w:tc>
          <w:tcPr>
            <w:tcW w:w="1548" w:type="dxa"/>
            <w:shd w:val="clear" w:color="auto" w:fill="FFFFFF"/>
          </w:tcPr>
          <w:p w14:paraId="7C331EE9" w14:textId="77777777" w:rsidR="008F369D" w:rsidRPr="00C501E3" w:rsidRDefault="00016F29" w:rsidP="002C6ABF">
            <w:pPr>
              <w:keepNext/>
              <w:keepLines/>
              <w:rPr>
                <w:rFonts w:cs="Arial"/>
                <w:szCs w:val="22"/>
                <w:lang w:val="en-GB"/>
              </w:rPr>
            </w:pPr>
            <w:r w:rsidRPr="00C501E3">
              <w:rPr>
                <w:rFonts w:cs="Arial"/>
                <w:szCs w:val="22"/>
                <w:lang w:val="en-GB"/>
              </w:rPr>
              <w:t>3947</w:t>
            </w:r>
          </w:p>
        </w:tc>
      </w:tr>
      <w:tr w:rsidR="003A788B" w14:paraId="7C331EEC" w14:textId="77777777" w:rsidTr="008919D7">
        <w:trPr>
          <w:trHeight w:val="397"/>
          <w:jc w:val="center"/>
        </w:trPr>
        <w:tc>
          <w:tcPr>
            <w:tcW w:w="7739" w:type="dxa"/>
            <w:gridSpan w:val="5"/>
            <w:shd w:val="clear" w:color="auto" w:fill="FFFFFF"/>
            <w:vAlign w:val="center"/>
          </w:tcPr>
          <w:p w14:paraId="7C331EEB" w14:textId="77777777" w:rsidR="008F369D" w:rsidRPr="00C501E3" w:rsidRDefault="00016F29" w:rsidP="002C6ABF">
            <w:pPr>
              <w:keepNext/>
              <w:keepLines/>
              <w:rPr>
                <w:rFonts w:cs="Arial"/>
                <w:b/>
                <w:szCs w:val="22"/>
                <w:lang w:val="en-GB"/>
              </w:rPr>
            </w:pPr>
            <w:r w:rsidRPr="00C501E3">
              <w:rPr>
                <w:rFonts w:cs="Arial"/>
                <w:b/>
                <w:szCs w:val="22"/>
                <w:lang w:val="en-GB"/>
              </w:rPr>
              <w:t>Trial BO22334 (SABRINA)</w:t>
            </w:r>
          </w:p>
        </w:tc>
      </w:tr>
      <w:tr w:rsidR="003A788B" w14:paraId="7C331EF4" w14:textId="77777777" w:rsidTr="008919D7">
        <w:trPr>
          <w:jc w:val="center"/>
        </w:trPr>
        <w:tc>
          <w:tcPr>
            <w:tcW w:w="1547" w:type="dxa"/>
            <w:shd w:val="clear" w:color="auto" w:fill="FFFFFF"/>
          </w:tcPr>
          <w:p w14:paraId="7C331EED" w14:textId="77777777" w:rsidR="008F369D" w:rsidRPr="00C501E3" w:rsidRDefault="008F369D" w:rsidP="002C6ABF">
            <w:pPr>
              <w:keepNext/>
              <w:keepLines/>
              <w:rPr>
                <w:rFonts w:cs="Arial"/>
                <w:szCs w:val="22"/>
                <w:lang w:val="en-GB"/>
              </w:rPr>
            </w:pPr>
          </w:p>
        </w:tc>
        <w:tc>
          <w:tcPr>
            <w:tcW w:w="3096" w:type="dxa"/>
            <w:gridSpan w:val="2"/>
            <w:shd w:val="clear" w:color="auto" w:fill="FFFFFF"/>
          </w:tcPr>
          <w:p w14:paraId="7C331EEE" w14:textId="77777777" w:rsidR="008F369D" w:rsidRPr="00C501E3" w:rsidRDefault="00016F29" w:rsidP="002C6ABF">
            <w:pPr>
              <w:keepNext/>
              <w:keepLines/>
              <w:rPr>
                <w:rFonts w:cs="Arial"/>
                <w:szCs w:val="22"/>
                <w:lang w:val="en-GB"/>
              </w:rPr>
            </w:pPr>
            <w:r w:rsidRPr="00C501E3">
              <w:rPr>
                <w:rFonts w:cs="Arial"/>
                <w:szCs w:val="22"/>
                <w:lang w:val="en-GB"/>
              </w:rPr>
              <w:t>Geometric mean</w:t>
            </w:r>
          </w:p>
          <w:p w14:paraId="7C331EEF" w14:textId="77777777" w:rsidR="008F369D" w:rsidRPr="00C501E3" w:rsidRDefault="00016F29" w:rsidP="002C6ABF">
            <w:pPr>
              <w:keepNext/>
              <w:keepLines/>
              <w:rPr>
                <w:rFonts w:cs="Arial"/>
                <w:szCs w:val="22"/>
                <w:lang w:val="en-GB"/>
              </w:rPr>
            </w:pPr>
            <w:r w:rsidRPr="00C501E3">
              <w:rPr>
                <w:rFonts w:cs="Arial"/>
                <w:szCs w:val="22"/>
                <w:lang w:val="en-GB"/>
              </w:rPr>
              <w:t>C</w:t>
            </w:r>
            <w:r w:rsidRPr="00C501E3">
              <w:rPr>
                <w:rFonts w:cs="Arial"/>
                <w:szCs w:val="22"/>
                <w:vertAlign w:val="subscript"/>
                <w:lang w:val="en-GB"/>
              </w:rPr>
              <w:t>trough</w:t>
            </w:r>
            <w:r w:rsidRPr="00C501E3">
              <w:rPr>
                <w:rFonts w:cs="Arial"/>
                <w:szCs w:val="22"/>
                <w:lang w:val="en-GB"/>
              </w:rPr>
              <w:t xml:space="preserve"> values at pre</w:t>
            </w:r>
            <w:r w:rsidR="000A6DDA">
              <w:rPr>
                <w:rFonts w:ascii="Cambria Math" w:hAnsi="Cambria Math" w:cs="Cambria Math"/>
                <w:szCs w:val="22"/>
                <w:lang w:val="en-GB"/>
              </w:rPr>
              <w:noBreakHyphen/>
            </w:r>
            <w:r w:rsidRPr="00C501E3">
              <w:rPr>
                <w:rFonts w:cs="Arial"/>
                <w:szCs w:val="22"/>
                <w:lang w:val="en-GB"/>
              </w:rPr>
              <w:t>dose cycle 8</w:t>
            </w:r>
          </w:p>
          <w:p w14:paraId="7C331EF0" w14:textId="77777777" w:rsidR="008F369D" w:rsidRPr="00C501E3" w:rsidRDefault="00016F29" w:rsidP="002C6ABF">
            <w:pPr>
              <w:keepNext/>
              <w:keepLines/>
              <w:rPr>
                <w:rFonts w:cs="Arial"/>
                <w:szCs w:val="22"/>
                <w:lang w:val="en-GB"/>
              </w:rPr>
            </w:pPr>
            <w:r w:rsidRPr="00C501E3">
              <w:rPr>
                <w:rFonts w:cs="Arial"/>
                <w:szCs w:val="22"/>
                <w:lang w:val="en-GB"/>
              </w:rPr>
              <w:t>µg/mL</w:t>
            </w:r>
          </w:p>
        </w:tc>
        <w:tc>
          <w:tcPr>
            <w:tcW w:w="3096" w:type="dxa"/>
            <w:gridSpan w:val="2"/>
            <w:shd w:val="clear" w:color="auto" w:fill="FFFFFF"/>
          </w:tcPr>
          <w:p w14:paraId="7C331EF1" w14:textId="77777777" w:rsidR="008F369D" w:rsidRPr="00C501E3" w:rsidRDefault="00016F29" w:rsidP="002C6ABF">
            <w:pPr>
              <w:keepNext/>
              <w:keepLines/>
              <w:rPr>
                <w:rFonts w:cs="Arial"/>
                <w:szCs w:val="22"/>
                <w:lang w:val="en-GB"/>
              </w:rPr>
            </w:pPr>
            <w:r w:rsidRPr="00C501E3">
              <w:rPr>
                <w:rFonts w:cs="Arial"/>
                <w:szCs w:val="22"/>
                <w:lang w:val="en-GB"/>
              </w:rPr>
              <w:t>Geometric mean</w:t>
            </w:r>
          </w:p>
          <w:p w14:paraId="7C331EF2" w14:textId="77777777" w:rsidR="008F369D" w:rsidRPr="00C501E3" w:rsidRDefault="00016F29" w:rsidP="002C6ABF">
            <w:pPr>
              <w:keepNext/>
              <w:keepLines/>
              <w:rPr>
                <w:rFonts w:cs="Arial"/>
                <w:szCs w:val="22"/>
                <w:lang w:val="en-GB"/>
              </w:rPr>
            </w:pPr>
            <w:r w:rsidRPr="00C501E3">
              <w:rPr>
                <w:rFonts w:cs="Arial"/>
                <w:szCs w:val="22"/>
                <w:lang w:val="en-GB"/>
              </w:rPr>
              <w:t>AUC values at cycle 7</w:t>
            </w:r>
          </w:p>
          <w:p w14:paraId="7C331EF3" w14:textId="77777777" w:rsidR="008F369D" w:rsidRPr="00C501E3" w:rsidRDefault="00016F29" w:rsidP="002C6ABF">
            <w:pPr>
              <w:keepNext/>
              <w:keepLines/>
              <w:rPr>
                <w:rFonts w:cs="Arial"/>
                <w:szCs w:val="22"/>
                <w:lang w:val="en-GB"/>
              </w:rPr>
            </w:pPr>
            <w:r w:rsidRPr="00C501E3">
              <w:rPr>
                <w:rFonts w:cs="Arial"/>
                <w:szCs w:val="22"/>
                <w:lang w:val="en-GB"/>
              </w:rPr>
              <w:t>µg.day/m</w:t>
            </w:r>
            <w:r w:rsidRPr="00C501E3">
              <w:rPr>
                <w:szCs w:val="22"/>
                <w:lang w:val="en-GB"/>
              </w:rPr>
              <w:t>L</w:t>
            </w:r>
          </w:p>
        </w:tc>
      </w:tr>
      <w:tr w:rsidR="003A788B" w14:paraId="7C331EF8" w14:textId="77777777" w:rsidTr="008919D7">
        <w:trPr>
          <w:jc w:val="center"/>
        </w:trPr>
        <w:tc>
          <w:tcPr>
            <w:tcW w:w="1547" w:type="dxa"/>
            <w:shd w:val="clear" w:color="auto" w:fill="FFFFFF"/>
          </w:tcPr>
          <w:p w14:paraId="7C331EF5" w14:textId="77777777" w:rsidR="008F369D" w:rsidRPr="00C501E3" w:rsidRDefault="00016F29" w:rsidP="008919D7">
            <w:pPr>
              <w:rPr>
                <w:rFonts w:cs="Arial"/>
                <w:szCs w:val="22"/>
                <w:lang w:val="en-GB"/>
              </w:rPr>
            </w:pPr>
            <w:r w:rsidRPr="00C501E3">
              <w:rPr>
                <w:rFonts w:cs="Arial"/>
                <w:szCs w:val="22"/>
                <w:lang w:val="en-GB"/>
              </w:rPr>
              <w:t>MabThera subcutaneous formulation</w:t>
            </w:r>
          </w:p>
        </w:tc>
        <w:tc>
          <w:tcPr>
            <w:tcW w:w="3096" w:type="dxa"/>
            <w:gridSpan w:val="2"/>
            <w:shd w:val="clear" w:color="auto" w:fill="FFFFFF"/>
          </w:tcPr>
          <w:p w14:paraId="7C331EF6" w14:textId="77777777" w:rsidR="008F369D" w:rsidRPr="00C501E3" w:rsidRDefault="00016F29" w:rsidP="008919D7">
            <w:pPr>
              <w:rPr>
                <w:rFonts w:cs="Arial"/>
                <w:szCs w:val="22"/>
                <w:lang w:val="en-GB"/>
              </w:rPr>
            </w:pPr>
            <w:r w:rsidRPr="00C501E3">
              <w:rPr>
                <w:rFonts w:cs="Arial"/>
                <w:szCs w:val="22"/>
                <w:lang w:val="en-GB"/>
              </w:rPr>
              <w:t>134.6 </w:t>
            </w:r>
          </w:p>
        </w:tc>
        <w:tc>
          <w:tcPr>
            <w:tcW w:w="3096" w:type="dxa"/>
            <w:gridSpan w:val="2"/>
            <w:shd w:val="clear" w:color="auto" w:fill="FFFFFF"/>
          </w:tcPr>
          <w:p w14:paraId="7C331EF7" w14:textId="77777777" w:rsidR="008F369D" w:rsidRPr="00C501E3" w:rsidRDefault="00016F29" w:rsidP="008919D7">
            <w:pPr>
              <w:rPr>
                <w:rFonts w:cs="Arial"/>
                <w:szCs w:val="22"/>
                <w:lang w:val="en-GB"/>
              </w:rPr>
            </w:pPr>
            <w:r w:rsidRPr="00C501E3">
              <w:rPr>
                <w:rFonts w:cs="Arial"/>
                <w:szCs w:val="22"/>
                <w:lang w:val="en-GB"/>
              </w:rPr>
              <w:t>3778 </w:t>
            </w:r>
          </w:p>
        </w:tc>
      </w:tr>
      <w:tr w:rsidR="003A788B" w14:paraId="7C331EFC" w14:textId="77777777" w:rsidTr="008919D7">
        <w:trPr>
          <w:jc w:val="center"/>
        </w:trPr>
        <w:tc>
          <w:tcPr>
            <w:tcW w:w="1547" w:type="dxa"/>
            <w:shd w:val="clear" w:color="auto" w:fill="FFFFFF"/>
          </w:tcPr>
          <w:p w14:paraId="7C331EF9" w14:textId="77777777" w:rsidR="008F369D" w:rsidRPr="00C501E3" w:rsidRDefault="00016F29" w:rsidP="008919D7">
            <w:pPr>
              <w:rPr>
                <w:rFonts w:cs="Arial"/>
                <w:szCs w:val="22"/>
                <w:lang w:val="en-GB"/>
              </w:rPr>
            </w:pPr>
            <w:r w:rsidRPr="00C501E3">
              <w:rPr>
                <w:rFonts w:cs="Arial"/>
                <w:szCs w:val="22"/>
                <w:lang w:val="en-GB"/>
              </w:rPr>
              <w:t>MabThera intravenous formulation</w:t>
            </w:r>
          </w:p>
        </w:tc>
        <w:tc>
          <w:tcPr>
            <w:tcW w:w="3096" w:type="dxa"/>
            <w:gridSpan w:val="2"/>
            <w:shd w:val="clear" w:color="auto" w:fill="FFFFFF"/>
          </w:tcPr>
          <w:p w14:paraId="7C331EFA" w14:textId="77777777" w:rsidR="008F369D" w:rsidRPr="00C501E3" w:rsidRDefault="00016F29" w:rsidP="008919D7">
            <w:pPr>
              <w:rPr>
                <w:rFonts w:cs="Arial"/>
                <w:szCs w:val="22"/>
                <w:lang w:val="en-GB"/>
              </w:rPr>
            </w:pPr>
            <w:r w:rsidRPr="00C501E3">
              <w:rPr>
                <w:rFonts w:cs="Arial"/>
                <w:szCs w:val="22"/>
                <w:lang w:val="en-GB"/>
              </w:rPr>
              <w:t>83.1 </w:t>
            </w:r>
          </w:p>
        </w:tc>
        <w:tc>
          <w:tcPr>
            <w:tcW w:w="3096" w:type="dxa"/>
            <w:gridSpan w:val="2"/>
            <w:shd w:val="clear" w:color="auto" w:fill="FFFFFF"/>
          </w:tcPr>
          <w:p w14:paraId="7C331EFB" w14:textId="77777777" w:rsidR="008F369D" w:rsidRPr="00C501E3" w:rsidRDefault="00016F29" w:rsidP="008919D7">
            <w:pPr>
              <w:rPr>
                <w:rFonts w:cs="Arial"/>
                <w:szCs w:val="22"/>
                <w:lang w:val="en-GB"/>
              </w:rPr>
            </w:pPr>
            <w:r w:rsidRPr="00C501E3">
              <w:rPr>
                <w:rFonts w:cs="Arial"/>
                <w:szCs w:val="22"/>
                <w:lang w:val="en-GB"/>
              </w:rPr>
              <w:t>2734 </w:t>
            </w:r>
          </w:p>
        </w:tc>
      </w:tr>
    </w:tbl>
    <w:p w14:paraId="7C331EFD" w14:textId="77777777" w:rsidR="008F369D" w:rsidRPr="00C501E3" w:rsidRDefault="008F369D" w:rsidP="008F369D">
      <w:pPr>
        <w:rPr>
          <w:rFonts w:cs="Arial"/>
          <w:lang w:val="en-GB"/>
        </w:rPr>
      </w:pPr>
    </w:p>
    <w:p w14:paraId="7C331EFE" w14:textId="77777777" w:rsidR="008F369D" w:rsidRPr="00AC55BB" w:rsidRDefault="00016F29" w:rsidP="008F369D">
      <w:pPr>
        <w:rPr>
          <w:lang w:val="en-GB"/>
        </w:rPr>
      </w:pPr>
      <w:r w:rsidRPr="00C501E3">
        <w:rPr>
          <w:rFonts w:cs="Arial"/>
          <w:lang w:val="en-GB"/>
        </w:rPr>
        <w:t>In a population pharmacokinetic analysis in 403</w:t>
      </w:r>
      <w:r w:rsidRPr="00C501E3">
        <w:rPr>
          <w:rFonts w:cs="Arial"/>
          <w:b/>
          <w:lang w:val="en-GB"/>
        </w:rPr>
        <w:t xml:space="preserve"> </w:t>
      </w:r>
      <w:r w:rsidRPr="00C501E3">
        <w:rPr>
          <w:rFonts w:cs="Arial"/>
          <w:lang w:val="en-GB"/>
        </w:rPr>
        <w:t>follicular lymphoma patients who received subcutaneous and/or intravenous MabThera, single or multiple infusions of MabThera as a single agent or in combination with chemotherapy, the population estimates of nonspecific clearance (CL</w:t>
      </w:r>
      <w:r w:rsidRPr="00C501E3">
        <w:rPr>
          <w:rFonts w:cs="Arial"/>
          <w:vertAlign w:val="subscript"/>
          <w:lang w:val="en-GB"/>
        </w:rPr>
        <w:t>1</w:t>
      </w:r>
      <w:r w:rsidRPr="00C501E3">
        <w:rPr>
          <w:rFonts w:cs="Arial"/>
          <w:lang w:val="en-GB"/>
        </w:rPr>
        <w:t>), initial specific clearance (CL</w:t>
      </w:r>
      <w:r w:rsidRPr="00C501E3">
        <w:rPr>
          <w:rFonts w:cs="Arial"/>
          <w:vertAlign w:val="subscript"/>
          <w:lang w:val="en-GB"/>
        </w:rPr>
        <w:t>2</w:t>
      </w:r>
      <w:r w:rsidRPr="00C501E3">
        <w:rPr>
          <w:rFonts w:cs="Arial"/>
          <w:lang w:val="en-GB"/>
        </w:rPr>
        <w:t>) likely contributed by B cells or tumour burden, and central compartment volume of distribution (V</w:t>
      </w:r>
      <w:r w:rsidRPr="00C501E3">
        <w:rPr>
          <w:rFonts w:cs="Arial"/>
          <w:vertAlign w:val="subscript"/>
          <w:lang w:val="en-GB"/>
        </w:rPr>
        <w:t>1</w:t>
      </w:r>
      <w:r w:rsidRPr="00C501E3">
        <w:rPr>
          <w:rFonts w:cs="Arial"/>
          <w:lang w:val="en-GB"/>
        </w:rPr>
        <w:t xml:space="preserve">) were 0.194 L/day, 0.535 L/day, and 4.37 L/day, respectively. </w:t>
      </w:r>
      <w:r w:rsidRPr="00AC55BB">
        <w:rPr>
          <w:lang w:val="en-GB"/>
        </w:rPr>
        <w:t>The estimated median terminal elimination half</w:t>
      </w:r>
      <w:r w:rsidR="000A6DDA" w:rsidRPr="00AC55BB">
        <w:rPr>
          <w:lang w:val="en-GB"/>
        </w:rPr>
        <w:noBreakHyphen/>
      </w:r>
      <w:r w:rsidRPr="00AC55BB">
        <w:rPr>
          <w:lang w:val="en-GB"/>
        </w:rPr>
        <w:t>life of MabThera subcutaneous formulation was 29.7 days (range, 9.9 to 91.2 days).The analysis data set contained 6003 quantifiable samples from 403 patients administered SC and/or IV rituximab in trials BP22333 (3736 samples from 277 patients) and BO22334 (2267 samples from126 patients). Twenty nine (0.48%) post</w:t>
      </w:r>
      <w:r w:rsidR="000A6DDA" w:rsidRPr="00AC55BB">
        <w:rPr>
          <w:lang w:val="en-GB"/>
        </w:rPr>
        <w:noBreakHyphen/>
      </w:r>
      <w:r w:rsidRPr="00AC55BB">
        <w:rPr>
          <w:lang w:val="en-GB"/>
        </w:rPr>
        <w:t>dose observations (all from trial BP22333) were below the quantification limit. There were no missing covariate values except baseline B</w:t>
      </w:r>
      <w:r w:rsidR="000A6DDA" w:rsidRPr="00AC55BB">
        <w:rPr>
          <w:lang w:val="en-GB"/>
        </w:rPr>
        <w:noBreakHyphen/>
      </w:r>
      <w:r w:rsidRPr="00AC55BB">
        <w:rPr>
          <w:lang w:val="en-GB"/>
        </w:rPr>
        <w:t>cell count. Baseline tumour load was available only in trial BO22334.</w:t>
      </w:r>
    </w:p>
    <w:p w14:paraId="7C331EFF" w14:textId="77777777" w:rsidR="008F369D" w:rsidRPr="00C501E3" w:rsidRDefault="008F369D" w:rsidP="008F369D">
      <w:pPr>
        <w:rPr>
          <w:rFonts w:cs="Arial"/>
          <w:lang w:val="en-GB"/>
        </w:rPr>
      </w:pPr>
    </w:p>
    <w:p w14:paraId="7C331F00" w14:textId="77777777" w:rsidR="008F369D" w:rsidRPr="00C501E3" w:rsidRDefault="00016F29" w:rsidP="008F369D">
      <w:pPr>
        <w:keepNext/>
        <w:rPr>
          <w:rFonts w:cs="Arial"/>
          <w:u w:val="single"/>
          <w:lang w:val="en-GB"/>
        </w:rPr>
      </w:pPr>
      <w:r w:rsidRPr="006651D5">
        <w:rPr>
          <w:rFonts w:cs="Arial"/>
          <w:u w:val="single"/>
          <w:lang w:val="en-GB"/>
        </w:rPr>
        <w:t>Special populations</w:t>
      </w:r>
    </w:p>
    <w:p w14:paraId="7C331F01" w14:textId="77777777" w:rsidR="008F369D" w:rsidRPr="00C501E3" w:rsidRDefault="008F369D" w:rsidP="008F369D">
      <w:pPr>
        <w:keepNext/>
        <w:rPr>
          <w:rFonts w:cs="Arial"/>
          <w:u w:val="single"/>
          <w:lang w:val="en-GB"/>
        </w:rPr>
      </w:pPr>
    </w:p>
    <w:p w14:paraId="7C331F02" w14:textId="77777777" w:rsidR="008F369D" w:rsidRPr="00C501E3" w:rsidRDefault="00016F29" w:rsidP="008F369D">
      <w:pPr>
        <w:shd w:val="clear" w:color="auto" w:fill="FFFFFF"/>
        <w:rPr>
          <w:rFonts w:cs="Arial"/>
          <w:lang w:val="en-GB"/>
        </w:rPr>
      </w:pPr>
      <w:r w:rsidRPr="00C501E3">
        <w:rPr>
          <w:rFonts w:cs="Arial"/>
          <w:lang w:val="en-GB"/>
        </w:rPr>
        <w:t>In clinical trial BO22334, an effect was observed between body size and exposure ratios reported in cycle 7, between rituximab subcutaneous formulation 1400 mg q3w and rituximab intravenous formulation 375 mg/m2 q3w with C</w:t>
      </w:r>
      <w:r w:rsidRPr="00C501E3">
        <w:rPr>
          <w:rFonts w:cs="Arial"/>
          <w:vertAlign w:val="subscript"/>
          <w:lang w:val="en-GB"/>
        </w:rPr>
        <w:t>trough</w:t>
      </w:r>
      <w:r w:rsidRPr="00C501E3">
        <w:rPr>
          <w:rFonts w:cs="Arial"/>
          <w:lang w:val="en-GB"/>
        </w:rPr>
        <w:t xml:space="preserve"> ratios of 2.29, 1.31, and 1.41 in patients with low, medium and high BSA, respectively (low BSA </w:t>
      </w:r>
      <w:r w:rsidR="007830E0" w:rsidRPr="00C501E3">
        <w:rPr>
          <w:rFonts w:ascii="Symbol" w:hAnsi="Symbol"/>
          <w:color w:val="000000"/>
          <w:sz w:val="20"/>
          <w:shd w:val="clear" w:color="auto" w:fill="FFFFFF"/>
          <w:lang w:val="en-GB"/>
        </w:rPr>
        <w:sym w:font="Symbol" w:char="F0A3"/>
      </w:r>
      <w:r w:rsidRPr="00C501E3">
        <w:rPr>
          <w:rFonts w:cs="Arial"/>
          <w:lang w:val="en-GB"/>
        </w:rPr>
        <w:t> 1.70 m</w:t>
      </w:r>
      <w:r w:rsidRPr="00C501E3">
        <w:rPr>
          <w:rFonts w:cs="Arial"/>
          <w:vertAlign w:val="superscript"/>
          <w:lang w:val="en-GB"/>
        </w:rPr>
        <w:t>2</w:t>
      </w:r>
      <w:r w:rsidRPr="00C501E3">
        <w:rPr>
          <w:rFonts w:cs="Arial"/>
          <w:lang w:val="en-GB"/>
        </w:rPr>
        <w:t>; 1.70 m</w:t>
      </w:r>
      <w:r w:rsidRPr="00C501E3">
        <w:rPr>
          <w:rFonts w:cs="Arial"/>
          <w:vertAlign w:val="superscript"/>
          <w:lang w:val="en-GB"/>
        </w:rPr>
        <w:t>2</w:t>
      </w:r>
      <w:r w:rsidRPr="00C501E3">
        <w:rPr>
          <w:rFonts w:cs="Arial"/>
          <w:lang w:val="en-GB"/>
        </w:rPr>
        <w:t> &lt; medium BSA &lt; 1.90 m</w:t>
      </w:r>
      <w:r w:rsidRPr="00C501E3">
        <w:rPr>
          <w:rFonts w:cs="Arial"/>
          <w:vertAlign w:val="superscript"/>
          <w:lang w:val="en-GB"/>
        </w:rPr>
        <w:t>2</w:t>
      </w:r>
      <w:r w:rsidRPr="00C501E3">
        <w:rPr>
          <w:rFonts w:cs="Arial"/>
          <w:lang w:val="en-GB"/>
        </w:rPr>
        <w:t xml:space="preserve">; high BSA </w:t>
      </w:r>
      <w:r w:rsidR="007830E0" w:rsidRPr="00C501E3">
        <w:rPr>
          <w:rFonts w:ascii="Symbol" w:hAnsi="Symbol"/>
          <w:color w:val="000000"/>
          <w:sz w:val="20"/>
          <w:shd w:val="clear" w:color="auto" w:fill="FFFFFF"/>
          <w:lang w:val="en-GB"/>
        </w:rPr>
        <w:sym w:font="Symbol" w:char="F0B3"/>
      </w:r>
      <w:r w:rsidRPr="00C501E3">
        <w:rPr>
          <w:rFonts w:cs="Arial"/>
          <w:lang w:val="en-GB"/>
        </w:rPr>
        <w:t> 1.90 m</w:t>
      </w:r>
      <w:r w:rsidRPr="00C501E3">
        <w:rPr>
          <w:rFonts w:cs="Arial"/>
          <w:vertAlign w:val="superscript"/>
          <w:lang w:val="en-GB"/>
        </w:rPr>
        <w:t>2</w:t>
      </w:r>
      <w:r w:rsidRPr="00C501E3">
        <w:rPr>
          <w:rFonts w:cs="Arial"/>
          <w:lang w:val="en-GB"/>
        </w:rPr>
        <w:t>). The corresponding AUCτ ratios were 1.66, 1.17 and 1.32.</w:t>
      </w:r>
    </w:p>
    <w:p w14:paraId="7C331F03" w14:textId="77777777" w:rsidR="008F369D" w:rsidRPr="00C501E3" w:rsidRDefault="008F369D" w:rsidP="008F369D">
      <w:pPr>
        <w:suppressLineNumbers/>
        <w:tabs>
          <w:tab w:val="left" w:pos="567"/>
        </w:tabs>
        <w:rPr>
          <w:rFonts w:cs="Arial"/>
          <w:strike/>
          <w:lang w:val="en-GB"/>
        </w:rPr>
      </w:pPr>
    </w:p>
    <w:p w14:paraId="7C331F04" w14:textId="77777777" w:rsidR="008F369D" w:rsidRPr="00321351" w:rsidRDefault="00016F29" w:rsidP="008F369D">
      <w:pPr>
        <w:shd w:val="clear" w:color="auto" w:fill="FFFFFF"/>
        <w:rPr>
          <w:strike/>
          <w:lang w:val="en-GB"/>
        </w:rPr>
      </w:pPr>
      <w:r w:rsidRPr="00321351">
        <w:rPr>
          <w:lang w:val="en-GB" w:eastAsia="en-US"/>
        </w:rPr>
        <w:t>There was no evidence of clinically relevant dependencies of rituximab pharmacokinetics on age and sex.</w:t>
      </w:r>
    </w:p>
    <w:p w14:paraId="7C331F05" w14:textId="77777777" w:rsidR="008F369D" w:rsidRPr="00321351" w:rsidRDefault="008F369D" w:rsidP="008F369D">
      <w:pPr>
        <w:suppressLineNumbers/>
        <w:tabs>
          <w:tab w:val="left" w:pos="567"/>
        </w:tabs>
        <w:rPr>
          <w:lang w:val="en-GB"/>
        </w:rPr>
      </w:pPr>
    </w:p>
    <w:p w14:paraId="7C331F06" w14:textId="77777777" w:rsidR="008F369D" w:rsidRPr="00321351" w:rsidRDefault="00016F29" w:rsidP="008F369D">
      <w:pPr>
        <w:suppressLineNumbers/>
        <w:tabs>
          <w:tab w:val="left" w:pos="567"/>
        </w:tabs>
        <w:rPr>
          <w:lang w:val="en-GB"/>
        </w:rPr>
      </w:pPr>
      <w:r w:rsidRPr="00321351">
        <w:rPr>
          <w:lang w:val="en-GB"/>
        </w:rPr>
        <w:t>Anti</w:t>
      </w:r>
      <w:r w:rsidR="000A6DDA" w:rsidRPr="00321351">
        <w:rPr>
          <w:lang w:val="en-GB"/>
        </w:rPr>
        <w:noBreakHyphen/>
      </w:r>
      <w:r w:rsidRPr="00321351">
        <w:rPr>
          <w:lang w:val="en-GB"/>
        </w:rPr>
        <w:t>rituximab antibodies were detected in only 13 patients and did not result in any clinically relevant increase in steady</w:t>
      </w:r>
      <w:r w:rsidR="000A6DDA" w:rsidRPr="00321351">
        <w:rPr>
          <w:lang w:val="en-GB"/>
        </w:rPr>
        <w:noBreakHyphen/>
      </w:r>
      <w:r w:rsidRPr="00321351">
        <w:rPr>
          <w:lang w:val="en-GB"/>
        </w:rPr>
        <w:t>state clearance.</w:t>
      </w:r>
    </w:p>
    <w:p w14:paraId="7C331F07" w14:textId="77777777" w:rsidR="008F369D" w:rsidRPr="00C501E3" w:rsidRDefault="008F369D" w:rsidP="008F369D">
      <w:pPr>
        <w:rPr>
          <w:b/>
          <w:szCs w:val="22"/>
          <w:lang w:val="en-GB"/>
        </w:rPr>
      </w:pPr>
    </w:p>
    <w:p w14:paraId="7C331F08" w14:textId="77777777" w:rsidR="008F369D" w:rsidRPr="00C501E3" w:rsidRDefault="00016F29" w:rsidP="008F369D">
      <w:pPr>
        <w:ind w:left="567" w:hanging="567"/>
        <w:outlineLvl w:val="0"/>
        <w:rPr>
          <w:szCs w:val="22"/>
          <w:lang w:val="en-GB"/>
        </w:rPr>
      </w:pPr>
      <w:r w:rsidRPr="00C501E3">
        <w:rPr>
          <w:b/>
          <w:szCs w:val="22"/>
          <w:lang w:val="en-GB"/>
        </w:rPr>
        <w:t>5.3</w:t>
      </w:r>
      <w:r w:rsidRPr="00C501E3">
        <w:rPr>
          <w:b/>
          <w:szCs w:val="22"/>
          <w:lang w:val="en-GB"/>
        </w:rPr>
        <w:tab/>
        <w:t>Preclinical safety data</w:t>
      </w:r>
    </w:p>
    <w:p w14:paraId="7C331F09" w14:textId="77777777" w:rsidR="008F369D" w:rsidRPr="00C501E3" w:rsidRDefault="008F369D" w:rsidP="008F369D">
      <w:pPr>
        <w:rPr>
          <w:szCs w:val="22"/>
          <w:lang w:val="en-GB"/>
        </w:rPr>
      </w:pPr>
    </w:p>
    <w:p w14:paraId="7C331F0A" w14:textId="77777777" w:rsidR="008F369D" w:rsidRPr="00C501E3" w:rsidRDefault="00016F29" w:rsidP="008F369D">
      <w:pPr>
        <w:rPr>
          <w:szCs w:val="22"/>
          <w:lang w:val="en-GB"/>
        </w:rPr>
      </w:pPr>
      <w:r w:rsidRPr="00C501E3">
        <w:rPr>
          <w:szCs w:val="22"/>
          <w:lang w:val="en-GB"/>
        </w:rPr>
        <w:t xml:space="preserve">Rituximab has shown to be highly specific to the CD20 antigen on B cells. Toxicity studies in cynomolgus monkeys have shown no other effect than the expected pharmacological depletion of B cells in peripheral blood and in lymphoid tissue. </w:t>
      </w:r>
    </w:p>
    <w:p w14:paraId="7C331F0B" w14:textId="77777777" w:rsidR="008F369D" w:rsidRPr="00C501E3" w:rsidRDefault="008F369D" w:rsidP="008F369D">
      <w:pPr>
        <w:rPr>
          <w:szCs w:val="22"/>
          <w:lang w:val="en-GB"/>
        </w:rPr>
      </w:pPr>
    </w:p>
    <w:p w14:paraId="7C331F0C" w14:textId="77777777" w:rsidR="008F369D" w:rsidRPr="00F81282" w:rsidRDefault="00016F29" w:rsidP="008F369D">
      <w:pPr>
        <w:rPr>
          <w:szCs w:val="22"/>
          <w:lang w:val="en-GB"/>
        </w:rPr>
      </w:pPr>
      <w:r w:rsidRPr="00C501E3">
        <w:rPr>
          <w:szCs w:val="22"/>
          <w:lang w:val="en-GB"/>
        </w:rPr>
        <w:t xml:space="preserve">Developmental toxicity studies have been performed in cynomolgus monkeys at doses up to </w:t>
      </w:r>
      <w:r w:rsidRPr="00F81282">
        <w:rPr>
          <w:szCs w:val="22"/>
          <w:lang w:val="en-GB"/>
        </w:rPr>
        <w:t>100 mg/kg (treatment on gestation days 20</w:t>
      </w:r>
      <w:r w:rsidR="000A6DDA" w:rsidRPr="00F81282">
        <w:rPr>
          <w:szCs w:val="22"/>
          <w:lang w:val="en-GB"/>
        </w:rPr>
        <w:noBreakHyphen/>
      </w:r>
      <w:r w:rsidRPr="00F81282">
        <w:rPr>
          <w:szCs w:val="22"/>
          <w:lang w:val="en-GB"/>
        </w:rPr>
        <w:t>50) and have revealed no evidence of toxicity to the foetus due to rituximab. However, dose</w:t>
      </w:r>
      <w:r w:rsidR="000A6DDA" w:rsidRPr="00F81282">
        <w:rPr>
          <w:szCs w:val="22"/>
          <w:lang w:val="en-GB"/>
        </w:rPr>
        <w:noBreakHyphen/>
      </w:r>
      <w:r w:rsidRPr="00F81282">
        <w:rPr>
          <w:szCs w:val="22"/>
          <w:lang w:val="en-GB"/>
        </w:rPr>
        <w:t>dependent pharmacologic depletion of B cells in the lymphoid organs of the foetuses was observed</w:t>
      </w:r>
      <w:r w:rsidRPr="00F81282">
        <w:rPr>
          <w:rFonts w:eastAsia="MS Mincho"/>
          <w:bCs/>
          <w:iCs/>
          <w:szCs w:val="22"/>
          <w:lang w:val="en-GB" w:eastAsia="zh-CN"/>
        </w:rPr>
        <w:t>, which persisted post natally and was accompanied by a decrease in IgG level in the newborn animals affected. B cell counts returned to normal in these animals within 6 months of birth and did not compromise the reaction to immunization.</w:t>
      </w:r>
    </w:p>
    <w:p w14:paraId="7C331F0D" w14:textId="77777777" w:rsidR="008F369D" w:rsidRPr="00F81282" w:rsidRDefault="008F369D" w:rsidP="008F369D">
      <w:pPr>
        <w:rPr>
          <w:szCs w:val="22"/>
          <w:lang w:val="en-GB"/>
        </w:rPr>
      </w:pPr>
    </w:p>
    <w:p w14:paraId="7C331F0E" w14:textId="77777777" w:rsidR="008F369D" w:rsidRPr="00C501E3" w:rsidRDefault="00016F29" w:rsidP="008F369D">
      <w:pPr>
        <w:rPr>
          <w:strike/>
          <w:szCs w:val="22"/>
          <w:lang w:val="en-GB"/>
        </w:rPr>
      </w:pPr>
      <w:r w:rsidRPr="00F81282">
        <w:rPr>
          <w:lang w:val="en-GB"/>
        </w:rPr>
        <w:t xml:space="preserve">Standard tests to investigate mutagenicity have not been carried out, since such tests are not relevant for this molecule. </w:t>
      </w:r>
      <w:r w:rsidRPr="00F81282">
        <w:rPr>
          <w:szCs w:val="22"/>
          <w:lang w:val="en-GB"/>
        </w:rPr>
        <w:t>No long</w:t>
      </w:r>
      <w:r w:rsidR="000A6DDA" w:rsidRPr="00F81282">
        <w:rPr>
          <w:szCs w:val="22"/>
          <w:lang w:val="en-GB"/>
        </w:rPr>
        <w:noBreakHyphen/>
      </w:r>
      <w:r w:rsidRPr="00F81282">
        <w:rPr>
          <w:szCs w:val="22"/>
          <w:lang w:val="en-GB"/>
        </w:rPr>
        <w:t>term animal studies have been performed to establish the carcinogenic</w:t>
      </w:r>
      <w:r w:rsidRPr="00C501E3">
        <w:rPr>
          <w:szCs w:val="22"/>
          <w:lang w:val="en-GB"/>
        </w:rPr>
        <w:t xml:space="preserve"> potential of rituximab.</w:t>
      </w:r>
      <w:r w:rsidRPr="00C501E3">
        <w:rPr>
          <w:strike/>
          <w:szCs w:val="22"/>
          <w:lang w:val="en-GB"/>
        </w:rPr>
        <w:t xml:space="preserve"> </w:t>
      </w:r>
    </w:p>
    <w:p w14:paraId="7C331F0F" w14:textId="77777777" w:rsidR="008F369D" w:rsidRPr="00C501E3" w:rsidRDefault="00016F29" w:rsidP="008F369D">
      <w:pPr>
        <w:rPr>
          <w:lang w:val="en-GB"/>
        </w:rPr>
      </w:pPr>
      <w:r w:rsidRPr="00C501E3">
        <w:rPr>
          <w:lang w:val="en-GB"/>
        </w:rPr>
        <w:t>Specific studies to determine the effects of rituximab or rHuPH20 on fertility have not been performed. In general toxicity studies in cynomolgus monkeys no deleterious effects on reproductive organs in males or females were observed. Additionally, no effects on semen quality were shown for rHuPH20.</w:t>
      </w:r>
    </w:p>
    <w:p w14:paraId="7C331F10" w14:textId="77777777" w:rsidR="008F369D" w:rsidRPr="00C501E3" w:rsidRDefault="008F369D" w:rsidP="008F369D">
      <w:pPr>
        <w:rPr>
          <w:szCs w:val="22"/>
          <w:lang w:val="en-GB"/>
        </w:rPr>
      </w:pPr>
    </w:p>
    <w:p w14:paraId="7C331F11" w14:textId="77777777" w:rsidR="008F369D" w:rsidRPr="00C501E3" w:rsidRDefault="00016F29" w:rsidP="008F369D">
      <w:pPr>
        <w:rPr>
          <w:rFonts w:cs="Arial"/>
          <w:lang w:val="en-GB"/>
        </w:rPr>
      </w:pPr>
      <w:r w:rsidRPr="00C501E3">
        <w:rPr>
          <w:lang w:val="en-GB"/>
        </w:rPr>
        <w:t>In embryofetal developmental studies in mice, rHuPH20 caused reduced fetal weight and loss of implantations at systemic exposures sufficiently in excess of human therapeutic exposure.</w:t>
      </w:r>
    </w:p>
    <w:p w14:paraId="7C331F12" w14:textId="77777777" w:rsidR="008F369D" w:rsidRPr="00C501E3" w:rsidRDefault="00016F29" w:rsidP="008F369D">
      <w:pPr>
        <w:rPr>
          <w:rFonts w:cs="Arial"/>
          <w:lang w:val="en-GB"/>
        </w:rPr>
      </w:pPr>
      <w:r w:rsidRPr="00C501E3">
        <w:rPr>
          <w:rFonts w:cs="Arial"/>
          <w:lang w:val="en-GB"/>
        </w:rPr>
        <w:t>There is no evidence of dysmorphogenesis (i.e. teratogenesis) resulting from systemic exposure to rHuPH20.</w:t>
      </w:r>
    </w:p>
    <w:p w14:paraId="7C331F13" w14:textId="77777777" w:rsidR="008F369D" w:rsidRPr="00C501E3" w:rsidRDefault="008F369D" w:rsidP="008F369D">
      <w:pPr>
        <w:rPr>
          <w:rFonts w:cs="Arial"/>
          <w:lang w:val="en-GB"/>
        </w:rPr>
      </w:pPr>
    </w:p>
    <w:p w14:paraId="7C331F14" w14:textId="77777777" w:rsidR="008F369D" w:rsidRPr="00C501E3" w:rsidRDefault="008F369D" w:rsidP="008F369D">
      <w:pPr>
        <w:rPr>
          <w:rFonts w:cs="Arial"/>
          <w:lang w:val="en-GB"/>
        </w:rPr>
      </w:pPr>
    </w:p>
    <w:p w14:paraId="7C331F15" w14:textId="77777777" w:rsidR="008F369D" w:rsidRPr="00C501E3" w:rsidRDefault="00016F29" w:rsidP="00142E95">
      <w:pPr>
        <w:keepNext/>
        <w:keepLines/>
        <w:ind w:left="14" w:hanging="14"/>
        <w:outlineLvl w:val="0"/>
        <w:rPr>
          <w:b/>
          <w:szCs w:val="22"/>
          <w:lang w:val="en-GB"/>
        </w:rPr>
      </w:pPr>
      <w:r w:rsidRPr="00C501E3">
        <w:rPr>
          <w:b/>
          <w:szCs w:val="22"/>
          <w:lang w:val="en-GB"/>
        </w:rPr>
        <w:t>6.</w:t>
      </w:r>
      <w:r w:rsidRPr="00C501E3">
        <w:rPr>
          <w:b/>
          <w:szCs w:val="22"/>
          <w:lang w:val="en-GB"/>
        </w:rPr>
        <w:tab/>
        <w:t>PHARMACEUTICAL PARTICULARS</w:t>
      </w:r>
    </w:p>
    <w:p w14:paraId="7C331F16" w14:textId="77777777" w:rsidR="008F369D" w:rsidRPr="00C501E3" w:rsidRDefault="008F369D" w:rsidP="00142E95">
      <w:pPr>
        <w:keepNext/>
        <w:keepLines/>
        <w:rPr>
          <w:szCs w:val="22"/>
          <w:lang w:val="en-GB"/>
        </w:rPr>
      </w:pPr>
    </w:p>
    <w:p w14:paraId="7C331F17" w14:textId="77777777" w:rsidR="008F369D" w:rsidRPr="00C501E3" w:rsidRDefault="00016F29" w:rsidP="00142E95">
      <w:pPr>
        <w:keepNext/>
        <w:keepLines/>
        <w:ind w:left="567" w:hanging="567"/>
        <w:outlineLvl w:val="0"/>
        <w:rPr>
          <w:szCs w:val="22"/>
          <w:lang w:val="en-GB"/>
        </w:rPr>
      </w:pPr>
      <w:r w:rsidRPr="00C501E3">
        <w:rPr>
          <w:b/>
          <w:szCs w:val="22"/>
          <w:lang w:val="en-GB"/>
        </w:rPr>
        <w:t>6.1</w:t>
      </w:r>
      <w:r w:rsidRPr="00C501E3">
        <w:rPr>
          <w:b/>
          <w:szCs w:val="22"/>
          <w:lang w:val="en-GB"/>
        </w:rPr>
        <w:tab/>
        <w:t>List of excipients</w:t>
      </w:r>
    </w:p>
    <w:p w14:paraId="7C331F18" w14:textId="77777777" w:rsidR="008F369D" w:rsidRPr="00C501E3" w:rsidRDefault="008F369D" w:rsidP="00142E95">
      <w:pPr>
        <w:keepNext/>
        <w:keepLines/>
        <w:rPr>
          <w:b/>
          <w:szCs w:val="22"/>
          <w:lang w:val="en-GB"/>
        </w:rPr>
      </w:pPr>
    </w:p>
    <w:p w14:paraId="7C331F19" w14:textId="77777777" w:rsidR="008F369D" w:rsidRPr="00C501E3" w:rsidRDefault="00016F29" w:rsidP="00142E95">
      <w:pPr>
        <w:keepNext/>
        <w:keepLines/>
        <w:outlineLvl w:val="0"/>
        <w:rPr>
          <w:szCs w:val="22"/>
          <w:lang w:val="en-GB"/>
        </w:rPr>
      </w:pPr>
      <w:r w:rsidRPr="00C501E3">
        <w:rPr>
          <w:rFonts w:cs="Arial"/>
          <w:szCs w:val="22"/>
          <w:lang w:val="en-GB"/>
        </w:rPr>
        <w:t>Recombinant human hyaluronidase (rHuPH20)</w:t>
      </w:r>
    </w:p>
    <w:p w14:paraId="7C331F1A" w14:textId="77777777" w:rsidR="008F369D" w:rsidRPr="00E06A78" w:rsidRDefault="00016F29" w:rsidP="00142E95">
      <w:pPr>
        <w:keepNext/>
        <w:keepLines/>
        <w:outlineLvl w:val="0"/>
        <w:rPr>
          <w:lang w:val="da-DK"/>
        </w:rPr>
      </w:pPr>
      <w:r w:rsidRPr="00E06A78">
        <w:rPr>
          <w:lang w:val="da-DK"/>
        </w:rPr>
        <w:t>L</w:t>
      </w:r>
      <w:r w:rsidR="000A6DDA" w:rsidRPr="00E06A78">
        <w:rPr>
          <w:lang w:val="da-DK"/>
        </w:rPr>
        <w:noBreakHyphen/>
      </w:r>
      <w:r w:rsidRPr="00E06A78">
        <w:rPr>
          <w:lang w:val="da-DK"/>
        </w:rPr>
        <w:t>histidine</w:t>
      </w:r>
    </w:p>
    <w:p w14:paraId="7C331F1B" w14:textId="77777777" w:rsidR="008F369D" w:rsidRPr="00E06A78" w:rsidRDefault="00016F29" w:rsidP="00E06A78">
      <w:pPr>
        <w:keepNext/>
        <w:keepLines/>
        <w:outlineLvl w:val="0"/>
        <w:rPr>
          <w:lang w:val="da-DK"/>
        </w:rPr>
      </w:pPr>
      <w:r w:rsidRPr="00E06A78">
        <w:rPr>
          <w:lang w:val="da-DK"/>
        </w:rPr>
        <w:t>L</w:t>
      </w:r>
      <w:r w:rsidR="000A6DDA" w:rsidRPr="00E06A78">
        <w:rPr>
          <w:lang w:val="da-DK"/>
        </w:rPr>
        <w:noBreakHyphen/>
      </w:r>
      <w:r w:rsidRPr="00E06A78">
        <w:rPr>
          <w:lang w:val="da-DK"/>
        </w:rPr>
        <w:t>histidine hydrochloride monohydrate</w:t>
      </w:r>
    </w:p>
    <w:p w14:paraId="7C331F1C" w14:textId="77777777" w:rsidR="008F369D" w:rsidRPr="008F704A" w:rsidRDefault="00016F29" w:rsidP="00B61F30">
      <w:pPr>
        <w:keepNext/>
        <w:keepLines/>
        <w:outlineLvl w:val="0"/>
        <w:rPr>
          <w:szCs w:val="22"/>
          <w:lang w:val="en-GB"/>
        </w:rPr>
      </w:pPr>
      <w:r w:rsidRPr="008F704A">
        <w:rPr>
          <w:rFonts w:ascii="Symbol" w:hAnsi="Symbol"/>
          <w:szCs w:val="22"/>
          <w:lang w:val="en-GB"/>
        </w:rPr>
        <w:sym w:font="Symbol" w:char="F061"/>
      </w:r>
      <w:r w:rsidRPr="008F704A">
        <w:rPr>
          <w:szCs w:val="22"/>
          <w:lang w:val="en-GB"/>
        </w:rPr>
        <w:t>,</w:t>
      </w:r>
      <w:r w:rsidRPr="008F704A">
        <w:rPr>
          <w:rFonts w:ascii="Symbol" w:hAnsi="Symbol"/>
          <w:szCs w:val="22"/>
          <w:lang w:val="en-GB"/>
        </w:rPr>
        <w:sym w:font="Symbol" w:char="F061"/>
      </w:r>
      <w:r w:rsidR="000A6DDA" w:rsidRPr="008F704A">
        <w:rPr>
          <w:szCs w:val="22"/>
          <w:lang w:val="en-GB"/>
        </w:rPr>
        <w:noBreakHyphen/>
      </w:r>
      <w:r w:rsidRPr="008F704A">
        <w:rPr>
          <w:szCs w:val="22"/>
          <w:lang w:val="en-GB"/>
        </w:rPr>
        <w:t>trehalose dihydrate</w:t>
      </w:r>
    </w:p>
    <w:p w14:paraId="7C331F1D" w14:textId="77777777" w:rsidR="008F369D" w:rsidRPr="008F704A" w:rsidRDefault="00016F29" w:rsidP="00E06A78">
      <w:pPr>
        <w:keepNext/>
        <w:keepLines/>
        <w:outlineLvl w:val="0"/>
        <w:rPr>
          <w:szCs w:val="22"/>
          <w:lang w:val="en-GB"/>
        </w:rPr>
      </w:pPr>
      <w:r w:rsidRPr="008F704A">
        <w:rPr>
          <w:lang w:val="en-GB"/>
        </w:rPr>
        <w:t>L</w:t>
      </w:r>
      <w:r w:rsidR="000A6DDA" w:rsidRPr="008F704A">
        <w:rPr>
          <w:lang w:val="en-GB"/>
        </w:rPr>
        <w:noBreakHyphen/>
      </w:r>
      <w:r w:rsidRPr="008F704A">
        <w:rPr>
          <w:lang w:val="en-GB"/>
        </w:rPr>
        <w:t>methionine</w:t>
      </w:r>
    </w:p>
    <w:p w14:paraId="7C331F1E" w14:textId="77777777" w:rsidR="008F369D" w:rsidRPr="00C501E3" w:rsidRDefault="00016F29" w:rsidP="00E06A78">
      <w:pPr>
        <w:rPr>
          <w:szCs w:val="22"/>
          <w:lang w:val="en-GB"/>
        </w:rPr>
      </w:pPr>
      <w:r w:rsidRPr="00C501E3">
        <w:rPr>
          <w:szCs w:val="22"/>
          <w:lang w:val="en-GB"/>
        </w:rPr>
        <w:t>Polysorbate 80</w:t>
      </w:r>
      <w:r w:rsidR="00464EF6">
        <w:rPr>
          <w:szCs w:val="22"/>
          <w:lang w:val="en-GB"/>
        </w:rPr>
        <w:t xml:space="preserve"> (E433)</w:t>
      </w:r>
    </w:p>
    <w:p w14:paraId="7C331F1F" w14:textId="77777777" w:rsidR="008F369D" w:rsidRPr="00C501E3" w:rsidRDefault="00016F29" w:rsidP="00E06A78">
      <w:pPr>
        <w:keepNext/>
        <w:keepLines/>
        <w:rPr>
          <w:lang w:val="en-GB"/>
        </w:rPr>
      </w:pPr>
      <w:r w:rsidRPr="00C501E3">
        <w:rPr>
          <w:szCs w:val="22"/>
          <w:lang w:val="en-GB"/>
        </w:rPr>
        <w:t>Water for injections</w:t>
      </w:r>
      <w:r w:rsidRPr="00C501E3">
        <w:rPr>
          <w:color w:val="008000"/>
          <w:lang w:val="en-GB"/>
        </w:rPr>
        <w:t xml:space="preserve"> </w:t>
      </w:r>
    </w:p>
    <w:p w14:paraId="7C331F20" w14:textId="77777777" w:rsidR="008F369D" w:rsidRPr="00C501E3" w:rsidRDefault="008F369D" w:rsidP="008F369D">
      <w:pPr>
        <w:rPr>
          <w:b/>
          <w:szCs w:val="22"/>
          <w:lang w:val="en-GB"/>
        </w:rPr>
      </w:pPr>
    </w:p>
    <w:p w14:paraId="7C331F21" w14:textId="77777777" w:rsidR="008F369D" w:rsidRPr="00C501E3" w:rsidRDefault="00016F29" w:rsidP="008F369D">
      <w:pPr>
        <w:keepNext/>
        <w:keepLines/>
        <w:ind w:left="567" w:hanging="567"/>
        <w:outlineLvl w:val="0"/>
        <w:rPr>
          <w:szCs w:val="22"/>
          <w:lang w:val="en-GB"/>
        </w:rPr>
      </w:pPr>
      <w:r w:rsidRPr="00C501E3">
        <w:rPr>
          <w:b/>
          <w:szCs w:val="22"/>
          <w:lang w:val="en-GB"/>
        </w:rPr>
        <w:t>6.2</w:t>
      </w:r>
      <w:r w:rsidRPr="00C501E3">
        <w:rPr>
          <w:b/>
          <w:szCs w:val="22"/>
          <w:lang w:val="en-GB"/>
        </w:rPr>
        <w:tab/>
        <w:t>Incompatibilities</w:t>
      </w:r>
    </w:p>
    <w:p w14:paraId="7C331F22" w14:textId="77777777" w:rsidR="008F369D" w:rsidRPr="00C501E3" w:rsidRDefault="008F369D" w:rsidP="008F369D">
      <w:pPr>
        <w:keepNext/>
        <w:keepLines/>
        <w:rPr>
          <w:szCs w:val="22"/>
          <w:lang w:val="en-GB"/>
        </w:rPr>
      </w:pPr>
    </w:p>
    <w:p w14:paraId="7C331F23" w14:textId="77777777" w:rsidR="008F369D" w:rsidRPr="00C501E3" w:rsidRDefault="00016F29" w:rsidP="008F369D">
      <w:pPr>
        <w:rPr>
          <w:lang w:val="en-GB"/>
        </w:rPr>
      </w:pPr>
      <w:r w:rsidRPr="00C501E3">
        <w:rPr>
          <w:lang w:val="en-GB"/>
        </w:rPr>
        <w:t>No incompatibilities between MabThera subcutaneous formulation and polypropylene or polycarbonate syringe material or stainless steel transfer and injection needles and polyethylene Luer cone stoppers have been observed.</w:t>
      </w:r>
    </w:p>
    <w:p w14:paraId="7C331F24" w14:textId="77777777" w:rsidR="008F369D" w:rsidRPr="00C501E3" w:rsidRDefault="008F369D" w:rsidP="008F369D">
      <w:pPr>
        <w:rPr>
          <w:b/>
          <w:szCs w:val="22"/>
          <w:lang w:val="en-GB"/>
        </w:rPr>
      </w:pPr>
    </w:p>
    <w:p w14:paraId="7C331F25" w14:textId="77777777" w:rsidR="008F369D" w:rsidRPr="00C501E3" w:rsidRDefault="00016F29" w:rsidP="008F369D">
      <w:pPr>
        <w:keepNext/>
        <w:keepLines/>
        <w:ind w:left="567" w:hanging="567"/>
        <w:outlineLvl w:val="0"/>
        <w:rPr>
          <w:szCs w:val="22"/>
          <w:lang w:val="en-GB"/>
        </w:rPr>
      </w:pPr>
      <w:r w:rsidRPr="00C501E3">
        <w:rPr>
          <w:b/>
          <w:szCs w:val="22"/>
          <w:lang w:val="en-GB"/>
        </w:rPr>
        <w:t>6.3</w:t>
      </w:r>
      <w:r w:rsidRPr="00C501E3">
        <w:rPr>
          <w:b/>
          <w:szCs w:val="22"/>
          <w:lang w:val="en-GB"/>
        </w:rPr>
        <w:tab/>
        <w:t>Shelf life</w:t>
      </w:r>
    </w:p>
    <w:p w14:paraId="7C331F26" w14:textId="77777777" w:rsidR="008F369D" w:rsidRPr="00C501E3" w:rsidRDefault="008F369D" w:rsidP="008F369D">
      <w:pPr>
        <w:keepNext/>
        <w:keepLines/>
        <w:rPr>
          <w:szCs w:val="22"/>
          <w:lang w:val="en-GB"/>
        </w:rPr>
      </w:pPr>
    </w:p>
    <w:p w14:paraId="7C331F27" w14:textId="77777777" w:rsidR="005A3BBE" w:rsidRPr="006651D5" w:rsidRDefault="00016F29" w:rsidP="008F369D">
      <w:pPr>
        <w:keepNext/>
        <w:keepLines/>
        <w:rPr>
          <w:szCs w:val="22"/>
          <w:u w:val="single"/>
          <w:lang w:val="en-GB"/>
        </w:rPr>
      </w:pPr>
      <w:r w:rsidRPr="006651D5">
        <w:rPr>
          <w:szCs w:val="22"/>
          <w:u w:val="single"/>
          <w:lang w:val="en-GB"/>
        </w:rPr>
        <w:t>Unopened vial</w:t>
      </w:r>
    </w:p>
    <w:p w14:paraId="7C331F28" w14:textId="77777777" w:rsidR="008F369D" w:rsidRPr="006651D5" w:rsidRDefault="00016F29" w:rsidP="008F369D">
      <w:pPr>
        <w:keepNext/>
        <w:keepLines/>
        <w:rPr>
          <w:szCs w:val="22"/>
          <w:lang w:val="en-GB"/>
        </w:rPr>
      </w:pPr>
      <w:r w:rsidRPr="006651D5">
        <w:rPr>
          <w:szCs w:val="22"/>
          <w:lang w:val="en-GB"/>
        </w:rPr>
        <w:t>30 months</w:t>
      </w:r>
    </w:p>
    <w:p w14:paraId="7C331F29" w14:textId="77777777" w:rsidR="008F369D" w:rsidRPr="006651D5" w:rsidRDefault="008F369D" w:rsidP="008F369D">
      <w:pPr>
        <w:keepNext/>
        <w:keepLines/>
        <w:rPr>
          <w:b/>
          <w:szCs w:val="22"/>
          <w:lang w:val="en-GB"/>
        </w:rPr>
      </w:pPr>
    </w:p>
    <w:p w14:paraId="7C331F2A" w14:textId="77777777" w:rsidR="005A3BBE" w:rsidRPr="005A3BBE" w:rsidRDefault="00016F29" w:rsidP="008F369D">
      <w:pPr>
        <w:keepNext/>
        <w:keepLines/>
        <w:rPr>
          <w:szCs w:val="22"/>
          <w:u w:val="single"/>
          <w:lang w:val="en-GB"/>
        </w:rPr>
      </w:pPr>
      <w:r w:rsidRPr="006651D5">
        <w:rPr>
          <w:szCs w:val="22"/>
          <w:u w:val="single"/>
          <w:lang w:val="en-GB"/>
        </w:rPr>
        <w:t>After first opening</w:t>
      </w:r>
    </w:p>
    <w:p w14:paraId="7C331F2B" w14:textId="77777777" w:rsidR="008F369D" w:rsidRPr="00B15C04" w:rsidRDefault="00016F29" w:rsidP="008F369D">
      <w:pPr>
        <w:keepNext/>
        <w:keepLines/>
        <w:rPr>
          <w:snapToGrid w:val="0"/>
          <w:szCs w:val="22"/>
          <w:lang w:val="en-GB"/>
        </w:rPr>
      </w:pPr>
      <w:r w:rsidRPr="00B15C04">
        <w:rPr>
          <w:snapToGrid w:val="0"/>
          <w:szCs w:val="22"/>
          <w:lang w:val="en-GB"/>
        </w:rPr>
        <w:t>Once transferred from the vial into the syringe, the solution of MabThera subcutaneous formulation is physically and chemically stable for 48 hours at 2 °C </w:t>
      </w:r>
      <w:r w:rsidR="000A6DDA" w:rsidRPr="00B15C04">
        <w:rPr>
          <w:snapToGrid w:val="0"/>
          <w:szCs w:val="22"/>
          <w:lang w:val="en-GB"/>
        </w:rPr>
        <w:noBreakHyphen/>
      </w:r>
      <w:r w:rsidRPr="00B15C04">
        <w:rPr>
          <w:snapToGrid w:val="0"/>
          <w:szCs w:val="22"/>
          <w:lang w:val="en-GB"/>
        </w:rPr>
        <w:t xml:space="preserve"> 8 °C and subsequently for 8 hours at </w:t>
      </w:r>
      <w:r w:rsidRPr="00B15C04">
        <w:rPr>
          <w:szCs w:val="22"/>
          <w:lang w:val="en-GB"/>
        </w:rPr>
        <w:t>30°C in diffuse daylight</w:t>
      </w:r>
      <w:r w:rsidRPr="00B15C04">
        <w:rPr>
          <w:snapToGrid w:val="0"/>
          <w:szCs w:val="22"/>
          <w:lang w:val="en-GB"/>
        </w:rPr>
        <w:t>.</w:t>
      </w:r>
    </w:p>
    <w:p w14:paraId="7C331F2C" w14:textId="77777777" w:rsidR="008F369D" w:rsidRPr="00B15C04" w:rsidRDefault="008F369D" w:rsidP="008F369D">
      <w:pPr>
        <w:keepNext/>
        <w:keepLines/>
        <w:rPr>
          <w:snapToGrid w:val="0"/>
          <w:szCs w:val="22"/>
          <w:lang w:val="en-GB"/>
        </w:rPr>
      </w:pPr>
    </w:p>
    <w:p w14:paraId="7C331F2D" w14:textId="77777777" w:rsidR="008F369D" w:rsidRPr="00C501E3" w:rsidRDefault="00016F29" w:rsidP="008F369D">
      <w:pPr>
        <w:rPr>
          <w:color w:val="000000"/>
          <w:szCs w:val="22"/>
          <w:lang w:val="en-GB"/>
        </w:rPr>
      </w:pPr>
      <w:r w:rsidRPr="00B15C04">
        <w:rPr>
          <w:lang w:val="en-GB"/>
        </w:rPr>
        <w:t>F</w:t>
      </w:r>
      <w:r w:rsidRPr="00B15C04">
        <w:rPr>
          <w:color w:val="000000"/>
          <w:szCs w:val="22"/>
          <w:lang w:val="en-GB"/>
        </w:rPr>
        <w:t xml:space="preserve">rom a microbiological point of view, the product should be used immediately. If not used immediately, </w:t>
      </w:r>
      <w:r w:rsidRPr="00B15C04">
        <w:rPr>
          <w:lang w:val="en-GB" w:eastAsia="zh-CN"/>
        </w:rPr>
        <w:t>preparation should take place in controlled and validated aseptic conditions. I</w:t>
      </w:r>
      <w:r w:rsidRPr="00B15C04">
        <w:rPr>
          <w:color w:val="000000"/>
          <w:szCs w:val="22"/>
          <w:lang w:val="en-GB"/>
        </w:rPr>
        <w:t>n</w:t>
      </w:r>
      <w:r w:rsidR="000A6DDA" w:rsidRPr="00B15C04">
        <w:rPr>
          <w:color w:val="000000"/>
          <w:szCs w:val="22"/>
          <w:lang w:val="en-GB"/>
        </w:rPr>
        <w:noBreakHyphen/>
      </w:r>
      <w:r w:rsidRPr="00B15C04">
        <w:rPr>
          <w:color w:val="000000"/>
          <w:szCs w:val="22"/>
          <w:lang w:val="en-GB"/>
        </w:rPr>
        <w:t>use</w:t>
      </w:r>
      <w:r w:rsidRPr="00C501E3">
        <w:rPr>
          <w:color w:val="000000"/>
          <w:szCs w:val="22"/>
          <w:lang w:val="en-GB"/>
        </w:rPr>
        <w:t xml:space="preserve"> storage times and conditions prior to use are the responsibility of the user.</w:t>
      </w:r>
    </w:p>
    <w:p w14:paraId="7C331F2E" w14:textId="77777777" w:rsidR="008F369D" w:rsidRPr="00C501E3" w:rsidRDefault="008F369D" w:rsidP="008F369D">
      <w:pPr>
        <w:rPr>
          <w:snapToGrid w:val="0"/>
          <w:szCs w:val="22"/>
          <w:lang w:val="en-GB" w:eastAsia="en-US"/>
        </w:rPr>
      </w:pPr>
    </w:p>
    <w:p w14:paraId="7C331F2F" w14:textId="77777777" w:rsidR="008F369D" w:rsidRPr="00C501E3" w:rsidRDefault="00016F29" w:rsidP="008F369D">
      <w:pPr>
        <w:outlineLvl w:val="0"/>
        <w:rPr>
          <w:szCs w:val="22"/>
          <w:lang w:val="en-GB"/>
        </w:rPr>
      </w:pPr>
      <w:r w:rsidRPr="00C501E3">
        <w:rPr>
          <w:b/>
          <w:szCs w:val="22"/>
          <w:lang w:val="en-GB"/>
        </w:rPr>
        <w:t>6.4</w:t>
      </w:r>
      <w:r w:rsidRPr="00C501E3">
        <w:rPr>
          <w:b/>
          <w:szCs w:val="22"/>
          <w:lang w:val="en-GB"/>
        </w:rPr>
        <w:tab/>
        <w:t>Special precautions for storage</w:t>
      </w:r>
    </w:p>
    <w:p w14:paraId="7C331F30" w14:textId="77777777" w:rsidR="008F369D" w:rsidRPr="00C501E3" w:rsidRDefault="008F369D" w:rsidP="008F369D">
      <w:pPr>
        <w:rPr>
          <w:szCs w:val="22"/>
          <w:lang w:val="en-GB"/>
        </w:rPr>
      </w:pPr>
    </w:p>
    <w:p w14:paraId="7C331F31" w14:textId="77777777" w:rsidR="008F369D" w:rsidRPr="00C501E3" w:rsidRDefault="00016F29" w:rsidP="008F369D">
      <w:pPr>
        <w:rPr>
          <w:szCs w:val="22"/>
          <w:lang w:val="en-GB"/>
        </w:rPr>
      </w:pPr>
      <w:r w:rsidRPr="00C501E3">
        <w:rPr>
          <w:szCs w:val="22"/>
          <w:lang w:val="en-GB"/>
        </w:rPr>
        <w:t>Store in a refrigerator (2 °C – 8 °C). Keep the container in the outer carton in order to protect from light.</w:t>
      </w:r>
    </w:p>
    <w:p w14:paraId="7C331F32" w14:textId="77777777" w:rsidR="008F369D" w:rsidRPr="00C501E3" w:rsidRDefault="00016F29" w:rsidP="008F369D">
      <w:pPr>
        <w:rPr>
          <w:snapToGrid w:val="0"/>
          <w:szCs w:val="22"/>
          <w:lang w:val="en-GB" w:eastAsia="en-US"/>
        </w:rPr>
      </w:pPr>
      <w:r w:rsidRPr="00C501E3">
        <w:rPr>
          <w:snapToGrid w:val="0"/>
          <w:szCs w:val="22"/>
          <w:lang w:val="en-GB" w:eastAsia="en-US"/>
        </w:rPr>
        <w:t>For storage conditions after first opening see section 6.3.</w:t>
      </w:r>
    </w:p>
    <w:p w14:paraId="7C331F33" w14:textId="77777777" w:rsidR="008F369D" w:rsidRPr="00C501E3" w:rsidRDefault="008F369D" w:rsidP="008F369D">
      <w:pPr>
        <w:rPr>
          <w:b/>
          <w:szCs w:val="22"/>
          <w:lang w:val="en-GB"/>
        </w:rPr>
      </w:pPr>
    </w:p>
    <w:p w14:paraId="7C331F34" w14:textId="77777777" w:rsidR="008F369D" w:rsidRPr="00C501E3" w:rsidRDefault="00016F29" w:rsidP="008F369D">
      <w:pPr>
        <w:ind w:left="567" w:hanging="567"/>
        <w:outlineLvl w:val="0"/>
        <w:rPr>
          <w:szCs w:val="22"/>
          <w:lang w:val="en-GB"/>
        </w:rPr>
      </w:pPr>
      <w:r w:rsidRPr="00C501E3">
        <w:rPr>
          <w:b/>
          <w:szCs w:val="22"/>
          <w:lang w:val="en-GB"/>
        </w:rPr>
        <w:t>6.5</w:t>
      </w:r>
      <w:r w:rsidRPr="00C501E3">
        <w:rPr>
          <w:b/>
          <w:szCs w:val="22"/>
          <w:lang w:val="en-GB"/>
        </w:rPr>
        <w:tab/>
        <w:t>Nature and contents of container</w:t>
      </w:r>
    </w:p>
    <w:p w14:paraId="7C331F35" w14:textId="77777777" w:rsidR="008F369D" w:rsidRPr="00C501E3" w:rsidRDefault="008F369D" w:rsidP="008F369D">
      <w:pPr>
        <w:rPr>
          <w:b/>
          <w:szCs w:val="22"/>
          <w:lang w:val="en-GB"/>
        </w:rPr>
      </w:pPr>
    </w:p>
    <w:p w14:paraId="7C331F36" w14:textId="77777777" w:rsidR="008F369D" w:rsidRPr="00697EF3" w:rsidRDefault="00016F29" w:rsidP="008F369D">
      <w:pPr>
        <w:tabs>
          <w:tab w:val="left" w:pos="567"/>
        </w:tabs>
        <w:rPr>
          <w:szCs w:val="22"/>
          <w:lang w:val="en-GB" w:eastAsia="en-US"/>
        </w:rPr>
      </w:pPr>
      <w:r w:rsidRPr="00697EF3">
        <w:rPr>
          <w:szCs w:val="22"/>
          <w:lang w:val="en-GB" w:eastAsia="en-US"/>
        </w:rPr>
        <w:t>Colourless type I glass vial with butyl rubber stopper with aluminium over seal and a pink plastic flip</w:t>
      </w:r>
      <w:r w:rsidR="000A6DDA" w:rsidRPr="00697EF3">
        <w:rPr>
          <w:szCs w:val="22"/>
          <w:lang w:val="en-GB" w:eastAsia="en-US"/>
        </w:rPr>
        <w:noBreakHyphen/>
      </w:r>
      <w:r w:rsidRPr="00697EF3">
        <w:rPr>
          <w:szCs w:val="22"/>
          <w:lang w:val="en-GB" w:eastAsia="en-US"/>
        </w:rPr>
        <w:t>off disk, containing 1400 mg/11.7 mL of rituximab.</w:t>
      </w:r>
    </w:p>
    <w:p w14:paraId="7C331F37" w14:textId="77777777" w:rsidR="008F369D" w:rsidRPr="00697EF3" w:rsidRDefault="008F369D" w:rsidP="008F369D">
      <w:pPr>
        <w:tabs>
          <w:tab w:val="left" w:pos="567"/>
        </w:tabs>
        <w:rPr>
          <w:szCs w:val="22"/>
          <w:lang w:val="en-GB" w:eastAsia="en-US"/>
        </w:rPr>
      </w:pPr>
    </w:p>
    <w:p w14:paraId="7C331F38" w14:textId="77777777" w:rsidR="008F369D" w:rsidRPr="00697EF3" w:rsidRDefault="00016F29" w:rsidP="008F369D">
      <w:pPr>
        <w:rPr>
          <w:szCs w:val="22"/>
          <w:lang w:val="en-GB" w:eastAsia="en-US"/>
        </w:rPr>
      </w:pPr>
      <w:r w:rsidRPr="00697EF3">
        <w:rPr>
          <w:szCs w:val="22"/>
          <w:lang w:val="en-GB" w:eastAsia="en-US"/>
        </w:rPr>
        <w:t>Each carton contains one vial.</w:t>
      </w:r>
    </w:p>
    <w:p w14:paraId="7C331F39" w14:textId="77777777" w:rsidR="008F369D" w:rsidRPr="00C501E3" w:rsidRDefault="008F369D" w:rsidP="008F369D">
      <w:pPr>
        <w:rPr>
          <w:szCs w:val="22"/>
          <w:lang w:val="en-GB"/>
        </w:rPr>
      </w:pPr>
    </w:p>
    <w:p w14:paraId="7C331F3A" w14:textId="77777777" w:rsidR="008F369D" w:rsidRPr="00C501E3" w:rsidRDefault="00016F29" w:rsidP="008F369D">
      <w:pPr>
        <w:ind w:left="567" w:hanging="567"/>
        <w:outlineLvl w:val="0"/>
        <w:rPr>
          <w:szCs w:val="22"/>
          <w:lang w:val="en-GB"/>
        </w:rPr>
      </w:pPr>
      <w:r w:rsidRPr="00C501E3">
        <w:rPr>
          <w:b/>
          <w:szCs w:val="22"/>
          <w:lang w:val="en-GB"/>
        </w:rPr>
        <w:t>6.6</w:t>
      </w:r>
      <w:r w:rsidRPr="00C501E3">
        <w:rPr>
          <w:b/>
          <w:szCs w:val="22"/>
          <w:lang w:val="en-GB"/>
        </w:rPr>
        <w:tab/>
        <w:t>Special precautions for disposal and other handling</w:t>
      </w:r>
    </w:p>
    <w:p w14:paraId="7C331F3B" w14:textId="77777777" w:rsidR="008F369D" w:rsidRPr="00C501E3" w:rsidRDefault="008F369D" w:rsidP="008F369D">
      <w:pPr>
        <w:rPr>
          <w:szCs w:val="22"/>
          <w:lang w:val="en-GB"/>
        </w:rPr>
      </w:pPr>
    </w:p>
    <w:p w14:paraId="7C331F3C" w14:textId="73BBD826" w:rsidR="008F369D" w:rsidRPr="00C501E3" w:rsidRDefault="00016F29" w:rsidP="008F369D">
      <w:pPr>
        <w:outlineLvl w:val="0"/>
        <w:rPr>
          <w:rFonts w:eastAsia="SimSun"/>
          <w:szCs w:val="22"/>
          <w:lang w:val="en-GB" w:eastAsia="zh-CN"/>
        </w:rPr>
      </w:pPr>
      <w:r w:rsidRPr="00C90A72">
        <w:rPr>
          <w:szCs w:val="22"/>
          <w:lang w:val="en-GB"/>
        </w:rPr>
        <w:t>MabThera is provided in sterile, preservative</w:t>
      </w:r>
      <w:r w:rsidR="000A6DDA" w:rsidRPr="00C90A72">
        <w:rPr>
          <w:szCs w:val="22"/>
          <w:lang w:val="en-GB"/>
        </w:rPr>
        <w:noBreakHyphen/>
      </w:r>
      <w:r w:rsidRPr="00C90A72">
        <w:rPr>
          <w:szCs w:val="22"/>
          <w:lang w:val="en-GB"/>
        </w:rPr>
        <w:t>free, non</w:t>
      </w:r>
      <w:r w:rsidR="000A6DDA" w:rsidRPr="00C90A72">
        <w:rPr>
          <w:szCs w:val="22"/>
          <w:lang w:val="en-GB"/>
        </w:rPr>
        <w:noBreakHyphen/>
      </w:r>
      <w:r w:rsidRPr="00C90A72">
        <w:rPr>
          <w:szCs w:val="22"/>
          <w:lang w:val="en-GB"/>
        </w:rPr>
        <w:t xml:space="preserve">pyrogenic, single use vials. </w:t>
      </w:r>
      <w:r w:rsidR="00845E2A" w:rsidRPr="00845E2A">
        <w:rPr>
          <w:szCs w:val="22"/>
          <w:lang w:val="en-GB"/>
        </w:rPr>
        <w:t xml:space="preserve">Use sterile needle and syringe to prepare MabThera. </w:t>
      </w:r>
      <w:r w:rsidR="006174ED" w:rsidRPr="00C90A72">
        <w:rPr>
          <w:szCs w:val="22"/>
          <w:lang w:val="en-GB"/>
        </w:rPr>
        <w:t>A peel</w:t>
      </w:r>
      <w:r w:rsidR="000A6DDA" w:rsidRPr="00C90A72">
        <w:rPr>
          <w:szCs w:val="22"/>
          <w:lang w:val="en-GB"/>
        </w:rPr>
        <w:noBreakHyphen/>
      </w:r>
      <w:r w:rsidR="006174ED" w:rsidRPr="00C90A72">
        <w:rPr>
          <w:szCs w:val="22"/>
          <w:lang w:val="en-GB"/>
        </w:rPr>
        <w:t xml:space="preserve">off sticker is included on the vials which specifies the strength, route of administration and indication. This sticker should be removed from the vial and stuck onto the syringe prior to  use. </w:t>
      </w:r>
      <w:r w:rsidRPr="00C90A72">
        <w:rPr>
          <w:rFonts w:eastAsia="SimSun"/>
          <w:szCs w:val="22"/>
          <w:lang w:val="en-GB" w:eastAsia="zh-CN"/>
        </w:rPr>
        <w:t>The following points should be strictly adhered to regarding the use and disposal of syringes and other medicinal</w:t>
      </w:r>
      <w:r w:rsidRPr="00C501E3">
        <w:rPr>
          <w:rFonts w:eastAsia="SimSun"/>
          <w:szCs w:val="22"/>
          <w:lang w:val="en-GB" w:eastAsia="zh-CN"/>
        </w:rPr>
        <w:t xml:space="preserve"> sharps: </w:t>
      </w:r>
    </w:p>
    <w:p w14:paraId="7C331F3D" w14:textId="77777777" w:rsidR="008F369D" w:rsidRPr="00C501E3" w:rsidRDefault="00016F29" w:rsidP="008F369D">
      <w:pPr>
        <w:tabs>
          <w:tab w:val="left" w:pos="567"/>
        </w:tabs>
        <w:spacing w:line="260" w:lineRule="exact"/>
        <w:ind w:left="567" w:hanging="567"/>
        <w:rPr>
          <w:rFonts w:eastAsia="SimSun"/>
          <w:szCs w:val="22"/>
          <w:lang w:val="en-GB" w:eastAsia="zh-CN"/>
        </w:rPr>
      </w:pPr>
      <w:r w:rsidRPr="00E06A78">
        <w:rPr>
          <w:rFonts w:ascii="Symbol" w:hAnsi="Symbol"/>
          <w:lang w:val="en-GB"/>
        </w:rPr>
        <w:sym w:font="Symbol" w:char="F0B7"/>
      </w:r>
      <w:r w:rsidRPr="00C501E3">
        <w:rPr>
          <w:szCs w:val="22"/>
          <w:lang w:val="en-GB"/>
        </w:rPr>
        <w:tab/>
      </w:r>
      <w:r w:rsidRPr="00C501E3">
        <w:rPr>
          <w:rFonts w:eastAsia="SimSun"/>
          <w:szCs w:val="22"/>
          <w:lang w:val="en-GB" w:eastAsia="zh-CN"/>
        </w:rPr>
        <w:t>Needles and syringes should never be reused</w:t>
      </w:r>
    </w:p>
    <w:p w14:paraId="7C331F3E" w14:textId="77777777" w:rsidR="008F369D" w:rsidRPr="00C501E3" w:rsidRDefault="00016F29" w:rsidP="008F369D">
      <w:pPr>
        <w:tabs>
          <w:tab w:val="left" w:pos="567"/>
        </w:tabs>
        <w:spacing w:line="260" w:lineRule="exact"/>
        <w:ind w:left="567" w:hanging="567"/>
        <w:rPr>
          <w:rFonts w:eastAsia="SimSun"/>
          <w:szCs w:val="22"/>
          <w:lang w:val="en-GB" w:eastAsia="zh-CN"/>
        </w:rPr>
      </w:pPr>
      <w:r w:rsidRPr="00E06A78">
        <w:rPr>
          <w:rFonts w:ascii="Symbol" w:hAnsi="Symbol"/>
          <w:lang w:val="en-GB"/>
        </w:rPr>
        <w:sym w:font="Symbol" w:char="F0B7"/>
      </w:r>
      <w:r w:rsidRPr="00C501E3">
        <w:rPr>
          <w:szCs w:val="22"/>
          <w:lang w:val="en-GB"/>
        </w:rPr>
        <w:tab/>
      </w:r>
      <w:r w:rsidRPr="00C501E3">
        <w:rPr>
          <w:rFonts w:eastAsia="SimSun"/>
          <w:szCs w:val="22"/>
          <w:lang w:val="en-GB" w:eastAsia="zh-CN"/>
        </w:rPr>
        <w:t>Place all used needles and syringes into a sharps container (puncture</w:t>
      </w:r>
      <w:r w:rsidR="000A6DDA">
        <w:rPr>
          <w:rFonts w:ascii="Cambria Math" w:eastAsia="SimSun" w:hAnsi="Cambria Math" w:cs="Cambria Math"/>
          <w:szCs w:val="22"/>
          <w:lang w:val="en-GB" w:eastAsia="zh-CN"/>
        </w:rPr>
        <w:noBreakHyphen/>
      </w:r>
      <w:r w:rsidRPr="00C501E3">
        <w:rPr>
          <w:rFonts w:eastAsia="SimSun"/>
          <w:szCs w:val="22"/>
          <w:lang w:val="en-GB" w:eastAsia="zh-CN"/>
        </w:rPr>
        <w:t xml:space="preserve">proof disposable container). </w:t>
      </w:r>
    </w:p>
    <w:p w14:paraId="7C331F3F" w14:textId="77777777" w:rsidR="008F369D" w:rsidRPr="00C501E3" w:rsidRDefault="008F369D" w:rsidP="008F369D">
      <w:pPr>
        <w:rPr>
          <w:szCs w:val="22"/>
          <w:lang w:val="en-GB"/>
        </w:rPr>
      </w:pPr>
    </w:p>
    <w:p w14:paraId="7C331F40" w14:textId="77777777" w:rsidR="008F369D" w:rsidRPr="00C501E3" w:rsidRDefault="00016F29" w:rsidP="008F369D">
      <w:pPr>
        <w:suppressLineNumbers/>
        <w:tabs>
          <w:tab w:val="left" w:pos="567"/>
        </w:tabs>
        <w:rPr>
          <w:szCs w:val="22"/>
          <w:lang w:val="en-GB"/>
        </w:rPr>
      </w:pPr>
      <w:r w:rsidRPr="00C501E3">
        <w:rPr>
          <w:szCs w:val="22"/>
          <w:lang w:val="en-GB"/>
        </w:rPr>
        <w:t>Any unused medicinal product or waste material should be disposed of in accordance with local requirements.</w:t>
      </w:r>
    </w:p>
    <w:p w14:paraId="7C331F41" w14:textId="77777777" w:rsidR="008F369D" w:rsidRPr="00C501E3" w:rsidRDefault="008F369D" w:rsidP="008F369D">
      <w:pPr>
        <w:suppressLineNumbers/>
        <w:tabs>
          <w:tab w:val="left" w:pos="567"/>
        </w:tabs>
        <w:rPr>
          <w:szCs w:val="22"/>
          <w:lang w:val="en-GB"/>
        </w:rPr>
      </w:pPr>
    </w:p>
    <w:p w14:paraId="7C331F42" w14:textId="77777777" w:rsidR="008F369D" w:rsidRPr="00C501E3" w:rsidRDefault="008F369D" w:rsidP="008F369D">
      <w:pPr>
        <w:suppressLineNumbers/>
        <w:tabs>
          <w:tab w:val="left" w:pos="567"/>
        </w:tabs>
        <w:rPr>
          <w:szCs w:val="22"/>
          <w:lang w:val="en-GB"/>
        </w:rPr>
      </w:pPr>
    </w:p>
    <w:p w14:paraId="7C331F43" w14:textId="77777777" w:rsidR="008F369D" w:rsidRPr="00C501E3" w:rsidRDefault="00016F29" w:rsidP="008F369D">
      <w:pPr>
        <w:suppressLineNumbers/>
        <w:tabs>
          <w:tab w:val="left" w:pos="567"/>
        </w:tabs>
        <w:rPr>
          <w:szCs w:val="22"/>
          <w:lang w:val="en-GB"/>
        </w:rPr>
      </w:pPr>
      <w:r w:rsidRPr="00C501E3">
        <w:rPr>
          <w:b/>
          <w:szCs w:val="22"/>
          <w:lang w:val="en-GB"/>
        </w:rPr>
        <w:t>7.</w:t>
      </w:r>
      <w:r w:rsidRPr="00C501E3">
        <w:rPr>
          <w:b/>
          <w:szCs w:val="22"/>
          <w:lang w:val="en-GB"/>
        </w:rPr>
        <w:tab/>
        <w:t>MARKETING AUTHORISATION HOLDER</w:t>
      </w:r>
    </w:p>
    <w:p w14:paraId="7C331F44" w14:textId="77777777" w:rsidR="008F369D" w:rsidRPr="00C501E3" w:rsidRDefault="008F369D" w:rsidP="008F369D">
      <w:pPr>
        <w:rPr>
          <w:b/>
          <w:szCs w:val="22"/>
          <w:lang w:val="en-GB"/>
        </w:rPr>
      </w:pPr>
    </w:p>
    <w:p w14:paraId="7C331F45" w14:textId="77777777" w:rsidR="00B0361F" w:rsidRPr="00383DC8" w:rsidRDefault="00016F29" w:rsidP="00B0361F">
      <w:r w:rsidRPr="00383DC8">
        <w:t xml:space="preserve">Roche Registration GmbH </w:t>
      </w:r>
    </w:p>
    <w:p w14:paraId="7C331F46" w14:textId="77777777" w:rsidR="00B0361F" w:rsidRPr="00753B8B" w:rsidRDefault="00016F29" w:rsidP="00B0361F">
      <w:r w:rsidRPr="00753B8B">
        <w:t>Emil-Barell-Strasse 1</w:t>
      </w:r>
    </w:p>
    <w:p w14:paraId="7C331F47" w14:textId="77777777" w:rsidR="00B0361F" w:rsidRPr="00753B8B" w:rsidRDefault="00016F29" w:rsidP="00B0361F">
      <w:r w:rsidRPr="00753B8B">
        <w:t>79639 Grenzach-Wyhlen</w:t>
      </w:r>
    </w:p>
    <w:p w14:paraId="7C331F48" w14:textId="77777777" w:rsidR="00B0361F" w:rsidRPr="00753B8B" w:rsidRDefault="00016F29" w:rsidP="00B0361F">
      <w:r w:rsidRPr="00753B8B">
        <w:t>Germany</w:t>
      </w:r>
    </w:p>
    <w:p w14:paraId="7C331F49" w14:textId="77777777" w:rsidR="008F369D" w:rsidRPr="007830E0" w:rsidRDefault="008F369D" w:rsidP="008F369D"/>
    <w:p w14:paraId="7C331F4A" w14:textId="77777777" w:rsidR="008F369D" w:rsidRPr="007830E0" w:rsidRDefault="008F369D" w:rsidP="008F369D"/>
    <w:p w14:paraId="7C331F4B" w14:textId="77777777" w:rsidR="008F369D" w:rsidRPr="00C501E3" w:rsidRDefault="00016F29" w:rsidP="00E454FF">
      <w:pPr>
        <w:keepNext/>
        <w:keepLines/>
        <w:ind w:left="567" w:hanging="567"/>
        <w:outlineLvl w:val="0"/>
        <w:rPr>
          <w:b/>
          <w:szCs w:val="22"/>
          <w:lang w:val="en-GB"/>
        </w:rPr>
      </w:pPr>
      <w:r w:rsidRPr="00C501E3">
        <w:rPr>
          <w:b/>
          <w:szCs w:val="22"/>
          <w:lang w:val="en-GB"/>
        </w:rPr>
        <w:t>8.</w:t>
      </w:r>
      <w:r w:rsidRPr="00C501E3">
        <w:rPr>
          <w:b/>
          <w:szCs w:val="22"/>
          <w:lang w:val="en-GB"/>
        </w:rPr>
        <w:tab/>
        <w:t xml:space="preserve">MARKETING AUTHORISATION NUMBER(S) </w:t>
      </w:r>
    </w:p>
    <w:p w14:paraId="7C331F4C" w14:textId="77777777" w:rsidR="008F369D" w:rsidRPr="00C501E3" w:rsidRDefault="008F369D" w:rsidP="00E454FF">
      <w:pPr>
        <w:keepNext/>
        <w:keepLines/>
        <w:rPr>
          <w:b/>
          <w:szCs w:val="22"/>
          <w:lang w:val="en-GB"/>
        </w:rPr>
      </w:pPr>
    </w:p>
    <w:p w14:paraId="7C331F4D" w14:textId="77777777" w:rsidR="008F369D" w:rsidRDefault="00016F29" w:rsidP="00E454FF">
      <w:pPr>
        <w:keepNext/>
        <w:keepLines/>
        <w:rPr>
          <w:szCs w:val="22"/>
          <w:lang w:val="en-GB"/>
        </w:rPr>
      </w:pPr>
      <w:r w:rsidRPr="005822E6">
        <w:t>EU/1/98/067/003</w:t>
      </w:r>
    </w:p>
    <w:p w14:paraId="7C331F4E" w14:textId="77777777" w:rsidR="008F369D" w:rsidRDefault="008F369D" w:rsidP="00E454FF">
      <w:pPr>
        <w:keepNext/>
        <w:keepLines/>
        <w:rPr>
          <w:szCs w:val="22"/>
          <w:lang w:val="en-GB"/>
        </w:rPr>
      </w:pPr>
    </w:p>
    <w:p w14:paraId="7C331F4F" w14:textId="77777777" w:rsidR="008F369D" w:rsidRPr="00C501E3" w:rsidRDefault="008F369D" w:rsidP="008F369D">
      <w:pPr>
        <w:rPr>
          <w:szCs w:val="22"/>
          <w:lang w:val="en-GB"/>
        </w:rPr>
      </w:pPr>
    </w:p>
    <w:p w14:paraId="7C331F50" w14:textId="77777777" w:rsidR="008F369D" w:rsidRPr="00C501E3" w:rsidRDefault="00016F29" w:rsidP="008F369D">
      <w:pPr>
        <w:ind w:left="567" w:hanging="567"/>
        <w:outlineLvl w:val="0"/>
        <w:rPr>
          <w:szCs w:val="22"/>
          <w:lang w:val="en-GB"/>
        </w:rPr>
      </w:pPr>
      <w:r w:rsidRPr="00C501E3">
        <w:rPr>
          <w:b/>
          <w:szCs w:val="22"/>
          <w:lang w:val="en-GB"/>
        </w:rPr>
        <w:t>9.</w:t>
      </w:r>
      <w:r w:rsidRPr="00C501E3">
        <w:rPr>
          <w:b/>
          <w:szCs w:val="22"/>
          <w:lang w:val="en-GB"/>
        </w:rPr>
        <w:tab/>
        <w:t>DATE OF FIRST AUTHORISATION/RENEWAL OF THE AUTHORISATION</w:t>
      </w:r>
    </w:p>
    <w:p w14:paraId="7C331F51" w14:textId="77777777" w:rsidR="008F369D" w:rsidRDefault="008F369D" w:rsidP="008F369D">
      <w:pPr>
        <w:rPr>
          <w:szCs w:val="22"/>
          <w:lang w:val="en-GB"/>
        </w:rPr>
      </w:pPr>
    </w:p>
    <w:p w14:paraId="7C331F52" w14:textId="77777777" w:rsidR="008F369D" w:rsidRDefault="00016F29" w:rsidP="008F369D">
      <w:pPr>
        <w:rPr>
          <w:szCs w:val="22"/>
          <w:lang w:val="en-GB"/>
        </w:rPr>
      </w:pPr>
      <w:r>
        <w:rPr>
          <w:szCs w:val="22"/>
          <w:lang w:val="en-GB"/>
        </w:rPr>
        <w:t>Date of first authorisation: 2 June 1998</w:t>
      </w:r>
    </w:p>
    <w:p w14:paraId="7C331F53" w14:textId="77777777" w:rsidR="008F369D" w:rsidRPr="00C501E3" w:rsidRDefault="00016F29" w:rsidP="008F369D">
      <w:pPr>
        <w:rPr>
          <w:szCs w:val="22"/>
          <w:lang w:val="en-GB"/>
        </w:rPr>
      </w:pPr>
      <w:r>
        <w:rPr>
          <w:szCs w:val="22"/>
          <w:lang w:val="en-GB"/>
        </w:rPr>
        <w:t>Date of latest renewal</w:t>
      </w:r>
      <w:r w:rsidRPr="001A72EB">
        <w:rPr>
          <w:szCs w:val="22"/>
          <w:lang w:val="en-GB"/>
        </w:rPr>
        <w:t xml:space="preserve">: </w:t>
      </w:r>
      <w:r w:rsidR="00E90C58" w:rsidRPr="001A72EB">
        <w:rPr>
          <w:szCs w:val="22"/>
          <w:lang w:val="en-GB"/>
        </w:rPr>
        <w:t>2 June</w:t>
      </w:r>
      <w:r w:rsidR="003C092C" w:rsidRPr="001A72EB">
        <w:rPr>
          <w:szCs w:val="22"/>
          <w:lang w:val="en-GB"/>
        </w:rPr>
        <w:t xml:space="preserve"> </w:t>
      </w:r>
      <w:r w:rsidRPr="001A72EB">
        <w:rPr>
          <w:szCs w:val="22"/>
          <w:lang w:val="en-GB"/>
        </w:rPr>
        <w:t>2008</w:t>
      </w:r>
    </w:p>
    <w:p w14:paraId="7C331F54" w14:textId="77777777" w:rsidR="008F369D" w:rsidRDefault="008F369D" w:rsidP="008F369D">
      <w:pPr>
        <w:rPr>
          <w:szCs w:val="22"/>
          <w:lang w:val="en-GB"/>
        </w:rPr>
      </w:pPr>
    </w:p>
    <w:p w14:paraId="7C331F55" w14:textId="77777777" w:rsidR="008F369D" w:rsidRPr="00C501E3" w:rsidRDefault="008F369D" w:rsidP="008F369D">
      <w:pPr>
        <w:rPr>
          <w:szCs w:val="22"/>
          <w:lang w:val="en-GB"/>
        </w:rPr>
      </w:pPr>
    </w:p>
    <w:p w14:paraId="7C331F56" w14:textId="77777777" w:rsidR="008F369D" w:rsidRPr="00C501E3" w:rsidRDefault="00016F29" w:rsidP="008F369D">
      <w:pPr>
        <w:keepNext/>
        <w:ind w:left="567" w:hanging="567"/>
        <w:outlineLvl w:val="0"/>
        <w:rPr>
          <w:b/>
          <w:szCs w:val="22"/>
          <w:lang w:val="en-GB"/>
        </w:rPr>
      </w:pPr>
      <w:r w:rsidRPr="00C501E3">
        <w:rPr>
          <w:b/>
          <w:szCs w:val="22"/>
          <w:lang w:val="en-GB"/>
        </w:rPr>
        <w:t>10.</w:t>
      </w:r>
      <w:r w:rsidRPr="00C501E3">
        <w:rPr>
          <w:b/>
          <w:szCs w:val="22"/>
          <w:lang w:val="en-GB"/>
        </w:rPr>
        <w:tab/>
        <w:t>DATE OF REVISION OF THE TEXT</w:t>
      </w:r>
    </w:p>
    <w:p w14:paraId="7C331F57" w14:textId="77777777" w:rsidR="008F369D" w:rsidRPr="00C501E3" w:rsidRDefault="008F369D" w:rsidP="008F369D">
      <w:pPr>
        <w:ind w:left="567" w:hanging="567"/>
        <w:outlineLvl w:val="0"/>
        <w:rPr>
          <w:b/>
          <w:szCs w:val="22"/>
          <w:lang w:val="en-GB"/>
        </w:rPr>
      </w:pPr>
    </w:p>
    <w:p w14:paraId="7C331F58" w14:textId="77777777" w:rsidR="004F06A5" w:rsidRPr="00E06A78" w:rsidRDefault="00016F29" w:rsidP="00D6209C">
      <w:pPr>
        <w:rPr>
          <w:lang w:val="en-GB"/>
        </w:rPr>
      </w:pPr>
      <w:r w:rsidRPr="00C501E3">
        <w:rPr>
          <w:rFonts w:ascii="TimesNewRoman,Italic" w:eastAsia="MS Mincho" w:hAnsi="TimesNewRoman,Italic" w:cs="TimesNewRoman,Italic"/>
          <w:iCs/>
          <w:szCs w:val="22"/>
          <w:lang w:val="en-GB" w:eastAsia="zh-CN"/>
        </w:rPr>
        <w:t xml:space="preserve">Detailed information on this medicinal product is available on the website of the European Medicines Agency (EMA) </w:t>
      </w:r>
      <w:hyperlink r:id="rId19" w:history="1">
        <w:r w:rsidR="001901B8" w:rsidRPr="00B45D40">
          <w:rPr>
            <w:rStyle w:val="Hyperlink"/>
            <w:rFonts w:ascii="TimesNewRoman,Italic" w:eastAsia="MS Mincho" w:hAnsi="TimesNewRoman,Italic" w:cs="TimesNewRoman,Italic"/>
            <w:iCs/>
            <w:szCs w:val="22"/>
            <w:lang w:val="en-GB" w:eastAsia="zh-CN"/>
          </w:rPr>
          <w:t>http://www.ema.europa.eu/</w:t>
        </w:r>
      </w:hyperlink>
    </w:p>
    <w:p w14:paraId="7C331F59" w14:textId="77777777" w:rsidR="001901B8" w:rsidRPr="00F332AF" w:rsidRDefault="001901B8" w:rsidP="00D6209C">
      <w:pPr>
        <w:rPr>
          <w:szCs w:val="22"/>
          <w:lang w:val="en-GB"/>
        </w:rPr>
      </w:pPr>
    </w:p>
    <w:p w14:paraId="7C331F5A" w14:textId="77777777" w:rsidR="00F069B9" w:rsidRPr="009E733A" w:rsidRDefault="00016F29" w:rsidP="0099733D">
      <w:pPr>
        <w:ind w:left="562" w:hanging="562"/>
        <w:outlineLvl w:val="0"/>
        <w:rPr>
          <w:noProof/>
          <w:lang w:val="en-GB"/>
        </w:rPr>
      </w:pPr>
      <w:r>
        <w:rPr>
          <w:szCs w:val="22"/>
          <w:lang w:val="en-GB"/>
        </w:rPr>
        <w:br w:type="page"/>
      </w:r>
    </w:p>
    <w:p w14:paraId="7C331F5B" w14:textId="77777777" w:rsidR="003F42D3" w:rsidRPr="00C501E3" w:rsidRDefault="00016F29" w:rsidP="003F42D3">
      <w:pPr>
        <w:ind w:left="567" w:hanging="567"/>
        <w:rPr>
          <w:szCs w:val="22"/>
          <w:lang w:val="en-GB"/>
        </w:rPr>
      </w:pPr>
      <w:r w:rsidRPr="00C501E3">
        <w:rPr>
          <w:b/>
          <w:szCs w:val="22"/>
          <w:lang w:val="en-GB"/>
        </w:rPr>
        <w:t>1.</w:t>
      </w:r>
      <w:r w:rsidRPr="00C501E3">
        <w:rPr>
          <w:b/>
          <w:szCs w:val="22"/>
          <w:lang w:val="en-GB"/>
        </w:rPr>
        <w:tab/>
        <w:t>NAME OF THE MEDICINAL PRODUCT</w:t>
      </w:r>
    </w:p>
    <w:p w14:paraId="7C331F5C" w14:textId="77777777" w:rsidR="003F42D3" w:rsidRPr="00C501E3" w:rsidRDefault="003F42D3" w:rsidP="00BB33F3">
      <w:pPr>
        <w:outlineLvl w:val="0"/>
        <w:rPr>
          <w:szCs w:val="22"/>
          <w:lang w:val="en-GB"/>
        </w:rPr>
      </w:pPr>
    </w:p>
    <w:p w14:paraId="7C331F5D" w14:textId="77777777" w:rsidR="003F42D3" w:rsidRPr="001A72EB" w:rsidRDefault="00016F29" w:rsidP="003F42D3">
      <w:pPr>
        <w:outlineLvl w:val="0"/>
        <w:rPr>
          <w:szCs w:val="22"/>
          <w:lang w:val="en-GB"/>
        </w:rPr>
      </w:pPr>
      <w:r w:rsidRPr="001A72EB">
        <w:rPr>
          <w:szCs w:val="22"/>
          <w:lang w:val="en-GB"/>
        </w:rPr>
        <w:t>MabThera 1600 mg solution for subcutaneous injection</w:t>
      </w:r>
    </w:p>
    <w:p w14:paraId="7C331F5E" w14:textId="77777777" w:rsidR="003F42D3" w:rsidRPr="001A72EB" w:rsidRDefault="003F42D3" w:rsidP="003F42D3">
      <w:pPr>
        <w:outlineLvl w:val="0"/>
        <w:rPr>
          <w:szCs w:val="22"/>
          <w:lang w:val="en-GB"/>
        </w:rPr>
      </w:pPr>
    </w:p>
    <w:p w14:paraId="7C331F5F" w14:textId="77777777" w:rsidR="003F42D3" w:rsidRPr="001A72EB" w:rsidRDefault="003F42D3" w:rsidP="003F42D3">
      <w:pPr>
        <w:rPr>
          <w:szCs w:val="22"/>
          <w:lang w:val="en-GB"/>
        </w:rPr>
      </w:pPr>
    </w:p>
    <w:p w14:paraId="7C331F60" w14:textId="77777777" w:rsidR="003F42D3" w:rsidRPr="001A72EB" w:rsidRDefault="00016F29" w:rsidP="003F42D3">
      <w:pPr>
        <w:ind w:left="567" w:hanging="567"/>
        <w:outlineLvl w:val="0"/>
        <w:rPr>
          <w:szCs w:val="22"/>
          <w:lang w:val="en-GB"/>
        </w:rPr>
      </w:pPr>
      <w:r w:rsidRPr="001A72EB">
        <w:rPr>
          <w:b/>
          <w:szCs w:val="22"/>
          <w:lang w:val="en-GB"/>
        </w:rPr>
        <w:t>2.</w:t>
      </w:r>
      <w:r w:rsidRPr="001A72EB">
        <w:rPr>
          <w:b/>
          <w:szCs w:val="22"/>
          <w:lang w:val="en-GB"/>
        </w:rPr>
        <w:tab/>
        <w:t>QUALITATIVE AND QUANTITATIVE COMPOSITION</w:t>
      </w:r>
    </w:p>
    <w:p w14:paraId="7C331F61" w14:textId="77777777" w:rsidR="003F42D3" w:rsidRPr="001A72EB" w:rsidRDefault="003F42D3" w:rsidP="003F42D3">
      <w:pPr>
        <w:rPr>
          <w:i/>
          <w:szCs w:val="22"/>
          <w:lang w:val="en-GB"/>
        </w:rPr>
      </w:pPr>
    </w:p>
    <w:p w14:paraId="7C331F62" w14:textId="77777777" w:rsidR="003F42D3" w:rsidRPr="001A72EB" w:rsidRDefault="00016F29" w:rsidP="003F42D3">
      <w:pPr>
        <w:outlineLvl w:val="0"/>
        <w:rPr>
          <w:szCs w:val="22"/>
          <w:lang w:val="en-GB"/>
        </w:rPr>
      </w:pPr>
      <w:r w:rsidRPr="001A72EB">
        <w:rPr>
          <w:szCs w:val="22"/>
          <w:lang w:val="en-GB"/>
        </w:rPr>
        <w:t>Each mL contains 120 mg of rituximab.</w:t>
      </w:r>
    </w:p>
    <w:p w14:paraId="7C331F63" w14:textId="77777777" w:rsidR="003F42D3" w:rsidRPr="001A72EB" w:rsidRDefault="003F42D3" w:rsidP="003F42D3">
      <w:pPr>
        <w:rPr>
          <w:szCs w:val="22"/>
          <w:lang w:val="en-GB"/>
        </w:rPr>
      </w:pPr>
    </w:p>
    <w:p w14:paraId="7C331F64" w14:textId="77777777" w:rsidR="003F42D3" w:rsidRPr="00FA74DB" w:rsidRDefault="00016F29" w:rsidP="003F42D3">
      <w:pPr>
        <w:outlineLvl w:val="0"/>
        <w:rPr>
          <w:szCs w:val="22"/>
          <w:lang w:val="en-GB"/>
        </w:rPr>
      </w:pPr>
      <w:r w:rsidRPr="001A72EB">
        <w:rPr>
          <w:szCs w:val="22"/>
          <w:lang w:val="en-GB"/>
        </w:rPr>
        <w:t>Each vial contain</w:t>
      </w:r>
      <w:r w:rsidRPr="001A72EB">
        <w:rPr>
          <w:b/>
          <w:szCs w:val="22"/>
          <w:lang w:val="en-GB"/>
        </w:rPr>
        <w:t>s</w:t>
      </w:r>
      <w:r w:rsidRPr="001A72EB">
        <w:rPr>
          <w:szCs w:val="22"/>
          <w:lang w:val="en-GB"/>
        </w:rPr>
        <w:t xml:space="preserve"> 1600 mg/</w:t>
      </w:r>
      <w:r w:rsidR="003F09C3" w:rsidRPr="001A72EB">
        <w:rPr>
          <w:szCs w:val="22"/>
          <w:lang w:val="en-GB"/>
        </w:rPr>
        <w:t xml:space="preserve"> </w:t>
      </w:r>
      <w:r w:rsidRPr="001A72EB">
        <w:rPr>
          <w:szCs w:val="22"/>
          <w:lang w:val="en-GB"/>
        </w:rPr>
        <w:t>13.4 mL rituxim</w:t>
      </w:r>
      <w:r w:rsidRPr="00FA74DB">
        <w:rPr>
          <w:szCs w:val="22"/>
          <w:lang w:val="en-GB"/>
        </w:rPr>
        <w:t>ab.</w:t>
      </w:r>
    </w:p>
    <w:p w14:paraId="7C331F65" w14:textId="77777777" w:rsidR="003F42D3" w:rsidRPr="00BB33F3" w:rsidRDefault="003F42D3" w:rsidP="003F42D3">
      <w:pPr>
        <w:rPr>
          <w:szCs w:val="22"/>
          <w:lang w:val="en-GB"/>
        </w:rPr>
      </w:pPr>
    </w:p>
    <w:p w14:paraId="7C331F66" w14:textId="77777777" w:rsidR="003F42D3" w:rsidRPr="00B338AB" w:rsidRDefault="00016F29" w:rsidP="003F42D3">
      <w:pPr>
        <w:rPr>
          <w:szCs w:val="22"/>
          <w:lang w:val="en-GB"/>
        </w:rPr>
      </w:pPr>
      <w:r w:rsidRPr="00285345">
        <w:rPr>
          <w:szCs w:val="22"/>
          <w:lang w:val="en-GB"/>
        </w:rPr>
        <w:t>Rituximab is a genetically engineered chimeric mouse/human monoclonal antibody representing a glycosylated immunoglobulin with human IgG1 constant regions and murine light</w:t>
      </w:r>
      <w:r w:rsidR="000A6DDA" w:rsidRPr="00285345">
        <w:rPr>
          <w:szCs w:val="22"/>
          <w:lang w:val="en-GB"/>
        </w:rPr>
        <w:noBreakHyphen/>
      </w:r>
      <w:r w:rsidRPr="00285345">
        <w:rPr>
          <w:szCs w:val="22"/>
          <w:lang w:val="en-GB"/>
        </w:rPr>
        <w:t>chain and heavy</w:t>
      </w:r>
      <w:r w:rsidR="000A6DDA" w:rsidRPr="00285345">
        <w:rPr>
          <w:szCs w:val="22"/>
          <w:lang w:val="en-GB"/>
        </w:rPr>
        <w:noBreakHyphen/>
      </w:r>
      <w:r w:rsidRPr="00285345">
        <w:rPr>
          <w:szCs w:val="22"/>
          <w:lang w:val="en-GB"/>
        </w:rPr>
        <w:t>chain variable region sequences. The antibody is produced by mammalian (Chinese hamster ovary)</w:t>
      </w:r>
      <w:r w:rsidRPr="00B338AB">
        <w:rPr>
          <w:szCs w:val="22"/>
          <w:lang w:val="en-GB"/>
        </w:rPr>
        <w:t xml:space="preserve"> cell suspension culture and purified by affinity chromatography and ion exchange, including specific viral inactivation and removal procedures.</w:t>
      </w:r>
    </w:p>
    <w:p w14:paraId="7C331F67" w14:textId="77777777" w:rsidR="008D0B9A" w:rsidRDefault="008D0B9A" w:rsidP="008D0B9A">
      <w:pPr>
        <w:rPr>
          <w:szCs w:val="22"/>
          <w:u w:val="single"/>
          <w:lang w:val="en-GB"/>
        </w:rPr>
      </w:pPr>
    </w:p>
    <w:p w14:paraId="7C331F68" w14:textId="77777777" w:rsidR="003F42D3" w:rsidRPr="006A4D12" w:rsidRDefault="00016F29" w:rsidP="003F42D3">
      <w:pPr>
        <w:outlineLvl w:val="0"/>
        <w:rPr>
          <w:szCs w:val="22"/>
          <w:lang w:val="en-GB"/>
        </w:rPr>
      </w:pPr>
      <w:r w:rsidRPr="006A4D12">
        <w:rPr>
          <w:szCs w:val="22"/>
          <w:lang w:val="en-GB"/>
        </w:rPr>
        <w:t xml:space="preserve">For the full list of excipients, see section 6.1. </w:t>
      </w:r>
    </w:p>
    <w:p w14:paraId="7C331F69" w14:textId="77777777" w:rsidR="003F42D3" w:rsidRPr="00762E5C" w:rsidRDefault="003F42D3" w:rsidP="003F42D3">
      <w:pPr>
        <w:rPr>
          <w:szCs w:val="22"/>
          <w:lang w:val="en-GB"/>
        </w:rPr>
      </w:pPr>
    </w:p>
    <w:p w14:paraId="7C331F6A" w14:textId="77777777" w:rsidR="003F42D3" w:rsidRPr="00A42930" w:rsidRDefault="003F42D3" w:rsidP="003F42D3">
      <w:pPr>
        <w:rPr>
          <w:szCs w:val="22"/>
          <w:lang w:val="en-GB"/>
        </w:rPr>
      </w:pPr>
    </w:p>
    <w:p w14:paraId="7C331F6B" w14:textId="77777777" w:rsidR="003F42D3" w:rsidRPr="005F3863" w:rsidRDefault="00016F29" w:rsidP="003F42D3">
      <w:pPr>
        <w:ind w:left="567" w:hanging="567"/>
        <w:outlineLvl w:val="0"/>
        <w:rPr>
          <w:caps/>
          <w:szCs w:val="22"/>
          <w:lang w:val="en-GB"/>
        </w:rPr>
      </w:pPr>
      <w:r w:rsidRPr="005F3863">
        <w:rPr>
          <w:b/>
          <w:szCs w:val="22"/>
          <w:lang w:val="en-GB"/>
        </w:rPr>
        <w:t>3.</w:t>
      </w:r>
      <w:r w:rsidRPr="005F3863">
        <w:rPr>
          <w:b/>
          <w:szCs w:val="22"/>
          <w:lang w:val="en-GB"/>
        </w:rPr>
        <w:tab/>
        <w:t xml:space="preserve">PHARMACEUTICAL </w:t>
      </w:r>
      <w:r w:rsidRPr="005F3863">
        <w:rPr>
          <w:b/>
          <w:caps/>
          <w:szCs w:val="22"/>
          <w:lang w:val="en-GB"/>
        </w:rPr>
        <w:t>form</w:t>
      </w:r>
    </w:p>
    <w:p w14:paraId="7C331F6C" w14:textId="77777777" w:rsidR="003F42D3" w:rsidRPr="009D2E7A" w:rsidRDefault="003F42D3" w:rsidP="003F42D3">
      <w:pPr>
        <w:rPr>
          <w:szCs w:val="22"/>
          <w:lang w:val="en-GB"/>
        </w:rPr>
      </w:pPr>
    </w:p>
    <w:p w14:paraId="7C331F6D" w14:textId="77777777" w:rsidR="003F42D3" w:rsidRPr="00170577" w:rsidRDefault="00016F29" w:rsidP="003F42D3">
      <w:pPr>
        <w:outlineLvl w:val="0"/>
        <w:rPr>
          <w:szCs w:val="22"/>
          <w:lang w:val="en-GB"/>
        </w:rPr>
      </w:pPr>
      <w:r w:rsidRPr="00FF56DC">
        <w:rPr>
          <w:lang w:val="en-GB"/>
        </w:rPr>
        <w:t>Solution for injection</w:t>
      </w:r>
      <w:r w:rsidRPr="00170577">
        <w:rPr>
          <w:szCs w:val="22"/>
          <w:lang w:val="en-GB"/>
        </w:rPr>
        <w:t>.</w:t>
      </w:r>
    </w:p>
    <w:p w14:paraId="7C331F6E" w14:textId="77777777" w:rsidR="003F42D3" w:rsidRPr="00F36D34" w:rsidRDefault="003F42D3" w:rsidP="003F42D3">
      <w:pPr>
        <w:rPr>
          <w:szCs w:val="22"/>
          <w:lang w:val="en-GB"/>
        </w:rPr>
      </w:pPr>
    </w:p>
    <w:p w14:paraId="7C331F6F" w14:textId="77777777" w:rsidR="003F42D3" w:rsidRPr="00BB33F3" w:rsidRDefault="00016F29" w:rsidP="00BB33F3">
      <w:pPr>
        <w:autoSpaceDE w:val="0"/>
        <w:autoSpaceDN w:val="0"/>
        <w:adjustRightInd w:val="0"/>
        <w:rPr>
          <w:szCs w:val="22"/>
          <w:lang w:val="en-GB"/>
        </w:rPr>
      </w:pPr>
      <w:r w:rsidRPr="00BB33F3">
        <w:rPr>
          <w:szCs w:val="22"/>
          <w:lang w:val="en-GB"/>
        </w:rPr>
        <w:t>Clear to opalescent, colourless to yellowish liquid</w:t>
      </w:r>
      <w:r w:rsidR="00142420">
        <w:rPr>
          <w:szCs w:val="22"/>
          <w:lang w:val="en-GB"/>
        </w:rPr>
        <w:t xml:space="preserve"> </w:t>
      </w:r>
      <w:r w:rsidR="00153E10">
        <w:rPr>
          <w:szCs w:val="22"/>
          <w:lang w:val="en-GB"/>
        </w:rPr>
        <w:t xml:space="preserve">with pH of 5.2 – 5.8 and osmolality of </w:t>
      </w:r>
      <w:r w:rsidR="00153E10" w:rsidRPr="000E01C7">
        <w:rPr>
          <w:szCs w:val="22"/>
          <w:lang w:val="en-GB"/>
        </w:rPr>
        <w:t>300 - 400</w:t>
      </w:r>
      <w:r w:rsidR="00153E10">
        <w:rPr>
          <w:szCs w:val="22"/>
          <w:lang w:val="en-GB"/>
        </w:rPr>
        <w:t xml:space="preserve"> mOsm</w:t>
      </w:r>
      <w:r w:rsidR="002667BA">
        <w:rPr>
          <w:szCs w:val="22"/>
          <w:lang w:val="en-GB"/>
        </w:rPr>
        <w:t>o</w:t>
      </w:r>
      <w:r w:rsidR="004A0FA1">
        <w:rPr>
          <w:szCs w:val="22"/>
          <w:lang w:val="en-GB"/>
        </w:rPr>
        <w:t>l</w:t>
      </w:r>
      <w:r w:rsidR="00153E10">
        <w:rPr>
          <w:szCs w:val="22"/>
          <w:lang w:val="en-GB"/>
        </w:rPr>
        <w:t>/kg</w:t>
      </w:r>
      <w:r w:rsidR="007830E0" w:rsidRPr="00BB33F3">
        <w:rPr>
          <w:szCs w:val="22"/>
          <w:lang w:val="en-GB"/>
        </w:rPr>
        <w:t>.</w:t>
      </w:r>
      <w:r w:rsidRPr="00BB33F3">
        <w:rPr>
          <w:szCs w:val="22"/>
          <w:lang w:val="en-GB" w:eastAsia="en-GB"/>
        </w:rPr>
        <w:t xml:space="preserve"> </w:t>
      </w:r>
    </w:p>
    <w:p w14:paraId="7C331F70" w14:textId="77777777" w:rsidR="003F42D3" w:rsidRPr="00BB33F3" w:rsidRDefault="003F42D3" w:rsidP="003F42D3">
      <w:pPr>
        <w:rPr>
          <w:bCs/>
          <w:caps/>
          <w:szCs w:val="22"/>
          <w:lang w:val="en-GB"/>
        </w:rPr>
      </w:pPr>
    </w:p>
    <w:p w14:paraId="7C331F71" w14:textId="77777777" w:rsidR="003F42D3" w:rsidRPr="006C7FEA" w:rsidRDefault="003F42D3" w:rsidP="003F42D3">
      <w:pPr>
        <w:rPr>
          <w:bCs/>
          <w:caps/>
          <w:szCs w:val="22"/>
          <w:lang w:val="en-GB"/>
        </w:rPr>
      </w:pPr>
    </w:p>
    <w:p w14:paraId="7C331F72" w14:textId="77777777" w:rsidR="003F42D3" w:rsidRPr="002C6ABF" w:rsidRDefault="00016F29" w:rsidP="003F42D3">
      <w:pPr>
        <w:ind w:left="567" w:hanging="567"/>
        <w:outlineLvl w:val="0"/>
        <w:rPr>
          <w:caps/>
          <w:szCs w:val="22"/>
          <w:lang w:val="en-GB"/>
        </w:rPr>
      </w:pPr>
      <w:r w:rsidRPr="00B338AB">
        <w:rPr>
          <w:b/>
          <w:caps/>
          <w:szCs w:val="22"/>
          <w:lang w:val="en-GB"/>
        </w:rPr>
        <w:t>4.</w:t>
      </w:r>
      <w:r w:rsidRPr="00B338AB">
        <w:rPr>
          <w:b/>
          <w:caps/>
          <w:szCs w:val="22"/>
          <w:lang w:val="en-GB"/>
        </w:rPr>
        <w:tab/>
        <w:t>Clinical particulars</w:t>
      </w:r>
    </w:p>
    <w:p w14:paraId="7C331F73" w14:textId="77777777" w:rsidR="003F42D3" w:rsidRPr="006A4D12" w:rsidRDefault="003F42D3" w:rsidP="003F42D3">
      <w:pPr>
        <w:ind w:left="567" w:hanging="567"/>
        <w:rPr>
          <w:szCs w:val="22"/>
          <w:lang w:val="en-GB"/>
        </w:rPr>
      </w:pPr>
    </w:p>
    <w:p w14:paraId="7C331F74" w14:textId="77777777" w:rsidR="003F42D3" w:rsidRPr="00762E5C" w:rsidRDefault="00016F29" w:rsidP="003F42D3">
      <w:pPr>
        <w:ind w:left="567" w:hanging="567"/>
        <w:outlineLvl w:val="0"/>
        <w:rPr>
          <w:b/>
          <w:szCs w:val="22"/>
          <w:lang w:val="en-GB"/>
        </w:rPr>
      </w:pPr>
      <w:r w:rsidRPr="00762E5C">
        <w:rPr>
          <w:b/>
          <w:szCs w:val="22"/>
          <w:lang w:val="en-GB"/>
        </w:rPr>
        <w:t>4.1</w:t>
      </w:r>
      <w:r w:rsidRPr="00762E5C">
        <w:rPr>
          <w:b/>
          <w:szCs w:val="22"/>
          <w:lang w:val="en-GB"/>
        </w:rPr>
        <w:tab/>
        <w:t>Therapeutic indications</w:t>
      </w:r>
    </w:p>
    <w:p w14:paraId="7C331F75" w14:textId="77777777" w:rsidR="003F42D3" w:rsidRPr="00A42930" w:rsidRDefault="003F42D3" w:rsidP="003F42D3">
      <w:pPr>
        <w:autoSpaceDE w:val="0"/>
        <w:autoSpaceDN w:val="0"/>
        <w:adjustRightInd w:val="0"/>
        <w:jc w:val="both"/>
        <w:rPr>
          <w:szCs w:val="22"/>
          <w:lang w:val="en-GB" w:eastAsia="en-GB"/>
        </w:rPr>
      </w:pPr>
    </w:p>
    <w:p w14:paraId="7C331F76" w14:textId="77777777" w:rsidR="00A56A11" w:rsidRPr="001A72EB" w:rsidRDefault="00016F29" w:rsidP="003D3213">
      <w:pPr>
        <w:autoSpaceDE w:val="0"/>
        <w:autoSpaceDN w:val="0"/>
        <w:adjustRightInd w:val="0"/>
        <w:rPr>
          <w:szCs w:val="22"/>
          <w:lang w:val="en-GB"/>
        </w:rPr>
      </w:pPr>
      <w:r w:rsidRPr="001A72EB">
        <w:rPr>
          <w:szCs w:val="22"/>
          <w:lang w:val="en-GB"/>
        </w:rPr>
        <w:t>MabThera is indicated in adults in combination with chemotherapy for the treatment of patients with previously untreated and relapsed/refractory chronic lymphocytic leukaemia</w:t>
      </w:r>
      <w:r w:rsidR="002567A8" w:rsidRPr="001A72EB">
        <w:rPr>
          <w:szCs w:val="22"/>
          <w:lang w:val="en-GB"/>
        </w:rPr>
        <w:t xml:space="preserve"> (CLL)</w:t>
      </w:r>
      <w:r w:rsidRPr="001A72EB">
        <w:rPr>
          <w:szCs w:val="22"/>
          <w:lang w:val="en-GB"/>
        </w:rPr>
        <w:t>. Only limited data are available on efficacy and safety for patients previously treated with monoclonal antibodies including MabThera or patients refractory to previous MabThera plus chemotherapy.</w:t>
      </w:r>
    </w:p>
    <w:p w14:paraId="7C331F77" w14:textId="77777777" w:rsidR="007C59CC" w:rsidRDefault="007C59CC" w:rsidP="00941759">
      <w:pPr>
        <w:shd w:val="clear" w:color="auto" w:fill="FFFFFF"/>
        <w:autoSpaceDE w:val="0"/>
        <w:autoSpaceDN w:val="0"/>
        <w:adjustRightInd w:val="0"/>
        <w:rPr>
          <w:szCs w:val="22"/>
          <w:lang w:val="en-GB"/>
        </w:rPr>
      </w:pPr>
    </w:p>
    <w:p w14:paraId="7C331F78" w14:textId="77777777" w:rsidR="001A72EB" w:rsidRPr="001A72EB" w:rsidRDefault="00016F29" w:rsidP="00941759">
      <w:pPr>
        <w:shd w:val="clear" w:color="auto" w:fill="FFFFFF"/>
        <w:autoSpaceDE w:val="0"/>
        <w:autoSpaceDN w:val="0"/>
        <w:adjustRightInd w:val="0"/>
        <w:rPr>
          <w:szCs w:val="22"/>
          <w:lang w:val="en-GB"/>
        </w:rPr>
      </w:pPr>
      <w:r>
        <w:rPr>
          <w:szCs w:val="22"/>
          <w:lang w:val="en-GB"/>
        </w:rPr>
        <w:t xml:space="preserve">See section 5.1 for further information. </w:t>
      </w:r>
    </w:p>
    <w:p w14:paraId="7C331F79" w14:textId="77777777" w:rsidR="003F42D3" w:rsidRPr="00031A70" w:rsidRDefault="003F42D3" w:rsidP="003F42D3">
      <w:pPr>
        <w:rPr>
          <w:rFonts w:eastAsia="PMingLiU"/>
          <w:lang w:val="en-GB" w:eastAsia="zh-CN"/>
        </w:rPr>
      </w:pPr>
    </w:p>
    <w:p w14:paraId="7C331F7A" w14:textId="77777777" w:rsidR="003F42D3" w:rsidRPr="00031A70" w:rsidRDefault="00016F29" w:rsidP="003F42D3">
      <w:pPr>
        <w:ind w:left="567" w:hanging="567"/>
        <w:outlineLvl w:val="0"/>
        <w:rPr>
          <w:szCs w:val="22"/>
          <w:lang w:val="en-GB"/>
        </w:rPr>
      </w:pPr>
      <w:r w:rsidRPr="00031A70">
        <w:rPr>
          <w:b/>
          <w:szCs w:val="22"/>
          <w:lang w:val="en-GB"/>
        </w:rPr>
        <w:t>4.2</w:t>
      </w:r>
      <w:r w:rsidRPr="00031A70">
        <w:rPr>
          <w:b/>
          <w:szCs w:val="22"/>
          <w:lang w:val="en-GB"/>
        </w:rPr>
        <w:tab/>
        <w:t>Posology and method of administration</w:t>
      </w:r>
    </w:p>
    <w:p w14:paraId="7C331F7B" w14:textId="77777777" w:rsidR="003F42D3" w:rsidRPr="00031A70" w:rsidRDefault="003F42D3" w:rsidP="003F42D3">
      <w:pPr>
        <w:rPr>
          <w:b/>
          <w:i/>
          <w:szCs w:val="22"/>
          <w:lang w:val="en-GB"/>
        </w:rPr>
      </w:pPr>
    </w:p>
    <w:p w14:paraId="7C331F7C" w14:textId="77777777" w:rsidR="003F42D3" w:rsidRPr="00C501E3" w:rsidRDefault="00016F29" w:rsidP="003F42D3">
      <w:pPr>
        <w:rPr>
          <w:szCs w:val="22"/>
          <w:lang w:val="en-GB"/>
        </w:rPr>
      </w:pPr>
      <w:r w:rsidRPr="00031A70">
        <w:rPr>
          <w:rFonts w:eastAsia="SimSun"/>
          <w:szCs w:val="22"/>
          <w:lang w:val="en-GB" w:eastAsia="zh-CN"/>
        </w:rPr>
        <w:t xml:space="preserve">MabThera </w:t>
      </w:r>
      <w:r w:rsidRPr="00031A70">
        <w:rPr>
          <w:szCs w:val="22"/>
          <w:lang w:val="en-GB"/>
        </w:rPr>
        <w:t xml:space="preserve">should be administered under the close supervision of an experienced </w:t>
      </w:r>
      <w:r w:rsidRPr="00031A70">
        <w:rPr>
          <w:rFonts w:eastAsia="SimSun"/>
          <w:szCs w:val="22"/>
          <w:lang w:val="en-GB" w:eastAsia="zh-CN"/>
        </w:rPr>
        <w:t>healthcare</w:t>
      </w:r>
      <w:r w:rsidRPr="00C501E3">
        <w:rPr>
          <w:rFonts w:eastAsia="SimSun"/>
          <w:szCs w:val="22"/>
          <w:lang w:val="en-GB" w:eastAsia="zh-CN"/>
        </w:rPr>
        <w:t xml:space="preserve"> professional</w:t>
      </w:r>
      <w:r w:rsidRPr="00C501E3">
        <w:rPr>
          <w:szCs w:val="22"/>
          <w:lang w:val="en-GB"/>
        </w:rPr>
        <w:t xml:space="preserve">, and in an environment where full resuscitation facilities are immediately available (see section 4.4). </w:t>
      </w:r>
    </w:p>
    <w:p w14:paraId="7C331F7D" w14:textId="77777777" w:rsidR="003F42D3" w:rsidRPr="00C501E3" w:rsidRDefault="003F42D3" w:rsidP="003F42D3">
      <w:pPr>
        <w:tabs>
          <w:tab w:val="left" w:pos="3720"/>
        </w:tabs>
        <w:rPr>
          <w:szCs w:val="22"/>
          <w:lang w:val="en-GB"/>
        </w:rPr>
      </w:pPr>
    </w:p>
    <w:p w14:paraId="7C331F7E" w14:textId="77777777" w:rsidR="003F42D3" w:rsidRPr="0016463F" w:rsidRDefault="00016F29" w:rsidP="003F42D3">
      <w:pPr>
        <w:outlineLvl w:val="0"/>
        <w:rPr>
          <w:szCs w:val="22"/>
          <w:lang w:val="en-GB"/>
        </w:rPr>
      </w:pPr>
      <w:r w:rsidRPr="0016463F">
        <w:rPr>
          <w:szCs w:val="22"/>
          <w:lang w:val="en-GB"/>
        </w:rPr>
        <w:t>Premedication consisting of an anti</w:t>
      </w:r>
      <w:r w:rsidR="000A6DDA" w:rsidRPr="0016463F">
        <w:rPr>
          <w:szCs w:val="22"/>
          <w:lang w:val="en-GB"/>
        </w:rPr>
        <w:noBreakHyphen/>
      </w:r>
      <w:r w:rsidRPr="0016463F">
        <w:rPr>
          <w:szCs w:val="22"/>
          <w:lang w:val="en-GB"/>
        </w:rPr>
        <w:t>pyretic and an antihistaminic, e.g. paracetamol and diphenhydramine, should always be given before each administration of MabThera.</w:t>
      </w:r>
    </w:p>
    <w:p w14:paraId="7C331F7F" w14:textId="77777777" w:rsidR="003F42D3" w:rsidRPr="0016463F" w:rsidRDefault="003F42D3" w:rsidP="003F42D3">
      <w:pPr>
        <w:outlineLvl w:val="0"/>
        <w:rPr>
          <w:szCs w:val="22"/>
          <w:lang w:val="en-GB"/>
        </w:rPr>
      </w:pPr>
    </w:p>
    <w:p w14:paraId="7C331F80" w14:textId="77777777" w:rsidR="00786B80" w:rsidRPr="0016463F" w:rsidRDefault="00016F29" w:rsidP="003F42D3">
      <w:pPr>
        <w:rPr>
          <w:b/>
          <w:szCs w:val="22"/>
          <w:lang w:val="en-GB"/>
        </w:rPr>
      </w:pPr>
      <w:r w:rsidRPr="0016463F">
        <w:rPr>
          <w:szCs w:val="22"/>
          <w:lang w:val="en-GB"/>
        </w:rPr>
        <w:t>Premedication with glucocorticoids should be considered if MabThera is not given in combination with glucocorticoid</w:t>
      </w:r>
      <w:r w:rsidR="000A6DDA" w:rsidRPr="0016463F">
        <w:rPr>
          <w:szCs w:val="22"/>
          <w:lang w:val="en-GB"/>
        </w:rPr>
        <w:noBreakHyphen/>
      </w:r>
      <w:r w:rsidRPr="0016463F">
        <w:rPr>
          <w:szCs w:val="22"/>
          <w:lang w:val="en-GB"/>
        </w:rPr>
        <w:t>containing chemotherapy</w:t>
      </w:r>
      <w:r w:rsidR="000A6DDA" w:rsidRPr="0016463F">
        <w:rPr>
          <w:szCs w:val="22"/>
          <w:shd w:val="clear" w:color="auto" w:fill="FFFFFF"/>
          <w:lang w:val="en-GB"/>
        </w:rPr>
        <w:noBreakHyphen/>
      </w:r>
      <w:r w:rsidRPr="0016463F">
        <w:rPr>
          <w:szCs w:val="22"/>
          <w:lang w:val="en-GB"/>
        </w:rPr>
        <w:t>.</w:t>
      </w:r>
      <w:r w:rsidRPr="0016463F">
        <w:rPr>
          <w:b/>
          <w:szCs w:val="22"/>
          <w:lang w:val="en-GB"/>
        </w:rPr>
        <w:t xml:space="preserve"> </w:t>
      </w:r>
    </w:p>
    <w:p w14:paraId="7C331F81" w14:textId="77777777" w:rsidR="003F42D3" w:rsidRPr="001A72EB" w:rsidRDefault="003F42D3" w:rsidP="003F42D3">
      <w:pPr>
        <w:rPr>
          <w:b/>
          <w:szCs w:val="22"/>
          <w:lang w:val="en-GB"/>
        </w:rPr>
      </w:pPr>
    </w:p>
    <w:p w14:paraId="7C331F82" w14:textId="77777777" w:rsidR="003F42D3" w:rsidRPr="001A72EB" w:rsidRDefault="00016F29" w:rsidP="003F42D3">
      <w:pPr>
        <w:keepNext/>
        <w:keepLines/>
        <w:outlineLvl w:val="0"/>
        <w:rPr>
          <w:rFonts w:eastAsia="SimSun"/>
          <w:szCs w:val="22"/>
          <w:u w:val="single"/>
          <w:lang w:val="en-GB" w:eastAsia="zh-CN"/>
        </w:rPr>
      </w:pPr>
      <w:r w:rsidRPr="001A72EB">
        <w:rPr>
          <w:rFonts w:eastAsia="SimSun"/>
          <w:szCs w:val="22"/>
          <w:u w:val="single"/>
          <w:lang w:val="en-GB" w:eastAsia="zh-CN"/>
        </w:rPr>
        <w:t>Posology</w:t>
      </w:r>
    </w:p>
    <w:p w14:paraId="7C331F83" w14:textId="77777777" w:rsidR="003F42D3" w:rsidRPr="001A72EB" w:rsidRDefault="003F42D3" w:rsidP="003F42D3">
      <w:pPr>
        <w:keepNext/>
        <w:keepLines/>
        <w:rPr>
          <w:rFonts w:cs="Arial"/>
          <w:lang w:val="en-GB"/>
        </w:rPr>
      </w:pPr>
    </w:p>
    <w:p w14:paraId="7C331F84" w14:textId="77777777" w:rsidR="003F42D3" w:rsidRPr="001A72EB" w:rsidRDefault="00016F29" w:rsidP="003F42D3">
      <w:pPr>
        <w:rPr>
          <w:rFonts w:cs="Arial"/>
          <w:lang w:val="en-GB"/>
        </w:rPr>
      </w:pPr>
      <w:r w:rsidRPr="001A72EB">
        <w:rPr>
          <w:rFonts w:cs="Arial"/>
          <w:lang w:val="en-GB"/>
        </w:rPr>
        <w:t>The recommended dose of MabThera</w:t>
      </w:r>
      <w:r w:rsidRPr="001A72EB">
        <w:rPr>
          <w:bCs/>
          <w:iCs/>
          <w:szCs w:val="22"/>
          <w:lang w:val="en-GB"/>
        </w:rPr>
        <w:t xml:space="preserve"> </w:t>
      </w:r>
      <w:r w:rsidRPr="001A72EB">
        <w:rPr>
          <w:rFonts w:eastAsia="SimSun"/>
          <w:szCs w:val="22"/>
          <w:lang w:val="en-GB" w:eastAsia="zh-CN"/>
        </w:rPr>
        <w:t>su</w:t>
      </w:r>
      <w:r w:rsidRPr="001A72EB">
        <w:rPr>
          <w:rFonts w:cs="Arial"/>
          <w:lang w:val="en-GB"/>
        </w:rPr>
        <w:t xml:space="preserve">bcutaneous formulation used for adult patients is a subcutaneous injection at a fixed dose of </w:t>
      </w:r>
      <w:r w:rsidR="00E73290" w:rsidRPr="001A72EB">
        <w:rPr>
          <w:rFonts w:cs="Arial"/>
          <w:lang w:val="en-GB"/>
        </w:rPr>
        <w:t>1600 </w:t>
      </w:r>
      <w:r w:rsidRPr="001A72EB">
        <w:rPr>
          <w:rFonts w:cs="Arial"/>
          <w:lang w:val="en-GB"/>
        </w:rPr>
        <w:t xml:space="preserve">mg irrespective of the patient’s body surface area. </w:t>
      </w:r>
    </w:p>
    <w:p w14:paraId="7C331F85" w14:textId="77777777" w:rsidR="003F42D3" w:rsidRPr="001A72EB" w:rsidRDefault="003F42D3" w:rsidP="00BB33F3">
      <w:pPr>
        <w:rPr>
          <w:rFonts w:eastAsia="SimSun"/>
          <w:szCs w:val="22"/>
          <w:lang w:val="en-GB" w:eastAsia="zh-CN"/>
        </w:rPr>
      </w:pPr>
    </w:p>
    <w:p w14:paraId="7C331F86" w14:textId="77777777" w:rsidR="003F42D3" w:rsidRPr="001A72EB" w:rsidRDefault="00016F29" w:rsidP="00BB33F3">
      <w:pPr>
        <w:rPr>
          <w:bCs/>
          <w:iCs/>
          <w:szCs w:val="22"/>
          <w:lang w:val="en-GB"/>
        </w:rPr>
      </w:pPr>
      <w:r w:rsidRPr="001A72EB">
        <w:rPr>
          <w:szCs w:val="22"/>
          <w:lang w:val="en-GB"/>
        </w:rPr>
        <w:t>Before starting MabThera subcutaneous injections, a</w:t>
      </w:r>
      <w:r w:rsidRPr="001A72EB">
        <w:rPr>
          <w:rFonts w:cs="Arial"/>
          <w:szCs w:val="22"/>
          <w:lang w:val="en-GB"/>
        </w:rPr>
        <w:t xml:space="preserve">ll patients must always receive beforehand, a full dose of MabThera by </w:t>
      </w:r>
      <w:r w:rsidRPr="001A72EB">
        <w:rPr>
          <w:bCs/>
          <w:iCs/>
          <w:szCs w:val="22"/>
          <w:lang w:val="en-GB"/>
        </w:rPr>
        <w:t>intravenous infusion, using MabThera intravenous formulation (see section 4.4).</w:t>
      </w:r>
    </w:p>
    <w:p w14:paraId="7C331F87" w14:textId="77777777" w:rsidR="003F42D3" w:rsidRPr="001A72EB" w:rsidRDefault="003F42D3" w:rsidP="00BB33F3">
      <w:pPr>
        <w:rPr>
          <w:bCs/>
          <w:iCs/>
          <w:szCs w:val="22"/>
          <w:lang w:val="en-GB"/>
        </w:rPr>
      </w:pPr>
    </w:p>
    <w:p w14:paraId="7C331F88" w14:textId="77777777" w:rsidR="003F42D3" w:rsidRPr="001A72EB" w:rsidRDefault="00016F29" w:rsidP="00BB33F3">
      <w:pPr>
        <w:rPr>
          <w:szCs w:val="22"/>
          <w:lang w:val="en-GB"/>
        </w:rPr>
      </w:pPr>
      <w:r w:rsidRPr="001A72EB">
        <w:rPr>
          <w:szCs w:val="22"/>
          <w:lang w:val="en-GB"/>
        </w:rPr>
        <w:t xml:space="preserve">If patients were not able to receive one full MabThera intravenous infusion dose prior to the switch, they should continue the subsequent cycles with MabThera intravenous formulation until a full intravenous dose is successfully administered. </w:t>
      </w:r>
    </w:p>
    <w:p w14:paraId="7C331F89" w14:textId="77777777" w:rsidR="003F42D3" w:rsidRPr="001A72EB" w:rsidRDefault="00016F29" w:rsidP="003F42D3">
      <w:pPr>
        <w:rPr>
          <w:bCs/>
          <w:iCs/>
          <w:szCs w:val="22"/>
          <w:lang w:val="en-GB"/>
        </w:rPr>
      </w:pPr>
      <w:r w:rsidRPr="001A72EB">
        <w:rPr>
          <w:bCs/>
          <w:iCs/>
          <w:szCs w:val="22"/>
          <w:lang w:val="en-GB"/>
        </w:rPr>
        <w:t>Therefore, the switch to MabThera subcutaneous formulation can only occur at the second or subsequent cycles of treatment.</w:t>
      </w:r>
    </w:p>
    <w:p w14:paraId="7C331F8A" w14:textId="77777777" w:rsidR="003F42D3" w:rsidRPr="001A72EB" w:rsidRDefault="003F42D3" w:rsidP="003F42D3">
      <w:pPr>
        <w:rPr>
          <w:rFonts w:cs="Arial"/>
          <w:szCs w:val="22"/>
          <w:lang w:val="en-GB"/>
        </w:rPr>
      </w:pPr>
    </w:p>
    <w:p w14:paraId="7C331F8B" w14:textId="77777777" w:rsidR="003F42D3" w:rsidRPr="00C501E3" w:rsidRDefault="00016F29" w:rsidP="003F42D3">
      <w:pPr>
        <w:rPr>
          <w:rFonts w:eastAsia="SimSun"/>
          <w:szCs w:val="24"/>
          <w:lang w:val="en-GB" w:eastAsia="zh-CN"/>
        </w:rPr>
      </w:pPr>
      <w:r w:rsidRPr="001A72EB">
        <w:rPr>
          <w:rFonts w:eastAsia="SimSun"/>
          <w:szCs w:val="24"/>
          <w:lang w:val="en-GB" w:eastAsia="zh-CN"/>
        </w:rPr>
        <w:t>It is important to check the medicinal product labels to ensure that the appropriate formulation (intravenous or subcutaneous formulation)</w:t>
      </w:r>
      <w:r w:rsidR="00E73290" w:rsidRPr="001A72EB">
        <w:rPr>
          <w:rFonts w:eastAsia="SimSun"/>
          <w:szCs w:val="24"/>
          <w:lang w:val="en-GB" w:eastAsia="zh-CN"/>
        </w:rPr>
        <w:t xml:space="preserve"> </w:t>
      </w:r>
      <w:r w:rsidR="00E73290" w:rsidRPr="001A72EB">
        <w:rPr>
          <w:rFonts w:cs="Arial"/>
          <w:lang w:val="en-GB"/>
        </w:rPr>
        <w:t>and strength</w:t>
      </w:r>
      <w:r w:rsidRPr="001A72EB">
        <w:rPr>
          <w:rFonts w:eastAsia="SimSun"/>
          <w:szCs w:val="24"/>
          <w:lang w:val="en-GB" w:eastAsia="zh-CN"/>
        </w:rPr>
        <w:t xml:space="preserve"> is be</w:t>
      </w:r>
      <w:r w:rsidRPr="00BB33F3">
        <w:rPr>
          <w:rFonts w:eastAsia="SimSun"/>
          <w:szCs w:val="24"/>
          <w:lang w:val="en-GB" w:eastAsia="zh-CN"/>
        </w:rPr>
        <w:t>i</w:t>
      </w:r>
      <w:r w:rsidRPr="00C501E3">
        <w:rPr>
          <w:rFonts w:eastAsia="SimSun"/>
          <w:szCs w:val="24"/>
          <w:lang w:val="en-GB" w:eastAsia="zh-CN"/>
        </w:rPr>
        <w:t>ng given to the patient, as prescribed.</w:t>
      </w:r>
    </w:p>
    <w:p w14:paraId="7C331F8C" w14:textId="77777777" w:rsidR="003F42D3" w:rsidRPr="00C501E3" w:rsidRDefault="003F42D3" w:rsidP="003F42D3">
      <w:pPr>
        <w:rPr>
          <w:rFonts w:eastAsia="SimSun"/>
          <w:szCs w:val="24"/>
          <w:lang w:val="en-GB" w:eastAsia="zh-CN"/>
        </w:rPr>
      </w:pPr>
    </w:p>
    <w:p w14:paraId="7C331F8D" w14:textId="77777777" w:rsidR="003366E3" w:rsidRPr="001A72EB" w:rsidRDefault="00016F29" w:rsidP="001A72EB">
      <w:pPr>
        <w:suppressLineNumbers/>
        <w:autoSpaceDE w:val="0"/>
        <w:autoSpaceDN w:val="0"/>
        <w:adjustRightInd w:val="0"/>
        <w:rPr>
          <w:rFonts w:eastAsia="SimSun"/>
          <w:szCs w:val="24"/>
          <w:lang w:val="en-GB" w:eastAsia="zh-CN"/>
        </w:rPr>
      </w:pPr>
      <w:r w:rsidRPr="00C501E3">
        <w:rPr>
          <w:rFonts w:eastAsia="SimSun"/>
          <w:szCs w:val="24"/>
          <w:lang w:val="en-GB" w:eastAsia="zh-CN"/>
        </w:rPr>
        <w:t xml:space="preserve">MabThera </w:t>
      </w:r>
      <w:r w:rsidRPr="00C501E3">
        <w:rPr>
          <w:rFonts w:eastAsia="SimSun"/>
          <w:szCs w:val="22"/>
          <w:lang w:val="en-GB" w:eastAsia="zh-CN"/>
        </w:rPr>
        <w:t xml:space="preserve">subcutaneous </w:t>
      </w:r>
      <w:r w:rsidRPr="001A72EB">
        <w:rPr>
          <w:rFonts w:eastAsia="SimSun"/>
          <w:szCs w:val="22"/>
          <w:lang w:val="en-GB" w:eastAsia="zh-CN"/>
        </w:rPr>
        <w:t xml:space="preserve">formulation </w:t>
      </w:r>
      <w:r w:rsidRPr="001A72EB">
        <w:rPr>
          <w:rFonts w:eastAsia="SimSun"/>
          <w:szCs w:val="24"/>
          <w:lang w:val="en-GB" w:eastAsia="zh-CN"/>
        </w:rPr>
        <w:t>is not intended for intravenous administration and should be given via subcutaneous injection only.</w:t>
      </w:r>
      <w:r w:rsidR="007251E9">
        <w:rPr>
          <w:rFonts w:eastAsia="SimSun"/>
          <w:szCs w:val="24"/>
          <w:lang w:val="en-GB" w:eastAsia="zh-CN"/>
        </w:rPr>
        <w:t xml:space="preserve">   </w:t>
      </w:r>
      <w:r w:rsidR="00312DC8" w:rsidRPr="001A72EB">
        <w:rPr>
          <w:rFonts w:eastAsia="SimSun"/>
          <w:szCs w:val="24"/>
          <w:lang w:val="en-GB" w:eastAsia="zh-CN"/>
        </w:rPr>
        <w:t xml:space="preserve">The </w:t>
      </w:r>
      <w:r w:rsidR="00441247" w:rsidRPr="001A72EB">
        <w:rPr>
          <w:rFonts w:eastAsia="SimSun"/>
          <w:szCs w:val="24"/>
          <w:lang w:val="en-GB" w:eastAsia="zh-CN"/>
        </w:rPr>
        <w:t xml:space="preserve">1600 mg </w:t>
      </w:r>
      <w:r w:rsidR="00312DC8" w:rsidRPr="001A72EB">
        <w:rPr>
          <w:rFonts w:eastAsia="SimSun"/>
          <w:szCs w:val="24"/>
          <w:lang w:val="en-GB" w:eastAsia="zh-CN"/>
        </w:rPr>
        <w:t xml:space="preserve">strength </w:t>
      </w:r>
      <w:r w:rsidRPr="001A72EB">
        <w:rPr>
          <w:rFonts w:eastAsia="SimSun"/>
          <w:szCs w:val="24"/>
          <w:lang w:val="en-GB" w:eastAsia="zh-CN"/>
        </w:rPr>
        <w:t xml:space="preserve">is intended for </w:t>
      </w:r>
      <w:r w:rsidR="00312DC8" w:rsidRPr="001A72EB">
        <w:rPr>
          <w:rFonts w:eastAsia="SimSun"/>
          <w:szCs w:val="24"/>
          <w:lang w:val="en-GB" w:eastAsia="zh-CN"/>
        </w:rPr>
        <w:t xml:space="preserve">subcutaneous </w:t>
      </w:r>
      <w:r w:rsidRPr="001A72EB">
        <w:rPr>
          <w:rFonts w:eastAsia="SimSun"/>
          <w:szCs w:val="24"/>
          <w:lang w:val="en-GB" w:eastAsia="zh-CN"/>
        </w:rPr>
        <w:t>use in</w:t>
      </w:r>
      <w:r w:rsidR="00615F7C" w:rsidRPr="001A72EB">
        <w:rPr>
          <w:rFonts w:eastAsia="SimSun"/>
          <w:szCs w:val="24"/>
          <w:lang w:val="en-GB" w:eastAsia="zh-CN"/>
        </w:rPr>
        <w:t xml:space="preserve"> </w:t>
      </w:r>
      <w:r w:rsidR="002567A8" w:rsidRPr="001A72EB">
        <w:rPr>
          <w:rFonts w:eastAsia="SimSun"/>
          <w:szCs w:val="24"/>
          <w:lang w:val="en-GB" w:eastAsia="zh-CN"/>
        </w:rPr>
        <w:t xml:space="preserve">CLL </w:t>
      </w:r>
      <w:r w:rsidRPr="001A72EB">
        <w:rPr>
          <w:rFonts w:eastAsia="SimSun"/>
          <w:szCs w:val="24"/>
          <w:lang w:val="en-GB" w:eastAsia="zh-CN"/>
        </w:rPr>
        <w:t>only.</w:t>
      </w:r>
    </w:p>
    <w:p w14:paraId="7C331F8E" w14:textId="77777777" w:rsidR="003F42D3" w:rsidRPr="001A72EB" w:rsidRDefault="003F42D3" w:rsidP="001A72EB">
      <w:pPr>
        <w:rPr>
          <w:szCs w:val="22"/>
          <w:lang w:val="en-GB"/>
        </w:rPr>
      </w:pPr>
    </w:p>
    <w:p w14:paraId="7C331F8F" w14:textId="77777777" w:rsidR="003366E3" w:rsidRPr="001A72EB" w:rsidRDefault="00016F29" w:rsidP="001A72EB">
      <w:pPr>
        <w:keepNext/>
        <w:keepLines/>
        <w:rPr>
          <w:szCs w:val="22"/>
          <w:lang w:val="en-GB"/>
        </w:rPr>
      </w:pPr>
      <w:r w:rsidRPr="00941759">
        <w:rPr>
          <w:szCs w:val="22"/>
          <w:shd w:val="clear" w:color="auto" w:fill="FFFFFF"/>
          <w:lang w:val="en-GB"/>
        </w:rPr>
        <w:t>Prophylaxis with adequate hydration and administration of uricostatics starting 48 hours prior to start of therapy is recommended for CLL patients to reduce the risk of tumour lysis syndrome. For CLL patients whose lymphocyte counts are &gt; 25 x 10</w:t>
      </w:r>
      <w:r w:rsidRPr="00941759">
        <w:rPr>
          <w:szCs w:val="22"/>
          <w:shd w:val="clear" w:color="auto" w:fill="FFFFFF"/>
          <w:vertAlign w:val="superscript"/>
          <w:lang w:val="en-GB"/>
        </w:rPr>
        <w:t>9</w:t>
      </w:r>
      <w:r w:rsidRPr="00941759">
        <w:rPr>
          <w:szCs w:val="22"/>
          <w:shd w:val="clear" w:color="auto" w:fill="FFFFFF"/>
          <w:lang w:val="en-GB"/>
        </w:rPr>
        <w:t xml:space="preserve">/L it is recommended to administer prednisone/prednisolone 100 mg intravenous shortly before </w:t>
      </w:r>
      <w:r w:rsidR="000C317D" w:rsidRPr="00941759">
        <w:rPr>
          <w:szCs w:val="22"/>
          <w:shd w:val="clear" w:color="auto" w:fill="FFFFFF"/>
          <w:lang w:val="en-GB"/>
        </w:rPr>
        <w:t>administration</w:t>
      </w:r>
      <w:r w:rsidRPr="00941759">
        <w:rPr>
          <w:szCs w:val="22"/>
          <w:shd w:val="clear" w:color="auto" w:fill="FFFFFF"/>
          <w:lang w:val="en-GB"/>
        </w:rPr>
        <w:t xml:space="preserve"> with MabThera to decrease the rate and severity of acute infusion reactions and/or cytokine release syndrome.</w:t>
      </w:r>
    </w:p>
    <w:p w14:paraId="7C331F90" w14:textId="77777777" w:rsidR="003366E3" w:rsidRPr="001A72EB" w:rsidRDefault="003366E3" w:rsidP="001A72EB">
      <w:pPr>
        <w:rPr>
          <w:szCs w:val="22"/>
          <w:lang w:val="en-GB"/>
        </w:rPr>
      </w:pPr>
    </w:p>
    <w:p w14:paraId="7C331F91" w14:textId="77777777" w:rsidR="005A0251" w:rsidRPr="005B6EE0" w:rsidRDefault="00016F29" w:rsidP="00941759">
      <w:pPr>
        <w:shd w:val="clear" w:color="auto" w:fill="FFFFFF"/>
        <w:outlineLvl w:val="0"/>
        <w:rPr>
          <w:szCs w:val="22"/>
          <w:lang w:val="en-GB"/>
        </w:rPr>
      </w:pPr>
      <w:r w:rsidRPr="00941759">
        <w:rPr>
          <w:szCs w:val="22"/>
          <w:shd w:val="clear" w:color="auto" w:fill="FFFFFF"/>
          <w:lang w:val="en-GB"/>
        </w:rPr>
        <w:t xml:space="preserve">The recommended dosage of MabThera in combination with chemotherapy </w:t>
      </w:r>
      <w:r w:rsidRPr="00941759">
        <w:rPr>
          <w:shd w:val="clear" w:color="auto" w:fill="FFFFFF"/>
          <w:lang w:val="en-GB"/>
        </w:rPr>
        <w:t>for previously untreated and relapsed/refractory patients</w:t>
      </w:r>
      <w:r w:rsidRPr="00941759">
        <w:rPr>
          <w:szCs w:val="22"/>
          <w:shd w:val="clear" w:color="auto" w:fill="FFFFFF"/>
          <w:lang w:val="en-GB"/>
        </w:rPr>
        <w:t xml:space="preserve"> is</w:t>
      </w:r>
      <w:r w:rsidR="00312DC8" w:rsidRPr="00941759">
        <w:rPr>
          <w:szCs w:val="22"/>
          <w:shd w:val="clear" w:color="auto" w:fill="FFFFFF"/>
          <w:lang w:val="en-GB"/>
        </w:rPr>
        <w:t xml:space="preserve">: </w:t>
      </w:r>
      <w:r w:rsidR="006126B1" w:rsidRPr="00941759">
        <w:rPr>
          <w:szCs w:val="22"/>
          <w:shd w:val="clear" w:color="auto" w:fill="FFFFFF"/>
          <w:lang w:val="en-GB"/>
        </w:rPr>
        <w:t xml:space="preserve">MabThera intravenous formulation </w:t>
      </w:r>
      <w:r w:rsidRPr="00941759">
        <w:rPr>
          <w:szCs w:val="22"/>
          <w:shd w:val="clear" w:color="auto" w:fill="FFFFFF"/>
          <w:lang w:val="en-GB"/>
        </w:rPr>
        <w:t>375 mg/m</w:t>
      </w:r>
      <w:r w:rsidRPr="00941759">
        <w:rPr>
          <w:szCs w:val="22"/>
          <w:shd w:val="clear" w:color="auto" w:fill="FFFFFF"/>
          <w:vertAlign w:val="superscript"/>
          <w:lang w:val="en-GB"/>
        </w:rPr>
        <w:t>2</w:t>
      </w:r>
      <w:r w:rsidRPr="00941759">
        <w:rPr>
          <w:szCs w:val="22"/>
          <w:shd w:val="clear" w:color="auto" w:fill="FFFFFF"/>
          <w:lang w:val="en-GB"/>
        </w:rPr>
        <w:t xml:space="preserve"> body surface area administered on day 0 of the first cycle of treatment followed by </w:t>
      </w:r>
      <w:r w:rsidR="006126B1" w:rsidRPr="00941759">
        <w:rPr>
          <w:szCs w:val="22"/>
          <w:shd w:val="clear" w:color="auto" w:fill="FFFFFF"/>
          <w:lang w:val="en-GB"/>
        </w:rPr>
        <w:t xml:space="preserve">MabThera subcutaneous formulation </w:t>
      </w:r>
      <w:r w:rsidR="00312DC8" w:rsidRPr="00941759">
        <w:rPr>
          <w:szCs w:val="22"/>
          <w:shd w:val="clear" w:color="auto" w:fill="FFFFFF"/>
          <w:lang w:val="en-GB"/>
        </w:rPr>
        <w:t xml:space="preserve">injected </w:t>
      </w:r>
      <w:r w:rsidR="006126B1" w:rsidRPr="00941759">
        <w:rPr>
          <w:szCs w:val="22"/>
          <w:shd w:val="clear" w:color="auto" w:fill="FFFFFF"/>
          <w:lang w:val="en-GB"/>
        </w:rPr>
        <w:t>at a fixed dose of 1600 mg</w:t>
      </w:r>
      <w:r w:rsidR="00312DC8" w:rsidRPr="00941759">
        <w:rPr>
          <w:szCs w:val="22"/>
          <w:shd w:val="clear" w:color="auto" w:fill="FFFFFF"/>
          <w:lang w:val="en-GB"/>
        </w:rPr>
        <w:t xml:space="preserve"> </w:t>
      </w:r>
      <w:r w:rsidRPr="00941759">
        <w:rPr>
          <w:szCs w:val="22"/>
          <w:shd w:val="clear" w:color="auto" w:fill="FFFFFF"/>
          <w:lang w:val="en-GB"/>
        </w:rPr>
        <w:t>per cycle, on day 1 of each subsequent cycle</w:t>
      </w:r>
      <w:r w:rsidR="00E31D11" w:rsidRPr="00941759">
        <w:rPr>
          <w:szCs w:val="22"/>
          <w:shd w:val="clear" w:color="auto" w:fill="FFFFFF"/>
          <w:lang w:val="en-GB"/>
        </w:rPr>
        <w:t xml:space="preserve"> (in</w:t>
      </w:r>
      <w:r w:rsidR="00441247" w:rsidRPr="00941759">
        <w:rPr>
          <w:szCs w:val="22"/>
          <w:shd w:val="clear" w:color="auto" w:fill="FFFFFF"/>
          <w:lang w:val="en-GB"/>
        </w:rPr>
        <w:t xml:space="preserve"> total:</w:t>
      </w:r>
      <w:r w:rsidRPr="00941759">
        <w:rPr>
          <w:szCs w:val="22"/>
          <w:shd w:val="clear" w:color="auto" w:fill="FFFFFF"/>
          <w:lang w:val="en-GB"/>
        </w:rPr>
        <w:t xml:space="preserve"> 6 cycl</w:t>
      </w:r>
      <w:r w:rsidR="00441247" w:rsidRPr="00941759">
        <w:rPr>
          <w:szCs w:val="22"/>
          <w:shd w:val="clear" w:color="auto" w:fill="FFFFFF"/>
          <w:lang w:val="en-GB"/>
        </w:rPr>
        <w:t>e</w:t>
      </w:r>
      <w:r w:rsidRPr="00941759">
        <w:rPr>
          <w:szCs w:val="22"/>
          <w:shd w:val="clear" w:color="auto" w:fill="FFFFFF"/>
          <w:lang w:val="en-GB"/>
        </w:rPr>
        <w:t>s</w:t>
      </w:r>
      <w:r w:rsidR="00E31D11" w:rsidRPr="00941759">
        <w:rPr>
          <w:szCs w:val="22"/>
          <w:shd w:val="clear" w:color="auto" w:fill="FFFFFF"/>
          <w:lang w:val="en-GB"/>
        </w:rPr>
        <w:t>)</w:t>
      </w:r>
      <w:r w:rsidRPr="00941759">
        <w:rPr>
          <w:szCs w:val="22"/>
          <w:shd w:val="clear" w:color="auto" w:fill="FFFFFF"/>
          <w:lang w:val="en-GB"/>
        </w:rPr>
        <w:t>.</w:t>
      </w:r>
      <w:r w:rsidRPr="005B6EE0">
        <w:rPr>
          <w:szCs w:val="22"/>
          <w:lang w:val="en-GB"/>
        </w:rPr>
        <w:t xml:space="preserve"> </w:t>
      </w:r>
    </w:p>
    <w:p w14:paraId="7C331F92" w14:textId="77777777" w:rsidR="003366E3" w:rsidRPr="001A72EB" w:rsidRDefault="00016F29" w:rsidP="00941759">
      <w:pPr>
        <w:shd w:val="clear" w:color="auto" w:fill="FFFFFF"/>
        <w:outlineLvl w:val="0"/>
        <w:rPr>
          <w:szCs w:val="22"/>
          <w:lang w:val="en-GB"/>
        </w:rPr>
      </w:pPr>
      <w:r w:rsidRPr="00941759">
        <w:rPr>
          <w:szCs w:val="22"/>
          <w:shd w:val="clear" w:color="auto" w:fill="FFFFFF"/>
          <w:lang w:val="en-GB"/>
        </w:rPr>
        <w:t xml:space="preserve">The chemotherapy should be given after MabThera </w:t>
      </w:r>
      <w:r w:rsidR="006126B1" w:rsidRPr="00941759">
        <w:rPr>
          <w:szCs w:val="22"/>
          <w:shd w:val="clear" w:color="auto" w:fill="FFFFFF"/>
          <w:lang w:val="en-GB"/>
        </w:rPr>
        <w:t>administrat</w:t>
      </w:r>
      <w:r w:rsidRPr="00941759">
        <w:rPr>
          <w:szCs w:val="22"/>
          <w:shd w:val="clear" w:color="auto" w:fill="FFFFFF"/>
          <w:lang w:val="en-GB"/>
        </w:rPr>
        <w:t>ion.</w:t>
      </w:r>
    </w:p>
    <w:p w14:paraId="7C331F93" w14:textId="77777777" w:rsidR="003366E3" w:rsidRPr="001A72EB" w:rsidRDefault="003366E3" w:rsidP="001A72EB">
      <w:pPr>
        <w:outlineLvl w:val="0"/>
        <w:rPr>
          <w:szCs w:val="22"/>
          <w:lang w:val="en-GB"/>
        </w:rPr>
      </w:pPr>
    </w:p>
    <w:p w14:paraId="7C331F94" w14:textId="77777777" w:rsidR="003F42D3" w:rsidRPr="00C501E3" w:rsidRDefault="00016F29" w:rsidP="003F42D3">
      <w:pPr>
        <w:tabs>
          <w:tab w:val="left" w:pos="567"/>
        </w:tabs>
        <w:spacing w:line="260" w:lineRule="exact"/>
        <w:outlineLvl w:val="0"/>
        <w:rPr>
          <w:szCs w:val="22"/>
          <w:u w:val="single"/>
          <w:lang w:val="en-GB" w:eastAsia="en-US"/>
        </w:rPr>
      </w:pPr>
      <w:r w:rsidRPr="00C501E3">
        <w:rPr>
          <w:szCs w:val="22"/>
          <w:u w:val="single"/>
          <w:lang w:val="en-GB" w:eastAsia="en-US"/>
        </w:rPr>
        <w:t>Dose adjustments during treatment</w:t>
      </w:r>
    </w:p>
    <w:p w14:paraId="7C331F95" w14:textId="77777777" w:rsidR="003F42D3" w:rsidRPr="00C501E3" w:rsidRDefault="003F42D3" w:rsidP="003F42D3">
      <w:pPr>
        <w:tabs>
          <w:tab w:val="left" w:pos="567"/>
        </w:tabs>
        <w:spacing w:line="260" w:lineRule="exact"/>
        <w:outlineLvl w:val="0"/>
        <w:rPr>
          <w:szCs w:val="22"/>
          <w:lang w:val="en-GB" w:eastAsia="en-US"/>
        </w:rPr>
      </w:pPr>
    </w:p>
    <w:p w14:paraId="7C331F96" w14:textId="77777777" w:rsidR="003F42D3" w:rsidRPr="00C501E3" w:rsidRDefault="00016F29" w:rsidP="003F42D3">
      <w:pPr>
        <w:ind w:left="567" w:hanging="567"/>
        <w:outlineLvl w:val="0"/>
        <w:rPr>
          <w:szCs w:val="22"/>
          <w:lang w:val="en-GB"/>
        </w:rPr>
      </w:pPr>
      <w:r w:rsidRPr="00C501E3">
        <w:rPr>
          <w:szCs w:val="22"/>
          <w:lang w:val="en-GB"/>
        </w:rPr>
        <w:t>No dose reductions of MabThera are recommended. When MabThera is given in combination with</w:t>
      </w:r>
    </w:p>
    <w:p w14:paraId="7C331F97" w14:textId="77777777" w:rsidR="003F42D3" w:rsidRPr="00C501E3" w:rsidRDefault="00016F29" w:rsidP="003F42D3">
      <w:pPr>
        <w:ind w:left="567" w:hanging="567"/>
        <w:outlineLvl w:val="0"/>
        <w:rPr>
          <w:szCs w:val="22"/>
          <w:lang w:val="en-GB"/>
        </w:rPr>
      </w:pPr>
      <w:r w:rsidRPr="00C501E3">
        <w:rPr>
          <w:szCs w:val="22"/>
          <w:lang w:val="en-GB"/>
        </w:rPr>
        <w:t>chemotherapy, standard dose reductions for the chemotherapeutic medicinal products should be</w:t>
      </w:r>
    </w:p>
    <w:p w14:paraId="7C331F98" w14:textId="77777777" w:rsidR="003F42D3" w:rsidRPr="00C501E3" w:rsidRDefault="00016F29" w:rsidP="003F42D3">
      <w:pPr>
        <w:rPr>
          <w:szCs w:val="22"/>
          <w:lang w:val="en-GB"/>
        </w:rPr>
      </w:pPr>
      <w:r w:rsidRPr="00C501E3">
        <w:rPr>
          <w:szCs w:val="22"/>
          <w:lang w:val="en-GB"/>
        </w:rPr>
        <w:t>applied (see section 4.8).</w:t>
      </w:r>
    </w:p>
    <w:p w14:paraId="7C331F99" w14:textId="77777777" w:rsidR="003F42D3" w:rsidRPr="00C501E3" w:rsidRDefault="003F42D3" w:rsidP="003F42D3">
      <w:pPr>
        <w:rPr>
          <w:szCs w:val="22"/>
          <w:lang w:val="en-GB"/>
        </w:rPr>
      </w:pPr>
    </w:p>
    <w:p w14:paraId="7C331F9A" w14:textId="77777777" w:rsidR="003F42D3" w:rsidRPr="00C501E3" w:rsidRDefault="00016F29" w:rsidP="003F42D3">
      <w:pPr>
        <w:ind w:left="567" w:hanging="567"/>
        <w:outlineLvl w:val="0"/>
        <w:rPr>
          <w:szCs w:val="22"/>
          <w:u w:val="single"/>
          <w:lang w:val="en-GB"/>
        </w:rPr>
      </w:pPr>
      <w:r w:rsidRPr="00C501E3">
        <w:rPr>
          <w:szCs w:val="22"/>
          <w:u w:val="single"/>
          <w:lang w:val="en-GB"/>
        </w:rPr>
        <w:t>Special populations</w:t>
      </w:r>
    </w:p>
    <w:p w14:paraId="7C331F9B" w14:textId="77777777" w:rsidR="003F42D3" w:rsidRPr="00C501E3" w:rsidRDefault="003F42D3" w:rsidP="003F42D3">
      <w:pPr>
        <w:rPr>
          <w:b/>
          <w:szCs w:val="22"/>
          <w:lang w:val="en-GB"/>
        </w:rPr>
      </w:pPr>
    </w:p>
    <w:p w14:paraId="7C331F9C" w14:textId="77777777" w:rsidR="003F42D3" w:rsidRPr="00C501E3" w:rsidRDefault="00016F29" w:rsidP="003F42D3">
      <w:pPr>
        <w:outlineLvl w:val="0"/>
        <w:rPr>
          <w:szCs w:val="22"/>
          <w:lang w:val="en-GB"/>
        </w:rPr>
      </w:pPr>
      <w:r w:rsidRPr="00C501E3">
        <w:rPr>
          <w:i/>
          <w:szCs w:val="22"/>
          <w:lang w:val="en-GB"/>
        </w:rPr>
        <w:t>Paediatric population</w:t>
      </w:r>
    </w:p>
    <w:p w14:paraId="7C331F9D" w14:textId="77777777" w:rsidR="003F42D3" w:rsidRPr="00C501E3" w:rsidRDefault="00016F29" w:rsidP="003F42D3">
      <w:pPr>
        <w:rPr>
          <w:szCs w:val="22"/>
          <w:lang w:val="en-GB"/>
        </w:rPr>
      </w:pPr>
      <w:r w:rsidRPr="00C501E3">
        <w:rPr>
          <w:szCs w:val="22"/>
          <w:lang w:val="en-GB"/>
        </w:rPr>
        <w:t>The safety and efficacy of MabThera in children below 18 years has not been established. No data are available.</w:t>
      </w:r>
    </w:p>
    <w:p w14:paraId="7C331F9E" w14:textId="77777777" w:rsidR="003F42D3" w:rsidRPr="00C501E3" w:rsidRDefault="003F42D3" w:rsidP="003F42D3">
      <w:pPr>
        <w:rPr>
          <w:szCs w:val="22"/>
          <w:lang w:val="en-GB"/>
        </w:rPr>
      </w:pPr>
    </w:p>
    <w:p w14:paraId="7C331F9F" w14:textId="77777777" w:rsidR="003F42D3" w:rsidRPr="00C501E3" w:rsidRDefault="00016F29" w:rsidP="003F42D3">
      <w:pPr>
        <w:outlineLvl w:val="0"/>
        <w:rPr>
          <w:i/>
          <w:szCs w:val="22"/>
          <w:lang w:val="en-GB"/>
        </w:rPr>
      </w:pPr>
      <w:r w:rsidRPr="00C501E3">
        <w:rPr>
          <w:i/>
          <w:szCs w:val="22"/>
          <w:lang w:val="en-GB"/>
        </w:rPr>
        <w:t>Elderly</w:t>
      </w:r>
    </w:p>
    <w:p w14:paraId="7C331FA0" w14:textId="77777777" w:rsidR="003F42D3" w:rsidRPr="00C501E3" w:rsidRDefault="00016F29" w:rsidP="003F42D3">
      <w:pPr>
        <w:rPr>
          <w:szCs w:val="22"/>
          <w:lang w:val="en-GB"/>
        </w:rPr>
      </w:pPr>
      <w:r w:rsidRPr="00C501E3">
        <w:rPr>
          <w:szCs w:val="22"/>
          <w:lang w:val="en-GB"/>
        </w:rPr>
        <w:t xml:space="preserve">No dose adjustment is required in elderly patients (aged &gt;65 years). </w:t>
      </w:r>
    </w:p>
    <w:p w14:paraId="7C331FA1" w14:textId="77777777" w:rsidR="003F42D3" w:rsidRPr="00C501E3" w:rsidRDefault="003F42D3" w:rsidP="003F42D3">
      <w:pPr>
        <w:rPr>
          <w:szCs w:val="22"/>
          <w:lang w:val="en-GB"/>
        </w:rPr>
      </w:pPr>
    </w:p>
    <w:p w14:paraId="7C331FA2" w14:textId="77777777" w:rsidR="003F42D3" w:rsidRPr="00C501E3" w:rsidRDefault="00016F29" w:rsidP="003F42D3">
      <w:pPr>
        <w:ind w:left="567" w:hanging="567"/>
        <w:outlineLvl w:val="0"/>
        <w:rPr>
          <w:szCs w:val="22"/>
          <w:u w:val="single"/>
          <w:lang w:val="en-GB"/>
        </w:rPr>
      </w:pPr>
      <w:r w:rsidRPr="00C501E3">
        <w:rPr>
          <w:szCs w:val="22"/>
          <w:u w:val="single"/>
          <w:lang w:val="en-GB"/>
        </w:rPr>
        <w:t>Method of administration</w:t>
      </w:r>
    </w:p>
    <w:p w14:paraId="7C331FA3" w14:textId="77777777" w:rsidR="003F42D3" w:rsidRPr="00C501E3" w:rsidRDefault="003F42D3" w:rsidP="003F42D3">
      <w:pPr>
        <w:outlineLvl w:val="0"/>
        <w:rPr>
          <w:szCs w:val="22"/>
          <w:lang w:val="en-GB"/>
        </w:rPr>
      </w:pPr>
    </w:p>
    <w:p w14:paraId="7C331FA4" w14:textId="77777777" w:rsidR="003F42D3" w:rsidRPr="001A72EB" w:rsidRDefault="00016F29" w:rsidP="003F42D3">
      <w:pPr>
        <w:rPr>
          <w:szCs w:val="22"/>
          <w:lang w:val="en-GB"/>
        </w:rPr>
      </w:pPr>
      <w:r w:rsidRPr="001A72EB">
        <w:rPr>
          <w:i/>
          <w:szCs w:val="22"/>
          <w:lang w:val="en-GB"/>
        </w:rPr>
        <w:t>Subcutaneous injections</w:t>
      </w:r>
    </w:p>
    <w:p w14:paraId="7C331FA5" w14:textId="77777777" w:rsidR="003F42D3" w:rsidRPr="00C501E3" w:rsidRDefault="00016F29" w:rsidP="003F42D3">
      <w:pPr>
        <w:rPr>
          <w:lang w:val="en-GB"/>
        </w:rPr>
      </w:pPr>
      <w:r w:rsidRPr="001A72EB">
        <w:rPr>
          <w:rFonts w:eastAsia="SimSun"/>
          <w:szCs w:val="22"/>
          <w:lang w:val="en-GB" w:eastAsia="zh-CN"/>
        </w:rPr>
        <w:t xml:space="preserve">MabThera </w:t>
      </w:r>
      <w:r w:rsidR="00E0550E" w:rsidRPr="001A72EB">
        <w:rPr>
          <w:rFonts w:eastAsia="SimSun"/>
          <w:szCs w:val="22"/>
          <w:lang w:val="en-GB" w:eastAsia="zh-CN"/>
        </w:rPr>
        <w:t xml:space="preserve">1600 mg </w:t>
      </w:r>
      <w:r w:rsidRPr="001A72EB">
        <w:rPr>
          <w:bCs/>
          <w:iCs/>
          <w:szCs w:val="22"/>
          <w:lang w:val="en-GB"/>
        </w:rPr>
        <w:t xml:space="preserve">subcutaneous formulation </w:t>
      </w:r>
      <w:r w:rsidRPr="001A72EB">
        <w:rPr>
          <w:rFonts w:eastAsia="SimSun"/>
          <w:szCs w:val="22"/>
          <w:lang w:val="en-GB" w:eastAsia="zh-CN"/>
        </w:rPr>
        <w:t xml:space="preserve">should be administered as subcutaneous injection only, </w:t>
      </w:r>
      <w:r w:rsidRPr="001A72EB">
        <w:rPr>
          <w:bCs/>
          <w:iCs/>
          <w:szCs w:val="22"/>
          <w:lang w:val="en-GB"/>
        </w:rPr>
        <w:t xml:space="preserve">over approximately </w:t>
      </w:r>
      <w:r w:rsidR="00C97859" w:rsidRPr="001A72EB">
        <w:rPr>
          <w:bCs/>
          <w:iCs/>
          <w:szCs w:val="22"/>
          <w:lang w:val="en-GB"/>
        </w:rPr>
        <w:t>7</w:t>
      </w:r>
      <w:r w:rsidRPr="001A72EB">
        <w:rPr>
          <w:bCs/>
          <w:iCs/>
          <w:szCs w:val="22"/>
          <w:lang w:val="en-GB"/>
        </w:rPr>
        <w:t xml:space="preserve"> minutes</w:t>
      </w:r>
      <w:r w:rsidRPr="00C501E3">
        <w:rPr>
          <w:bCs/>
          <w:iCs/>
          <w:szCs w:val="22"/>
          <w:lang w:val="en-GB"/>
        </w:rPr>
        <w:t xml:space="preserve">. </w:t>
      </w:r>
      <w:r w:rsidRPr="00C501E3">
        <w:rPr>
          <w:iCs/>
          <w:szCs w:val="22"/>
          <w:lang w:val="en-GB"/>
        </w:rPr>
        <w:t>The hypodermic injection needle must only be attached to the syringe immediately prior to administration to avoid potential needle clogging.</w:t>
      </w:r>
    </w:p>
    <w:p w14:paraId="7C331FA6" w14:textId="77777777" w:rsidR="00BE1B78" w:rsidRPr="00C501E3" w:rsidRDefault="00BE1B78" w:rsidP="003F42D3">
      <w:pPr>
        <w:rPr>
          <w:rFonts w:cs="Arial"/>
          <w:lang w:val="en-GB"/>
        </w:rPr>
      </w:pPr>
    </w:p>
    <w:p w14:paraId="7C331FA7" w14:textId="77777777" w:rsidR="003F42D3" w:rsidRPr="00C501E3" w:rsidRDefault="00016F29" w:rsidP="003F42D3">
      <w:pPr>
        <w:rPr>
          <w:rFonts w:cs="Arial"/>
          <w:lang w:val="en-GB"/>
        </w:rPr>
      </w:pPr>
      <w:r w:rsidRPr="00C501E3">
        <w:rPr>
          <w:rFonts w:cs="Arial"/>
          <w:lang w:val="en-GB"/>
        </w:rPr>
        <w:t>MabThera subcutaneous formulation should be injected subcutaneously into the abdominal wall and never into areas where the skin is red, bruised, tender, hard or areas where there are moles or scars.</w:t>
      </w:r>
    </w:p>
    <w:p w14:paraId="7C331FA8" w14:textId="77777777" w:rsidR="003F42D3" w:rsidRPr="00C501E3" w:rsidRDefault="003F42D3" w:rsidP="003F42D3">
      <w:pPr>
        <w:shd w:val="clear" w:color="auto" w:fill="FFFFFF"/>
        <w:rPr>
          <w:color w:val="222222"/>
          <w:szCs w:val="22"/>
          <w:lang w:val="en-GB" w:eastAsia="en-US"/>
        </w:rPr>
      </w:pPr>
    </w:p>
    <w:p w14:paraId="7C331FA9" w14:textId="77777777" w:rsidR="003F42D3" w:rsidRPr="00C501E3" w:rsidRDefault="00016F29" w:rsidP="003F42D3">
      <w:pPr>
        <w:shd w:val="clear" w:color="auto" w:fill="FFFFFF"/>
        <w:rPr>
          <w:color w:val="222222"/>
          <w:szCs w:val="22"/>
          <w:lang w:val="en-GB" w:eastAsia="en-US"/>
        </w:rPr>
      </w:pPr>
      <w:r w:rsidRPr="00C501E3">
        <w:rPr>
          <w:rFonts w:cs="Arial"/>
          <w:lang w:val="en-GB"/>
        </w:rPr>
        <w:t>No data are available on performing the injection in other sites of the body, therefore injections should be restricted to the abdominal wall.</w:t>
      </w:r>
    </w:p>
    <w:p w14:paraId="7C331FAA" w14:textId="77777777" w:rsidR="003F42D3" w:rsidRPr="00C501E3" w:rsidRDefault="003F42D3" w:rsidP="003F42D3">
      <w:pPr>
        <w:rPr>
          <w:rFonts w:eastAsia="SimSun"/>
          <w:szCs w:val="22"/>
          <w:lang w:val="en-GB" w:eastAsia="zh-CN"/>
        </w:rPr>
      </w:pPr>
    </w:p>
    <w:p w14:paraId="7C331FAB" w14:textId="77777777" w:rsidR="003F42D3" w:rsidRPr="00C501E3" w:rsidRDefault="00016F29" w:rsidP="003F42D3">
      <w:pPr>
        <w:rPr>
          <w:rFonts w:eastAsia="SimSun"/>
          <w:szCs w:val="22"/>
          <w:lang w:val="en-GB" w:eastAsia="zh-CN"/>
        </w:rPr>
      </w:pPr>
      <w:r w:rsidRPr="00C501E3">
        <w:rPr>
          <w:rFonts w:eastAsia="SimSun"/>
          <w:szCs w:val="22"/>
          <w:lang w:val="en-GB" w:eastAsia="zh-CN"/>
        </w:rPr>
        <w:t xml:space="preserve">During the treatment course with MabThera </w:t>
      </w:r>
      <w:r w:rsidRPr="00C501E3">
        <w:rPr>
          <w:bCs/>
          <w:iCs/>
          <w:szCs w:val="22"/>
          <w:lang w:val="en-GB"/>
        </w:rPr>
        <w:t>subcutaneous formulation</w:t>
      </w:r>
      <w:r w:rsidRPr="00C501E3">
        <w:rPr>
          <w:rFonts w:eastAsia="SimSun"/>
          <w:szCs w:val="22"/>
          <w:lang w:val="en-GB" w:eastAsia="zh-CN"/>
        </w:rPr>
        <w:t>, other medicinal products for subcutaneous administration should preferably be given at different sites.</w:t>
      </w:r>
    </w:p>
    <w:p w14:paraId="7C331FAC" w14:textId="77777777" w:rsidR="003F42D3" w:rsidRPr="00C501E3" w:rsidRDefault="003F42D3" w:rsidP="003F42D3">
      <w:pPr>
        <w:rPr>
          <w:rFonts w:eastAsia="SimSun"/>
          <w:szCs w:val="22"/>
          <w:lang w:val="en-GB" w:eastAsia="zh-CN"/>
        </w:rPr>
      </w:pPr>
    </w:p>
    <w:p w14:paraId="7C331FAD" w14:textId="77777777" w:rsidR="003F42D3" w:rsidRPr="00C501E3" w:rsidRDefault="00016F29" w:rsidP="003F42D3">
      <w:pPr>
        <w:suppressLineNumbers/>
        <w:autoSpaceDE w:val="0"/>
        <w:autoSpaceDN w:val="0"/>
        <w:adjustRightInd w:val="0"/>
        <w:rPr>
          <w:rFonts w:eastAsia="SimSun"/>
          <w:szCs w:val="22"/>
          <w:lang w:val="en-GB" w:eastAsia="zh-CN"/>
        </w:rPr>
      </w:pPr>
      <w:r w:rsidRPr="00C501E3">
        <w:rPr>
          <w:rFonts w:eastAsia="SimSun"/>
          <w:szCs w:val="22"/>
          <w:lang w:val="en-GB" w:eastAsia="zh-CN"/>
        </w:rPr>
        <w:t>If an injection is interrupted it can be resumed at the same site or another location may be used, if appropriate.</w:t>
      </w:r>
    </w:p>
    <w:p w14:paraId="7C331FAE" w14:textId="77777777" w:rsidR="003F42D3" w:rsidRPr="00C501E3" w:rsidRDefault="003F42D3" w:rsidP="003F42D3">
      <w:pPr>
        <w:suppressLineNumbers/>
        <w:autoSpaceDE w:val="0"/>
        <w:autoSpaceDN w:val="0"/>
        <w:adjustRightInd w:val="0"/>
        <w:rPr>
          <w:rFonts w:eastAsia="SimSun"/>
          <w:szCs w:val="22"/>
          <w:lang w:val="en-GB" w:eastAsia="zh-CN"/>
        </w:rPr>
      </w:pPr>
    </w:p>
    <w:p w14:paraId="7C331FAF" w14:textId="77777777" w:rsidR="003F42D3" w:rsidRPr="001A72EB" w:rsidRDefault="00016F29" w:rsidP="003F42D3">
      <w:pPr>
        <w:keepNext/>
        <w:keepLines/>
        <w:rPr>
          <w:strike/>
          <w:szCs w:val="22"/>
          <w:lang w:val="en-GB"/>
        </w:rPr>
      </w:pPr>
      <w:r w:rsidRPr="00C501E3">
        <w:rPr>
          <w:i/>
          <w:szCs w:val="22"/>
          <w:lang w:val="en-GB"/>
        </w:rPr>
        <w:t xml:space="preserve">Intravenous </w:t>
      </w:r>
      <w:r w:rsidRPr="001A72EB">
        <w:rPr>
          <w:i/>
          <w:szCs w:val="22"/>
          <w:lang w:val="en-GB"/>
        </w:rPr>
        <w:t>infusion administration</w:t>
      </w:r>
      <w:r w:rsidRPr="001A72EB">
        <w:rPr>
          <w:szCs w:val="22"/>
          <w:lang w:val="en-GB"/>
        </w:rPr>
        <w:t xml:space="preserve"> </w:t>
      </w:r>
    </w:p>
    <w:p w14:paraId="7C331FB0" w14:textId="77777777" w:rsidR="003F42D3" w:rsidRPr="00C501E3" w:rsidRDefault="00016F29" w:rsidP="003F42D3">
      <w:pPr>
        <w:rPr>
          <w:szCs w:val="22"/>
          <w:lang w:val="en-GB"/>
        </w:rPr>
      </w:pPr>
      <w:r w:rsidRPr="001A72EB">
        <w:rPr>
          <w:szCs w:val="22"/>
          <w:lang w:val="en-GB"/>
        </w:rPr>
        <w:t>The Summary of Product Characteristics (SmPC) of MabThera</w:t>
      </w:r>
      <w:r w:rsidR="00F600F2" w:rsidRPr="001A72EB">
        <w:rPr>
          <w:szCs w:val="22"/>
          <w:lang w:val="en-GB"/>
        </w:rPr>
        <w:t xml:space="preserve"> </w:t>
      </w:r>
      <w:r w:rsidRPr="001A72EB">
        <w:rPr>
          <w:szCs w:val="22"/>
          <w:lang w:val="en-GB"/>
        </w:rPr>
        <w:t>100 mg and</w:t>
      </w:r>
      <w:r w:rsidRPr="00C501E3">
        <w:rPr>
          <w:szCs w:val="22"/>
          <w:lang w:val="en-GB"/>
        </w:rPr>
        <w:t xml:space="preserve"> 500 mg concentrate for solution for infusion should be referred to for information on dosing instructions and method of administration.</w:t>
      </w:r>
    </w:p>
    <w:p w14:paraId="7C331FB1" w14:textId="77777777" w:rsidR="003F42D3" w:rsidRPr="00C501E3" w:rsidRDefault="003F42D3" w:rsidP="003F42D3">
      <w:pPr>
        <w:rPr>
          <w:szCs w:val="22"/>
          <w:lang w:val="en-GB"/>
        </w:rPr>
      </w:pPr>
    </w:p>
    <w:p w14:paraId="7C331FB2" w14:textId="77777777" w:rsidR="003F42D3" w:rsidRPr="00C501E3" w:rsidRDefault="00016F29" w:rsidP="003F42D3">
      <w:pPr>
        <w:ind w:left="567" w:hanging="567"/>
        <w:outlineLvl w:val="0"/>
        <w:rPr>
          <w:szCs w:val="22"/>
          <w:lang w:val="en-GB"/>
        </w:rPr>
      </w:pPr>
      <w:r w:rsidRPr="00C501E3">
        <w:rPr>
          <w:b/>
          <w:szCs w:val="22"/>
          <w:lang w:val="en-GB"/>
        </w:rPr>
        <w:t>4.3</w:t>
      </w:r>
      <w:r w:rsidRPr="00C501E3">
        <w:rPr>
          <w:b/>
          <w:szCs w:val="22"/>
          <w:lang w:val="en-GB"/>
        </w:rPr>
        <w:tab/>
        <w:t>Contraindications</w:t>
      </w:r>
    </w:p>
    <w:p w14:paraId="7C331FB3" w14:textId="77777777" w:rsidR="003F42D3" w:rsidRPr="00C501E3" w:rsidRDefault="003F42D3" w:rsidP="003F42D3">
      <w:pPr>
        <w:ind w:left="567" w:hanging="567"/>
        <w:rPr>
          <w:szCs w:val="22"/>
          <w:lang w:val="en-GB"/>
        </w:rPr>
      </w:pPr>
    </w:p>
    <w:p w14:paraId="7C331FB4" w14:textId="77777777" w:rsidR="003F42D3" w:rsidRPr="00C501E3" w:rsidRDefault="00016F29" w:rsidP="003F42D3">
      <w:pPr>
        <w:outlineLvl w:val="0"/>
        <w:rPr>
          <w:szCs w:val="22"/>
          <w:lang w:val="en-GB"/>
        </w:rPr>
      </w:pPr>
      <w:r w:rsidRPr="00C501E3">
        <w:rPr>
          <w:szCs w:val="22"/>
          <w:lang w:val="en-GB"/>
        </w:rPr>
        <w:t xml:space="preserve">Hypersensitivity to the active substance or to </w:t>
      </w:r>
      <w:r w:rsidRPr="00C501E3">
        <w:rPr>
          <w:lang w:val="en-GB"/>
        </w:rPr>
        <w:t>murine proteins, hyaluronidase or to any of the other excipients listed in section 6</w:t>
      </w:r>
      <w:r w:rsidRPr="00C501E3">
        <w:rPr>
          <w:szCs w:val="22"/>
          <w:lang w:val="en-GB"/>
        </w:rPr>
        <w:t xml:space="preserve">.1. </w:t>
      </w:r>
    </w:p>
    <w:p w14:paraId="7C331FB5" w14:textId="77777777" w:rsidR="003F42D3" w:rsidRPr="00C501E3" w:rsidRDefault="003F42D3" w:rsidP="003F42D3">
      <w:pPr>
        <w:outlineLvl w:val="0"/>
        <w:rPr>
          <w:szCs w:val="22"/>
          <w:lang w:val="en-GB"/>
        </w:rPr>
      </w:pPr>
    </w:p>
    <w:p w14:paraId="7C331FB6" w14:textId="77777777" w:rsidR="003F42D3" w:rsidRPr="00C501E3" w:rsidRDefault="00016F29" w:rsidP="003F42D3">
      <w:pPr>
        <w:outlineLvl w:val="0"/>
        <w:rPr>
          <w:szCs w:val="22"/>
          <w:lang w:val="en-GB"/>
        </w:rPr>
      </w:pPr>
      <w:r w:rsidRPr="00C501E3">
        <w:rPr>
          <w:szCs w:val="22"/>
          <w:lang w:val="en-GB"/>
        </w:rPr>
        <w:t>Active, severe infections (see section 4.4).</w:t>
      </w:r>
    </w:p>
    <w:p w14:paraId="7C331FB7" w14:textId="77777777" w:rsidR="003F42D3" w:rsidRPr="00C501E3" w:rsidRDefault="003F42D3" w:rsidP="003F42D3">
      <w:pPr>
        <w:outlineLvl w:val="0"/>
        <w:rPr>
          <w:szCs w:val="22"/>
          <w:lang w:val="en-GB"/>
        </w:rPr>
      </w:pPr>
    </w:p>
    <w:p w14:paraId="7C331FB8" w14:textId="77777777" w:rsidR="003F42D3" w:rsidRPr="00C501E3" w:rsidRDefault="00016F29" w:rsidP="003F42D3">
      <w:pPr>
        <w:ind w:left="567" w:hanging="567"/>
        <w:outlineLvl w:val="0"/>
        <w:rPr>
          <w:lang w:val="en-GB"/>
        </w:rPr>
      </w:pPr>
      <w:r w:rsidRPr="00C501E3">
        <w:rPr>
          <w:lang w:val="en-GB"/>
        </w:rPr>
        <w:t>Patients in a severely immunocompromised state.</w:t>
      </w:r>
    </w:p>
    <w:p w14:paraId="7C331FB9" w14:textId="77777777" w:rsidR="003F42D3" w:rsidRPr="00C501E3" w:rsidRDefault="003F42D3" w:rsidP="003F42D3">
      <w:pPr>
        <w:rPr>
          <w:szCs w:val="22"/>
          <w:lang w:val="en-GB"/>
        </w:rPr>
      </w:pPr>
    </w:p>
    <w:p w14:paraId="7C331FBA" w14:textId="77777777" w:rsidR="003F42D3" w:rsidRPr="00C501E3" w:rsidRDefault="00016F29" w:rsidP="003F42D3">
      <w:pPr>
        <w:keepNext/>
        <w:keepLines/>
        <w:ind w:left="567" w:hanging="567"/>
        <w:outlineLvl w:val="0"/>
        <w:rPr>
          <w:b/>
          <w:szCs w:val="22"/>
          <w:lang w:val="en-GB"/>
        </w:rPr>
      </w:pPr>
      <w:r w:rsidRPr="00C501E3">
        <w:rPr>
          <w:b/>
          <w:szCs w:val="22"/>
          <w:lang w:val="en-GB"/>
        </w:rPr>
        <w:t>4.4</w:t>
      </w:r>
      <w:r w:rsidRPr="00C501E3">
        <w:rPr>
          <w:b/>
          <w:szCs w:val="22"/>
          <w:lang w:val="en-GB"/>
        </w:rPr>
        <w:tab/>
        <w:t>Special warnings and precautions for use</w:t>
      </w:r>
    </w:p>
    <w:p w14:paraId="7C331FBB" w14:textId="77777777" w:rsidR="003F42D3" w:rsidRPr="00C501E3" w:rsidRDefault="003F42D3" w:rsidP="003F42D3">
      <w:pPr>
        <w:rPr>
          <w:lang w:val="en-GB"/>
        </w:rPr>
      </w:pPr>
    </w:p>
    <w:p w14:paraId="7C331FBC" w14:textId="77777777" w:rsidR="00807DC7" w:rsidRDefault="00016F29" w:rsidP="003F42D3">
      <w:pPr>
        <w:rPr>
          <w:u w:val="single"/>
          <w:lang w:val="en-GB"/>
        </w:rPr>
      </w:pPr>
      <w:r w:rsidRPr="00E06A78">
        <w:rPr>
          <w:u w:val="single"/>
          <w:lang w:val="en-GB"/>
        </w:rPr>
        <w:t>Treacibility</w:t>
      </w:r>
    </w:p>
    <w:p w14:paraId="7C331FBD" w14:textId="77777777" w:rsidR="00630020" w:rsidRPr="00E06A78" w:rsidRDefault="00630020" w:rsidP="003F42D3">
      <w:pPr>
        <w:rPr>
          <w:u w:val="single"/>
          <w:lang w:val="en-GB"/>
        </w:rPr>
      </w:pPr>
    </w:p>
    <w:p w14:paraId="7C331FBE" w14:textId="77777777" w:rsidR="003F42D3" w:rsidRPr="001A72EB" w:rsidRDefault="00016F29" w:rsidP="003F42D3">
      <w:pPr>
        <w:rPr>
          <w:lang w:val="en-GB"/>
        </w:rPr>
      </w:pPr>
      <w:r w:rsidRPr="001A72EB">
        <w:rPr>
          <w:lang w:val="en-GB"/>
        </w:rPr>
        <w:t>In order to improve traceability of biological medicinal products</w:t>
      </w:r>
      <w:r w:rsidRPr="001A72EB">
        <w:rPr>
          <w:bCs/>
          <w:lang w:val="en-GB"/>
        </w:rPr>
        <w:t>, </w:t>
      </w:r>
      <w:r w:rsidRPr="001A72EB">
        <w:rPr>
          <w:lang w:val="en-GB"/>
        </w:rPr>
        <w:t>the tradename </w:t>
      </w:r>
      <w:r w:rsidR="0090219B" w:rsidRPr="001A72EB">
        <w:rPr>
          <w:lang w:val="en-GB"/>
        </w:rPr>
        <w:t xml:space="preserve">and </w:t>
      </w:r>
      <w:r w:rsidR="00947AD1" w:rsidRPr="001A72EB">
        <w:rPr>
          <w:lang w:val="en-GB"/>
        </w:rPr>
        <w:t xml:space="preserve">batch number </w:t>
      </w:r>
      <w:r w:rsidRPr="001A72EB">
        <w:rPr>
          <w:lang w:val="en-GB"/>
        </w:rPr>
        <w:t>of the administered product should be clearly recorded.</w:t>
      </w:r>
    </w:p>
    <w:p w14:paraId="7C331FBF" w14:textId="77777777" w:rsidR="003F42D3" w:rsidRPr="001A72EB" w:rsidRDefault="003F42D3" w:rsidP="003F42D3">
      <w:pPr>
        <w:keepNext/>
        <w:keepLines/>
        <w:ind w:left="567" w:hanging="567"/>
        <w:outlineLvl w:val="0"/>
        <w:rPr>
          <w:b/>
          <w:szCs w:val="22"/>
          <w:lang w:val="en-GB"/>
        </w:rPr>
      </w:pPr>
    </w:p>
    <w:p w14:paraId="7C331FC0" w14:textId="77777777" w:rsidR="003F42D3" w:rsidRPr="001A72EB" w:rsidRDefault="00016F29" w:rsidP="003F42D3">
      <w:pPr>
        <w:rPr>
          <w:szCs w:val="22"/>
          <w:lang w:val="en-GB"/>
        </w:rPr>
      </w:pPr>
      <w:r w:rsidRPr="001A72EB">
        <w:rPr>
          <w:szCs w:val="22"/>
          <w:lang w:val="en-GB"/>
        </w:rPr>
        <w:t>The information provided in the section 4.4 pertains to the use of MabThera subcutaneous formulation in the approved indication</w:t>
      </w:r>
      <w:r w:rsidR="002375C1" w:rsidRPr="001A72EB">
        <w:rPr>
          <w:szCs w:val="22"/>
          <w:lang w:val="en-GB"/>
        </w:rPr>
        <w:t>s</w:t>
      </w:r>
      <w:r w:rsidRPr="001A72EB">
        <w:rPr>
          <w:szCs w:val="22"/>
          <w:lang w:val="en-GB"/>
        </w:rPr>
        <w:t xml:space="preserve"> </w:t>
      </w:r>
      <w:r w:rsidRPr="001A72EB">
        <w:rPr>
          <w:i/>
          <w:szCs w:val="22"/>
          <w:lang w:val="en-GB"/>
        </w:rPr>
        <w:t>Treatment of non</w:t>
      </w:r>
      <w:r w:rsidR="00C273AD">
        <w:rPr>
          <w:i/>
          <w:szCs w:val="22"/>
          <w:lang w:val="en-GB"/>
        </w:rPr>
        <w:t>-</w:t>
      </w:r>
      <w:r w:rsidR="007830E0" w:rsidRPr="001A72EB">
        <w:rPr>
          <w:i/>
          <w:szCs w:val="22"/>
          <w:lang w:val="en-GB"/>
        </w:rPr>
        <w:t>Hodgkin</w:t>
      </w:r>
      <w:r w:rsidR="00C273AD">
        <w:rPr>
          <w:i/>
          <w:szCs w:val="22"/>
          <w:lang w:val="en-GB"/>
        </w:rPr>
        <w:t>’s</w:t>
      </w:r>
      <w:r w:rsidRPr="001A72EB">
        <w:rPr>
          <w:i/>
          <w:szCs w:val="22"/>
          <w:lang w:val="en-GB"/>
        </w:rPr>
        <w:t xml:space="preserve"> lymphoma</w:t>
      </w:r>
      <w:r w:rsidR="002375C1" w:rsidRPr="001A72EB">
        <w:rPr>
          <w:i/>
          <w:szCs w:val="22"/>
          <w:lang w:val="en-GB"/>
        </w:rPr>
        <w:t xml:space="preserve"> </w:t>
      </w:r>
      <w:r w:rsidR="00CB6B14" w:rsidRPr="001A72EB">
        <w:rPr>
          <w:szCs w:val="22"/>
          <w:lang w:val="en-GB"/>
        </w:rPr>
        <w:t>(strength 1400 mg) and</w:t>
      </w:r>
      <w:r w:rsidR="00CB6B14" w:rsidRPr="001A72EB">
        <w:rPr>
          <w:i/>
          <w:szCs w:val="22"/>
          <w:lang w:val="en-GB"/>
        </w:rPr>
        <w:t xml:space="preserve"> Treatment of </w:t>
      </w:r>
      <w:r w:rsidR="007D4E4A" w:rsidRPr="001A72EB">
        <w:rPr>
          <w:i/>
          <w:szCs w:val="22"/>
          <w:lang w:val="en-GB"/>
        </w:rPr>
        <w:t>CLL</w:t>
      </w:r>
      <w:r w:rsidR="00CB6B14" w:rsidRPr="001A72EB">
        <w:rPr>
          <w:i/>
          <w:szCs w:val="22"/>
          <w:lang w:val="en-GB"/>
        </w:rPr>
        <w:t xml:space="preserve"> </w:t>
      </w:r>
      <w:r w:rsidR="00CB6B14" w:rsidRPr="001A72EB">
        <w:rPr>
          <w:szCs w:val="22"/>
          <w:lang w:val="en-GB"/>
        </w:rPr>
        <w:t>(strength 1600 mg)</w:t>
      </w:r>
      <w:r w:rsidRPr="001A72EB">
        <w:rPr>
          <w:szCs w:val="22"/>
          <w:lang w:val="en-GB"/>
        </w:rPr>
        <w:t xml:space="preserve">. For information related to the other indications, please refer to the SmPC of MabThera intravenous formulation. </w:t>
      </w:r>
    </w:p>
    <w:p w14:paraId="7C331FC1" w14:textId="77777777" w:rsidR="003F42D3" w:rsidRPr="00410633" w:rsidRDefault="003F42D3" w:rsidP="00D63363">
      <w:pPr>
        <w:rPr>
          <w:b/>
          <w:szCs w:val="22"/>
          <w:lang w:val="en-GB"/>
        </w:rPr>
      </w:pPr>
    </w:p>
    <w:p w14:paraId="7C331FC2" w14:textId="77777777" w:rsidR="003F42D3" w:rsidRPr="00C501E3" w:rsidRDefault="00016F29" w:rsidP="003F42D3">
      <w:pPr>
        <w:keepNext/>
        <w:keepLines/>
        <w:ind w:left="567" w:hanging="567"/>
        <w:rPr>
          <w:szCs w:val="22"/>
          <w:u w:val="single"/>
          <w:lang w:val="en-GB"/>
        </w:rPr>
      </w:pPr>
      <w:r w:rsidRPr="00C501E3">
        <w:rPr>
          <w:szCs w:val="22"/>
          <w:u w:val="single"/>
          <w:lang w:val="en-GB"/>
        </w:rPr>
        <w:t>Progressive multifocal leukoencephalopathy</w:t>
      </w:r>
    </w:p>
    <w:p w14:paraId="7C331FC3" w14:textId="77777777" w:rsidR="003F42D3" w:rsidRPr="00C501E3" w:rsidRDefault="003F42D3" w:rsidP="003F42D3">
      <w:pPr>
        <w:keepNext/>
        <w:keepLines/>
        <w:ind w:left="567" w:hanging="567"/>
        <w:rPr>
          <w:szCs w:val="22"/>
          <w:lang w:val="en-GB"/>
        </w:rPr>
      </w:pPr>
    </w:p>
    <w:p w14:paraId="7C331FC4" w14:textId="77777777" w:rsidR="003F42D3" w:rsidRPr="00C501E3" w:rsidRDefault="00016F29" w:rsidP="003F42D3">
      <w:pPr>
        <w:rPr>
          <w:szCs w:val="22"/>
          <w:lang w:val="en-GB"/>
        </w:rPr>
      </w:pPr>
      <w:r w:rsidRPr="00C501E3">
        <w:rPr>
          <w:szCs w:val="22"/>
          <w:lang w:val="en-GB"/>
        </w:rPr>
        <w:t xml:space="preserve">Use of MabThera may be associated with an increased risk of progressive multifocal leukoencephalopathy (PML). </w:t>
      </w:r>
      <w:r w:rsidRPr="00C501E3">
        <w:rPr>
          <w:iCs/>
          <w:szCs w:val="22"/>
          <w:lang w:val="en-GB"/>
        </w:rPr>
        <w:t xml:space="preserve">Patients must be monitored at regular intervals for any new or worsening neurological symptoms or signs that may be suggestive of PML. If PML is suspected, further dosing must be suspended until PML has been excluded. </w:t>
      </w:r>
      <w:r w:rsidRPr="00C501E3">
        <w:rPr>
          <w:szCs w:val="22"/>
          <w:lang w:val="en-GB"/>
        </w:rPr>
        <w:t>The clinician should evaluate the patient to determine if the symptoms are indicative of neurological dysfunction, and if so, whether these symptoms are possibly suggestive of PML. Consultation with a neurologist should be considered as clinically indicated.</w:t>
      </w:r>
    </w:p>
    <w:p w14:paraId="7C331FC5" w14:textId="77777777" w:rsidR="003F42D3" w:rsidRPr="00C501E3" w:rsidRDefault="003F42D3" w:rsidP="003F42D3">
      <w:pPr>
        <w:rPr>
          <w:szCs w:val="22"/>
          <w:lang w:val="en-GB"/>
        </w:rPr>
      </w:pPr>
    </w:p>
    <w:p w14:paraId="7C331FC6" w14:textId="77777777" w:rsidR="003F42D3" w:rsidRPr="00C501E3" w:rsidRDefault="00016F29" w:rsidP="003F42D3">
      <w:pPr>
        <w:rPr>
          <w:szCs w:val="22"/>
          <w:lang w:val="en-GB"/>
        </w:rPr>
      </w:pPr>
      <w:r w:rsidRPr="00C501E3">
        <w:rPr>
          <w:szCs w:val="22"/>
          <w:lang w:val="en-GB"/>
        </w:rPr>
        <w:t xml:space="preserve">If any doubt exists, further evaluation, including MRI scan preferably with contrast, cerebrospinal fluid (CSF) testing for JC Viral DNA and repeat neurological assessments, should be considered. </w:t>
      </w:r>
    </w:p>
    <w:p w14:paraId="7C331FC7" w14:textId="77777777" w:rsidR="003F42D3" w:rsidRPr="00C501E3" w:rsidRDefault="003F42D3" w:rsidP="003F42D3">
      <w:pPr>
        <w:autoSpaceDE w:val="0"/>
        <w:autoSpaceDN w:val="0"/>
        <w:adjustRightInd w:val="0"/>
        <w:rPr>
          <w:iCs/>
          <w:szCs w:val="22"/>
          <w:lang w:val="en-GB"/>
        </w:rPr>
      </w:pPr>
    </w:p>
    <w:p w14:paraId="7C331FC8" w14:textId="77777777" w:rsidR="003F42D3" w:rsidRPr="00C501E3" w:rsidRDefault="00016F29" w:rsidP="003F42D3">
      <w:pPr>
        <w:keepNext/>
        <w:keepLines/>
        <w:autoSpaceDE w:val="0"/>
        <w:autoSpaceDN w:val="0"/>
        <w:adjustRightInd w:val="0"/>
        <w:rPr>
          <w:szCs w:val="22"/>
          <w:lang w:val="en-GB"/>
        </w:rPr>
      </w:pPr>
      <w:r w:rsidRPr="00C501E3">
        <w:rPr>
          <w:iCs/>
          <w:szCs w:val="22"/>
          <w:lang w:val="en-GB"/>
        </w:rPr>
        <w:t xml:space="preserve">The physician should be particularly alert to symptoms suggestive of PML that the patient may not notice (e.g. cognitive, neurological or psychiatric symptoms). </w:t>
      </w:r>
      <w:r w:rsidRPr="00C501E3">
        <w:rPr>
          <w:szCs w:val="22"/>
          <w:lang w:val="en-GB"/>
        </w:rPr>
        <w:t>Patients should also be advised to inform their partner or caregivers about their treatment, since they may notice symptoms that the patient is not aware of.</w:t>
      </w:r>
    </w:p>
    <w:p w14:paraId="7C331FC9" w14:textId="77777777" w:rsidR="003F42D3" w:rsidRPr="00C501E3" w:rsidRDefault="003F42D3" w:rsidP="003F42D3">
      <w:pPr>
        <w:autoSpaceDE w:val="0"/>
        <w:autoSpaceDN w:val="0"/>
        <w:adjustRightInd w:val="0"/>
        <w:rPr>
          <w:szCs w:val="22"/>
          <w:lang w:val="en-GB"/>
        </w:rPr>
      </w:pPr>
    </w:p>
    <w:p w14:paraId="7C331FCA" w14:textId="77777777" w:rsidR="003F42D3" w:rsidRPr="00C501E3" w:rsidRDefault="00016F29" w:rsidP="003F42D3">
      <w:pPr>
        <w:rPr>
          <w:iCs/>
          <w:szCs w:val="22"/>
          <w:lang w:val="en-GB"/>
        </w:rPr>
      </w:pPr>
      <w:r w:rsidRPr="00C501E3">
        <w:rPr>
          <w:iCs/>
          <w:szCs w:val="22"/>
          <w:lang w:val="en-GB"/>
        </w:rPr>
        <w:t xml:space="preserve">If a patient develops PML, the dosing of MabThera must be permanently discontinued. </w:t>
      </w:r>
    </w:p>
    <w:p w14:paraId="7C331FCB" w14:textId="77777777" w:rsidR="003F42D3" w:rsidRPr="00C501E3" w:rsidRDefault="003F42D3" w:rsidP="003F42D3">
      <w:pPr>
        <w:rPr>
          <w:szCs w:val="22"/>
          <w:lang w:val="en-GB"/>
        </w:rPr>
      </w:pPr>
    </w:p>
    <w:p w14:paraId="7C331FCC" w14:textId="77777777" w:rsidR="003F42D3" w:rsidRPr="00C501E3" w:rsidRDefault="00016F29" w:rsidP="003F42D3">
      <w:pPr>
        <w:outlineLvl w:val="0"/>
        <w:rPr>
          <w:szCs w:val="22"/>
          <w:lang w:val="en-GB"/>
        </w:rPr>
      </w:pPr>
      <w:r w:rsidRPr="00C501E3">
        <w:rPr>
          <w:szCs w:val="22"/>
          <w:lang w:val="en-GB"/>
        </w:rPr>
        <w:t>Following reconstitution of the immune system in immunocompromised patients with PML, stabilisation or improved outcome has been seen. It remains unknown if early detection of PML and suspension of MabThera therapy may lead to similar stabilisation or improved outcome.</w:t>
      </w:r>
    </w:p>
    <w:p w14:paraId="7C331FCD" w14:textId="77777777" w:rsidR="003F42D3" w:rsidRPr="00C501E3" w:rsidRDefault="003F42D3" w:rsidP="003F42D3">
      <w:pPr>
        <w:outlineLvl w:val="0"/>
        <w:rPr>
          <w:b/>
          <w:szCs w:val="22"/>
          <w:lang w:val="en-GB"/>
        </w:rPr>
      </w:pPr>
    </w:p>
    <w:p w14:paraId="7C331FCE" w14:textId="77777777" w:rsidR="003F42D3" w:rsidRPr="00B46193" w:rsidRDefault="00016F29" w:rsidP="00BB33F3">
      <w:pPr>
        <w:keepNext/>
        <w:keepLines/>
        <w:rPr>
          <w:szCs w:val="22"/>
          <w:u w:val="single"/>
          <w:lang w:val="en-GB"/>
        </w:rPr>
      </w:pPr>
      <w:r w:rsidRPr="00B46193">
        <w:rPr>
          <w:szCs w:val="22"/>
          <w:u w:val="single"/>
          <w:lang w:val="en-GB"/>
        </w:rPr>
        <w:t>Infusion/Administration</w:t>
      </w:r>
      <w:r w:rsidR="000A6DDA" w:rsidRPr="00B46193">
        <w:rPr>
          <w:szCs w:val="22"/>
          <w:u w:val="single"/>
          <w:lang w:val="en-GB"/>
        </w:rPr>
        <w:noBreakHyphen/>
      </w:r>
      <w:r w:rsidRPr="00B46193">
        <w:rPr>
          <w:szCs w:val="22"/>
          <w:u w:val="single"/>
          <w:lang w:val="en-GB"/>
        </w:rPr>
        <w:t>related reactions</w:t>
      </w:r>
    </w:p>
    <w:p w14:paraId="7C331FCF" w14:textId="77777777" w:rsidR="003F42D3" w:rsidRPr="00B46193" w:rsidRDefault="003F42D3" w:rsidP="00BB33F3">
      <w:pPr>
        <w:keepNext/>
        <w:keepLines/>
        <w:rPr>
          <w:szCs w:val="22"/>
          <w:lang w:val="en-GB"/>
        </w:rPr>
      </w:pPr>
    </w:p>
    <w:p w14:paraId="7C331FD0" w14:textId="77777777" w:rsidR="003F42D3" w:rsidRPr="00B46193" w:rsidRDefault="00016F29" w:rsidP="00BB33F3">
      <w:pPr>
        <w:keepNext/>
        <w:keepLines/>
        <w:rPr>
          <w:lang w:val="en-GB"/>
        </w:rPr>
      </w:pPr>
      <w:r w:rsidRPr="00B46193">
        <w:rPr>
          <w:lang w:val="en-GB"/>
        </w:rPr>
        <w:t>MabThera is associated with infusion/administration</w:t>
      </w:r>
      <w:r w:rsidR="000A6DDA" w:rsidRPr="00B46193">
        <w:rPr>
          <w:lang w:val="en-GB"/>
        </w:rPr>
        <w:noBreakHyphen/>
      </w:r>
      <w:r w:rsidRPr="00B46193">
        <w:rPr>
          <w:lang w:val="en-GB"/>
        </w:rPr>
        <w:t>related reactions, which may be related to release of cytokines and/or other chemical mediators. Cytokine release syndrome may be clinically indistinguishable from acute hypersensitivity reactions.</w:t>
      </w:r>
    </w:p>
    <w:p w14:paraId="7C331FD1" w14:textId="77777777" w:rsidR="003F42D3" w:rsidRPr="00B46193" w:rsidRDefault="003F42D3" w:rsidP="003F42D3">
      <w:pPr>
        <w:rPr>
          <w:lang w:val="en-GB"/>
        </w:rPr>
      </w:pPr>
    </w:p>
    <w:p w14:paraId="7C331FD2" w14:textId="77777777" w:rsidR="003F42D3" w:rsidRPr="00B46193" w:rsidRDefault="00016F29" w:rsidP="003F42D3">
      <w:pPr>
        <w:rPr>
          <w:lang w:val="en-GB"/>
        </w:rPr>
      </w:pPr>
      <w:r w:rsidRPr="00B46193">
        <w:rPr>
          <w:lang w:val="en-GB"/>
        </w:rPr>
        <w:t>This set of reactions which includes syndrome of cytokine release, tumor lysis syndrome and anaphylactic and hypersensitivity reactions are described below. They are not specifically related to the route of administration of MabThera and can be observed with both formulations.</w:t>
      </w:r>
    </w:p>
    <w:p w14:paraId="7C331FD3" w14:textId="77777777" w:rsidR="003F42D3" w:rsidRPr="00B46193" w:rsidRDefault="003F42D3" w:rsidP="003F42D3">
      <w:pPr>
        <w:rPr>
          <w:lang w:val="en-GB"/>
        </w:rPr>
      </w:pPr>
    </w:p>
    <w:p w14:paraId="7C331FD4" w14:textId="77777777" w:rsidR="003F42D3" w:rsidRPr="00C501E3" w:rsidRDefault="00016F29" w:rsidP="003F42D3">
      <w:pPr>
        <w:rPr>
          <w:rFonts w:cs="Arial"/>
          <w:lang w:val="en-GB"/>
        </w:rPr>
      </w:pPr>
      <w:r w:rsidRPr="00B46193">
        <w:rPr>
          <w:lang w:val="en-GB"/>
        </w:rPr>
        <w:t>Severe infusion</w:t>
      </w:r>
      <w:r w:rsidR="000A6DDA" w:rsidRPr="00B46193">
        <w:rPr>
          <w:lang w:val="en-GB"/>
        </w:rPr>
        <w:noBreakHyphen/>
      </w:r>
      <w:r w:rsidRPr="00B46193">
        <w:rPr>
          <w:lang w:val="en-GB"/>
        </w:rPr>
        <w:t>related reactions with fatal outcome have been reported during post</w:t>
      </w:r>
      <w:r w:rsidR="000A6DDA" w:rsidRPr="00B46193">
        <w:rPr>
          <w:lang w:val="en-GB"/>
        </w:rPr>
        <w:noBreakHyphen/>
      </w:r>
      <w:r w:rsidRPr="00B46193">
        <w:rPr>
          <w:lang w:val="en-GB"/>
        </w:rPr>
        <w:t>marketing use</w:t>
      </w:r>
      <w:r w:rsidRPr="00C501E3">
        <w:rPr>
          <w:lang w:val="en-GB"/>
        </w:rPr>
        <w:t xml:space="preserve"> of the MabThera intravenous formulation, with an onset ranging within 30 minutes to 2 hours after starting the first </w:t>
      </w:r>
      <w:r w:rsidRPr="001A72EB">
        <w:rPr>
          <w:lang w:val="en-GB"/>
        </w:rPr>
        <w:t xml:space="preserve">MabThera </w:t>
      </w:r>
      <w:r w:rsidR="006071D8" w:rsidRPr="001A72EB">
        <w:rPr>
          <w:lang w:val="en-GB"/>
        </w:rPr>
        <w:t xml:space="preserve">intravenous </w:t>
      </w:r>
      <w:r w:rsidRPr="001A72EB">
        <w:rPr>
          <w:lang w:val="en-GB"/>
        </w:rPr>
        <w:t>infusion</w:t>
      </w:r>
      <w:r w:rsidRPr="00C501E3">
        <w:rPr>
          <w:lang w:val="en-GB"/>
        </w:rPr>
        <w:t>. They were characterized by pulmonary events and in some cases included rapid tumour lysis and features of tumour lysis syndrome in addition to fever, chills, rigors, hypotension, urticaria, angioedema and other symptoms (see section 4.8).</w:t>
      </w:r>
    </w:p>
    <w:p w14:paraId="7C331FD5" w14:textId="77777777" w:rsidR="003F42D3" w:rsidRPr="00C501E3" w:rsidRDefault="003F42D3" w:rsidP="003F42D3">
      <w:pPr>
        <w:rPr>
          <w:szCs w:val="22"/>
          <w:lang w:val="en-GB"/>
        </w:rPr>
      </w:pPr>
    </w:p>
    <w:p w14:paraId="7C331FD6" w14:textId="77777777" w:rsidR="003F42D3" w:rsidRPr="00C501E3" w:rsidRDefault="00016F29" w:rsidP="003F42D3">
      <w:pPr>
        <w:rPr>
          <w:szCs w:val="22"/>
          <w:lang w:val="en-GB"/>
        </w:rPr>
      </w:pPr>
      <w:r w:rsidRPr="00C501E3">
        <w:rPr>
          <w:szCs w:val="22"/>
          <w:lang w:val="en-GB"/>
        </w:rPr>
        <w:t xml:space="preserve">Severe cytokine release syndrome is characterised by severe dyspnea, often accompanied by bronchospasm and hypoxia, in addition to fever, chills, rigors, urticaria, and angioedema. This syndrome may be associated with some features of tumour lysis syndrome such as hyperuricaemia, hyperkalaemia, hypocalcaemia, hyperphosphaetemia, acute renal failure, elevated lactate dehydrogenase (LDH) and may be associated with acute respiratory failure and death. The acute respiratory failure may be accompanied by events such as pulmonary interstitial infiltration or oedema, </w:t>
      </w:r>
      <w:r w:rsidRPr="00B46193">
        <w:rPr>
          <w:szCs w:val="22"/>
          <w:lang w:val="en-GB"/>
        </w:rPr>
        <w:t>visible on a chest X</w:t>
      </w:r>
      <w:r w:rsidR="000A6DDA" w:rsidRPr="00B46193">
        <w:rPr>
          <w:szCs w:val="22"/>
          <w:lang w:val="en-GB"/>
        </w:rPr>
        <w:noBreakHyphen/>
      </w:r>
      <w:r w:rsidRPr="00B46193">
        <w:rPr>
          <w:szCs w:val="22"/>
          <w:lang w:val="en-GB"/>
        </w:rPr>
        <w:t>ray. The syndrome frequently manifests itself within one or two hours of</w:t>
      </w:r>
      <w:r w:rsidRPr="00C501E3">
        <w:rPr>
          <w:szCs w:val="22"/>
          <w:lang w:val="en-GB"/>
        </w:rPr>
        <w:t xml:space="preserve"> initiating the first infusion. Patients with a history of pulmonary insufficiency or those with pulmonary tumour infiltration may be at greater risk of poor outcome and should be treated with increased caution. Patients who develop severe cytokine release syndrome should have their infusion interrupted immediately (see section 4.2) and should receive aggressive symptomatic treatment. Since initial improvement of clinical symptoms may be followed by deterioration, these patients should be closely monitored until tumour lysis syndrome and pulmonary infiltration have been resolved or ruled out. Further treatment of patients after complete resolution of signs and symptoms has rarely resulted in repeated severe cytokine release syndrome. </w:t>
      </w:r>
    </w:p>
    <w:p w14:paraId="7C331FD7" w14:textId="77777777" w:rsidR="003F42D3" w:rsidRPr="00C501E3" w:rsidRDefault="003F42D3" w:rsidP="003F42D3">
      <w:pPr>
        <w:keepNext/>
        <w:jc w:val="both"/>
        <w:rPr>
          <w:rFonts w:cs="Arial"/>
          <w:color w:val="222222"/>
          <w:shd w:val="clear" w:color="auto" w:fill="FFFFFF"/>
          <w:lang w:val="en-GB"/>
        </w:rPr>
      </w:pPr>
    </w:p>
    <w:p w14:paraId="7C331FD8" w14:textId="77777777" w:rsidR="003F42D3" w:rsidRPr="00C501E3" w:rsidRDefault="00016F29" w:rsidP="00BB33F3">
      <w:pPr>
        <w:keepNext/>
        <w:rPr>
          <w:szCs w:val="22"/>
          <w:lang w:val="en-GB"/>
        </w:rPr>
      </w:pPr>
      <w:r w:rsidRPr="001A72EB">
        <w:rPr>
          <w:szCs w:val="22"/>
          <w:lang w:val="en-GB"/>
        </w:rPr>
        <w:t>Patients with a high tumour burden or with a high number (≥25 x 10</w:t>
      </w:r>
      <w:r w:rsidRPr="001A72EB">
        <w:rPr>
          <w:szCs w:val="22"/>
          <w:vertAlign w:val="superscript"/>
          <w:lang w:val="en-GB"/>
        </w:rPr>
        <w:t>9</w:t>
      </w:r>
      <w:r w:rsidRPr="001A72EB">
        <w:rPr>
          <w:szCs w:val="22"/>
          <w:lang w:val="en-GB"/>
        </w:rPr>
        <w:t xml:space="preserve">/L) of circulating malignant cells, </w:t>
      </w:r>
      <w:r w:rsidR="006D18AE" w:rsidRPr="001A72EB">
        <w:rPr>
          <w:szCs w:val="22"/>
          <w:lang w:val="en-GB"/>
        </w:rPr>
        <w:t xml:space="preserve">such as patients with CLL </w:t>
      </w:r>
      <w:r w:rsidRPr="001A72EB">
        <w:rPr>
          <w:szCs w:val="22"/>
          <w:lang w:val="en-GB"/>
        </w:rPr>
        <w:t>who may be at higher risk of especially severe cytokine release syndrome, should be</w:t>
      </w:r>
      <w:r w:rsidRPr="00C501E3">
        <w:rPr>
          <w:szCs w:val="22"/>
          <w:lang w:val="en-GB"/>
        </w:rPr>
        <w:t xml:space="preserve"> treated with extreme caution. These patients should be very closely monitored throughout the first infusion. Consideration should be given to the use of a reduced infusion rate for the first infusion in these patients or a split dosing over two days during the first cycle</w:t>
      </w:r>
      <w:r w:rsidRPr="00C501E3">
        <w:rPr>
          <w:lang w:val="en-GB"/>
        </w:rPr>
        <w:t xml:space="preserve"> and any subsequent cycles if the lymphocyte count is still &gt;25 x 10</w:t>
      </w:r>
      <w:r w:rsidRPr="00C501E3">
        <w:rPr>
          <w:vertAlign w:val="superscript"/>
          <w:lang w:val="en-GB"/>
        </w:rPr>
        <w:t>9</w:t>
      </w:r>
      <w:r w:rsidRPr="00C501E3">
        <w:rPr>
          <w:lang w:val="en-GB"/>
        </w:rPr>
        <w:t>/L</w:t>
      </w:r>
      <w:r w:rsidRPr="00C501E3">
        <w:rPr>
          <w:szCs w:val="22"/>
          <w:lang w:val="en-GB"/>
        </w:rPr>
        <w:t>.</w:t>
      </w:r>
    </w:p>
    <w:p w14:paraId="7C331FD9" w14:textId="77777777" w:rsidR="003F42D3" w:rsidRPr="00C501E3" w:rsidRDefault="003F42D3" w:rsidP="003F42D3">
      <w:pPr>
        <w:keepNext/>
        <w:jc w:val="both"/>
        <w:rPr>
          <w:rFonts w:cs="Arial"/>
          <w:color w:val="222222"/>
          <w:shd w:val="clear" w:color="auto" w:fill="FFFFFF"/>
          <w:lang w:val="en-GB"/>
        </w:rPr>
      </w:pPr>
    </w:p>
    <w:p w14:paraId="7C331FDA" w14:textId="77777777" w:rsidR="003F42D3" w:rsidRPr="00C501E3" w:rsidRDefault="00016F29" w:rsidP="003F42D3">
      <w:pPr>
        <w:rPr>
          <w:szCs w:val="22"/>
          <w:lang w:val="en-GB"/>
        </w:rPr>
      </w:pPr>
      <w:r w:rsidRPr="00C501E3">
        <w:rPr>
          <w:szCs w:val="22"/>
          <w:lang w:val="en-GB"/>
        </w:rPr>
        <w:t>Anaphylactic and other hypersensitivity reactions have been reported following the intravenous administration of proteins to patients. In contrast to cytokine release syndrome, true hypersensitivity reactions typically occur within minutes after starting infusion. Medicinal products for the treatment of hypersensitivity reactions, e.g., epinephrine (adrenaline), antihistamines and glucocorticoids, should be available for immediate use in the event of an allergic reaction during administration of MabThera. Clinical manifestations of anaphylaxis may appear similar to clinical manifestations of the cytokine release syndrome (described above). Reactions attributed to hypersensitivity have been reported less frequently than those attributed to cytokine release.</w:t>
      </w:r>
    </w:p>
    <w:p w14:paraId="7C331FDB" w14:textId="77777777" w:rsidR="003F42D3" w:rsidRPr="00C501E3" w:rsidRDefault="003F42D3" w:rsidP="003F42D3">
      <w:pPr>
        <w:keepNext/>
        <w:jc w:val="both"/>
        <w:rPr>
          <w:rFonts w:cs="Arial"/>
          <w:color w:val="222222"/>
          <w:shd w:val="clear" w:color="auto" w:fill="FFFFFF"/>
          <w:lang w:val="en-GB"/>
        </w:rPr>
      </w:pPr>
    </w:p>
    <w:p w14:paraId="7C331FDC" w14:textId="77777777" w:rsidR="003F42D3" w:rsidRPr="00C501E3" w:rsidRDefault="00016F29" w:rsidP="003F42D3">
      <w:pPr>
        <w:rPr>
          <w:szCs w:val="22"/>
          <w:lang w:val="en-GB"/>
        </w:rPr>
      </w:pPr>
      <w:r w:rsidRPr="00C501E3">
        <w:rPr>
          <w:szCs w:val="22"/>
          <w:lang w:val="en-GB"/>
        </w:rPr>
        <w:t>Additional reactions reported in some cases were myocardial infarction, atrial fibrillation, pulmonary oedema and acute reversible thrombocytopenia.</w:t>
      </w:r>
    </w:p>
    <w:p w14:paraId="7C331FDD" w14:textId="77777777" w:rsidR="003F42D3" w:rsidRPr="00C501E3" w:rsidRDefault="003F42D3" w:rsidP="003F42D3">
      <w:pPr>
        <w:rPr>
          <w:szCs w:val="22"/>
          <w:lang w:val="en-GB"/>
        </w:rPr>
      </w:pPr>
    </w:p>
    <w:p w14:paraId="7C331FDE" w14:textId="77777777" w:rsidR="003F42D3" w:rsidRPr="00893A69" w:rsidRDefault="00016F29" w:rsidP="005B2928">
      <w:pPr>
        <w:keepNext/>
        <w:rPr>
          <w:color w:val="222222"/>
          <w:shd w:val="clear" w:color="auto" w:fill="FFFFFF"/>
          <w:lang w:val="en-GB"/>
        </w:rPr>
      </w:pPr>
      <w:r w:rsidRPr="00893A69">
        <w:rPr>
          <w:szCs w:val="22"/>
          <w:lang w:val="en-GB"/>
        </w:rPr>
        <w:t>Since hypotension may occur during MabThera administration, consideration should be given to withholding anti</w:t>
      </w:r>
      <w:r w:rsidR="000A6DDA" w:rsidRPr="00893A69">
        <w:rPr>
          <w:szCs w:val="22"/>
          <w:lang w:val="en-GB"/>
        </w:rPr>
        <w:noBreakHyphen/>
      </w:r>
      <w:r w:rsidRPr="00893A69">
        <w:rPr>
          <w:szCs w:val="22"/>
          <w:lang w:val="en-GB"/>
        </w:rPr>
        <w:t>hypertensive medicines 12 hours prior to giving MabThera.</w:t>
      </w:r>
    </w:p>
    <w:p w14:paraId="7C331FDF" w14:textId="77777777" w:rsidR="003F42D3" w:rsidRPr="00893A69" w:rsidRDefault="003F42D3" w:rsidP="003F42D3">
      <w:pPr>
        <w:keepNext/>
        <w:jc w:val="both"/>
        <w:rPr>
          <w:color w:val="222222"/>
          <w:shd w:val="clear" w:color="auto" w:fill="FFFFFF"/>
          <w:lang w:val="en-GB"/>
        </w:rPr>
      </w:pPr>
    </w:p>
    <w:p w14:paraId="7C331FE0" w14:textId="77777777" w:rsidR="003F42D3" w:rsidRPr="00893A69" w:rsidRDefault="00016F29" w:rsidP="00BB33F3">
      <w:pPr>
        <w:keepNext/>
        <w:rPr>
          <w:szCs w:val="22"/>
          <w:lang w:val="en-GB"/>
        </w:rPr>
      </w:pPr>
      <w:r w:rsidRPr="00893A69">
        <w:rPr>
          <w:szCs w:val="22"/>
          <w:lang w:val="en-GB"/>
        </w:rPr>
        <w:t>Infusion related adverse reactions of all kinds have been observed in 77% of patients treated with MabThera intravenous formulation (including cytokine release syndrome accompanied by hypotension and bronchospasm in 10 % of patients) see section 4.8. These symptoms are usually reversible with interruption of MabThera infusion and administration of an anti</w:t>
      </w:r>
      <w:r w:rsidR="000A6DDA" w:rsidRPr="00893A69">
        <w:rPr>
          <w:szCs w:val="22"/>
          <w:lang w:val="en-GB"/>
        </w:rPr>
        <w:noBreakHyphen/>
      </w:r>
      <w:r w:rsidRPr="00893A69">
        <w:rPr>
          <w:szCs w:val="22"/>
          <w:lang w:val="en-GB"/>
        </w:rPr>
        <w:t>pyretic, an antihistaminic, and, occasionally, oxygen, intravenous saline or bronchodilators, and glucocorticoids if required. Please see cytokine release syndrome above for severe reactions.</w:t>
      </w:r>
    </w:p>
    <w:p w14:paraId="7C331FE1" w14:textId="77777777" w:rsidR="003F42D3" w:rsidRPr="00C501E3" w:rsidRDefault="003F42D3" w:rsidP="00BB33F3">
      <w:pPr>
        <w:keepNext/>
        <w:rPr>
          <w:rFonts w:cs="Arial"/>
          <w:color w:val="222222"/>
          <w:shd w:val="clear" w:color="auto" w:fill="FFFFFF"/>
          <w:lang w:val="en-GB"/>
        </w:rPr>
      </w:pPr>
    </w:p>
    <w:p w14:paraId="7C331FE2" w14:textId="77777777" w:rsidR="003F42D3" w:rsidRPr="00C501E3" w:rsidRDefault="00016F29" w:rsidP="001A72EB">
      <w:pPr>
        <w:rPr>
          <w:lang w:val="en-GB"/>
        </w:rPr>
      </w:pPr>
      <w:r w:rsidRPr="001A72EB">
        <w:rPr>
          <w:lang w:val="en-GB"/>
        </w:rPr>
        <w:t xml:space="preserve">Administration related reactions have been observed in up to 50% of patients treated with </w:t>
      </w:r>
      <w:r w:rsidR="00B23AA1" w:rsidRPr="00941759">
        <w:rPr>
          <w:shd w:val="clear" w:color="auto" w:fill="FFFFFF"/>
          <w:lang w:val="en-GB"/>
        </w:rPr>
        <w:t>MabThera</w:t>
      </w:r>
      <w:r w:rsidR="00B23AA1" w:rsidRPr="001A72EB">
        <w:rPr>
          <w:lang w:val="en-GB"/>
        </w:rPr>
        <w:t xml:space="preserve"> </w:t>
      </w:r>
      <w:r w:rsidRPr="001A72EB">
        <w:rPr>
          <w:lang w:val="en-GB"/>
        </w:rPr>
        <w:t xml:space="preserve">subcutaneous formulation in clinical trials. The reactions occurring within 24 hours of the subcutaneous injection consisted primarily of erythema pruritus, rash and injections site reactions such as pain, swelling and redness and were generally of mild or moderate (grade 1 or 2) and transient </w:t>
      </w:r>
      <w:r w:rsidRPr="00941759">
        <w:rPr>
          <w:shd w:val="clear" w:color="auto" w:fill="FFFFFF"/>
          <w:lang w:val="en-GB"/>
        </w:rPr>
        <w:t>nature</w:t>
      </w:r>
      <w:r w:rsidR="00F665F0" w:rsidRPr="00941759">
        <w:rPr>
          <w:shd w:val="clear" w:color="auto" w:fill="FFFFFF"/>
          <w:lang w:val="en-GB"/>
        </w:rPr>
        <w:t xml:space="preserve"> (see section 4.8)</w:t>
      </w:r>
      <w:r w:rsidRPr="00941759">
        <w:rPr>
          <w:shd w:val="clear" w:color="auto" w:fill="FFFFFF"/>
          <w:lang w:val="en-GB"/>
        </w:rPr>
        <w:t>.</w:t>
      </w:r>
    </w:p>
    <w:p w14:paraId="7C331FE3" w14:textId="77777777" w:rsidR="003F42D3" w:rsidRPr="00C501E3" w:rsidRDefault="003F42D3" w:rsidP="003F42D3">
      <w:pPr>
        <w:rPr>
          <w:b/>
          <w:lang w:val="en-GB"/>
        </w:rPr>
      </w:pPr>
    </w:p>
    <w:p w14:paraId="7C331FE4" w14:textId="77777777" w:rsidR="003F42D3" w:rsidRPr="00C501E3" w:rsidRDefault="00016F29" w:rsidP="005B2928">
      <w:pPr>
        <w:keepNext/>
        <w:rPr>
          <w:szCs w:val="22"/>
          <w:lang w:val="en-GB"/>
        </w:rPr>
      </w:pPr>
      <w:r w:rsidRPr="00C501E3">
        <w:rPr>
          <w:lang w:val="en-GB"/>
        </w:rPr>
        <w:t>Local cutaneous reactions were very common in patients receiving MabThera subcutaneous in clinical trials</w:t>
      </w:r>
      <w:r w:rsidR="007152D5">
        <w:rPr>
          <w:lang w:val="en-GB"/>
        </w:rPr>
        <w:t>.</w:t>
      </w:r>
      <w:r w:rsidRPr="00C501E3">
        <w:rPr>
          <w:lang w:val="en-GB"/>
        </w:rPr>
        <w:t xml:space="preserve"> Symptoms included pain, swelling, induration, haemorrhage, erythema, pruritus and rash (see section 4.8). Some local cutaneous reactions occurred more than 24 hours after the </w:t>
      </w:r>
      <w:r w:rsidRPr="00C501E3">
        <w:rPr>
          <w:szCs w:val="22"/>
          <w:lang w:val="en-GB"/>
        </w:rPr>
        <w:t xml:space="preserve">MabThera subcutaneous </w:t>
      </w:r>
      <w:r w:rsidRPr="00C501E3">
        <w:rPr>
          <w:lang w:val="en-GB"/>
        </w:rPr>
        <w:t>administration. The majority of local cutaneous reactions seen following administration of MabThera subcutaneous formulation was mild or moderate and resolved without any specific treatment</w:t>
      </w:r>
      <w:r w:rsidRPr="00C501E3">
        <w:rPr>
          <w:szCs w:val="22"/>
          <w:lang w:val="en-GB"/>
        </w:rPr>
        <w:t>.</w:t>
      </w:r>
    </w:p>
    <w:p w14:paraId="7C331FE5" w14:textId="77777777" w:rsidR="003F42D3" w:rsidRPr="00C501E3" w:rsidRDefault="003F42D3" w:rsidP="005B2928">
      <w:pPr>
        <w:keepNext/>
        <w:rPr>
          <w:rFonts w:cs="Arial"/>
          <w:color w:val="222222"/>
          <w:shd w:val="clear" w:color="auto" w:fill="FFFFFF"/>
          <w:lang w:val="en-GB"/>
        </w:rPr>
      </w:pPr>
    </w:p>
    <w:p w14:paraId="7C331FE6" w14:textId="77777777" w:rsidR="003F42D3" w:rsidRPr="000C317D" w:rsidRDefault="00016F29" w:rsidP="005B2928">
      <w:pPr>
        <w:keepNext/>
        <w:rPr>
          <w:szCs w:val="22"/>
          <w:lang w:val="en-GB"/>
        </w:rPr>
      </w:pPr>
      <w:r w:rsidRPr="000C317D">
        <w:rPr>
          <w:rFonts w:cs="Arial"/>
          <w:shd w:val="clear" w:color="auto" w:fill="FFFFFF"/>
          <w:lang w:val="en-GB"/>
        </w:rPr>
        <w:t>Before starting MabThera subcutaneous injections, all patients must always receive beforehand, a full dose of MabThera by intravenous infusion, using MabThera intravenous formulation. The highest risk of experiencing an administration related reaction is generally observed at cycle one. Beginning the therapy with MabThera intravenous infusion would allow a better handling of the administration reactions by slowing or stopping the intravenous infusion. </w:t>
      </w:r>
    </w:p>
    <w:p w14:paraId="7C331FE7" w14:textId="77777777" w:rsidR="003F42D3" w:rsidRPr="00C501E3" w:rsidRDefault="003F42D3" w:rsidP="003F42D3">
      <w:pPr>
        <w:keepNext/>
        <w:jc w:val="both"/>
        <w:rPr>
          <w:szCs w:val="22"/>
          <w:lang w:val="en-GB"/>
        </w:rPr>
      </w:pPr>
    </w:p>
    <w:p w14:paraId="7C331FE8" w14:textId="77777777" w:rsidR="003F42D3" w:rsidRPr="00C501E3" w:rsidRDefault="00016F29" w:rsidP="003F42D3">
      <w:pPr>
        <w:rPr>
          <w:sz w:val="24"/>
          <w:szCs w:val="24"/>
          <w:lang w:val="en-GB" w:eastAsia="en-US"/>
        </w:rPr>
      </w:pPr>
      <w:r w:rsidRPr="00C501E3">
        <w:rPr>
          <w:szCs w:val="22"/>
          <w:lang w:val="en-GB"/>
        </w:rPr>
        <w:t>If patients were not able to receive one full MabThera intravenous infusion dose prior to the switch, they should continue the subsequent cycles with MabThera intravenous formulation until a full intravenous dose is successfully administered. Therefore, the switch to MabThera subcutaneous formulation can only occur at the second or subsequent cycles of treatment.</w:t>
      </w:r>
    </w:p>
    <w:p w14:paraId="7C331FE9" w14:textId="77777777" w:rsidR="003F42D3" w:rsidRPr="00C501E3" w:rsidRDefault="003F42D3" w:rsidP="003F42D3">
      <w:pPr>
        <w:rPr>
          <w:rFonts w:eastAsia="SimSun"/>
          <w:szCs w:val="22"/>
          <w:lang w:val="en-GB" w:eastAsia="zh-CN"/>
        </w:rPr>
      </w:pPr>
    </w:p>
    <w:p w14:paraId="7C331FEA" w14:textId="77777777" w:rsidR="003F42D3" w:rsidRPr="00C501E3" w:rsidRDefault="00016F29" w:rsidP="003F42D3">
      <w:pPr>
        <w:rPr>
          <w:rFonts w:eastAsia="SimSun"/>
          <w:szCs w:val="22"/>
          <w:lang w:val="en-GB" w:eastAsia="zh-CN"/>
        </w:rPr>
      </w:pPr>
      <w:r w:rsidRPr="00C501E3">
        <w:rPr>
          <w:rFonts w:eastAsia="SimSun"/>
          <w:szCs w:val="22"/>
          <w:lang w:val="en-GB" w:eastAsia="zh-CN"/>
        </w:rPr>
        <w:t xml:space="preserve">As with the intravenous formulation, MabThera </w:t>
      </w:r>
      <w:r w:rsidRPr="00C501E3">
        <w:rPr>
          <w:bCs/>
          <w:iCs/>
          <w:szCs w:val="22"/>
          <w:lang w:val="en-GB"/>
        </w:rPr>
        <w:t xml:space="preserve">subcutaneous formulation </w:t>
      </w:r>
      <w:r w:rsidRPr="00C501E3">
        <w:rPr>
          <w:rFonts w:eastAsia="SimSun"/>
          <w:szCs w:val="22"/>
          <w:lang w:val="en-GB" w:eastAsia="zh-CN"/>
        </w:rPr>
        <w:t xml:space="preserve">should be administered in an environment where full resuscitation facilities are immediately available and under the close supervision of an experienced healthcare professional. Premedication consisting of an analgesic/antipyretic and an antihistamine should always be administered before each dose of MabThera </w:t>
      </w:r>
      <w:r w:rsidRPr="00C501E3">
        <w:rPr>
          <w:bCs/>
          <w:iCs/>
          <w:szCs w:val="22"/>
          <w:lang w:val="en-GB"/>
        </w:rPr>
        <w:t>subcutaneous formulation</w:t>
      </w:r>
      <w:r w:rsidRPr="00C501E3">
        <w:rPr>
          <w:rFonts w:eastAsia="SimSun"/>
          <w:szCs w:val="22"/>
          <w:lang w:val="en-GB" w:eastAsia="zh-CN"/>
        </w:rPr>
        <w:t>. Premedication with glucocorticoids should also be considered.</w:t>
      </w:r>
    </w:p>
    <w:p w14:paraId="7C331FEB" w14:textId="77777777" w:rsidR="003F42D3" w:rsidRPr="00C501E3" w:rsidRDefault="003F42D3" w:rsidP="003F42D3">
      <w:pPr>
        <w:jc w:val="both"/>
        <w:rPr>
          <w:rFonts w:eastAsia="SimSun"/>
          <w:szCs w:val="22"/>
          <w:lang w:val="en-GB" w:eastAsia="zh-CN"/>
        </w:rPr>
      </w:pPr>
    </w:p>
    <w:p w14:paraId="7C331FEC" w14:textId="77777777" w:rsidR="003F42D3" w:rsidRPr="00C501E3" w:rsidRDefault="00016F29" w:rsidP="003F42D3">
      <w:pPr>
        <w:rPr>
          <w:rFonts w:eastAsia="SimSun"/>
          <w:szCs w:val="22"/>
          <w:lang w:val="en-GB" w:eastAsia="zh-CN"/>
        </w:rPr>
      </w:pPr>
      <w:r w:rsidRPr="00C501E3">
        <w:rPr>
          <w:rFonts w:cs="Arial"/>
          <w:bCs/>
          <w:iCs/>
          <w:color w:val="222222"/>
          <w:szCs w:val="22"/>
          <w:shd w:val="clear" w:color="auto" w:fill="FFFFFF"/>
          <w:lang w:val="en-GB"/>
        </w:rPr>
        <w:t>Patients should be observed for at least 15 minutes following MabThera subcutaneous administration. A longer period may be appropriate in patients with an increased risk of hypersensitivity reactions.</w:t>
      </w:r>
    </w:p>
    <w:p w14:paraId="7C331FED" w14:textId="77777777" w:rsidR="003F42D3" w:rsidRPr="00C501E3" w:rsidRDefault="003F42D3" w:rsidP="003F42D3">
      <w:pPr>
        <w:rPr>
          <w:rFonts w:eastAsia="SimSun"/>
          <w:szCs w:val="22"/>
          <w:lang w:val="en-GB" w:eastAsia="zh-CN"/>
        </w:rPr>
      </w:pPr>
    </w:p>
    <w:p w14:paraId="7C331FEE" w14:textId="77777777" w:rsidR="003F42D3" w:rsidRPr="00C501E3" w:rsidRDefault="00016F29" w:rsidP="003F42D3">
      <w:pPr>
        <w:rPr>
          <w:rFonts w:cs="Arial"/>
          <w:bCs/>
          <w:iCs/>
          <w:color w:val="222222"/>
          <w:szCs w:val="22"/>
          <w:shd w:val="clear" w:color="auto" w:fill="FFFFFF"/>
          <w:lang w:val="en-GB"/>
        </w:rPr>
      </w:pPr>
      <w:r w:rsidRPr="00C501E3">
        <w:rPr>
          <w:rFonts w:cs="Arial"/>
          <w:bCs/>
          <w:iCs/>
          <w:color w:val="222222"/>
          <w:szCs w:val="22"/>
          <w:lang w:val="en-GB"/>
        </w:rPr>
        <w:t>Patients should be instructed to contact their treating physician immediately if symptoms that are suggestive of severe hypersensitivity or cytokine release syndrome occur at any time after medicinal product administration.</w:t>
      </w:r>
    </w:p>
    <w:p w14:paraId="7C331FEF" w14:textId="77777777" w:rsidR="003F42D3" w:rsidRPr="00C501E3" w:rsidRDefault="003F42D3" w:rsidP="003F42D3">
      <w:pPr>
        <w:rPr>
          <w:szCs w:val="22"/>
          <w:lang w:val="en-GB"/>
        </w:rPr>
      </w:pPr>
    </w:p>
    <w:p w14:paraId="7C331FF0" w14:textId="77777777" w:rsidR="003F42D3" w:rsidRPr="00C501E3" w:rsidRDefault="00016F29" w:rsidP="003F42D3">
      <w:pPr>
        <w:rPr>
          <w:szCs w:val="22"/>
          <w:u w:val="single"/>
          <w:lang w:val="en-GB"/>
        </w:rPr>
      </w:pPr>
      <w:r w:rsidRPr="00C501E3">
        <w:rPr>
          <w:szCs w:val="22"/>
          <w:u w:val="single"/>
          <w:lang w:val="en-GB"/>
        </w:rPr>
        <w:t>Cardiac disorders</w:t>
      </w:r>
    </w:p>
    <w:p w14:paraId="7C331FF1" w14:textId="77777777" w:rsidR="003F42D3" w:rsidRPr="00C501E3" w:rsidRDefault="003F42D3" w:rsidP="003F42D3">
      <w:pPr>
        <w:rPr>
          <w:i/>
          <w:szCs w:val="22"/>
          <w:lang w:val="en-GB"/>
        </w:rPr>
      </w:pPr>
    </w:p>
    <w:p w14:paraId="7C331FF2" w14:textId="77777777" w:rsidR="003F42D3" w:rsidRPr="00C501E3" w:rsidRDefault="00016F29" w:rsidP="003F42D3">
      <w:pPr>
        <w:rPr>
          <w:szCs w:val="22"/>
          <w:lang w:val="en-GB"/>
        </w:rPr>
      </w:pPr>
      <w:r w:rsidRPr="00C501E3">
        <w:rPr>
          <w:szCs w:val="22"/>
          <w:lang w:val="en-GB"/>
        </w:rPr>
        <w:t>Angina pectoris, cardiac arrhythmias</w:t>
      </w:r>
      <w:r w:rsidRPr="00C501E3">
        <w:rPr>
          <w:b/>
          <w:szCs w:val="22"/>
          <w:lang w:val="en-GB"/>
        </w:rPr>
        <w:t xml:space="preserve"> </w:t>
      </w:r>
      <w:r w:rsidRPr="00C501E3">
        <w:rPr>
          <w:szCs w:val="22"/>
          <w:lang w:val="en-GB"/>
        </w:rPr>
        <w:t>such as atrial flutter and fibrillation, heart failure and/or myocardial infarction have occurred in patients treated with MabThera. Therefore patients with a history of cardiac disease and/or cardiotoxic chemotherapy should be monitored closely.</w:t>
      </w:r>
    </w:p>
    <w:p w14:paraId="7C331FF3" w14:textId="77777777" w:rsidR="003F42D3" w:rsidRPr="00C501E3" w:rsidRDefault="003F42D3" w:rsidP="003F42D3">
      <w:pPr>
        <w:rPr>
          <w:b/>
          <w:szCs w:val="22"/>
          <w:lang w:val="en-GB"/>
        </w:rPr>
      </w:pPr>
    </w:p>
    <w:p w14:paraId="7C331FF4" w14:textId="77777777" w:rsidR="003F42D3" w:rsidRPr="00C501E3" w:rsidRDefault="00016F29" w:rsidP="00AA7B51">
      <w:pPr>
        <w:keepNext/>
        <w:keepLines/>
        <w:rPr>
          <w:szCs w:val="22"/>
          <w:u w:val="single"/>
          <w:lang w:val="en-GB"/>
        </w:rPr>
      </w:pPr>
      <w:r w:rsidRPr="00C501E3">
        <w:rPr>
          <w:szCs w:val="22"/>
          <w:u w:val="single"/>
          <w:lang w:val="en-GB"/>
        </w:rPr>
        <w:t>Haematological toxicities</w:t>
      </w:r>
    </w:p>
    <w:p w14:paraId="7C331FF5" w14:textId="77777777" w:rsidR="003F42D3" w:rsidRPr="00C501E3" w:rsidRDefault="003F42D3" w:rsidP="00AA7B51">
      <w:pPr>
        <w:keepNext/>
        <w:keepLines/>
        <w:rPr>
          <w:i/>
          <w:szCs w:val="22"/>
          <w:lang w:val="en-GB"/>
        </w:rPr>
      </w:pPr>
    </w:p>
    <w:p w14:paraId="7C331FF6" w14:textId="77777777" w:rsidR="003F42D3" w:rsidRPr="00C501E3" w:rsidRDefault="00016F29" w:rsidP="00AA7B51">
      <w:pPr>
        <w:keepNext/>
        <w:keepLines/>
        <w:rPr>
          <w:szCs w:val="22"/>
          <w:lang w:val="en-GB"/>
        </w:rPr>
      </w:pPr>
      <w:r w:rsidRPr="00C501E3">
        <w:rPr>
          <w:szCs w:val="22"/>
          <w:lang w:val="en-GB"/>
        </w:rPr>
        <w:t>Although MabThera is not myelosuppressive in monotherapy, caution should be exercised when considering treatment of patients with neutrophils &lt; 1.5 x 10</w:t>
      </w:r>
      <w:r w:rsidRPr="00C501E3">
        <w:rPr>
          <w:szCs w:val="22"/>
          <w:vertAlign w:val="superscript"/>
          <w:lang w:val="en-GB"/>
        </w:rPr>
        <w:t>9</w:t>
      </w:r>
      <w:r w:rsidRPr="00C501E3">
        <w:rPr>
          <w:szCs w:val="22"/>
          <w:lang w:val="en-GB"/>
        </w:rPr>
        <w:t>/L and/or platelet counts &lt; 75 x 10</w:t>
      </w:r>
      <w:r w:rsidRPr="00C501E3">
        <w:rPr>
          <w:szCs w:val="22"/>
          <w:vertAlign w:val="superscript"/>
          <w:lang w:val="en-GB"/>
        </w:rPr>
        <w:t>9</w:t>
      </w:r>
      <w:r w:rsidRPr="00C501E3">
        <w:rPr>
          <w:szCs w:val="22"/>
          <w:lang w:val="en-GB"/>
        </w:rPr>
        <w:t>/L as clinical experience in this population is limited</w:t>
      </w:r>
      <w:r w:rsidRPr="00C501E3">
        <w:rPr>
          <w:i/>
          <w:szCs w:val="22"/>
          <w:lang w:val="en-GB"/>
        </w:rPr>
        <w:t xml:space="preserve">. </w:t>
      </w:r>
      <w:r w:rsidRPr="00C501E3">
        <w:rPr>
          <w:szCs w:val="22"/>
          <w:lang w:val="en-GB"/>
        </w:rPr>
        <w:t>The MabThera intravenous formulation has been used in 21 patients who underwent autologous bone marrow transplantation and other risk groups with a presumable reduced bone marrow function without inducing myelotoxicity.</w:t>
      </w:r>
    </w:p>
    <w:p w14:paraId="7C331FF7" w14:textId="77777777" w:rsidR="003F42D3" w:rsidRPr="00C501E3" w:rsidRDefault="003F42D3" w:rsidP="003F42D3">
      <w:pPr>
        <w:rPr>
          <w:szCs w:val="22"/>
          <w:lang w:val="en-GB"/>
        </w:rPr>
      </w:pPr>
    </w:p>
    <w:p w14:paraId="7C331FF8" w14:textId="77777777" w:rsidR="003F42D3" w:rsidRPr="00C501E3" w:rsidRDefault="00016F29" w:rsidP="003F42D3">
      <w:pPr>
        <w:rPr>
          <w:szCs w:val="22"/>
          <w:lang w:val="en-GB"/>
        </w:rPr>
      </w:pPr>
      <w:r w:rsidRPr="00C501E3">
        <w:rPr>
          <w:szCs w:val="22"/>
          <w:lang w:val="en-GB"/>
        </w:rPr>
        <w:t xml:space="preserve">Regular full blood counts, including neutrophil and platelet counts, should be performed during MabThera therapy. </w:t>
      </w:r>
    </w:p>
    <w:p w14:paraId="7C331FF9" w14:textId="77777777" w:rsidR="003F42D3" w:rsidRPr="00C501E3" w:rsidRDefault="003F42D3" w:rsidP="003F42D3">
      <w:pPr>
        <w:rPr>
          <w:rFonts w:eastAsia="MS Mincho"/>
          <w:szCs w:val="22"/>
          <w:lang w:val="en-GB"/>
        </w:rPr>
      </w:pPr>
    </w:p>
    <w:p w14:paraId="7C331FFA" w14:textId="77777777" w:rsidR="003F42D3" w:rsidRPr="00C501E3" w:rsidRDefault="00016F29" w:rsidP="003F42D3">
      <w:pPr>
        <w:rPr>
          <w:rFonts w:eastAsia="MS Mincho"/>
          <w:szCs w:val="22"/>
          <w:u w:val="single"/>
          <w:lang w:val="en-GB"/>
        </w:rPr>
      </w:pPr>
      <w:r w:rsidRPr="00C501E3">
        <w:rPr>
          <w:rFonts w:eastAsia="MS Mincho"/>
          <w:szCs w:val="22"/>
          <w:u w:val="single"/>
          <w:lang w:val="en-GB"/>
        </w:rPr>
        <w:t>Infections</w:t>
      </w:r>
    </w:p>
    <w:p w14:paraId="7C331FFB" w14:textId="77777777" w:rsidR="003F42D3" w:rsidRPr="00C501E3" w:rsidRDefault="003F42D3" w:rsidP="003F42D3">
      <w:pPr>
        <w:rPr>
          <w:rFonts w:eastAsia="MS Mincho"/>
          <w:i/>
          <w:szCs w:val="22"/>
          <w:lang w:val="en-GB"/>
        </w:rPr>
      </w:pPr>
    </w:p>
    <w:p w14:paraId="7C331FFC" w14:textId="77777777" w:rsidR="003F42D3" w:rsidRPr="00C501E3" w:rsidRDefault="00016F29" w:rsidP="003F42D3">
      <w:pPr>
        <w:rPr>
          <w:szCs w:val="22"/>
          <w:lang w:val="en-GB"/>
        </w:rPr>
      </w:pPr>
      <w:r w:rsidRPr="00C501E3">
        <w:rPr>
          <w:szCs w:val="22"/>
          <w:lang w:val="en-GB"/>
        </w:rPr>
        <w:t>Serious infections, including fatalities, can occur during therapy with MabThera</w:t>
      </w:r>
      <w:r w:rsidRPr="00C501E3">
        <w:rPr>
          <w:rFonts w:hAnsi="Times New Roman Bold"/>
          <w:szCs w:val="22"/>
          <w:lang w:val="en-GB"/>
        </w:rPr>
        <w:t xml:space="preserve"> (see section 4.8).</w:t>
      </w:r>
      <w:r w:rsidRPr="00C501E3">
        <w:rPr>
          <w:rFonts w:ascii="Times New Roman Bold" w:hAnsi="Times New Roman Bold"/>
          <w:b/>
          <w:i/>
          <w:szCs w:val="22"/>
          <w:lang w:val="en-GB"/>
        </w:rPr>
        <w:t xml:space="preserve"> </w:t>
      </w:r>
      <w:r w:rsidRPr="00C501E3">
        <w:rPr>
          <w:szCs w:val="22"/>
          <w:lang w:val="en-GB"/>
        </w:rPr>
        <w:t>MabThera should not be administered to patients with an active, severe infection (e.g. tuberculosis, sepsis and opportunistic infections, see section 4.3).</w:t>
      </w:r>
    </w:p>
    <w:p w14:paraId="7C331FFD" w14:textId="77777777" w:rsidR="003F42D3" w:rsidRPr="00C501E3" w:rsidRDefault="003F42D3" w:rsidP="003F42D3">
      <w:pPr>
        <w:rPr>
          <w:szCs w:val="22"/>
          <w:lang w:val="en-GB"/>
        </w:rPr>
      </w:pPr>
    </w:p>
    <w:p w14:paraId="7C331FFE" w14:textId="77777777" w:rsidR="003F42D3" w:rsidRPr="00C501E3" w:rsidRDefault="00016F29" w:rsidP="003F42D3">
      <w:pPr>
        <w:rPr>
          <w:szCs w:val="22"/>
          <w:lang w:val="en-GB"/>
        </w:rPr>
      </w:pPr>
      <w:r w:rsidRPr="00C501E3">
        <w:rPr>
          <w:szCs w:val="22"/>
          <w:lang w:val="en-GB"/>
        </w:rPr>
        <w:t xml:space="preserve">Physicians should exercise caution when considering the use of MabThera in patients with a history of recurring or chronic infections or with underlying conditions which may further predispose patients to serious infection (see section 4.8). </w:t>
      </w:r>
    </w:p>
    <w:p w14:paraId="7C331FFF" w14:textId="77777777" w:rsidR="003F42D3" w:rsidRPr="00C501E3" w:rsidRDefault="003F42D3" w:rsidP="003F42D3">
      <w:pPr>
        <w:rPr>
          <w:rFonts w:eastAsia="MS Mincho"/>
          <w:szCs w:val="22"/>
          <w:lang w:val="en-GB"/>
        </w:rPr>
      </w:pPr>
    </w:p>
    <w:p w14:paraId="7C332000" w14:textId="77777777" w:rsidR="003F42D3" w:rsidRPr="001A72EB" w:rsidRDefault="00016F29" w:rsidP="001A72EB">
      <w:pPr>
        <w:rPr>
          <w:rFonts w:eastAsia="MS Mincho"/>
          <w:szCs w:val="22"/>
          <w:lang w:val="en-GB"/>
        </w:rPr>
      </w:pPr>
      <w:r w:rsidRPr="00C501E3">
        <w:rPr>
          <w:rFonts w:eastAsia="MS Mincho"/>
          <w:szCs w:val="22"/>
          <w:lang w:val="en-GB"/>
        </w:rPr>
        <w:t xml:space="preserve">Cases of hepatitis B reactivation have been reported in patients receiving the MabThera intravenous formulation including fulminant </w:t>
      </w:r>
      <w:r w:rsidRPr="001A72EB">
        <w:rPr>
          <w:rFonts w:eastAsia="MS Mincho"/>
          <w:szCs w:val="22"/>
          <w:lang w:val="en-GB"/>
        </w:rPr>
        <w:t>hepatitis with fatal outcome. The majority of these patients were also exposed to cytotoxic chemotherapy</w:t>
      </w:r>
      <w:r w:rsidRPr="00941759">
        <w:rPr>
          <w:rFonts w:eastAsia="MS Mincho"/>
          <w:shd w:val="clear" w:color="auto" w:fill="FFFFFF"/>
          <w:lang w:val="en-GB"/>
        </w:rPr>
        <w:t>.</w:t>
      </w:r>
      <w:r w:rsidRPr="00941759">
        <w:rPr>
          <w:rFonts w:eastAsia="MS Mincho"/>
          <w:szCs w:val="22"/>
          <w:shd w:val="clear" w:color="auto" w:fill="FFFFFF"/>
          <w:lang w:val="en-GB"/>
        </w:rPr>
        <w:t xml:space="preserve"> </w:t>
      </w:r>
      <w:r w:rsidR="00572284" w:rsidRPr="00941759">
        <w:rPr>
          <w:rFonts w:eastAsia="MS Mincho"/>
          <w:shd w:val="clear" w:color="auto" w:fill="FFFFFF"/>
          <w:lang w:val="en-GB"/>
        </w:rPr>
        <w:t>Limited information from one study in relapsed/refractory CLL patients suggests that Mab</w:t>
      </w:r>
      <w:r w:rsidR="0070378B" w:rsidRPr="00941759">
        <w:rPr>
          <w:rFonts w:eastAsia="MS Mincho"/>
          <w:shd w:val="clear" w:color="auto" w:fill="FFFFFF"/>
          <w:lang w:val="en-GB"/>
        </w:rPr>
        <w:t>T</w:t>
      </w:r>
      <w:r w:rsidR="00572284" w:rsidRPr="00941759">
        <w:rPr>
          <w:rFonts w:eastAsia="MS Mincho"/>
          <w:shd w:val="clear" w:color="auto" w:fill="FFFFFF"/>
          <w:lang w:val="en-GB"/>
        </w:rPr>
        <w:t>hera treatment may also worsen the outcome of primary hepatitis B infections.</w:t>
      </w:r>
      <w:r w:rsidR="00572284" w:rsidRPr="00941759">
        <w:rPr>
          <w:rFonts w:eastAsia="MS Mincho"/>
          <w:szCs w:val="22"/>
          <w:shd w:val="clear" w:color="auto" w:fill="FFFFFF"/>
          <w:lang w:val="en-GB"/>
        </w:rPr>
        <w:t xml:space="preserve"> </w:t>
      </w:r>
      <w:r w:rsidRPr="001A72EB">
        <w:rPr>
          <w:rFonts w:eastAsia="MS Mincho"/>
          <w:lang w:val="en-GB"/>
        </w:rPr>
        <w:t xml:space="preserve">Hepatitis B virus (HBV) screening should be performed in all patients before initiation of </w:t>
      </w:r>
      <w:r w:rsidRPr="0043704D">
        <w:rPr>
          <w:rFonts w:eastAsia="MS Mincho"/>
          <w:lang w:val="en-GB"/>
        </w:rPr>
        <w:t>treatment with MabThera. At minimum this should include HBsAg</w:t>
      </w:r>
      <w:r w:rsidR="000A6DDA" w:rsidRPr="0043704D">
        <w:rPr>
          <w:rFonts w:eastAsia="MS Mincho"/>
          <w:lang w:val="en-GB"/>
        </w:rPr>
        <w:noBreakHyphen/>
      </w:r>
      <w:r w:rsidRPr="0043704D">
        <w:rPr>
          <w:rFonts w:eastAsia="MS Mincho"/>
          <w:lang w:val="en-GB"/>
        </w:rPr>
        <w:t>status and HBcAb</w:t>
      </w:r>
      <w:r w:rsidR="000A6DDA" w:rsidRPr="0043704D">
        <w:rPr>
          <w:rFonts w:eastAsia="MS Mincho"/>
          <w:lang w:val="en-GB"/>
        </w:rPr>
        <w:noBreakHyphen/>
      </w:r>
      <w:r w:rsidRPr="0043704D">
        <w:rPr>
          <w:rFonts w:eastAsia="MS Mincho"/>
          <w:lang w:val="en-GB"/>
        </w:rPr>
        <w:t>status.</w:t>
      </w:r>
      <w:r w:rsidR="007251E9">
        <w:rPr>
          <w:rFonts w:eastAsia="MS Mincho"/>
          <w:lang w:val="en-GB"/>
        </w:rPr>
        <w:t xml:space="preserve">  </w:t>
      </w:r>
      <w:r w:rsidRPr="0043704D">
        <w:rPr>
          <w:rFonts w:eastAsia="MS Mincho"/>
          <w:lang w:val="en-GB"/>
        </w:rPr>
        <w:t>These</w:t>
      </w:r>
      <w:r w:rsidRPr="001A72EB">
        <w:rPr>
          <w:rFonts w:eastAsia="MS Mincho"/>
          <w:lang w:val="en-GB"/>
        </w:rPr>
        <w:t xml:space="preserve"> can be complemented with other appropriate markers as per local guidelines. Patients with active hepatitis B disease should not be treated with MabThera. Patients with positive hepatitis B serology (either HBsAg or HBcAb) should consult liver disease experts before start of treatment and should be monitored and managed following local medical standards to prevent hepatitis B reactivation.</w:t>
      </w:r>
      <w:r w:rsidRPr="001A72EB">
        <w:rPr>
          <w:rFonts w:eastAsia="MS Mincho"/>
          <w:szCs w:val="22"/>
          <w:lang w:val="en-GB"/>
        </w:rPr>
        <w:t xml:space="preserve"> </w:t>
      </w:r>
    </w:p>
    <w:p w14:paraId="7C332001" w14:textId="77777777" w:rsidR="003F42D3" w:rsidRPr="001A72EB" w:rsidRDefault="003F42D3" w:rsidP="001A72EB">
      <w:pPr>
        <w:rPr>
          <w:szCs w:val="22"/>
          <w:lang w:val="en-GB"/>
        </w:rPr>
      </w:pPr>
    </w:p>
    <w:p w14:paraId="7C332002" w14:textId="77777777" w:rsidR="003F42D3" w:rsidRPr="001A72EB" w:rsidRDefault="00016F29" w:rsidP="001A72EB">
      <w:pPr>
        <w:rPr>
          <w:lang w:val="en-GB"/>
        </w:rPr>
      </w:pPr>
      <w:r w:rsidRPr="00EF2500">
        <w:rPr>
          <w:lang w:val="en-GB"/>
        </w:rPr>
        <w:t>Very rare cases of PML have been reported during post</w:t>
      </w:r>
      <w:r w:rsidR="000A6DDA" w:rsidRPr="00EF2500">
        <w:rPr>
          <w:lang w:val="en-GB"/>
        </w:rPr>
        <w:noBreakHyphen/>
      </w:r>
      <w:r w:rsidRPr="00EF2500">
        <w:rPr>
          <w:lang w:val="en-GB"/>
        </w:rPr>
        <w:t xml:space="preserve">marketing use of </w:t>
      </w:r>
      <w:r w:rsidRPr="00EF2500">
        <w:rPr>
          <w:rFonts w:eastAsia="MS Mincho"/>
          <w:szCs w:val="22"/>
          <w:lang w:val="en-GB"/>
        </w:rPr>
        <w:t>the MabThera intravenous</w:t>
      </w:r>
      <w:r w:rsidRPr="001A72EB">
        <w:rPr>
          <w:rFonts w:eastAsia="MS Mincho"/>
          <w:szCs w:val="22"/>
          <w:lang w:val="en-GB"/>
        </w:rPr>
        <w:t xml:space="preserve"> formulation</w:t>
      </w:r>
      <w:r w:rsidRPr="001A72EB">
        <w:rPr>
          <w:lang w:val="en-GB"/>
        </w:rPr>
        <w:t xml:space="preserve"> in </w:t>
      </w:r>
      <w:r w:rsidR="00AB512D" w:rsidRPr="00941759">
        <w:rPr>
          <w:shd w:val="clear" w:color="auto" w:fill="FFFFFF"/>
          <w:lang w:val="en-GB"/>
        </w:rPr>
        <w:t>CLL</w:t>
      </w:r>
      <w:r w:rsidR="00AB512D" w:rsidRPr="001A72EB">
        <w:rPr>
          <w:lang w:val="en-GB"/>
        </w:rPr>
        <w:t xml:space="preserve"> </w:t>
      </w:r>
      <w:r w:rsidRPr="001A72EB">
        <w:rPr>
          <w:lang w:val="en-GB"/>
        </w:rPr>
        <w:t xml:space="preserve">(see section 4.8). The majority of patients had received rituximab in combination with chemotherapy or as part of a hematopoietic stem cell transplant. </w:t>
      </w:r>
    </w:p>
    <w:p w14:paraId="7C332003" w14:textId="77777777" w:rsidR="003F42D3" w:rsidRPr="001A72EB" w:rsidRDefault="003F42D3" w:rsidP="001A72EB">
      <w:pPr>
        <w:rPr>
          <w:szCs w:val="22"/>
          <w:lang w:val="en-GB"/>
        </w:rPr>
      </w:pPr>
    </w:p>
    <w:p w14:paraId="7C332004" w14:textId="77777777" w:rsidR="003F42D3" w:rsidRPr="001A72EB" w:rsidRDefault="00016F29" w:rsidP="001A72EB">
      <w:pPr>
        <w:keepNext/>
        <w:keepLines/>
        <w:rPr>
          <w:szCs w:val="22"/>
          <w:u w:val="single"/>
          <w:lang w:val="en-GB"/>
        </w:rPr>
      </w:pPr>
      <w:r w:rsidRPr="001A72EB">
        <w:rPr>
          <w:szCs w:val="22"/>
          <w:u w:val="single"/>
          <w:lang w:val="en-GB"/>
        </w:rPr>
        <w:t>Immunisation</w:t>
      </w:r>
    </w:p>
    <w:p w14:paraId="7C332005" w14:textId="77777777" w:rsidR="003F42D3" w:rsidRPr="001A72EB" w:rsidRDefault="003F42D3" w:rsidP="001A72EB">
      <w:pPr>
        <w:keepNext/>
        <w:keepLines/>
        <w:rPr>
          <w:szCs w:val="22"/>
          <w:u w:val="single"/>
          <w:lang w:val="en-GB"/>
        </w:rPr>
      </w:pPr>
    </w:p>
    <w:p w14:paraId="7C332006" w14:textId="77777777" w:rsidR="003F42D3" w:rsidRPr="00F27A80" w:rsidRDefault="00016F29" w:rsidP="001A72EB">
      <w:pPr>
        <w:rPr>
          <w:szCs w:val="22"/>
          <w:lang w:val="en-GB"/>
        </w:rPr>
      </w:pPr>
      <w:r w:rsidRPr="00EA0A7B">
        <w:rPr>
          <w:lang w:val="en-GB"/>
        </w:rPr>
        <w:t xml:space="preserve">The safety </w:t>
      </w:r>
      <w:r w:rsidRPr="00EA0A7B">
        <w:rPr>
          <w:shd w:val="clear" w:color="auto" w:fill="FFFFFF"/>
          <w:lang w:val="en-GB"/>
        </w:rPr>
        <w:t xml:space="preserve">of immunisation with </w:t>
      </w:r>
      <w:r w:rsidRPr="00EA0A7B">
        <w:rPr>
          <w:szCs w:val="22"/>
          <w:shd w:val="clear" w:color="auto" w:fill="FFFFFF"/>
          <w:lang w:val="en-GB"/>
        </w:rPr>
        <w:t xml:space="preserve">live viral vaccines, following MabThera therapy has not been studied for NHL </w:t>
      </w:r>
      <w:r w:rsidR="00AB512D" w:rsidRPr="00EA0A7B">
        <w:rPr>
          <w:szCs w:val="22"/>
          <w:shd w:val="clear" w:color="auto" w:fill="FFFFFF"/>
          <w:lang w:val="en-GB"/>
        </w:rPr>
        <w:t xml:space="preserve">and CLL </w:t>
      </w:r>
      <w:r w:rsidRPr="00EA0A7B">
        <w:rPr>
          <w:szCs w:val="22"/>
          <w:lang w:val="en-GB"/>
        </w:rPr>
        <w:t>patients</w:t>
      </w:r>
      <w:r w:rsidRPr="00EA0A7B">
        <w:rPr>
          <w:i/>
          <w:szCs w:val="22"/>
          <w:lang w:val="en-GB"/>
        </w:rPr>
        <w:t xml:space="preserve"> </w:t>
      </w:r>
      <w:r w:rsidRPr="00EA0A7B">
        <w:rPr>
          <w:szCs w:val="22"/>
          <w:lang w:val="en-GB"/>
        </w:rPr>
        <w:t>and vaccination with live virus vaccines is not recommended. Patients treated with MabThera may receive non</w:t>
      </w:r>
      <w:r w:rsidR="000A6DDA" w:rsidRPr="00EA0A7B">
        <w:rPr>
          <w:szCs w:val="22"/>
          <w:lang w:val="en-GB"/>
        </w:rPr>
        <w:noBreakHyphen/>
      </w:r>
      <w:r w:rsidRPr="00EA0A7B">
        <w:rPr>
          <w:szCs w:val="22"/>
          <w:lang w:val="en-GB"/>
        </w:rPr>
        <w:t>live vaccinations</w:t>
      </w:r>
      <w:r w:rsidR="007B5727">
        <w:rPr>
          <w:szCs w:val="22"/>
          <w:lang w:val="en-GB"/>
        </w:rPr>
        <w:t>; h</w:t>
      </w:r>
      <w:r w:rsidR="007830E0" w:rsidRPr="00EA0A7B">
        <w:rPr>
          <w:szCs w:val="22"/>
          <w:lang w:val="en-GB"/>
        </w:rPr>
        <w:t>owever</w:t>
      </w:r>
      <w:r w:rsidR="00D67662">
        <w:rPr>
          <w:szCs w:val="22"/>
          <w:lang w:val="en-GB"/>
        </w:rPr>
        <w:t>,</w:t>
      </w:r>
      <w:r w:rsidRPr="00EA0A7B">
        <w:rPr>
          <w:szCs w:val="22"/>
          <w:lang w:val="en-GB"/>
        </w:rPr>
        <w:t xml:space="preserve"> with non</w:t>
      </w:r>
      <w:r w:rsidR="000A6DDA" w:rsidRPr="00EA0A7B">
        <w:rPr>
          <w:szCs w:val="22"/>
          <w:lang w:val="en-GB"/>
        </w:rPr>
        <w:noBreakHyphen/>
      </w:r>
      <w:r w:rsidRPr="00EA0A7B">
        <w:rPr>
          <w:szCs w:val="22"/>
          <w:lang w:val="en-GB"/>
        </w:rPr>
        <w:t>live vaccines response rates may be reduced. In a non</w:t>
      </w:r>
      <w:r w:rsidR="000A6DDA" w:rsidRPr="00EA0A7B">
        <w:rPr>
          <w:szCs w:val="22"/>
          <w:lang w:val="en-GB"/>
        </w:rPr>
        <w:noBreakHyphen/>
      </w:r>
      <w:r w:rsidRPr="00EA0A7B">
        <w:rPr>
          <w:szCs w:val="22"/>
          <w:lang w:val="en-GB"/>
        </w:rPr>
        <w:t>randomized study, patients with relapsed low</w:t>
      </w:r>
      <w:r w:rsidR="000A6DDA" w:rsidRPr="00EA0A7B">
        <w:rPr>
          <w:szCs w:val="22"/>
          <w:lang w:val="en-GB"/>
        </w:rPr>
        <w:noBreakHyphen/>
      </w:r>
      <w:r w:rsidRPr="00EA0A7B">
        <w:rPr>
          <w:szCs w:val="22"/>
          <w:lang w:val="en-GB"/>
        </w:rPr>
        <w:t xml:space="preserve">grade NHL who received </w:t>
      </w:r>
      <w:r w:rsidRPr="00EA0A7B">
        <w:rPr>
          <w:rFonts w:eastAsia="MS Mincho"/>
          <w:szCs w:val="22"/>
          <w:lang w:val="en-GB"/>
        </w:rPr>
        <w:t xml:space="preserve">the MabThera intravenous formulation as </w:t>
      </w:r>
      <w:r w:rsidRPr="00EA0A7B">
        <w:rPr>
          <w:szCs w:val="22"/>
          <w:lang w:val="en-GB"/>
        </w:rPr>
        <w:t>monotherapy when compared to healthy untreated</w:t>
      </w:r>
      <w:r w:rsidRPr="00C501E3">
        <w:rPr>
          <w:szCs w:val="22"/>
          <w:lang w:val="en-GB"/>
        </w:rPr>
        <w:t xml:space="preserve"> controls had a lower rate of response to vaccination with tetanus recall antigen (16% vs. 81%) and </w:t>
      </w:r>
      <w:r w:rsidRPr="00F27A80">
        <w:rPr>
          <w:szCs w:val="22"/>
          <w:lang w:val="en-GB"/>
        </w:rPr>
        <w:t>Keyhole Limpet Haemocyanin (KLH) neoantigen (4% vs. 69% when assessed for &gt;2</w:t>
      </w:r>
      <w:r w:rsidR="000A6DDA" w:rsidRPr="00F27A80">
        <w:rPr>
          <w:szCs w:val="22"/>
          <w:lang w:val="en-GB"/>
        </w:rPr>
        <w:noBreakHyphen/>
      </w:r>
      <w:r w:rsidRPr="00F27A80">
        <w:rPr>
          <w:szCs w:val="22"/>
          <w:lang w:val="en-GB"/>
        </w:rPr>
        <w:t xml:space="preserve">fold increase in antibody titer). </w:t>
      </w:r>
      <w:r w:rsidR="00AB512D" w:rsidRPr="00F27A80">
        <w:rPr>
          <w:szCs w:val="22"/>
          <w:shd w:val="clear" w:color="auto" w:fill="FFFFFF"/>
          <w:lang w:val="en-GB"/>
        </w:rPr>
        <w:t>For CLL patients similar results are assumable considering similarities between both diseases</w:t>
      </w:r>
      <w:r w:rsidR="00E31D11" w:rsidRPr="00F27A80">
        <w:rPr>
          <w:szCs w:val="22"/>
          <w:shd w:val="clear" w:color="auto" w:fill="FFFFFF"/>
          <w:lang w:val="en-GB"/>
        </w:rPr>
        <w:t>,</w:t>
      </w:r>
      <w:r w:rsidR="00AB512D" w:rsidRPr="00F27A80">
        <w:rPr>
          <w:szCs w:val="22"/>
          <w:shd w:val="clear" w:color="auto" w:fill="FFFFFF"/>
          <w:lang w:val="en-GB"/>
        </w:rPr>
        <w:t xml:space="preserve"> but </w:t>
      </w:r>
      <w:r w:rsidR="00E31D11" w:rsidRPr="00F27A80">
        <w:rPr>
          <w:szCs w:val="22"/>
          <w:shd w:val="clear" w:color="auto" w:fill="FFFFFF"/>
          <w:lang w:val="en-GB"/>
        </w:rPr>
        <w:t>this</w:t>
      </w:r>
      <w:r w:rsidR="00AB512D" w:rsidRPr="00F27A80">
        <w:rPr>
          <w:szCs w:val="22"/>
          <w:shd w:val="clear" w:color="auto" w:fill="FFFFFF"/>
          <w:lang w:val="en-GB"/>
        </w:rPr>
        <w:t xml:space="preserve"> has not been investigated in clinical trials.</w:t>
      </w:r>
    </w:p>
    <w:p w14:paraId="7C332007" w14:textId="77777777" w:rsidR="003F42D3" w:rsidRPr="00F27A80" w:rsidRDefault="003F42D3" w:rsidP="003F42D3">
      <w:pPr>
        <w:rPr>
          <w:szCs w:val="22"/>
          <w:lang w:val="en-GB"/>
        </w:rPr>
      </w:pPr>
    </w:p>
    <w:p w14:paraId="7C332008" w14:textId="77777777" w:rsidR="003F42D3" w:rsidRPr="00C501E3" w:rsidRDefault="00016F29" w:rsidP="003F42D3">
      <w:pPr>
        <w:rPr>
          <w:szCs w:val="22"/>
          <w:lang w:val="en-GB"/>
        </w:rPr>
      </w:pPr>
      <w:r w:rsidRPr="00F27A80">
        <w:rPr>
          <w:lang w:val="en-GB"/>
        </w:rPr>
        <w:t>Mean pre</w:t>
      </w:r>
      <w:r w:rsidR="000A6DDA" w:rsidRPr="00F27A80">
        <w:rPr>
          <w:lang w:val="en-GB"/>
        </w:rPr>
        <w:noBreakHyphen/>
      </w:r>
      <w:r w:rsidRPr="00F27A80">
        <w:rPr>
          <w:lang w:val="en-GB"/>
        </w:rPr>
        <w:t>therapeutic antibody titers against a panel of antigens (Streptococcus pneumoniae,</w:t>
      </w:r>
      <w:r w:rsidRPr="00C501E3">
        <w:rPr>
          <w:lang w:val="en-GB"/>
        </w:rPr>
        <w:t xml:space="preserve"> influenza A, mumps, rubella and varicella) were maintained for at least 6 months after treatment with MabThera. </w:t>
      </w:r>
    </w:p>
    <w:p w14:paraId="7C332009" w14:textId="77777777" w:rsidR="003F42D3" w:rsidRPr="00C501E3" w:rsidRDefault="003F42D3" w:rsidP="003F42D3">
      <w:pPr>
        <w:rPr>
          <w:szCs w:val="22"/>
          <w:lang w:val="en-GB"/>
        </w:rPr>
      </w:pPr>
    </w:p>
    <w:p w14:paraId="7C33200A" w14:textId="77777777" w:rsidR="003F42D3" w:rsidRPr="00C501E3" w:rsidRDefault="00016F29" w:rsidP="003F42D3">
      <w:pPr>
        <w:keepNext/>
        <w:keepLines/>
        <w:rPr>
          <w:iCs/>
          <w:u w:val="single"/>
          <w:lang w:val="en-GB"/>
        </w:rPr>
      </w:pPr>
      <w:r w:rsidRPr="00C501E3">
        <w:rPr>
          <w:iCs/>
          <w:u w:val="single"/>
          <w:lang w:val="en-GB"/>
        </w:rPr>
        <w:t>Skin reactions</w:t>
      </w:r>
    </w:p>
    <w:p w14:paraId="7C33200B" w14:textId="77777777" w:rsidR="003F42D3" w:rsidRPr="00C501E3" w:rsidRDefault="003F42D3" w:rsidP="003F42D3">
      <w:pPr>
        <w:keepNext/>
        <w:keepLines/>
        <w:rPr>
          <w:iCs/>
          <w:lang w:val="en-GB"/>
        </w:rPr>
      </w:pPr>
    </w:p>
    <w:p w14:paraId="7C33200C" w14:textId="77777777" w:rsidR="003F42D3" w:rsidRPr="00C501E3" w:rsidRDefault="00016F29" w:rsidP="003F42D3">
      <w:pPr>
        <w:keepNext/>
        <w:keepLines/>
        <w:rPr>
          <w:iCs/>
          <w:lang w:val="en-GB"/>
        </w:rPr>
      </w:pPr>
      <w:r w:rsidRPr="00091FB3">
        <w:rPr>
          <w:iCs/>
          <w:lang w:val="en-GB"/>
        </w:rPr>
        <w:t xml:space="preserve">Severe skin reactions such as Toxic Epidermal Necrolysis (Lyell’s Syndrome) and Stevens </w:t>
      </w:r>
      <w:r w:rsidR="000A6DDA" w:rsidRPr="00091FB3">
        <w:rPr>
          <w:iCs/>
          <w:lang w:val="en-GB"/>
        </w:rPr>
        <w:noBreakHyphen/>
      </w:r>
      <w:r w:rsidRPr="00091FB3">
        <w:rPr>
          <w:iCs/>
          <w:lang w:val="en-GB"/>
        </w:rPr>
        <w:t xml:space="preserve"> Johnson</w:t>
      </w:r>
      <w:r w:rsidRPr="00C501E3">
        <w:rPr>
          <w:iCs/>
          <w:lang w:val="en-GB"/>
        </w:rPr>
        <w:t xml:space="preserve"> syndrome, some with fatal outcome, have been reported</w:t>
      </w:r>
      <w:r w:rsidRPr="00C501E3">
        <w:rPr>
          <w:i/>
          <w:iCs/>
          <w:lang w:val="en-GB"/>
        </w:rPr>
        <w:t xml:space="preserve"> </w:t>
      </w:r>
      <w:r w:rsidRPr="00C501E3">
        <w:rPr>
          <w:iCs/>
          <w:lang w:val="en-GB"/>
        </w:rPr>
        <w:t>(see section 4.8).</w:t>
      </w:r>
      <w:r w:rsidRPr="00C501E3">
        <w:rPr>
          <w:i/>
          <w:iCs/>
          <w:lang w:val="en-GB"/>
        </w:rPr>
        <w:t xml:space="preserve"> </w:t>
      </w:r>
      <w:r w:rsidRPr="00C501E3">
        <w:rPr>
          <w:iCs/>
          <w:lang w:val="en-GB"/>
        </w:rPr>
        <w:t>In case of such an event, with suspected relationship to MabThera, treatment should be permanently discontinued.</w:t>
      </w:r>
    </w:p>
    <w:p w14:paraId="7C33200D" w14:textId="77777777" w:rsidR="003F42D3" w:rsidRPr="00C501E3" w:rsidRDefault="003F42D3" w:rsidP="003F42D3">
      <w:pPr>
        <w:tabs>
          <w:tab w:val="left" w:pos="789"/>
        </w:tabs>
        <w:rPr>
          <w:szCs w:val="22"/>
          <w:lang w:val="en-GB"/>
        </w:rPr>
      </w:pPr>
    </w:p>
    <w:p w14:paraId="7C33200E" w14:textId="77777777" w:rsidR="003F42D3" w:rsidRPr="00C501E3" w:rsidRDefault="00016F29" w:rsidP="003F42D3">
      <w:pPr>
        <w:keepNext/>
        <w:keepLines/>
        <w:ind w:left="567" w:hanging="567"/>
        <w:outlineLvl w:val="0"/>
        <w:rPr>
          <w:szCs w:val="22"/>
          <w:lang w:val="en-GB"/>
        </w:rPr>
      </w:pPr>
      <w:r w:rsidRPr="00C501E3">
        <w:rPr>
          <w:b/>
          <w:szCs w:val="22"/>
          <w:lang w:val="en-GB"/>
        </w:rPr>
        <w:t>4.5</w:t>
      </w:r>
      <w:r w:rsidRPr="00C501E3">
        <w:rPr>
          <w:b/>
          <w:szCs w:val="22"/>
          <w:lang w:val="en-GB"/>
        </w:rPr>
        <w:tab/>
        <w:t>Interaction with other medicinal products and other forms of interaction</w:t>
      </w:r>
    </w:p>
    <w:p w14:paraId="7C33200F" w14:textId="77777777" w:rsidR="003F42D3" w:rsidRPr="00C501E3" w:rsidRDefault="003F42D3" w:rsidP="003F42D3">
      <w:pPr>
        <w:keepNext/>
        <w:keepLines/>
        <w:rPr>
          <w:szCs w:val="22"/>
          <w:lang w:val="en-GB"/>
        </w:rPr>
      </w:pPr>
    </w:p>
    <w:p w14:paraId="7C332010" w14:textId="77777777" w:rsidR="003F42D3" w:rsidRPr="00C501E3" w:rsidRDefault="00016F29" w:rsidP="003F42D3">
      <w:pPr>
        <w:keepNext/>
        <w:keepLines/>
        <w:outlineLvl w:val="0"/>
        <w:rPr>
          <w:szCs w:val="22"/>
          <w:lang w:val="en-GB"/>
        </w:rPr>
      </w:pPr>
      <w:r w:rsidRPr="00C501E3">
        <w:rPr>
          <w:szCs w:val="22"/>
          <w:lang w:val="en-GB"/>
        </w:rPr>
        <w:t xml:space="preserve">Currently, there are limited data on possible drug interactions with MabThera. </w:t>
      </w:r>
    </w:p>
    <w:p w14:paraId="7C332011" w14:textId="77777777" w:rsidR="003F42D3" w:rsidRPr="00C501E3" w:rsidRDefault="003F42D3" w:rsidP="003F42D3">
      <w:pPr>
        <w:rPr>
          <w:lang w:val="en-GB"/>
        </w:rPr>
      </w:pPr>
    </w:p>
    <w:p w14:paraId="7C332012" w14:textId="77777777" w:rsidR="003F42D3" w:rsidRPr="00D06271" w:rsidRDefault="00016F29" w:rsidP="003F42D3">
      <w:pPr>
        <w:rPr>
          <w:lang w:val="en-GB"/>
        </w:rPr>
      </w:pPr>
      <w:r w:rsidRPr="00D06271">
        <w:rPr>
          <w:shd w:val="clear" w:color="auto" w:fill="FFFFFF"/>
          <w:lang w:val="en-GB"/>
        </w:rPr>
        <w:t>In CLL patients, co</w:t>
      </w:r>
      <w:r w:rsidR="000A6DDA" w:rsidRPr="00D06271">
        <w:rPr>
          <w:lang w:val="en-GB"/>
        </w:rPr>
        <w:noBreakHyphen/>
      </w:r>
      <w:r w:rsidRPr="00D06271">
        <w:rPr>
          <w:lang w:val="en-GB"/>
        </w:rPr>
        <w:t xml:space="preserve">administration with MabThera </w:t>
      </w:r>
      <w:r w:rsidRPr="00D06271">
        <w:rPr>
          <w:rFonts w:eastAsia="SimSun"/>
          <w:lang w:val="en-GB" w:eastAsia="zh-CN"/>
        </w:rPr>
        <w:t>did not appear to have an</w:t>
      </w:r>
      <w:r w:rsidRPr="00D06271">
        <w:rPr>
          <w:lang w:val="en-GB"/>
        </w:rPr>
        <w:t xml:space="preserve"> effect on the pharmacokinetics of fludarabine </w:t>
      </w:r>
      <w:r w:rsidRPr="00D06271">
        <w:rPr>
          <w:rFonts w:eastAsia="SimSun"/>
          <w:lang w:val="en-GB" w:eastAsia="zh-CN"/>
        </w:rPr>
        <w:t>or</w:t>
      </w:r>
      <w:r w:rsidRPr="00D06271">
        <w:rPr>
          <w:lang w:val="en-GB"/>
        </w:rPr>
        <w:t xml:space="preserve"> cyclophosphamide. In addition, there was no apparent effect of fludarabine and cyclophosphamide on the pharmacokinetics of </w:t>
      </w:r>
      <w:r w:rsidRPr="00D06271">
        <w:rPr>
          <w:szCs w:val="22"/>
          <w:lang w:val="en-GB"/>
        </w:rPr>
        <w:t>MabThera</w:t>
      </w:r>
      <w:r w:rsidRPr="00D06271">
        <w:rPr>
          <w:lang w:val="en-GB"/>
        </w:rPr>
        <w:t>.</w:t>
      </w:r>
    </w:p>
    <w:p w14:paraId="7C332013" w14:textId="77777777" w:rsidR="003F42D3" w:rsidRPr="00D06271" w:rsidRDefault="003F42D3" w:rsidP="003F42D3">
      <w:pPr>
        <w:rPr>
          <w:szCs w:val="22"/>
          <w:lang w:val="en-GB"/>
        </w:rPr>
      </w:pPr>
    </w:p>
    <w:p w14:paraId="7C332014" w14:textId="77777777" w:rsidR="003F42D3" w:rsidRPr="00C501E3" w:rsidRDefault="00016F29" w:rsidP="003F42D3">
      <w:pPr>
        <w:rPr>
          <w:szCs w:val="22"/>
          <w:lang w:val="en-GB"/>
        </w:rPr>
      </w:pPr>
      <w:r w:rsidRPr="00D06271">
        <w:rPr>
          <w:szCs w:val="22"/>
          <w:lang w:val="en-GB"/>
        </w:rPr>
        <w:t>Patients with human anti</w:t>
      </w:r>
      <w:r w:rsidR="000A6DDA" w:rsidRPr="00D06271">
        <w:rPr>
          <w:szCs w:val="22"/>
          <w:lang w:val="en-GB"/>
        </w:rPr>
        <w:noBreakHyphen/>
      </w:r>
      <w:r w:rsidRPr="00D06271">
        <w:rPr>
          <w:szCs w:val="22"/>
          <w:lang w:val="en-GB"/>
        </w:rPr>
        <w:t xml:space="preserve">mouse antibody (HAMA) </w:t>
      </w:r>
      <w:r w:rsidR="004F2310">
        <w:rPr>
          <w:szCs w:val="22"/>
          <w:lang w:val="en-GB"/>
        </w:rPr>
        <w:t xml:space="preserve">or anti-drug antibody (ADA) </w:t>
      </w:r>
      <w:r w:rsidRPr="00D06271">
        <w:rPr>
          <w:szCs w:val="22"/>
          <w:lang w:val="en-GB"/>
        </w:rPr>
        <w:t>titres</w:t>
      </w:r>
      <w:r w:rsidRPr="00C501E3">
        <w:rPr>
          <w:szCs w:val="22"/>
          <w:lang w:val="en-GB"/>
        </w:rPr>
        <w:t xml:space="preserve"> may have allergic or hypersensitivity reactions when treated with other diagnostic or therapeutic monoclonal antibodies.</w:t>
      </w:r>
    </w:p>
    <w:p w14:paraId="7C332015" w14:textId="77777777" w:rsidR="003F42D3" w:rsidRPr="00C501E3" w:rsidRDefault="003F42D3" w:rsidP="003F42D3">
      <w:pPr>
        <w:rPr>
          <w:szCs w:val="22"/>
          <w:lang w:val="en-GB"/>
        </w:rPr>
      </w:pPr>
    </w:p>
    <w:p w14:paraId="7C332016" w14:textId="77777777" w:rsidR="003F42D3" w:rsidRPr="00C501E3" w:rsidRDefault="00016F29" w:rsidP="003F42D3">
      <w:pPr>
        <w:rPr>
          <w:b/>
          <w:szCs w:val="22"/>
          <w:lang w:val="en-GB"/>
        </w:rPr>
      </w:pPr>
      <w:r w:rsidRPr="00C501E3">
        <w:rPr>
          <w:b/>
          <w:szCs w:val="22"/>
          <w:lang w:val="en-GB"/>
        </w:rPr>
        <w:t>4.6</w:t>
      </w:r>
      <w:r w:rsidRPr="00C501E3">
        <w:rPr>
          <w:b/>
          <w:szCs w:val="22"/>
          <w:lang w:val="en-GB"/>
        </w:rPr>
        <w:tab/>
      </w:r>
      <w:r w:rsidRPr="00C501E3">
        <w:rPr>
          <w:b/>
          <w:bCs/>
          <w:szCs w:val="22"/>
          <w:lang w:val="en-GB"/>
        </w:rPr>
        <w:t>Fertility,</w:t>
      </w:r>
      <w:r w:rsidRPr="00C501E3">
        <w:rPr>
          <w:b/>
          <w:szCs w:val="22"/>
          <w:lang w:val="en-GB"/>
        </w:rPr>
        <w:t xml:space="preserve"> pregnancy and lactation</w:t>
      </w:r>
    </w:p>
    <w:p w14:paraId="7C332017" w14:textId="77777777" w:rsidR="003F42D3" w:rsidRPr="00C501E3" w:rsidRDefault="003F42D3" w:rsidP="003F42D3">
      <w:pPr>
        <w:rPr>
          <w:b/>
          <w:szCs w:val="22"/>
          <w:u w:val="single"/>
          <w:lang w:val="en-GB"/>
        </w:rPr>
      </w:pPr>
    </w:p>
    <w:p w14:paraId="7C332018" w14:textId="77777777" w:rsidR="003F42D3" w:rsidRPr="00C501E3" w:rsidRDefault="00016F29" w:rsidP="003F42D3">
      <w:pPr>
        <w:rPr>
          <w:szCs w:val="22"/>
          <w:u w:val="single"/>
          <w:lang w:val="en-GB"/>
        </w:rPr>
      </w:pPr>
      <w:r w:rsidRPr="00C501E3">
        <w:rPr>
          <w:szCs w:val="22"/>
          <w:u w:val="single"/>
          <w:lang w:val="en-GB"/>
        </w:rPr>
        <w:t>Contraception in males and females</w:t>
      </w:r>
    </w:p>
    <w:p w14:paraId="7C332019" w14:textId="77777777" w:rsidR="003F42D3" w:rsidRPr="00C501E3" w:rsidRDefault="003F42D3" w:rsidP="003F42D3">
      <w:pPr>
        <w:rPr>
          <w:b/>
          <w:szCs w:val="22"/>
          <w:u w:val="single"/>
          <w:lang w:val="en-GB"/>
        </w:rPr>
      </w:pPr>
    </w:p>
    <w:p w14:paraId="7C33201A" w14:textId="77777777" w:rsidR="003F42D3" w:rsidRPr="00C501E3" w:rsidRDefault="00016F29" w:rsidP="003F42D3">
      <w:pPr>
        <w:rPr>
          <w:lang w:val="en-GB"/>
        </w:rPr>
      </w:pPr>
      <w:r w:rsidRPr="00C501E3">
        <w:rPr>
          <w:lang w:val="en-GB"/>
        </w:rPr>
        <w:t>Due to the long retention time of rituximab in B cell depleted patients, women of childbearing potential must employ effective contraceptive methods during and for 12 months after treatment with MabThera.</w:t>
      </w:r>
    </w:p>
    <w:p w14:paraId="7C33201B" w14:textId="77777777" w:rsidR="003F42D3" w:rsidRPr="00C501E3" w:rsidRDefault="003F42D3" w:rsidP="003F42D3">
      <w:pPr>
        <w:ind w:left="567" w:hanging="567"/>
        <w:outlineLvl w:val="0"/>
        <w:rPr>
          <w:szCs w:val="22"/>
          <w:lang w:val="en-GB"/>
        </w:rPr>
      </w:pPr>
    </w:p>
    <w:p w14:paraId="7C33201C" w14:textId="77777777" w:rsidR="003F42D3" w:rsidRPr="00C501E3" w:rsidRDefault="00016F29" w:rsidP="003F42D3">
      <w:pPr>
        <w:outlineLvl w:val="0"/>
        <w:rPr>
          <w:szCs w:val="22"/>
          <w:u w:val="single"/>
          <w:lang w:val="en-GB"/>
        </w:rPr>
      </w:pPr>
      <w:r w:rsidRPr="00C501E3">
        <w:rPr>
          <w:szCs w:val="22"/>
          <w:u w:val="single"/>
          <w:lang w:val="en-GB"/>
        </w:rPr>
        <w:t>Pregnancy</w:t>
      </w:r>
    </w:p>
    <w:p w14:paraId="7C33201D" w14:textId="77777777" w:rsidR="003F42D3" w:rsidRPr="00C501E3" w:rsidRDefault="003F42D3" w:rsidP="003F42D3">
      <w:pPr>
        <w:outlineLvl w:val="0"/>
        <w:rPr>
          <w:szCs w:val="22"/>
          <w:u w:val="single"/>
          <w:lang w:val="en-GB"/>
        </w:rPr>
      </w:pPr>
    </w:p>
    <w:p w14:paraId="7C33201E" w14:textId="77777777" w:rsidR="003F42D3" w:rsidRPr="006901CF" w:rsidRDefault="00016F29" w:rsidP="003F42D3">
      <w:pPr>
        <w:rPr>
          <w:szCs w:val="22"/>
          <w:lang w:val="en-GB"/>
        </w:rPr>
      </w:pPr>
      <w:r w:rsidRPr="006901CF">
        <w:rPr>
          <w:szCs w:val="22"/>
          <w:lang w:val="en-GB"/>
        </w:rPr>
        <w:t>IgG immunoglobulins are known to cross the placental barrier.</w:t>
      </w:r>
    </w:p>
    <w:p w14:paraId="7C33201F" w14:textId="77777777" w:rsidR="003F42D3" w:rsidRPr="006901CF" w:rsidRDefault="003F42D3" w:rsidP="003F42D3">
      <w:pPr>
        <w:rPr>
          <w:szCs w:val="22"/>
          <w:lang w:val="en-GB"/>
        </w:rPr>
      </w:pPr>
    </w:p>
    <w:p w14:paraId="7C332020" w14:textId="77777777" w:rsidR="003F42D3" w:rsidRPr="006901CF" w:rsidRDefault="00016F29" w:rsidP="003F42D3">
      <w:pPr>
        <w:rPr>
          <w:szCs w:val="22"/>
          <w:lang w:val="en-GB"/>
        </w:rPr>
      </w:pPr>
      <w:r w:rsidRPr="006901CF">
        <w:rPr>
          <w:szCs w:val="22"/>
          <w:lang w:val="en-GB"/>
        </w:rPr>
        <w:t>B</w:t>
      </w:r>
      <w:r w:rsidR="000A6DDA" w:rsidRPr="006901CF">
        <w:rPr>
          <w:szCs w:val="22"/>
          <w:lang w:val="en-GB"/>
        </w:rPr>
        <w:noBreakHyphen/>
      </w:r>
      <w:r w:rsidRPr="006901CF">
        <w:rPr>
          <w:szCs w:val="22"/>
          <w:lang w:val="en-GB"/>
        </w:rPr>
        <w:t>cell levels in human neonates following maternal exposure to MabThera have not been studied in clinical trials. There are no adequate and well</w:t>
      </w:r>
      <w:r w:rsidR="000A6DDA" w:rsidRPr="006901CF">
        <w:rPr>
          <w:szCs w:val="22"/>
          <w:lang w:val="en-GB"/>
        </w:rPr>
        <w:noBreakHyphen/>
      </w:r>
      <w:r w:rsidRPr="006901CF">
        <w:rPr>
          <w:szCs w:val="22"/>
          <w:lang w:val="en-GB"/>
        </w:rPr>
        <w:t>controlled data from studies in pregnant women, however transient B</w:t>
      </w:r>
      <w:r w:rsidR="000A6DDA" w:rsidRPr="006901CF">
        <w:rPr>
          <w:szCs w:val="22"/>
          <w:lang w:val="en-GB"/>
        </w:rPr>
        <w:noBreakHyphen/>
      </w:r>
      <w:r w:rsidRPr="006901CF">
        <w:rPr>
          <w:szCs w:val="22"/>
          <w:lang w:val="en-GB"/>
        </w:rPr>
        <w:t>cell depletion and lymphocytopenia have been reported in some infants born to mothers exposed to MabThera during pregnancy. Similar effects have been observed in animal studies (see section 5.3).For these reasons MabThera should not be administered to pregnant women unless the possible benefit outweighs the potential risk.</w:t>
      </w:r>
    </w:p>
    <w:p w14:paraId="7C332021" w14:textId="77777777" w:rsidR="003F42D3" w:rsidRPr="00C501E3" w:rsidRDefault="003F42D3" w:rsidP="003F42D3">
      <w:pPr>
        <w:rPr>
          <w:szCs w:val="22"/>
          <w:lang w:val="en-GB"/>
        </w:rPr>
      </w:pPr>
    </w:p>
    <w:p w14:paraId="7C332022" w14:textId="77777777" w:rsidR="003F42D3" w:rsidRPr="00E0176C" w:rsidRDefault="00016F29" w:rsidP="003F42D3">
      <w:pPr>
        <w:keepNext/>
        <w:keepLines/>
        <w:outlineLvl w:val="0"/>
        <w:rPr>
          <w:szCs w:val="22"/>
          <w:u w:val="single"/>
          <w:lang w:val="en-GB"/>
        </w:rPr>
      </w:pPr>
      <w:r w:rsidRPr="00E0176C">
        <w:rPr>
          <w:szCs w:val="22"/>
          <w:u w:val="single"/>
          <w:lang w:val="en-GB"/>
        </w:rPr>
        <w:t>Breast</w:t>
      </w:r>
      <w:r w:rsidR="000A6DDA" w:rsidRPr="00E0176C">
        <w:rPr>
          <w:szCs w:val="22"/>
          <w:u w:val="single"/>
          <w:lang w:val="en-GB"/>
        </w:rPr>
        <w:noBreakHyphen/>
      </w:r>
      <w:r w:rsidRPr="00E0176C">
        <w:rPr>
          <w:szCs w:val="22"/>
          <w:u w:val="single"/>
          <w:lang w:val="en-GB"/>
        </w:rPr>
        <w:t>feeding</w:t>
      </w:r>
    </w:p>
    <w:p w14:paraId="7C332023" w14:textId="77777777" w:rsidR="003F42D3" w:rsidRPr="00C501E3" w:rsidRDefault="003F42D3" w:rsidP="003F42D3">
      <w:pPr>
        <w:keepNext/>
        <w:keepLines/>
        <w:outlineLvl w:val="0"/>
        <w:rPr>
          <w:szCs w:val="22"/>
          <w:u w:val="single"/>
          <w:lang w:val="en-GB"/>
        </w:rPr>
      </w:pPr>
    </w:p>
    <w:p w14:paraId="7C332024" w14:textId="77777777" w:rsidR="003F42D3" w:rsidRPr="00C501E3" w:rsidRDefault="00016F29" w:rsidP="003F42D3">
      <w:pPr>
        <w:rPr>
          <w:lang w:val="en-GB"/>
        </w:rPr>
      </w:pPr>
      <w:r w:rsidRPr="00C501E3">
        <w:rPr>
          <w:szCs w:val="22"/>
          <w:lang w:val="en-GB"/>
        </w:rPr>
        <w:t xml:space="preserve">Whether rituximab is excreted in human milk is not known. However, because maternal IgG is excreted in human milk, and rituximab was detectable in milk from lactating monkeys, </w:t>
      </w:r>
      <w:r w:rsidRPr="00C501E3">
        <w:rPr>
          <w:lang w:val="en-GB"/>
        </w:rPr>
        <w:t>women should not breastfeed while treated with MabThera and for 12 months following MabThera treatment.</w:t>
      </w:r>
    </w:p>
    <w:p w14:paraId="7C332025" w14:textId="77777777" w:rsidR="003F42D3" w:rsidRPr="00C501E3" w:rsidRDefault="003F42D3" w:rsidP="003F42D3">
      <w:pPr>
        <w:rPr>
          <w:lang w:val="en-GB"/>
        </w:rPr>
      </w:pPr>
    </w:p>
    <w:p w14:paraId="7C332026" w14:textId="77777777" w:rsidR="003F42D3" w:rsidRPr="00C501E3" w:rsidRDefault="00016F29" w:rsidP="003F42D3">
      <w:pPr>
        <w:rPr>
          <w:szCs w:val="22"/>
          <w:u w:val="single"/>
          <w:lang w:val="en-GB"/>
        </w:rPr>
      </w:pPr>
      <w:r w:rsidRPr="00C501E3">
        <w:rPr>
          <w:szCs w:val="22"/>
          <w:u w:val="single"/>
          <w:lang w:val="en-GB"/>
        </w:rPr>
        <w:t>Fertility</w:t>
      </w:r>
    </w:p>
    <w:p w14:paraId="7C332027" w14:textId="77777777" w:rsidR="003F42D3" w:rsidRPr="00C501E3" w:rsidRDefault="003F42D3" w:rsidP="003F42D3">
      <w:pPr>
        <w:rPr>
          <w:szCs w:val="22"/>
          <w:u w:val="single"/>
          <w:lang w:val="en-GB"/>
        </w:rPr>
      </w:pPr>
    </w:p>
    <w:p w14:paraId="7C332028" w14:textId="77777777" w:rsidR="003F42D3" w:rsidRPr="00C501E3" w:rsidRDefault="00016F29" w:rsidP="003F42D3">
      <w:pPr>
        <w:rPr>
          <w:szCs w:val="22"/>
          <w:lang w:val="en-GB"/>
        </w:rPr>
      </w:pPr>
      <w:r w:rsidRPr="00C501E3">
        <w:rPr>
          <w:szCs w:val="22"/>
          <w:lang w:val="en-GB"/>
        </w:rPr>
        <w:t>Animal studies did not reveal deleterious effects of rituximab or recombinant human hyaluronidase (rHuPH20) on reproductive organs.</w:t>
      </w:r>
    </w:p>
    <w:p w14:paraId="7C332029" w14:textId="77777777" w:rsidR="003F42D3" w:rsidRPr="00C501E3" w:rsidRDefault="003F42D3" w:rsidP="003F42D3">
      <w:pPr>
        <w:rPr>
          <w:b/>
          <w:szCs w:val="22"/>
          <w:lang w:val="en-GB"/>
        </w:rPr>
      </w:pPr>
    </w:p>
    <w:p w14:paraId="7C33202A" w14:textId="77777777" w:rsidR="003F42D3" w:rsidRPr="00C501E3" w:rsidRDefault="00016F29" w:rsidP="003F42D3">
      <w:pPr>
        <w:ind w:left="567" w:hanging="567"/>
        <w:outlineLvl w:val="0"/>
        <w:rPr>
          <w:szCs w:val="22"/>
          <w:lang w:val="en-GB"/>
        </w:rPr>
      </w:pPr>
      <w:r w:rsidRPr="00C501E3">
        <w:rPr>
          <w:b/>
          <w:szCs w:val="22"/>
          <w:lang w:val="en-GB"/>
        </w:rPr>
        <w:t>4.7</w:t>
      </w:r>
      <w:r w:rsidRPr="00C501E3">
        <w:rPr>
          <w:b/>
          <w:szCs w:val="22"/>
          <w:lang w:val="en-GB"/>
        </w:rPr>
        <w:tab/>
        <w:t>Effects on ability to drive and use machines</w:t>
      </w:r>
    </w:p>
    <w:p w14:paraId="7C33202B" w14:textId="77777777" w:rsidR="003F42D3" w:rsidRPr="00C501E3" w:rsidRDefault="003F42D3" w:rsidP="003F42D3">
      <w:pPr>
        <w:rPr>
          <w:szCs w:val="22"/>
          <w:lang w:val="en-GB"/>
        </w:rPr>
      </w:pPr>
    </w:p>
    <w:p w14:paraId="7C33202C" w14:textId="77777777" w:rsidR="003F42D3" w:rsidRPr="00C501E3" w:rsidRDefault="00016F29" w:rsidP="003F42D3">
      <w:pPr>
        <w:rPr>
          <w:szCs w:val="22"/>
          <w:lang w:val="en-GB"/>
        </w:rPr>
      </w:pPr>
      <w:r w:rsidRPr="00C501E3">
        <w:rPr>
          <w:szCs w:val="22"/>
          <w:lang w:val="en-GB"/>
        </w:rPr>
        <w:t>No studies on the effects of MabThera on the ability to drive and use machines have been performed, although the pharmacological activity and adverse reactions reported to date suggest that MabThera would have no or negligible influence on the ability to drive and use machines.</w:t>
      </w:r>
    </w:p>
    <w:p w14:paraId="7C33202D" w14:textId="77777777" w:rsidR="003F42D3" w:rsidRPr="00C501E3" w:rsidRDefault="003F42D3" w:rsidP="003F42D3">
      <w:pPr>
        <w:rPr>
          <w:szCs w:val="22"/>
          <w:lang w:val="en-GB"/>
        </w:rPr>
      </w:pPr>
    </w:p>
    <w:p w14:paraId="7C33202E" w14:textId="77777777" w:rsidR="003F42D3" w:rsidRPr="00C501E3" w:rsidRDefault="00016F29" w:rsidP="00AA7B51">
      <w:pPr>
        <w:keepNext/>
        <w:keepLines/>
        <w:ind w:left="567" w:hanging="567"/>
        <w:outlineLvl w:val="0"/>
        <w:rPr>
          <w:b/>
          <w:szCs w:val="22"/>
          <w:lang w:val="en-GB"/>
        </w:rPr>
      </w:pPr>
      <w:r w:rsidRPr="00C501E3">
        <w:rPr>
          <w:b/>
          <w:szCs w:val="22"/>
          <w:lang w:val="en-GB"/>
        </w:rPr>
        <w:t>4.8</w:t>
      </w:r>
      <w:r w:rsidRPr="00C501E3">
        <w:rPr>
          <w:b/>
          <w:szCs w:val="22"/>
          <w:lang w:val="en-GB"/>
        </w:rPr>
        <w:tab/>
        <w:t>Undesirable effects</w:t>
      </w:r>
    </w:p>
    <w:p w14:paraId="7C33202F" w14:textId="77777777" w:rsidR="003F42D3" w:rsidRPr="00C501E3" w:rsidRDefault="003F42D3" w:rsidP="00AA7B51">
      <w:pPr>
        <w:keepNext/>
        <w:keepLines/>
        <w:rPr>
          <w:szCs w:val="22"/>
          <w:lang w:val="en-GB"/>
        </w:rPr>
      </w:pPr>
    </w:p>
    <w:p w14:paraId="7C332030" w14:textId="77777777" w:rsidR="003F42D3" w:rsidRPr="00C501E3" w:rsidRDefault="00016F29" w:rsidP="00AA7B51">
      <w:pPr>
        <w:keepNext/>
        <w:keepLines/>
        <w:outlineLvl w:val="0"/>
        <w:rPr>
          <w:szCs w:val="22"/>
          <w:lang w:val="en-GB"/>
        </w:rPr>
      </w:pPr>
      <w:r w:rsidRPr="00C501E3">
        <w:rPr>
          <w:szCs w:val="22"/>
          <w:lang w:val="en-GB"/>
        </w:rPr>
        <w:t xml:space="preserve">The information provided in this section pertains to the use of MabThera in oncology. </w:t>
      </w:r>
    </w:p>
    <w:p w14:paraId="7C332031" w14:textId="77777777" w:rsidR="003F42D3" w:rsidRPr="00C501E3" w:rsidRDefault="00016F29" w:rsidP="003F42D3">
      <w:pPr>
        <w:rPr>
          <w:szCs w:val="22"/>
          <w:lang w:val="en-GB"/>
        </w:rPr>
      </w:pPr>
      <w:r w:rsidRPr="00C501E3">
        <w:rPr>
          <w:szCs w:val="22"/>
          <w:lang w:val="en-GB"/>
        </w:rPr>
        <w:t xml:space="preserve">For information related to the autoimmune indications, please refer to the SmPC of MabThera </w:t>
      </w:r>
      <w:r w:rsidRPr="006229C4">
        <w:rPr>
          <w:szCs w:val="22"/>
          <w:lang w:val="en-GB"/>
        </w:rPr>
        <w:t>intravenous</w:t>
      </w:r>
      <w:r w:rsidRPr="00C501E3">
        <w:rPr>
          <w:szCs w:val="22"/>
          <w:lang w:val="en-GB"/>
        </w:rPr>
        <w:t xml:space="preserve"> formulation.</w:t>
      </w:r>
    </w:p>
    <w:p w14:paraId="7C332032" w14:textId="77777777" w:rsidR="003F42D3" w:rsidRPr="00C501E3" w:rsidRDefault="003F42D3" w:rsidP="003F42D3">
      <w:pPr>
        <w:rPr>
          <w:szCs w:val="22"/>
          <w:lang w:val="en-GB"/>
        </w:rPr>
      </w:pPr>
    </w:p>
    <w:p w14:paraId="7C332033" w14:textId="77777777" w:rsidR="003F42D3" w:rsidRPr="009771A7" w:rsidRDefault="00016F29" w:rsidP="003F42D3">
      <w:pPr>
        <w:rPr>
          <w:rFonts w:cs="Arial"/>
          <w:u w:val="single"/>
        </w:rPr>
      </w:pPr>
      <w:r w:rsidRPr="00C501E3">
        <w:rPr>
          <w:rFonts w:cs="Arial"/>
          <w:u w:val="single"/>
          <w:lang w:val="en-GB"/>
        </w:rPr>
        <w:t>Summary of the safety profile</w:t>
      </w:r>
      <w:r w:rsidR="009771A7">
        <w:rPr>
          <w:rFonts w:cs="Arial"/>
          <w:u w:val="single"/>
          <w:lang w:val="en-GB"/>
        </w:rPr>
        <w:t xml:space="preserve"> </w:t>
      </w:r>
    </w:p>
    <w:p w14:paraId="7C332034" w14:textId="77777777" w:rsidR="003F42D3" w:rsidRPr="00C501E3" w:rsidRDefault="003F42D3" w:rsidP="003F42D3">
      <w:pPr>
        <w:rPr>
          <w:rFonts w:cs="Arial"/>
          <w:lang w:val="en-GB"/>
        </w:rPr>
      </w:pPr>
    </w:p>
    <w:p w14:paraId="7C332035" w14:textId="77777777" w:rsidR="00725A67" w:rsidRPr="007152D5" w:rsidRDefault="00016F29" w:rsidP="00725A67">
      <w:pPr>
        <w:rPr>
          <w:rFonts w:cs="Arial"/>
          <w:lang w:val="en-GB"/>
        </w:rPr>
      </w:pPr>
      <w:r w:rsidRPr="007152D5">
        <w:rPr>
          <w:rFonts w:cs="Arial"/>
          <w:lang w:val="en-GB"/>
        </w:rPr>
        <w:t xml:space="preserve">During the development programme, the safety profile of MabThera </w:t>
      </w:r>
      <w:r w:rsidRPr="007152D5">
        <w:rPr>
          <w:lang w:val="en-GB"/>
        </w:rPr>
        <w:t>subcutaneous formulation</w:t>
      </w:r>
      <w:r w:rsidRPr="007152D5">
        <w:rPr>
          <w:rFonts w:cs="Arial"/>
          <w:lang w:val="en-GB"/>
        </w:rPr>
        <w:t xml:space="preserve"> was comparable to that of the intravenous formulation with the exception of local </w:t>
      </w:r>
      <w:r w:rsidR="00A176A3" w:rsidRPr="007152D5">
        <w:rPr>
          <w:rFonts w:cs="Arial"/>
          <w:lang w:val="en-GB"/>
        </w:rPr>
        <w:t>cutaneous</w:t>
      </w:r>
      <w:r w:rsidR="00A176A3" w:rsidRPr="007152D5">
        <w:rPr>
          <w:rFonts w:cs="Arial"/>
          <w:lang w:val="en-GB"/>
        </w:rPr>
        <w:tab/>
      </w:r>
      <w:r w:rsidRPr="007152D5">
        <w:rPr>
          <w:rFonts w:cs="Arial"/>
          <w:lang w:val="en-GB"/>
        </w:rPr>
        <w:t xml:space="preserve">reactions. </w:t>
      </w:r>
    </w:p>
    <w:p w14:paraId="7C332036" w14:textId="77777777" w:rsidR="003F42D3" w:rsidRPr="001A72EB" w:rsidRDefault="00016F29" w:rsidP="00941759">
      <w:pPr>
        <w:shd w:val="clear" w:color="auto" w:fill="FFFFFF"/>
        <w:rPr>
          <w:rFonts w:cs="Arial"/>
          <w:lang w:val="en-GB"/>
        </w:rPr>
      </w:pPr>
      <w:r w:rsidRPr="007152D5">
        <w:rPr>
          <w:rFonts w:cs="Arial"/>
          <w:bCs/>
          <w:lang w:val="en-GB"/>
        </w:rPr>
        <w:t xml:space="preserve">Local </w:t>
      </w:r>
      <w:r w:rsidR="00F30353" w:rsidRPr="007152D5">
        <w:rPr>
          <w:szCs w:val="22"/>
          <w:lang w:val="en-GB"/>
        </w:rPr>
        <w:t xml:space="preserve">cutaneous reactions including </w:t>
      </w:r>
      <w:r w:rsidRPr="007152D5">
        <w:rPr>
          <w:rFonts w:cs="Arial"/>
          <w:bCs/>
          <w:lang w:val="en-GB"/>
        </w:rPr>
        <w:t xml:space="preserve">injection site reactions were very common in patients receiving MabThera </w:t>
      </w:r>
      <w:r w:rsidRPr="007152D5">
        <w:rPr>
          <w:lang w:val="en-GB"/>
        </w:rPr>
        <w:t>subcutaneous formulation</w:t>
      </w:r>
      <w:r w:rsidR="00F30353" w:rsidRPr="007152D5">
        <w:rPr>
          <w:lang w:val="en-GB"/>
        </w:rPr>
        <w:t>.</w:t>
      </w:r>
      <w:r w:rsidR="00F30353" w:rsidRPr="007152D5">
        <w:rPr>
          <w:szCs w:val="22"/>
          <w:lang w:val="en-GB"/>
        </w:rPr>
        <w:t xml:space="preserve"> In the</w:t>
      </w:r>
      <w:r w:rsidR="006071D8" w:rsidRPr="007152D5">
        <w:rPr>
          <w:szCs w:val="22"/>
          <w:lang w:val="en-GB"/>
        </w:rPr>
        <w:t xml:space="preserve"> NHL</w:t>
      </w:r>
      <w:r w:rsidR="00F30353" w:rsidRPr="007152D5">
        <w:rPr>
          <w:szCs w:val="22"/>
          <w:lang w:val="en-GB"/>
        </w:rPr>
        <w:t xml:space="preserve"> phase 3 </w:t>
      </w:r>
      <w:r w:rsidR="006071D8" w:rsidRPr="007152D5">
        <w:rPr>
          <w:szCs w:val="22"/>
          <w:lang w:val="en-GB"/>
        </w:rPr>
        <w:t xml:space="preserve">trial </w:t>
      </w:r>
      <w:r w:rsidR="00F30353" w:rsidRPr="007152D5">
        <w:rPr>
          <w:szCs w:val="22"/>
          <w:lang w:val="en-GB"/>
        </w:rPr>
        <w:t>SABRINA (BO22334), local cutaneous reactions were reported in up to 20% of patients receiving subcutaneous MabThera.  The most common local cutaneous reactions in the MabThera subcutaneous arm were injection site erythema (13%), injection site pain (7%), and injection site oedema (4%). Events seen following subcutaneous administration were mild or moderate, apart from one patient who reported a local cutaneous reaction of Grade 3 intensity (injection site rash) following the first MabThera subcutaneous administration (Cycle 2).  Local cutaneous reactions of any grade in the MabThera subcutaneous arm were most common during the first subcutaneous cycle (Cycle 2), followed by the second, and the incidence decre</w:t>
      </w:r>
      <w:r w:rsidR="007152D5">
        <w:rPr>
          <w:szCs w:val="22"/>
          <w:lang w:val="en-GB"/>
        </w:rPr>
        <w:t xml:space="preserve">ased with </w:t>
      </w:r>
      <w:r w:rsidR="007152D5" w:rsidRPr="001A72EB">
        <w:rPr>
          <w:szCs w:val="22"/>
          <w:lang w:val="en-GB"/>
        </w:rPr>
        <w:t>subsequent injections</w:t>
      </w:r>
      <w:r w:rsidRPr="001A72EB">
        <w:rPr>
          <w:rFonts w:cs="Arial"/>
          <w:lang w:val="en-GB"/>
        </w:rPr>
        <w:t>.</w:t>
      </w:r>
      <w:r w:rsidR="007152D5" w:rsidRPr="001A72EB">
        <w:rPr>
          <w:rFonts w:cs="Arial"/>
          <w:lang w:val="en-GB"/>
        </w:rPr>
        <w:t xml:space="preserve"> </w:t>
      </w:r>
      <w:r w:rsidR="000C317D" w:rsidRPr="00941759">
        <w:rPr>
          <w:rFonts w:cs="Arial"/>
          <w:szCs w:val="22"/>
          <w:shd w:val="clear" w:color="auto" w:fill="FFFFFF"/>
        </w:rPr>
        <w:t xml:space="preserve">Similar events were observed in the </w:t>
      </w:r>
      <w:r w:rsidR="006071D8" w:rsidRPr="00941759">
        <w:rPr>
          <w:rFonts w:cs="Arial"/>
          <w:szCs w:val="22"/>
          <w:shd w:val="clear" w:color="auto" w:fill="FFFFFF"/>
        </w:rPr>
        <w:t xml:space="preserve">CLL </w:t>
      </w:r>
      <w:r w:rsidR="000C317D" w:rsidRPr="00941759">
        <w:rPr>
          <w:rFonts w:cs="Arial"/>
          <w:szCs w:val="22"/>
          <w:shd w:val="clear" w:color="auto" w:fill="FFFFFF"/>
        </w:rPr>
        <w:t>SAWYER trial (BO25341) and were reported in up to 42% of patients in the MabThera subcutaneous</w:t>
      </w:r>
      <w:r w:rsidR="000C317D" w:rsidRPr="00941759">
        <w:rPr>
          <w:rFonts w:cs="Arial"/>
          <w:shd w:val="clear" w:color="auto" w:fill="FFFFFF"/>
        </w:rPr>
        <w:t xml:space="preserve"> arm. Most common </w:t>
      </w:r>
      <w:r w:rsidR="000C317D" w:rsidRPr="00941759">
        <w:rPr>
          <w:shd w:val="clear" w:color="auto" w:fill="FFFFFF"/>
        </w:rPr>
        <w:t>local cutaneous reactions were</w:t>
      </w:r>
      <w:r w:rsidR="000C317D" w:rsidRPr="00941759">
        <w:rPr>
          <w:rFonts w:cs="Arial"/>
          <w:shd w:val="clear" w:color="auto" w:fill="FFFFFF"/>
        </w:rPr>
        <w:t xml:space="preserve"> </w:t>
      </w:r>
      <w:r w:rsidR="000C317D" w:rsidRPr="00941759">
        <w:rPr>
          <w:shd w:val="clear" w:color="auto" w:fill="FFFFFF"/>
        </w:rPr>
        <w:t>injection site erythema (26%), injection site pain (16%), and injection site swelling (5%)</w:t>
      </w:r>
      <w:r w:rsidR="000C317D" w:rsidRPr="00941759">
        <w:rPr>
          <w:rFonts w:cs="Arial"/>
          <w:shd w:val="clear" w:color="auto" w:fill="FFFFFF"/>
        </w:rPr>
        <w:t>.</w:t>
      </w:r>
      <w:r w:rsidR="00D67662">
        <w:rPr>
          <w:rFonts w:cs="Arial"/>
          <w:shd w:val="clear" w:color="auto" w:fill="FFFFFF"/>
        </w:rPr>
        <w:t xml:space="preserve">  </w:t>
      </w:r>
      <w:r w:rsidRPr="00941759">
        <w:rPr>
          <w:rFonts w:cs="Arial"/>
          <w:shd w:val="clear" w:color="auto" w:fill="FFFFFF"/>
        </w:rPr>
        <w:t>T</w:t>
      </w:r>
      <w:r w:rsidR="005D2240" w:rsidRPr="00941759">
        <w:rPr>
          <w:rFonts w:cs="Arial"/>
          <w:bCs/>
          <w:shd w:val="clear" w:color="auto" w:fill="FFFFFF"/>
          <w:lang w:val="en-GB"/>
        </w:rPr>
        <w:t>wo patients in SAWYER trial who experienced Grade 3 local cutaneous reactions (injection site erythema, injection site pain and injection site swelling)</w:t>
      </w:r>
      <w:r w:rsidR="009771A7" w:rsidRPr="00941759">
        <w:rPr>
          <w:rFonts w:cs="Arial"/>
          <w:bCs/>
          <w:shd w:val="clear" w:color="auto" w:fill="FFFFFF"/>
          <w:lang w:val="en-GB"/>
        </w:rPr>
        <w:t>.</w:t>
      </w:r>
      <w:r w:rsidR="009771A7" w:rsidRPr="001A72EB">
        <w:rPr>
          <w:rFonts w:cs="Arial"/>
          <w:bCs/>
          <w:lang w:val="en-GB"/>
        </w:rPr>
        <w:t xml:space="preserve"> </w:t>
      </w:r>
    </w:p>
    <w:p w14:paraId="7C332037" w14:textId="77777777" w:rsidR="003F42D3" w:rsidRPr="001A72EB" w:rsidRDefault="003F42D3" w:rsidP="00941759">
      <w:pPr>
        <w:shd w:val="clear" w:color="auto" w:fill="FFFFFF"/>
        <w:rPr>
          <w:szCs w:val="22"/>
          <w:lang w:val="en-GB"/>
        </w:rPr>
      </w:pPr>
    </w:p>
    <w:p w14:paraId="7C332038" w14:textId="77777777" w:rsidR="003F42D3" w:rsidRPr="00C501E3" w:rsidRDefault="00016F29" w:rsidP="003F42D3">
      <w:pPr>
        <w:outlineLvl w:val="0"/>
        <w:rPr>
          <w:i/>
          <w:szCs w:val="22"/>
          <w:lang w:val="en-GB"/>
        </w:rPr>
      </w:pPr>
      <w:r w:rsidRPr="001A72EB">
        <w:rPr>
          <w:rFonts w:cs="Arial"/>
          <w:i/>
          <w:u w:val="single"/>
          <w:lang w:val="en-GB"/>
        </w:rPr>
        <w:t>Adverse reactions reported in MabThera subcutaneous formulation usage</w:t>
      </w:r>
    </w:p>
    <w:p w14:paraId="7C332039" w14:textId="77777777" w:rsidR="003F42D3" w:rsidRPr="0009206E" w:rsidRDefault="003F42D3" w:rsidP="003F42D3">
      <w:pPr>
        <w:outlineLvl w:val="0"/>
        <w:rPr>
          <w:i/>
          <w:szCs w:val="22"/>
          <w:lang w:val="en-GB"/>
        </w:rPr>
      </w:pPr>
    </w:p>
    <w:p w14:paraId="7C33203A" w14:textId="77777777" w:rsidR="00B103F7" w:rsidRPr="0009206E" w:rsidRDefault="00016F29" w:rsidP="003F42D3">
      <w:pPr>
        <w:rPr>
          <w:szCs w:val="22"/>
          <w:lang w:val="en-GB"/>
        </w:rPr>
      </w:pPr>
      <w:r w:rsidRPr="0009206E">
        <w:rPr>
          <w:szCs w:val="22"/>
          <w:lang w:val="en-GB"/>
        </w:rPr>
        <w:t xml:space="preserve">The risk of acute </w:t>
      </w:r>
      <w:r w:rsidR="00F30353" w:rsidRPr="0009206E">
        <w:rPr>
          <w:szCs w:val="22"/>
          <w:lang w:val="en-GB"/>
        </w:rPr>
        <w:t>administration</w:t>
      </w:r>
      <w:r w:rsidR="000A6DDA" w:rsidRPr="0009206E">
        <w:rPr>
          <w:szCs w:val="22"/>
          <w:lang w:val="en-GB"/>
        </w:rPr>
        <w:noBreakHyphen/>
      </w:r>
      <w:r w:rsidR="00F30353" w:rsidRPr="0009206E">
        <w:rPr>
          <w:szCs w:val="22"/>
          <w:lang w:val="en-GB"/>
        </w:rPr>
        <w:t xml:space="preserve">related </w:t>
      </w:r>
      <w:r w:rsidRPr="0009206E">
        <w:rPr>
          <w:szCs w:val="22"/>
          <w:lang w:val="en-GB"/>
        </w:rPr>
        <w:t>reactions associated</w:t>
      </w:r>
      <w:r w:rsidR="003F42D3" w:rsidRPr="0009206E">
        <w:rPr>
          <w:szCs w:val="22"/>
          <w:lang w:val="en-GB"/>
        </w:rPr>
        <w:t xml:space="preserve"> with the subcutaneous formulation of MabThera was assessed in </w:t>
      </w:r>
      <w:r w:rsidR="000A6DDA" w:rsidRPr="0009206E">
        <w:rPr>
          <w:szCs w:val="22"/>
          <w:lang w:val="en-GB"/>
        </w:rPr>
        <w:noBreakHyphen/>
      </w:r>
      <w:r w:rsidRPr="0009206E">
        <w:rPr>
          <w:szCs w:val="22"/>
          <w:shd w:val="clear" w:color="auto" w:fill="FFFFFF"/>
          <w:lang w:val="en-GB"/>
        </w:rPr>
        <w:t>three clinical trials</w:t>
      </w:r>
      <w:r w:rsidR="00AB512D" w:rsidRPr="0009206E">
        <w:rPr>
          <w:szCs w:val="22"/>
          <w:shd w:val="clear" w:color="auto" w:fill="FFFFFF"/>
          <w:lang w:val="en-GB"/>
        </w:rPr>
        <w:t>: SparkThera and SABRINA (t</w:t>
      </w:r>
      <w:r w:rsidR="00856AEA" w:rsidRPr="0009206E">
        <w:rPr>
          <w:szCs w:val="22"/>
          <w:shd w:val="clear" w:color="auto" w:fill="FFFFFF"/>
          <w:lang w:val="en-GB"/>
        </w:rPr>
        <w:t>he t</w:t>
      </w:r>
      <w:r w:rsidR="00AB512D" w:rsidRPr="0009206E">
        <w:rPr>
          <w:szCs w:val="22"/>
          <w:shd w:val="clear" w:color="auto" w:fill="FFFFFF"/>
          <w:lang w:val="en-GB"/>
        </w:rPr>
        <w:t>wo trials in NHL) and SAWYER the CLL trial</w:t>
      </w:r>
      <w:r w:rsidR="003F42D3" w:rsidRPr="0009206E">
        <w:rPr>
          <w:szCs w:val="22"/>
          <w:lang w:val="en-GB"/>
        </w:rPr>
        <w:t xml:space="preserve">. </w:t>
      </w:r>
    </w:p>
    <w:p w14:paraId="7C33203B" w14:textId="77777777" w:rsidR="000A10E9" w:rsidRPr="0009206E" w:rsidRDefault="00016F29" w:rsidP="000A10E9">
      <w:pPr>
        <w:rPr>
          <w:rFonts w:eastAsia="SimSun"/>
          <w:szCs w:val="22"/>
          <w:lang w:val="en-GB" w:eastAsia="zh-CN"/>
        </w:rPr>
      </w:pPr>
      <w:r w:rsidRPr="0009206E">
        <w:rPr>
          <w:rFonts w:eastAsia="SimSun"/>
          <w:szCs w:val="22"/>
          <w:lang w:val="en-GB" w:eastAsia="zh-CN"/>
        </w:rPr>
        <w:t>In trial</w:t>
      </w:r>
      <w:r w:rsidR="00F30353" w:rsidRPr="0009206E">
        <w:rPr>
          <w:rFonts w:eastAsia="SimSun"/>
          <w:szCs w:val="22"/>
          <w:lang w:val="en-GB" w:eastAsia="zh-CN"/>
        </w:rPr>
        <w:t xml:space="preserve"> SABRINA</w:t>
      </w:r>
      <w:r w:rsidRPr="0009206E">
        <w:rPr>
          <w:rFonts w:eastAsia="SimSun"/>
          <w:szCs w:val="22"/>
          <w:lang w:val="en-GB" w:eastAsia="zh-CN"/>
        </w:rPr>
        <w:t>, severe administration</w:t>
      </w:r>
      <w:r w:rsidR="000A6DDA" w:rsidRPr="0009206E">
        <w:rPr>
          <w:rFonts w:eastAsia="SimSun"/>
          <w:szCs w:val="22"/>
          <w:lang w:val="en-GB" w:eastAsia="zh-CN"/>
        </w:rPr>
        <w:noBreakHyphen/>
      </w:r>
      <w:r w:rsidRPr="0009206E">
        <w:rPr>
          <w:rFonts w:eastAsia="SimSun"/>
          <w:szCs w:val="22"/>
          <w:lang w:val="en-GB" w:eastAsia="zh-CN"/>
        </w:rPr>
        <w:t xml:space="preserve">related reactions (grade≥3) were reported in two patients </w:t>
      </w:r>
      <w:r w:rsidR="00F30353" w:rsidRPr="0009206E">
        <w:rPr>
          <w:rFonts w:eastAsia="SimSun"/>
          <w:szCs w:val="22"/>
          <w:lang w:val="en-GB" w:eastAsia="zh-CN"/>
        </w:rPr>
        <w:t xml:space="preserve"> (2%)</w:t>
      </w:r>
      <w:r w:rsidR="00790E63" w:rsidRPr="0009206E">
        <w:rPr>
          <w:rFonts w:eastAsia="SimSun"/>
          <w:szCs w:val="22"/>
          <w:lang w:val="en-GB" w:eastAsia="zh-CN"/>
        </w:rPr>
        <w:t xml:space="preserve"> </w:t>
      </w:r>
      <w:r w:rsidRPr="0009206E">
        <w:rPr>
          <w:rFonts w:eastAsia="SimSun"/>
          <w:szCs w:val="22"/>
          <w:lang w:val="en-GB" w:eastAsia="zh-CN"/>
        </w:rPr>
        <w:t xml:space="preserve">following administration of MabThera </w:t>
      </w:r>
      <w:r w:rsidRPr="0009206E">
        <w:rPr>
          <w:szCs w:val="22"/>
          <w:lang w:val="en-GB"/>
        </w:rPr>
        <w:t xml:space="preserve">subcutaneous formulation </w:t>
      </w:r>
      <w:r w:rsidRPr="0009206E">
        <w:rPr>
          <w:rFonts w:eastAsia="SimSun"/>
          <w:szCs w:val="22"/>
          <w:lang w:val="en-GB" w:eastAsia="zh-CN"/>
        </w:rPr>
        <w:t>.</w:t>
      </w:r>
      <w:r w:rsidR="00790E63" w:rsidRPr="0009206E">
        <w:rPr>
          <w:szCs w:val="22"/>
          <w:lang w:val="en-GB"/>
        </w:rPr>
        <w:t xml:space="preserve">  These events were Grade 3 injection site rash and dry mouth</w:t>
      </w:r>
      <w:r w:rsidR="00794B86" w:rsidRPr="0009206E">
        <w:rPr>
          <w:szCs w:val="22"/>
          <w:lang w:val="en-GB"/>
        </w:rPr>
        <w:t>.</w:t>
      </w:r>
      <w:r w:rsidRPr="0009206E">
        <w:rPr>
          <w:rFonts w:eastAsia="SimSun"/>
          <w:szCs w:val="22"/>
          <w:lang w:val="en-GB" w:eastAsia="zh-CN"/>
        </w:rPr>
        <w:t xml:space="preserve"> </w:t>
      </w:r>
    </w:p>
    <w:p w14:paraId="7C33203C" w14:textId="77777777" w:rsidR="003F42D3" w:rsidRPr="0009206E" w:rsidRDefault="00016F29" w:rsidP="000A10E9">
      <w:pPr>
        <w:rPr>
          <w:rFonts w:eastAsia="SimSun"/>
          <w:b/>
          <w:i/>
          <w:szCs w:val="22"/>
          <w:lang w:val="en-GB" w:eastAsia="zh-CN"/>
        </w:rPr>
      </w:pPr>
      <w:r w:rsidRPr="0009206E">
        <w:rPr>
          <w:rFonts w:eastAsia="SimSun"/>
          <w:szCs w:val="22"/>
          <w:lang w:val="en-GB" w:eastAsia="zh-CN"/>
        </w:rPr>
        <w:t xml:space="preserve">In trial </w:t>
      </w:r>
      <w:r w:rsidR="00790E63" w:rsidRPr="0009206E">
        <w:rPr>
          <w:rFonts w:eastAsia="SimSun"/>
          <w:szCs w:val="22"/>
          <w:lang w:val="en-GB" w:eastAsia="zh-CN"/>
        </w:rPr>
        <w:t>SparkThera</w:t>
      </w:r>
      <w:r w:rsidRPr="0009206E">
        <w:rPr>
          <w:rFonts w:eastAsia="SimSun"/>
          <w:szCs w:val="22"/>
          <w:lang w:val="en-GB" w:eastAsia="zh-CN"/>
        </w:rPr>
        <w:t>, no severe administration</w:t>
      </w:r>
      <w:r w:rsidR="000A6DDA" w:rsidRPr="0009206E">
        <w:rPr>
          <w:rFonts w:eastAsia="SimSun"/>
          <w:szCs w:val="22"/>
          <w:lang w:val="en-GB" w:eastAsia="zh-CN"/>
        </w:rPr>
        <w:noBreakHyphen/>
      </w:r>
      <w:r w:rsidRPr="0009206E">
        <w:rPr>
          <w:rFonts w:eastAsia="SimSun"/>
          <w:szCs w:val="22"/>
          <w:lang w:val="en-GB" w:eastAsia="zh-CN"/>
        </w:rPr>
        <w:t>related reactions were reported.</w:t>
      </w:r>
    </w:p>
    <w:p w14:paraId="7C33203D" w14:textId="77777777" w:rsidR="00AB512D" w:rsidRPr="0009206E" w:rsidRDefault="00016F29" w:rsidP="00941759">
      <w:pPr>
        <w:shd w:val="clear" w:color="auto" w:fill="FFFFFF"/>
        <w:rPr>
          <w:rFonts w:eastAsia="SimSun"/>
          <w:sz w:val="24"/>
          <w:szCs w:val="24"/>
          <w:lang w:val="en-GB" w:eastAsia="zh-CN"/>
        </w:rPr>
      </w:pPr>
      <w:r w:rsidRPr="0009206E">
        <w:rPr>
          <w:rFonts w:eastAsia="SimSun"/>
          <w:szCs w:val="22"/>
          <w:shd w:val="clear" w:color="auto" w:fill="FFFFFF"/>
          <w:lang w:val="en-GB" w:eastAsia="zh-CN"/>
        </w:rPr>
        <w:t>In SAWYER (BO25341), severe administration</w:t>
      </w:r>
      <w:r w:rsidR="000A6DDA" w:rsidRPr="0009206E">
        <w:rPr>
          <w:rFonts w:eastAsia="SimSun"/>
          <w:szCs w:val="22"/>
          <w:shd w:val="clear" w:color="auto" w:fill="FFFFFF"/>
          <w:lang w:val="en-GB" w:eastAsia="zh-CN"/>
        </w:rPr>
        <w:noBreakHyphen/>
      </w:r>
      <w:r w:rsidRPr="0009206E">
        <w:rPr>
          <w:rFonts w:eastAsia="SimSun"/>
          <w:szCs w:val="22"/>
          <w:shd w:val="clear" w:color="auto" w:fill="FFFFFF"/>
          <w:lang w:val="en-GB" w:eastAsia="zh-CN"/>
        </w:rPr>
        <w:t>related reactions (Grade ≥3) were reported in four patients (5%) following MabThera subcutaneous administration.</w:t>
      </w:r>
      <w:r w:rsidR="00E31D11" w:rsidRPr="0009206E">
        <w:rPr>
          <w:rFonts w:eastAsia="SimSun"/>
          <w:szCs w:val="22"/>
          <w:shd w:val="clear" w:color="auto" w:fill="FFFFFF"/>
          <w:lang w:val="en-GB" w:eastAsia="zh-CN"/>
        </w:rPr>
        <w:t xml:space="preserve"> </w:t>
      </w:r>
      <w:r w:rsidRPr="0009206E">
        <w:rPr>
          <w:rFonts w:eastAsia="SimSun"/>
          <w:szCs w:val="22"/>
          <w:shd w:val="clear" w:color="auto" w:fill="FFFFFF"/>
          <w:lang w:val="en-GB" w:eastAsia="zh-CN"/>
        </w:rPr>
        <w:t>These events were Grade 4 thrombocytopenia and Grade 3 anxiety, injection</w:t>
      </w:r>
      <w:r w:rsidR="000A6DDA" w:rsidRPr="0009206E">
        <w:rPr>
          <w:rFonts w:eastAsia="SimSun"/>
          <w:szCs w:val="22"/>
          <w:shd w:val="clear" w:color="auto" w:fill="FFFFFF"/>
          <w:lang w:val="en-GB" w:eastAsia="zh-CN"/>
        </w:rPr>
        <w:noBreakHyphen/>
      </w:r>
      <w:r w:rsidRPr="0009206E">
        <w:rPr>
          <w:rFonts w:eastAsia="SimSun"/>
          <w:szCs w:val="22"/>
          <w:shd w:val="clear" w:color="auto" w:fill="FFFFFF"/>
          <w:lang w:val="en-GB" w:eastAsia="zh-CN"/>
        </w:rPr>
        <w:t>site erythema and urticaria.</w:t>
      </w:r>
    </w:p>
    <w:p w14:paraId="7C33203E" w14:textId="77777777" w:rsidR="003F42D3" w:rsidRPr="0009206E" w:rsidRDefault="003F42D3" w:rsidP="003F42D3">
      <w:pPr>
        <w:rPr>
          <w:lang w:val="en-GB"/>
        </w:rPr>
      </w:pPr>
    </w:p>
    <w:p w14:paraId="7C33203F" w14:textId="77777777" w:rsidR="003F42D3" w:rsidRPr="0009206E" w:rsidRDefault="00016F29" w:rsidP="003F42D3">
      <w:pPr>
        <w:rPr>
          <w:i/>
          <w:u w:val="single"/>
          <w:lang w:val="en-GB"/>
        </w:rPr>
      </w:pPr>
      <w:r w:rsidRPr="0009206E">
        <w:rPr>
          <w:i/>
          <w:u w:val="single"/>
          <w:lang w:val="en-GB"/>
        </w:rPr>
        <w:t>Adverse reactions reported in MabThera intravenous formulation usage</w:t>
      </w:r>
    </w:p>
    <w:p w14:paraId="7C332040" w14:textId="77777777" w:rsidR="003F42D3" w:rsidRPr="0009206E" w:rsidRDefault="003F42D3" w:rsidP="003F42D3">
      <w:pPr>
        <w:rPr>
          <w:i/>
          <w:lang w:val="en-GB"/>
        </w:rPr>
      </w:pPr>
    </w:p>
    <w:p w14:paraId="7C332041" w14:textId="77777777" w:rsidR="003F42D3" w:rsidRPr="0009206E" w:rsidRDefault="00016F29" w:rsidP="003F42D3">
      <w:pPr>
        <w:outlineLvl w:val="0"/>
        <w:rPr>
          <w:i/>
          <w:szCs w:val="22"/>
          <w:lang w:val="en-GB"/>
        </w:rPr>
      </w:pPr>
      <w:r w:rsidRPr="0009206E">
        <w:rPr>
          <w:i/>
          <w:szCs w:val="22"/>
          <w:lang w:val="en-GB"/>
        </w:rPr>
        <w:t>Experience from non</w:t>
      </w:r>
      <w:r w:rsidR="000A6DDA" w:rsidRPr="0009206E">
        <w:rPr>
          <w:i/>
          <w:szCs w:val="22"/>
          <w:lang w:val="en-GB"/>
        </w:rPr>
        <w:noBreakHyphen/>
      </w:r>
      <w:r w:rsidRPr="0009206E">
        <w:rPr>
          <w:i/>
          <w:szCs w:val="22"/>
          <w:lang w:val="en-GB"/>
        </w:rPr>
        <w:t>Hodgkin’s lymphoma and chronic lymphocytic leukaemia</w:t>
      </w:r>
    </w:p>
    <w:p w14:paraId="7C332042" w14:textId="77777777" w:rsidR="003F42D3" w:rsidRPr="0009206E" w:rsidRDefault="003F42D3" w:rsidP="003F42D3">
      <w:pPr>
        <w:rPr>
          <w:szCs w:val="22"/>
          <w:lang w:val="en-GB"/>
        </w:rPr>
      </w:pPr>
    </w:p>
    <w:p w14:paraId="7C332043" w14:textId="77777777" w:rsidR="003F42D3" w:rsidRPr="00B44AE2" w:rsidRDefault="00016F29" w:rsidP="003F42D3">
      <w:pPr>
        <w:rPr>
          <w:szCs w:val="22"/>
          <w:lang w:val="en-GB"/>
        </w:rPr>
      </w:pPr>
      <w:r w:rsidRPr="00B44AE2">
        <w:rPr>
          <w:szCs w:val="22"/>
          <w:lang w:val="en-GB"/>
        </w:rPr>
        <w:t>The overall safety profile of MabThera in non</w:t>
      </w:r>
      <w:r w:rsidR="000A6DDA" w:rsidRPr="00B44AE2">
        <w:rPr>
          <w:szCs w:val="22"/>
          <w:lang w:val="en-GB"/>
        </w:rPr>
        <w:noBreakHyphen/>
      </w:r>
      <w:r w:rsidRPr="00B44AE2">
        <w:rPr>
          <w:szCs w:val="22"/>
          <w:lang w:val="en-GB"/>
        </w:rPr>
        <w:t xml:space="preserve">Hodgkin’s lymphoma and </w:t>
      </w:r>
      <w:r w:rsidR="007D4E4A" w:rsidRPr="00B44AE2">
        <w:rPr>
          <w:szCs w:val="22"/>
          <w:lang w:val="en-GB"/>
        </w:rPr>
        <w:t>CLL</w:t>
      </w:r>
      <w:r w:rsidRPr="00B44AE2">
        <w:rPr>
          <w:szCs w:val="22"/>
          <w:lang w:val="en-GB"/>
        </w:rPr>
        <w:t xml:space="preserve"> is based on data from patients from clinical trials and from post</w:t>
      </w:r>
      <w:r w:rsidR="000A6DDA" w:rsidRPr="00B44AE2">
        <w:rPr>
          <w:szCs w:val="22"/>
          <w:lang w:val="en-GB"/>
        </w:rPr>
        <w:noBreakHyphen/>
      </w:r>
      <w:r w:rsidRPr="00B44AE2">
        <w:rPr>
          <w:szCs w:val="22"/>
          <w:lang w:val="en-GB"/>
        </w:rPr>
        <w:t xml:space="preserve">marketing surveillance. These patients were treated either with MabThera monotherapy (as induction treatment or maintenance treatment following induction treatment) or in combination with chemotherapy. </w:t>
      </w:r>
    </w:p>
    <w:p w14:paraId="7C332044" w14:textId="77777777" w:rsidR="003F42D3" w:rsidRPr="00B44AE2" w:rsidRDefault="003F42D3" w:rsidP="003F42D3">
      <w:pPr>
        <w:rPr>
          <w:szCs w:val="22"/>
          <w:lang w:val="en-GB"/>
        </w:rPr>
      </w:pPr>
    </w:p>
    <w:p w14:paraId="7C332045" w14:textId="77777777" w:rsidR="003F42D3" w:rsidRPr="00B44AE2" w:rsidRDefault="00016F29" w:rsidP="003F42D3">
      <w:pPr>
        <w:rPr>
          <w:szCs w:val="22"/>
          <w:lang w:val="en-GB"/>
        </w:rPr>
      </w:pPr>
      <w:r w:rsidRPr="00B44AE2">
        <w:rPr>
          <w:szCs w:val="22"/>
          <w:lang w:val="en-GB"/>
        </w:rPr>
        <w:t>The most frequently observed adverse reactions (ADRs) in patients receiving MabThera were infusion</w:t>
      </w:r>
      <w:r w:rsidR="000A6DDA" w:rsidRPr="00B44AE2">
        <w:rPr>
          <w:szCs w:val="22"/>
          <w:lang w:val="en-GB"/>
        </w:rPr>
        <w:noBreakHyphen/>
      </w:r>
      <w:r w:rsidRPr="00B44AE2">
        <w:rPr>
          <w:szCs w:val="22"/>
          <w:lang w:val="en-GB"/>
        </w:rPr>
        <w:t>related reactions which occurred in the majority of patients during the first infusion. The incidence of infusion</w:t>
      </w:r>
      <w:r w:rsidR="000A6DDA" w:rsidRPr="00B44AE2">
        <w:rPr>
          <w:szCs w:val="22"/>
          <w:lang w:val="en-GB"/>
        </w:rPr>
        <w:noBreakHyphen/>
      </w:r>
      <w:r w:rsidRPr="00B44AE2">
        <w:rPr>
          <w:szCs w:val="22"/>
          <w:lang w:val="en-GB"/>
        </w:rPr>
        <w:t>related symptoms decreases substantially with subsequent infusions and is less than 1 % after eight doses of MabThera.</w:t>
      </w:r>
    </w:p>
    <w:p w14:paraId="7C332046" w14:textId="77777777" w:rsidR="003F42D3" w:rsidRPr="00C501E3" w:rsidRDefault="00016F29" w:rsidP="003F42D3">
      <w:pPr>
        <w:tabs>
          <w:tab w:val="left" w:pos="8025"/>
        </w:tabs>
        <w:rPr>
          <w:szCs w:val="22"/>
          <w:lang w:val="en-GB"/>
        </w:rPr>
      </w:pPr>
      <w:r w:rsidRPr="00C501E3">
        <w:rPr>
          <w:szCs w:val="22"/>
          <w:lang w:val="en-GB"/>
        </w:rPr>
        <w:tab/>
      </w:r>
    </w:p>
    <w:p w14:paraId="7C332047" w14:textId="77777777" w:rsidR="003F42D3" w:rsidRPr="005011EB" w:rsidRDefault="00016F29" w:rsidP="003F42D3">
      <w:pPr>
        <w:rPr>
          <w:szCs w:val="22"/>
          <w:lang w:val="en-GB"/>
        </w:rPr>
      </w:pPr>
      <w:r w:rsidRPr="005011EB">
        <w:rPr>
          <w:szCs w:val="22"/>
          <w:lang w:val="en-GB"/>
        </w:rPr>
        <w:t>Infectious events (predominantly bacterial and viral) occurred in approximately 30</w:t>
      </w:r>
      <w:r w:rsidR="000A6DDA" w:rsidRPr="005011EB">
        <w:rPr>
          <w:szCs w:val="22"/>
          <w:lang w:val="en-GB"/>
        </w:rPr>
        <w:noBreakHyphen/>
      </w:r>
      <w:r w:rsidRPr="005011EB">
        <w:rPr>
          <w:szCs w:val="22"/>
          <w:lang w:val="en-GB"/>
        </w:rPr>
        <w:t>55 % of patients during clinical trials in patients with NHL and in 30</w:t>
      </w:r>
      <w:r w:rsidR="000A6DDA" w:rsidRPr="005011EB">
        <w:rPr>
          <w:szCs w:val="22"/>
          <w:lang w:val="en-GB"/>
        </w:rPr>
        <w:noBreakHyphen/>
      </w:r>
      <w:r w:rsidRPr="005011EB">
        <w:rPr>
          <w:szCs w:val="22"/>
          <w:lang w:val="en-GB"/>
        </w:rPr>
        <w:t>50 % of patients during clinical trial in patients with CLL.</w:t>
      </w:r>
    </w:p>
    <w:p w14:paraId="7C332048" w14:textId="77777777" w:rsidR="003F42D3" w:rsidRPr="005011EB" w:rsidRDefault="003F42D3" w:rsidP="003F42D3">
      <w:pPr>
        <w:rPr>
          <w:szCs w:val="22"/>
          <w:lang w:val="en-GB"/>
        </w:rPr>
      </w:pPr>
    </w:p>
    <w:p w14:paraId="7C332049" w14:textId="77777777" w:rsidR="003F42D3" w:rsidRPr="005011EB" w:rsidRDefault="00016F29" w:rsidP="00AA7B51">
      <w:pPr>
        <w:keepNext/>
        <w:keepLines/>
        <w:rPr>
          <w:szCs w:val="22"/>
          <w:lang w:val="en-GB"/>
        </w:rPr>
      </w:pPr>
      <w:r w:rsidRPr="005011EB">
        <w:rPr>
          <w:szCs w:val="22"/>
          <w:lang w:val="en-GB"/>
        </w:rPr>
        <w:t>The most frequent reported or observed serious adverse reactions were:</w:t>
      </w:r>
    </w:p>
    <w:p w14:paraId="7C33204A" w14:textId="77777777" w:rsidR="003F42D3" w:rsidRPr="00C501E3" w:rsidRDefault="00016F29" w:rsidP="00AA7B51">
      <w:pPr>
        <w:keepNext/>
        <w:keepLines/>
        <w:ind w:left="567" w:hanging="567"/>
        <w:rPr>
          <w:szCs w:val="22"/>
          <w:lang w:val="en-GB"/>
        </w:rPr>
      </w:pPr>
      <w:r w:rsidRPr="00E06A78">
        <w:rPr>
          <w:rFonts w:ascii="Symbol" w:hAnsi="Symbol"/>
          <w:lang w:val="en-GB"/>
        </w:rPr>
        <w:sym w:font="Symbol" w:char="F0B7"/>
      </w:r>
      <w:r w:rsidRPr="002A4725">
        <w:rPr>
          <w:szCs w:val="22"/>
          <w:lang w:val="en-GB"/>
        </w:rPr>
        <w:tab/>
        <w:t>Infusion</w:t>
      </w:r>
      <w:r w:rsidR="000A6DDA" w:rsidRPr="002A4725">
        <w:rPr>
          <w:szCs w:val="22"/>
          <w:lang w:val="en-GB"/>
        </w:rPr>
        <w:noBreakHyphen/>
      </w:r>
      <w:r w:rsidRPr="002A4725">
        <w:rPr>
          <w:szCs w:val="22"/>
          <w:lang w:val="en-GB"/>
        </w:rPr>
        <w:t>related reactions (including cytokine</w:t>
      </w:r>
      <w:r w:rsidR="000A6DDA" w:rsidRPr="002A4725">
        <w:rPr>
          <w:szCs w:val="22"/>
          <w:lang w:val="en-GB"/>
        </w:rPr>
        <w:noBreakHyphen/>
      </w:r>
      <w:r w:rsidRPr="002A4725">
        <w:rPr>
          <w:szCs w:val="22"/>
          <w:lang w:val="en-GB"/>
        </w:rPr>
        <w:t>release syndrome, tumour</w:t>
      </w:r>
      <w:r w:rsidR="000A6DDA" w:rsidRPr="002A4725">
        <w:rPr>
          <w:szCs w:val="22"/>
          <w:lang w:val="en-GB"/>
        </w:rPr>
        <w:noBreakHyphen/>
      </w:r>
      <w:r w:rsidRPr="002A4725">
        <w:rPr>
          <w:szCs w:val="22"/>
          <w:lang w:val="en-GB"/>
        </w:rPr>
        <w:t>lysis syndrome), see</w:t>
      </w:r>
      <w:r w:rsidRPr="00C501E3">
        <w:rPr>
          <w:szCs w:val="22"/>
          <w:lang w:val="en-GB"/>
        </w:rPr>
        <w:t xml:space="preserve"> section 4.4.</w:t>
      </w:r>
    </w:p>
    <w:p w14:paraId="7C33204B" w14:textId="77777777" w:rsidR="003F42D3" w:rsidRPr="00C501E3" w:rsidRDefault="00016F29" w:rsidP="003F42D3">
      <w:pPr>
        <w:ind w:left="567" w:hanging="567"/>
        <w:rPr>
          <w:szCs w:val="22"/>
          <w:lang w:val="en-GB"/>
        </w:rPr>
      </w:pPr>
      <w:r w:rsidRPr="00E06A78">
        <w:rPr>
          <w:rFonts w:ascii="Symbol" w:hAnsi="Symbol"/>
          <w:lang w:val="en-GB"/>
        </w:rPr>
        <w:sym w:font="Symbol" w:char="F0B7"/>
      </w:r>
      <w:r w:rsidRPr="00C501E3">
        <w:rPr>
          <w:szCs w:val="22"/>
          <w:lang w:val="en-GB"/>
        </w:rPr>
        <w:tab/>
        <w:t>Infections, see section 4.4.</w:t>
      </w:r>
    </w:p>
    <w:p w14:paraId="7C33204C" w14:textId="77777777" w:rsidR="003F42D3" w:rsidRPr="00C501E3" w:rsidRDefault="00016F29" w:rsidP="003F42D3">
      <w:pPr>
        <w:ind w:left="567" w:hanging="567"/>
        <w:rPr>
          <w:szCs w:val="22"/>
          <w:lang w:val="en-GB"/>
        </w:rPr>
      </w:pPr>
      <w:r w:rsidRPr="00E06A78">
        <w:rPr>
          <w:rFonts w:ascii="Symbol" w:hAnsi="Symbol"/>
          <w:lang w:val="en-GB"/>
        </w:rPr>
        <w:sym w:font="Symbol" w:char="F0B7"/>
      </w:r>
      <w:r w:rsidRPr="00C501E3">
        <w:rPr>
          <w:szCs w:val="22"/>
          <w:lang w:val="en-GB"/>
        </w:rPr>
        <w:tab/>
        <w:t>Cardiovascular disorders, see section 4.4.</w:t>
      </w:r>
    </w:p>
    <w:p w14:paraId="7C33204D" w14:textId="77777777" w:rsidR="003F42D3" w:rsidRPr="00C501E3" w:rsidRDefault="003F42D3" w:rsidP="003F42D3">
      <w:pPr>
        <w:ind w:left="567" w:hanging="567"/>
        <w:rPr>
          <w:szCs w:val="22"/>
          <w:lang w:val="en-GB"/>
        </w:rPr>
      </w:pPr>
    </w:p>
    <w:p w14:paraId="7C33204E" w14:textId="77777777" w:rsidR="003F42D3" w:rsidRPr="00C501E3" w:rsidRDefault="00016F29" w:rsidP="003F42D3">
      <w:pPr>
        <w:rPr>
          <w:szCs w:val="22"/>
          <w:lang w:val="en-GB"/>
        </w:rPr>
      </w:pPr>
      <w:r w:rsidRPr="00C501E3">
        <w:rPr>
          <w:szCs w:val="22"/>
          <w:lang w:val="en-GB"/>
        </w:rPr>
        <w:t>Other serious ADRs reported include hepatitis B reactivation and PML (see section 4.4.).</w:t>
      </w:r>
    </w:p>
    <w:p w14:paraId="7C33204F" w14:textId="77777777" w:rsidR="003F42D3" w:rsidRPr="00C501E3" w:rsidRDefault="003F42D3" w:rsidP="003F42D3">
      <w:pPr>
        <w:rPr>
          <w:szCs w:val="22"/>
          <w:lang w:val="en-GB"/>
        </w:rPr>
      </w:pPr>
    </w:p>
    <w:p w14:paraId="7C332050" w14:textId="77777777" w:rsidR="003F42D3" w:rsidRPr="00C501E3" w:rsidRDefault="00016F29" w:rsidP="003F42D3">
      <w:pPr>
        <w:outlineLvl w:val="0"/>
        <w:rPr>
          <w:szCs w:val="22"/>
          <w:lang w:val="en-GB"/>
        </w:rPr>
      </w:pPr>
      <w:r w:rsidRPr="00C501E3">
        <w:rPr>
          <w:szCs w:val="22"/>
          <w:lang w:val="en-GB"/>
        </w:rPr>
        <w:t>The frequencies of ADRs reported with MabThera alone or in combination with chemotherapy are summarised in Table 1. Frequencies are defined as very common (</w:t>
      </w:r>
      <w:r w:rsidRPr="00E06A78">
        <w:rPr>
          <w:rFonts w:ascii="Symbol" w:hAnsi="Symbol"/>
          <w:lang w:val="en-GB"/>
        </w:rPr>
        <w:sym w:font="Symbol" w:char="F0B3"/>
      </w:r>
      <w:r w:rsidRPr="00C501E3">
        <w:rPr>
          <w:szCs w:val="22"/>
          <w:lang w:val="en-GB"/>
        </w:rPr>
        <w:t xml:space="preserve"> 1/10), common  (</w:t>
      </w:r>
      <w:r w:rsidRPr="00E06A78">
        <w:rPr>
          <w:rFonts w:ascii="Symbol" w:hAnsi="Symbol"/>
          <w:lang w:val="en-GB"/>
        </w:rPr>
        <w:sym w:font="Symbol" w:char="F0B3"/>
      </w:r>
      <w:r w:rsidRPr="00C501E3">
        <w:rPr>
          <w:szCs w:val="22"/>
          <w:lang w:val="en-GB"/>
        </w:rPr>
        <w:t> 1/100 to &lt; 1/10), uncommon  (</w:t>
      </w:r>
      <w:r w:rsidRPr="00E06A78">
        <w:rPr>
          <w:rFonts w:ascii="Symbol" w:hAnsi="Symbol"/>
          <w:lang w:val="en-GB"/>
        </w:rPr>
        <w:sym w:font="Symbol" w:char="F0B3"/>
      </w:r>
      <w:r w:rsidRPr="00C501E3">
        <w:rPr>
          <w:szCs w:val="22"/>
          <w:lang w:val="en-GB"/>
        </w:rPr>
        <w:t>  1/1,000 to &lt; 1/100), rare (</w:t>
      </w:r>
      <w:r w:rsidRPr="00E06A78">
        <w:rPr>
          <w:rFonts w:ascii="Symbol" w:hAnsi="Symbol"/>
          <w:lang w:val="en-GB"/>
        </w:rPr>
        <w:sym w:font="Symbol" w:char="F0B3"/>
      </w:r>
      <w:r w:rsidRPr="00C501E3">
        <w:rPr>
          <w:szCs w:val="22"/>
          <w:lang w:val="en-GB"/>
        </w:rPr>
        <w:t xml:space="preserve"> 1/10,000 to &lt; 1/1000), very rare </w:t>
      </w:r>
      <w:r w:rsidRPr="006229C4">
        <w:rPr>
          <w:szCs w:val="22"/>
          <w:lang w:val="en-GB"/>
        </w:rPr>
        <w:t>(</w:t>
      </w:r>
      <w:r w:rsidRPr="00C501E3">
        <w:rPr>
          <w:szCs w:val="22"/>
          <w:lang w:val="en-GB"/>
        </w:rPr>
        <w:t>&lt; 1/10,000) and not known (cannot be estimated from the available data).</w:t>
      </w:r>
      <w:r w:rsidR="00634306" w:rsidRPr="00634306">
        <w:rPr>
          <w:szCs w:val="22"/>
          <w:lang w:val="en-GB"/>
        </w:rPr>
        <w:t xml:space="preserve"> </w:t>
      </w:r>
      <w:r w:rsidR="00634306" w:rsidRPr="00C501E3">
        <w:rPr>
          <w:szCs w:val="22"/>
          <w:lang w:val="en-GB"/>
        </w:rPr>
        <w:t>Within each frequency grouping, undesirable effects are presented in order of decreasing seriousness.</w:t>
      </w:r>
    </w:p>
    <w:p w14:paraId="7C332051" w14:textId="77777777" w:rsidR="003F42D3" w:rsidRPr="00C501E3" w:rsidRDefault="003F42D3" w:rsidP="003F42D3">
      <w:pPr>
        <w:outlineLvl w:val="0"/>
        <w:rPr>
          <w:szCs w:val="22"/>
          <w:lang w:val="en-GB"/>
        </w:rPr>
      </w:pPr>
    </w:p>
    <w:p w14:paraId="7C332052" w14:textId="77777777" w:rsidR="003F42D3" w:rsidRPr="00A021C6" w:rsidRDefault="00016F29" w:rsidP="003F42D3">
      <w:pPr>
        <w:outlineLvl w:val="0"/>
        <w:rPr>
          <w:szCs w:val="22"/>
          <w:lang w:val="en-GB"/>
        </w:rPr>
      </w:pPr>
      <w:r w:rsidRPr="00A021C6">
        <w:rPr>
          <w:szCs w:val="22"/>
          <w:lang w:val="en-GB"/>
        </w:rPr>
        <w:t>The ADRs identified only during post</w:t>
      </w:r>
      <w:r w:rsidR="000A6DDA" w:rsidRPr="00A021C6">
        <w:rPr>
          <w:szCs w:val="22"/>
          <w:lang w:val="en-GB"/>
        </w:rPr>
        <w:noBreakHyphen/>
      </w:r>
      <w:r w:rsidRPr="00A021C6">
        <w:rPr>
          <w:szCs w:val="22"/>
          <w:lang w:val="en-GB"/>
        </w:rPr>
        <w:t>marketing surveillance, and for which a frequency could not be estimated, are listed under “not known”.</w:t>
      </w:r>
    </w:p>
    <w:p w14:paraId="7C332053" w14:textId="77777777" w:rsidR="003F42D3" w:rsidRPr="00C501E3" w:rsidRDefault="003F42D3" w:rsidP="003F42D3">
      <w:pPr>
        <w:outlineLvl w:val="0"/>
        <w:rPr>
          <w:szCs w:val="22"/>
          <w:lang w:val="en-GB"/>
        </w:rPr>
      </w:pPr>
    </w:p>
    <w:p w14:paraId="7C332054" w14:textId="77777777" w:rsidR="003F42D3" w:rsidRPr="00C501E3" w:rsidRDefault="00016F29" w:rsidP="003F42D3">
      <w:pPr>
        <w:outlineLvl w:val="0"/>
        <w:rPr>
          <w:szCs w:val="22"/>
          <w:u w:val="single"/>
          <w:lang w:val="en-GB"/>
        </w:rPr>
      </w:pPr>
      <w:r w:rsidRPr="00C501E3">
        <w:rPr>
          <w:szCs w:val="22"/>
          <w:u w:val="single"/>
          <w:lang w:val="en-GB"/>
        </w:rPr>
        <w:t>Tabulated list of adverse reactions</w:t>
      </w:r>
    </w:p>
    <w:p w14:paraId="7C332055" w14:textId="77777777" w:rsidR="003F42D3" w:rsidRPr="00C501E3" w:rsidRDefault="003F42D3" w:rsidP="003F42D3">
      <w:pPr>
        <w:rPr>
          <w:b/>
          <w:szCs w:val="22"/>
          <w:lang w:val="en-GB"/>
        </w:rPr>
      </w:pPr>
    </w:p>
    <w:p w14:paraId="7C332056" w14:textId="77777777" w:rsidR="003F42D3" w:rsidRPr="00C501E3" w:rsidRDefault="00016F29" w:rsidP="003F42D3">
      <w:pPr>
        <w:keepNext/>
        <w:ind w:left="1134" w:hanging="1134"/>
        <w:rPr>
          <w:b/>
          <w:szCs w:val="22"/>
          <w:lang w:val="en-GB"/>
        </w:rPr>
      </w:pPr>
      <w:r w:rsidRPr="00C501E3">
        <w:rPr>
          <w:b/>
          <w:szCs w:val="22"/>
          <w:lang w:val="en-GB"/>
        </w:rPr>
        <w:t>Table 1</w:t>
      </w:r>
      <w:r w:rsidRPr="00C501E3">
        <w:rPr>
          <w:b/>
          <w:szCs w:val="22"/>
          <w:lang w:val="en-GB"/>
        </w:rPr>
        <w:tab/>
        <w:t xml:space="preserve">ADRs reported in clinical trials or during postmarketing surveillance in patients with NHL and CLL disease treated with MabThera monotherapy/maintenance or in combination with chemotherapy </w:t>
      </w:r>
    </w:p>
    <w:tbl>
      <w:tblPr>
        <w:tblW w:w="50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9"/>
        <w:gridCol w:w="1160"/>
        <w:gridCol w:w="1466"/>
        <w:gridCol w:w="1245"/>
        <w:gridCol w:w="1245"/>
        <w:gridCol w:w="1246"/>
        <w:gridCol w:w="1522"/>
      </w:tblGrid>
      <w:tr w:rsidR="003A788B" w14:paraId="7C33205E" w14:textId="77777777" w:rsidTr="003260B5">
        <w:trPr>
          <w:cantSplit/>
          <w:tblHeader/>
        </w:trPr>
        <w:tc>
          <w:tcPr>
            <w:tcW w:w="731" w:type="pct"/>
            <w:vAlign w:val="center"/>
          </w:tcPr>
          <w:p w14:paraId="7C332057" w14:textId="77777777" w:rsidR="003F42D3" w:rsidRPr="00C501E3" w:rsidRDefault="00016F29" w:rsidP="003260B5">
            <w:pPr>
              <w:keepNext/>
              <w:spacing w:before="100" w:beforeAutospacing="1" w:after="100" w:afterAutospacing="1"/>
              <w:jc w:val="center"/>
              <w:rPr>
                <w:rFonts w:eastAsia="MS Mincho"/>
                <w:sz w:val="18"/>
                <w:szCs w:val="18"/>
                <w:lang w:val="en-GB" w:eastAsia="zh-CN" w:bidi="th-TH"/>
              </w:rPr>
            </w:pPr>
            <w:r>
              <w:rPr>
                <w:rFonts w:eastAsia="MS Mincho"/>
                <w:b/>
                <w:bCs/>
                <w:sz w:val="18"/>
                <w:szCs w:val="18"/>
                <w:lang w:val="en-GB" w:eastAsia="zh-CN" w:bidi="th-TH"/>
              </w:rPr>
              <w:t xml:space="preserve">MedDRA </w:t>
            </w:r>
            <w:r w:rsidRPr="00C501E3">
              <w:rPr>
                <w:rFonts w:eastAsia="MS Mincho"/>
                <w:b/>
                <w:bCs/>
                <w:sz w:val="18"/>
                <w:szCs w:val="18"/>
                <w:lang w:val="en-GB" w:eastAsia="zh-CN" w:bidi="th-TH"/>
              </w:rPr>
              <w:t>System Organ Class</w:t>
            </w:r>
          </w:p>
        </w:tc>
        <w:tc>
          <w:tcPr>
            <w:tcW w:w="628" w:type="pct"/>
            <w:vAlign w:val="center"/>
          </w:tcPr>
          <w:p w14:paraId="7C332058" w14:textId="77777777" w:rsidR="003F42D3" w:rsidRPr="00C501E3" w:rsidRDefault="00016F29" w:rsidP="003260B5">
            <w:pPr>
              <w:keepNext/>
              <w:jc w:val="center"/>
              <w:rPr>
                <w:b/>
                <w:sz w:val="18"/>
                <w:szCs w:val="18"/>
                <w:lang w:val="en-GB"/>
              </w:rPr>
            </w:pPr>
            <w:r w:rsidRPr="00C501E3">
              <w:rPr>
                <w:b/>
                <w:sz w:val="18"/>
                <w:szCs w:val="18"/>
                <w:lang w:val="en-GB"/>
              </w:rPr>
              <w:t>Very Common</w:t>
            </w:r>
          </w:p>
        </w:tc>
        <w:tc>
          <w:tcPr>
            <w:tcW w:w="794" w:type="pct"/>
            <w:vAlign w:val="center"/>
          </w:tcPr>
          <w:p w14:paraId="7C332059" w14:textId="77777777" w:rsidR="003F42D3" w:rsidRPr="00C501E3" w:rsidRDefault="00016F29" w:rsidP="003260B5">
            <w:pPr>
              <w:keepNext/>
              <w:jc w:val="center"/>
              <w:rPr>
                <w:b/>
                <w:sz w:val="18"/>
                <w:szCs w:val="18"/>
                <w:lang w:val="en-GB"/>
              </w:rPr>
            </w:pPr>
            <w:r w:rsidRPr="00C501E3">
              <w:rPr>
                <w:b/>
                <w:sz w:val="18"/>
                <w:szCs w:val="18"/>
                <w:lang w:val="en-GB"/>
              </w:rPr>
              <w:t>Common</w:t>
            </w:r>
          </w:p>
        </w:tc>
        <w:tc>
          <w:tcPr>
            <w:tcW w:w="674" w:type="pct"/>
            <w:vAlign w:val="center"/>
          </w:tcPr>
          <w:p w14:paraId="7C33205A" w14:textId="77777777" w:rsidR="003F42D3" w:rsidRPr="00C501E3" w:rsidRDefault="00016F29" w:rsidP="003260B5">
            <w:pPr>
              <w:keepNext/>
              <w:jc w:val="center"/>
              <w:rPr>
                <w:b/>
                <w:sz w:val="18"/>
                <w:szCs w:val="18"/>
                <w:lang w:val="en-GB"/>
              </w:rPr>
            </w:pPr>
            <w:r w:rsidRPr="00C501E3">
              <w:rPr>
                <w:b/>
                <w:sz w:val="18"/>
                <w:szCs w:val="18"/>
                <w:lang w:val="en-GB"/>
              </w:rPr>
              <w:t>Uncommon</w:t>
            </w:r>
          </w:p>
        </w:tc>
        <w:tc>
          <w:tcPr>
            <w:tcW w:w="674" w:type="pct"/>
            <w:vAlign w:val="center"/>
          </w:tcPr>
          <w:p w14:paraId="7C33205B" w14:textId="77777777" w:rsidR="003F42D3" w:rsidRPr="00C501E3" w:rsidRDefault="00016F29" w:rsidP="003260B5">
            <w:pPr>
              <w:keepNext/>
              <w:jc w:val="center"/>
              <w:rPr>
                <w:b/>
                <w:sz w:val="18"/>
                <w:szCs w:val="18"/>
                <w:lang w:val="en-GB"/>
              </w:rPr>
            </w:pPr>
            <w:r w:rsidRPr="00C501E3">
              <w:rPr>
                <w:b/>
                <w:sz w:val="18"/>
                <w:szCs w:val="18"/>
                <w:lang w:val="en-GB"/>
              </w:rPr>
              <w:t>Rare</w:t>
            </w:r>
          </w:p>
        </w:tc>
        <w:tc>
          <w:tcPr>
            <w:tcW w:w="675" w:type="pct"/>
            <w:vAlign w:val="center"/>
          </w:tcPr>
          <w:p w14:paraId="7C33205C" w14:textId="77777777" w:rsidR="003F42D3" w:rsidRPr="00C501E3" w:rsidRDefault="00016F29" w:rsidP="003260B5">
            <w:pPr>
              <w:keepNext/>
              <w:jc w:val="center"/>
              <w:rPr>
                <w:b/>
                <w:sz w:val="18"/>
                <w:szCs w:val="18"/>
                <w:lang w:val="en-GB"/>
              </w:rPr>
            </w:pPr>
            <w:r w:rsidRPr="00C501E3">
              <w:rPr>
                <w:b/>
                <w:sz w:val="18"/>
                <w:szCs w:val="18"/>
                <w:lang w:val="en-GB"/>
              </w:rPr>
              <w:t>Very Rare</w:t>
            </w:r>
          </w:p>
        </w:tc>
        <w:tc>
          <w:tcPr>
            <w:tcW w:w="823" w:type="pct"/>
            <w:vAlign w:val="center"/>
          </w:tcPr>
          <w:p w14:paraId="7C33205D" w14:textId="77777777" w:rsidR="003F42D3" w:rsidRPr="00C501E3" w:rsidRDefault="00016F29" w:rsidP="003260B5">
            <w:pPr>
              <w:keepNext/>
              <w:jc w:val="center"/>
              <w:rPr>
                <w:b/>
                <w:sz w:val="18"/>
                <w:szCs w:val="18"/>
                <w:lang w:val="en-GB"/>
              </w:rPr>
            </w:pPr>
            <w:r w:rsidRPr="00C501E3">
              <w:rPr>
                <w:b/>
                <w:sz w:val="18"/>
                <w:szCs w:val="18"/>
                <w:lang w:val="en-GB"/>
              </w:rPr>
              <w:t>Not known</w:t>
            </w:r>
          </w:p>
        </w:tc>
      </w:tr>
      <w:tr w:rsidR="003A788B" w14:paraId="7C332067" w14:textId="77777777" w:rsidTr="003260B5">
        <w:trPr>
          <w:cantSplit/>
        </w:trPr>
        <w:tc>
          <w:tcPr>
            <w:tcW w:w="731" w:type="pct"/>
          </w:tcPr>
          <w:p w14:paraId="7C33205F" w14:textId="77777777" w:rsidR="003F42D3" w:rsidRPr="00C501E3" w:rsidRDefault="00016F29" w:rsidP="003260B5">
            <w:pPr>
              <w:rPr>
                <w:sz w:val="18"/>
                <w:szCs w:val="18"/>
                <w:lang w:val="en-GB"/>
              </w:rPr>
            </w:pPr>
            <w:r w:rsidRPr="00C501E3">
              <w:rPr>
                <w:b/>
                <w:sz w:val="18"/>
                <w:szCs w:val="18"/>
                <w:lang w:val="en-GB"/>
              </w:rPr>
              <w:t>Infections and infestations</w:t>
            </w:r>
          </w:p>
        </w:tc>
        <w:tc>
          <w:tcPr>
            <w:tcW w:w="628" w:type="pct"/>
          </w:tcPr>
          <w:p w14:paraId="7C332060" w14:textId="77777777" w:rsidR="003F42D3" w:rsidRPr="00C501E3" w:rsidRDefault="00016F29" w:rsidP="003260B5">
            <w:pPr>
              <w:rPr>
                <w:sz w:val="18"/>
                <w:szCs w:val="18"/>
                <w:lang w:val="en-GB"/>
              </w:rPr>
            </w:pPr>
            <w:r w:rsidRPr="00C501E3">
              <w:rPr>
                <w:sz w:val="18"/>
                <w:szCs w:val="18"/>
                <w:lang w:val="en-GB"/>
              </w:rPr>
              <w:t xml:space="preserve">bacterial infections, viral infections, </w:t>
            </w:r>
            <w:r w:rsidRPr="00C501E3">
              <w:rPr>
                <w:sz w:val="18"/>
                <w:szCs w:val="18"/>
                <w:vertAlign w:val="superscript"/>
                <w:lang w:val="en-GB"/>
              </w:rPr>
              <w:t>+</w:t>
            </w:r>
            <w:r w:rsidRPr="00C501E3">
              <w:rPr>
                <w:sz w:val="18"/>
                <w:szCs w:val="18"/>
                <w:lang w:val="en-GB"/>
              </w:rPr>
              <w:t xml:space="preserve">bronchitis </w:t>
            </w:r>
          </w:p>
          <w:p w14:paraId="7C332061" w14:textId="77777777" w:rsidR="003F42D3" w:rsidRPr="00C501E3" w:rsidRDefault="003F42D3" w:rsidP="003260B5">
            <w:pPr>
              <w:rPr>
                <w:sz w:val="18"/>
                <w:szCs w:val="18"/>
                <w:lang w:val="en-GB"/>
              </w:rPr>
            </w:pPr>
          </w:p>
        </w:tc>
        <w:tc>
          <w:tcPr>
            <w:tcW w:w="794" w:type="pct"/>
          </w:tcPr>
          <w:p w14:paraId="7C332062" w14:textId="77777777" w:rsidR="003F42D3" w:rsidRPr="00C501E3" w:rsidRDefault="00016F29" w:rsidP="003260B5">
            <w:pPr>
              <w:rPr>
                <w:sz w:val="18"/>
                <w:szCs w:val="18"/>
                <w:lang w:val="en-GB"/>
              </w:rPr>
            </w:pPr>
            <w:r w:rsidRPr="00C501E3">
              <w:rPr>
                <w:sz w:val="18"/>
                <w:szCs w:val="18"/>
                <w:lang w:val="en-GB"/>
              </w:rPr>
              <w:t xml:space="preserve">sepsis, </w:t>
            </w:r>
            <w:r w:rsidRPr="00C501E3">
              <w:rPr>
                <w:sz w:val="18"/>
                <w:szCs w:val="18"/>
                <w:vertAlign w:val="superscript"/>
                <w:lang w:val="en-GB"/>
              </w:rPr>
              <w:t>+</w:t>
            </w:r>
            <w:r w:rsidRPr="00C501E3">
              <w:rPr>
                <w:sz w:val="18"/>
                <w:szCs w:val="18"/>
                <w:lang w:val="en-GB"/>
              </w:rPr>
              <w:t xml:space="preserve">pneumonia, </w:t>
            </w:r>
            <w:r w:rsidRPr="00C501E3">
              <w:rPr>
                <w:sz w:val="18"/>
                <w:szCs w:val="18"/>
                <w:vertAlign w:val="superscript"/>
                <w:lang w:val="en-GB"/>
              </w:rPr>
              <w:t>+</w:t>
            </w:r>
            <w:r w:rsidRPr="00C501E3">
              <w:rPr>
                <w:sz w:val="18"/>
                <w:szCs w:val="18"/>
                <w:lang w:val="en-GB"/>
              </w:rPr>
              <w:t xml:space="preserve">febrile infection, </w:t>
            </w:r>
            <w:r w:rsidRPr="00C501E3">
              <w:rPr>
                <w:sz w:val="18"/>
                <w:szCs w:val="18"/>
                <w:vertAlign w:val="superscript"/>
                <w:lang w:val="en-GB"/>
              </w:rPr>
              <w:t>+</w:t>
            </w:r>
            <w:r w:rsidRPr="00C501E3">
              <w:rPr>
                <w:sz w:val="18"/>
                <w:szCs w:val="18"/>
                <w:lang w:val="en-GB"/>
              </w:rPr>
              <w:t xml:space="preserve">herpes zoster, </w:t>
            </w:r>
            <w:r w:rsidRPr="00C501E3">
              <w:rPr>
                <w:sz w:val="18"/>
                <w:szCs w:val="18"/>
                <w:vertAlign w:val="superscript"/>
                <w:lang w:val="en-GB"/>
              </w:rPr>
              <w:t>+</w:t>
            </w:r>
            <w:r w:rsidRPr="00C501E3">
              <w:rPr>
                <w:sz w:val="18"/>
                <w:szCs w:val="18"/>
                <w:lang w:val="en-GB"/>
              </w:rPr>
              <w:t xml:space="preserve">respiratory tract infection, fungal infections, infections of unknown aetiology, </w:t>
            </w:r>
            <w:r w:rsidRPr="00C501E3">
              <w:rPr>
                <w:sz w:val="18"/>
                <w:szCs w:val="18"/>
                <w:vertAlign w:val="superscript"/>
                <w:lang w:val="en-GB"/>
              </w:rPr>
              <w:t>+</w:t>
            </w:r>
            <w:r w:rsidRPr="00C501E3">
              <w:rPr>
                <w:sz w:val="18"/>
                <w:szCs w:val="18"/>
                <w:lang w:val="en-GB"/>
              </w:rPr>
              <w:t xml:space="preserve">acute bronchitis, </w:t>
            </w:r>
            <w:r w:rsidRPr="00C501E3">
              <w:rPr>
                <w:sz w:val="18"/>
                <w:szCs w:val="18"/>
                <w:vertAlign w:val="superscript"/>
                <w:lang w:val="en-GB"/>
              </w:rPr>
              <w:t>+</w:t>
            </w:r>
            <w:r w:rsidRPr="00C501E3">
              <w:rPr>
                <w:sz w:val="18"/>
                <w:szCs w:val="18"/>
                <w:lang w:val="en-GB"/>
              </w:rPr>
              <w:t>sinusitis,</w:t>
            </w:r>
            <w:r w:rsidRPr="00C501E3">
              <w:rPr>
                <w:snapToGrid w:val="0"/>
                <w:sz w:val="18"/>
                <w:szCs w:val="18"/>
                <w:lang w:val="en-GB" w:eastAsia="en-US"/>
              </w:rPr>
              <w:t xml:space="preserve"> h</w:t>
            </w:r>
            <w:r w:rsidRPr="00C501E3">
              <w:rPr>
                <w:rFonts w:eastAsia="MS Mincho"/>
                <w:sz w:val="18"/>
                <w:szCs w:val="18"/>
                <w:lang w:val="en-GB"/>
              </w:rPr>
              <w:t>epatitis B</w:t>
            </w:r>
            <w:r w:rsidRPr="00C501E3">
              <w:rPr>
                <w:snapToGrid w:val="0"/>
                <w:sz w:val="18"/>
                <w:szCs w:val="18"/>
                <w:vertAlign w:val="superscript"/>
                <w:lang w:val="en-GB" w:eastAsia="en-US"/>
              </w:rPr>
              <w:t>1</w:t>
            </w:r>
            <w:r w:rsidRPr="00C501E3">
              <w:rPr>
                <w:sz w:val="18"/>
                <w:szCs w:val="18"/>
                <w:vertAlign w:val="superscript"/>
                <w:lang w:val="en-GB"/>
              </w:rPr>
              <w:t xml:space="preserve"> </w:t>
            </w:r>
          </w:p>
        </w:tc>
        <w:tc>
          <w:tcPr>
            <w:tcW w:w="674" w:type="pct"/>
          </w:tcPr>
          <w:p w14:paraId="7C332063" w14:textId="77777777" w:rsidR="003F42D3" w:rsidRPr="00C501E3" w:rsidRDefault="003F42D3" w:rsidP="003260B5">
            <w:pPr>
              <w:rPr>
                <w:sz w:val="18"/>
                <w:szCs w:val="18"/>
                <w:lang w:val="en-GB"/>
              </w:rPr>
            </w:pPr>
          </w:p>
        </w:tc>
        <w:tc>
          <w:tcPr>
            <w:tcW w:w="674" w:type="pct"/>
          </w:tcPr>
          <w:p w14:paraId="7C332064" w14:textId="77777777" w:rsidR="003F42D3" w:rsidRPr="00C501E3" w:rsidRDefault="00016F29" w:rsidP="003260B5">
            <w:pPr>
              <w:rPr>
                <w:snapToGrid w:val="0"/>
                <w:sz w:val="18"/>
                <w:szCs w:val="18"/>
                <w:lang w:val="en-GB" w:eastAsia="en-US"/>
              </w:rPr>
            </w:pPr>
            <w:r w:rsidRPr="00C501E3">
              <w:rPr>
                <w:snapToGrid w:val="0"/>
                <w:sz w:val="18"/>
                <w:szCs w:val="18"/>
                <w:lang w:val="en-GB" w:eastAsia="en-US"/>
              </w:rPr>
              <w:t>serious viral infection</w:t>
            </w:r>
            <w:r w:rsidRPr="00C501E3">
              <w:rPr>
                <w:snapToGrid w:val="0"/>
                <w:sz w:val="18"/>
                <w:szCs w:val="18"/>
                <w:vertAlign w:val="superscript"/>
                <w:lang w:val="en-GB" w:eastAsia="en-US"/>
              </w:rPr>
              <w:t>2</w:t>
            </w:r>
          </w:p>
        </w:tc>
        <w:tc>
          <w:tcPr>
            <w:tcW w:w="675" w:type="pct"/>
          </w:tcPr>
          <w:p w14:paraId="7C332065" w14:textId="77777777" w:rsidR="003F42D3" w:rsidRPr="00C501E3" w:rsidRDefault="003F42D3" w:rsidP="003260B5">
            <w:pPr>
              <w:rPr>
                <w:snapToGrid w:val="0"/>
                <w:sz w:val="18"/>
                <w:szCs w:val="18"/>
                <w:lang w:val="en-GB" w:eastAsia="en-US"/>
              </w:rPr>
            </w:pPr>
          </w:p>
        </w:tc>
        <w:tc>
          <w:tcPr>
            <w:tcW w:w="823" w:type="pct"/>
          </w:tcPr>
          <w:p w14:paraId="7C332066" w14:textId="77777777" w:rsidR="003F42D3" w:rsidRPr="00C501E3" w:rsidRDefault="003F42D3" w:rsidP="003260B5">
            <w:pPr>
              <w:rPr>
                <w:sz w:val="18"/>
                <w:szCs w:val="18"/>
                <w:lang w:val="en-GB"/>
              </w:rPr>
            </w:pPr>
          </w:p>
        </w:tc>
      </w:tr>
      <w:tr w:rsidR="003A788B" w14:paraId="7C332071" w14:textId="77777777" w:rsidTr="003260B5">
        <w:trPr>
          <w:cantSplit/>
        </w:trPr>
        <w:tc>
          <w:tcPr>
            <w:tcW w:w="731" w:type="pct"/>
          </w:tcPr>
          <w:p w14:paraId="7C332068" w14:textId="77777777" w:rsidR="003F42D3" w:rsidRPr="00C501E3" w:rsidRDefault="00016F29" w:rsidP="003260B5">
            <w:pPr>
              <w:rPr>
                <w:sz w:val="18"/>
                <w:szCs w:val="18"/>
                <w:lang w:val="en-GB"/>
              </w:rPr>
            </w:pPr>
            <w:r w:rsidRPr="00C501E3">
              <w:rPr>
                <w:b/>
                <w:sz w:val="18"/>
                <w:szCs w:val="18"/>
                <w:lang w:val="en-GB"/>
              </w:rPr>
              <w:t>Blood and lymphatic system disorders</w:t>
            </w:r>
          </w:p>
        </w:tc>
        <w:tc>
          <w:tcPr>
            <w:tcW w:w="628" w:type="pct"/>
          </w:tcPr>
          <w:p w14:paraId="7C332069" w14:textId="77777777" w:rsidR="003F42D3" w:rsidRPr="00C501E3" w:rsidRDefault="00016F29" w:rsidP="003260B5">
            <w:pPr>
              <w:rPr>
                <w:sz w:val="18"/>
                <w:szCs w:val="18"/>
                <w:lang w:val="en-GB"/>
              </w:rPr>
            </w:pPr>
            <w:r w:rsidRPr="00C501E3">
              <w:rPr>
                <w:sz w:val="18"/>
                <w:szCs w:val="18"/>
                <w:lang w:val="en-GB"/>
              </w:rPr>
              <w:t xml:space="preserve">neutropenia, leucopenia, </w:t>
            </w:r>
            <w:r w:rsidRPr="00C501E3">
              <w:rPr>
                <w:sz w:val="18"/>
                <w:szCs w:val="18"/>
                <w:vertAlign w:val="superscript"/>
                <w:lang w:val="en-GB"/>
              </w:rPr>
              <w:t>+</w:t>
            </w:r>
            <w:r w:rsidRPr="00C501E3">
              <w:rPr>
                <w:sz w:val="18"/>
                <w:szCs w:val="18"/>
                <w:lang w:val="en-GB"/>
              </w:rPr>
              <w:t xml:space="preserve">febrile neutropenia, </w:t>
            </w:r>
            <w:r w:rsidRPr="00C501E3">
              <w:rPr>
                <w:sz w:val="18"/>
                <w:szCs w:val="18"/>
                <w:vertAlign w:val="superscript"/>
                <w:lang w:val="en-GB"/>
              </w:rPr>
              <w:t>+</w:t>
            </w:r>
            <w:r w:rsidRPr="00C501E3">
              <w:rPr>
                <w:sz w:val="18"/>
                <w:szCs w:val="18"/>
                <w:lang w:val="en-GB"/>
              </w:rPr>
              <w:t>thrombocytopenia</w:t>
            </w:r>
          </w:p>
          <w:p w14:paraId="7C33206A" w14:textId="77777777" w:rsidR="003F42D3" w:rsidRPr="00C501E3" w:rsidRDefault="003F42D3" w:rsidP="003260B5">
            <w:pPr>
              <w:rPr>
                <w:sz w:val="18"/>
                <w:szCs w:val="18"/>
                <w:lang w:val="en-GB"/>
              </w:rPr>
            </w:pPr>
          </w:p>
        </w:tc>
        <w:tc>
          <w:tcPr>
            <w:tcW w:w="794" w:type="pct"/>
          </w:tcPr>
          <w:p w14:paraId="7C33206B" w14:textId="77777777" w:rsidR="003F42D3" w:rsidRPr="00C501E3" w:rsidRDefault="00016F29" w:rsidP="003260B5">
            <w:pPr>
              <w:rPr>
                <w:sz w:val="18"/>
                <w:szCs w:val="18"/>
                <w:lang w:val="en-GB"/>
              </w:rPr>
            </w:pPr>
            <w:r w:rsidRPr="00C501E3">
              <w:rPr>
                <w:sz w:val="18"/>
                <w:szCs w:val="18"/>
                <w:lang w:val="en-GB"/>
              </w:rPr>
              <w:t xml:space="preserve">anaemia, </w:t>
            </w:r>
          </w:p>
          <w:p w14:paraId="7C33206C" w14:textId="77777777" w:rsidR="003F42D3" w:rsidRPr="00C501E3" w:rsidRDefault="00016F29" w:rsidP="003260B5">
            <w:pPr>
              <w:rPr>
                <w:sz w:val="18"/>
                <w:szCs w:val="18"/>
                <w:lang w:val="en-GB"/>
              </w:rPr>
            </w:pPr>
            <w:r w:rsidRPr="00C501E3">
              <w:rPr>
                <w:sz w:val="18"/>
                <w:szCs w:val="18"/>
                <w:vertAlign w:val="superscript"/>
                <w:lang w:val="en-GB"/>
              </w:rPr>
              <w:t>+</w:t>
            </w:r>
            <w:r w:rsidRPr="00C501E3">
              <w:rPr>
                <w:sz w:val="18"/>
                <w:szCs w:val="18"/>
                <w:lang w:val="en-GB"/>
              </w:rPr>
              <w:t xml:space="preserve">pancytopenia, </w:t>
            </w:r>
            <w:r w:rsidRPr="00C501E3">
              <w:rPr>
                <w:sz w:val="18"/>
                <w:szCs w:val="18"/>
                <w:vertAlign w:val="superscript"/>
                <w:lang w:val="en-GB"/>
              </w:rPr>
              <w:t>+</w:t>
            </w:r>
            <w:r w:rsidRPr="00C501E3">
              <w:rPr>
                <w:sz w:val="18"/>
                <w:szCs w:val="18"/>
                <w:lang w:val="en-GB"/>
              </w:rPr>
              <w:t>granulocytopenia</w:t>
            </w:r>
          </w:p>
        </w:tc>
        <w:tc>
          <w:tcPr>
            <w:tcW w:w="674" w:type="pct"/>
          </w:tcPr>
          <w:p w14:paraId="7C33206D" w14:textId="77777777" w:rsidR="003F42D3" w:rsidRPr="00C501E3" w:rsidRDefault="00016F29" w:rsidP="003260B5">
            <w:pPr>
              <w:rPr>
                <w:sz w:val="18"/>
                <w:szCs w:val="18"/>
                <w:lang w:val="en-GB"/>
              </w:rPr>
            </w:pPr>
            <w:r w:rsidRPr="00C501E3">
              <w:rPr>
                <w:sz w:val="18"/>
                <w:szCs w:val="18"/>
                <w:lang w:val="en-GB"/>
              </w:rPr>
              <w:t>coagulation disorders, aplastic anaemia, haemolytic anaemia, lymphadenopathy</w:t>
            </w:r>
          </w:p>
        </w:tc>
        <w:tc>
          <w:tcPr>
            <w:tcW w:w="674" w:type="pct"/>
          </w:tcPr>
          <w:p w14:paraId="7C33206E" w14:textId="77777777" w:rsidR="003F42D3" w:rsidRPr="00C501E3" w:rsidRDefault="003F42D3" w:rsidP="003260B5">
            <w:pPr>
              <w:rPr>
                <w:snapToGrid w:val="0"/>
                <w:sz w:val="18"/>
                <w:szCs w:val="18"/>
                <w:lang w:val="en-GB" w:eastAsia="en-US"/>
              </w:rPr>
            </w:pPr>
          </w:p>
        </w:tc>
        <w:tc>
          <w:tcPr>
            <w:tcW w:w="675" w:type="pct"/>
          </w:tcPr>
          <w:p w14:paraId="7C33206F" w14:textId="77777777" w:rsidR="003F42D3" w:rsidRPr="00C501E3" w:rsidRDefault="00016F29" w:rsidP="003260B5">
            <w:pPr>
              <w:rPr>
                <w:snapToGrid w:val="0"/>
                <w:sz w:val="18"/>
                <w:szCs w:val="18"/>
                <w:lang w:val="en-GB" w:eastAsia="en-US"/>
              </w:rPr>
            </w:pPr>
            <w:r w:rsidRPr="00C501E3">
              <w:rPr>
                <w:rFonts w:eastAsia="Arial Unicode MS"/>
                <w:sz w:val="18"/>
                <w:szCs w:val="18"/>
                <w:lang w:val="en-GB"/>
              </w:rPr>
              <w:t>transient increase in serum IgM levels</w:t>
            </w:r>
            <w:r w:rsidRPr="00C501E3">
              <w:rPr>
                <w:snapToGrid w:val="0"/>
                <w:sz w:val="18"/>
                <w:szCs w:val="18"/>
                <w:vertAlign w:val="superscript"/>
                <w:lang w:val="en-GB" w:eastAsia="en-US"/>
              </w:rPr>
              <w:t>3</w:t>
            </w:r>
          </w:p>
        </w:tc>
        <w:tc>
          <w:tcPr>
            <w:tcW w:w="823" w:type="pct"/>
          </w:tcPr>
          <w:p w14:paraId="7C332070" w14:textId="77777777" w:rsidR="003F42D3" w:rsidRPr="00C501E3" w:rsidRDefault="00016F29" w:rsidP="003260B5">
            <w:pPr>
              <w:rPr>
                <w:sz w:val="18"/>
                <w:szCs w:val="18"/>
                <w:lang w:val="en-GB"/>
              </w:rPr>
            </w:pPr>
            <w:r w:rsidRPr="00C501E3">
              <w:rPr>
                <w:snapToGrid w:val="0"/>
                <w:sz w:val="18"/>
                <w:szCs w:val="18"/>
                <w:lang w:val="en-GB" w:eastAsia="en-US"/>
              </w:rPr>
              <w:t>late neutropenia</w:t>
            </w:r>
            <w:r w:rsidRPr="00C501E3">
              <w:rPr>
                <w:snapToGrid w:val="0"/>
                <w:sz w:val="18"/>
                <w:szCs w:val="18"/>
                <w:vertAlign w:val="superscript"/>
                <w:lang w:val="en-GB" w:eastAsia="en-US"/>
              </w:rPr>
              <w:t>3</w:t>
            </w:r>
          </w:p>
        </w:tc>
      </w:tr>
      <w:tr w:rsidR="003A788B" w14:paraId="7C33207B" w14:textId="77777777" w:rsidTr="003260B5">
        <w:trPr>
          <w:cantSplit/>
        </w:trPr>
        <w:tc>
          <w:tcPr>
            <w:tcW w:w="731" w:type="pct"/>
          </w:tcPr>
          <w:p w14:paraId="7C332072" w14:textId="77777777" w:rsidR="003F42D3" w:rsidRPr="00C501E3" w:rsidRDefault="00016F29" w:rsidP="003260B5">
            <w:pPr>
              <w:rPr>
                <w:sz w:val="18"/>
                <w:szCs w:val="18"/>
                <w:lang w:val="en-GB"/>
              </w:rPr>
            </w:pPr>
            <w:r w:rsidRPr="00C501E3">
              <w:rPr>
                <w:b/>
                <w:sz w:val="18"/>
                <w:szCs w:val="18"/>
                <w:lang w:val="en-GB"/>
              </w:rPr>
              <w:t>Immune system disorders</w:t>
            </w:r>
          </w:p>
        </w:tc>
        <w:tc>
          <w:tcPr>
            <w:tcW w:w="628" w:type="pct"/>
          </w:tcPr>
          <w:p w14:paraId="7C332073" w14:textId="77777777" w:rsidR="003F42D3" w:rsidRPr="00C501E3" w:rsidRDefault="00016F29" w:rsidP="003260B5">
            <w:pPr>
              <w:rPr>
                <w:sz w:val="18"/>
                <w:szCs w:val="18"/>
                <w:lang w:val="en-GB"/>
              </w:rPr>
            </w:pPr>
            <w:r w:rsidRPr="00C501E3">
              <w:rPr>
                <w:snapToGrid w:val="0"/>
                <w:sz w:val="18"/>
                <w:szCs w:val="18"/>
                <w:lang w:val="en-GB" w:eastAsia="en-US"/>
              </w:rPr>
              <w:t>infusion related reactions</w:t>
            </w:r>
            <w:r w:rsidRPr="00C501E3">
              <w:rPr>
                <w:snapToGrid w:val="0"/>
                <w:sz w:val="18"/>
                <w:szCs w:val="18"/>
                <w:vertAlign w:val="superscript"/>
                <w:lang w:val="en-GB" w:eastAsia="en-US"/>
              </w:rPr>
              <w:t>4</w:t>
            </w:r>
            <w:r w:rsidRPr="00C501E3">
              <w:rPr>
                <w:snapToGrid w:val="0"/>
                <w:sz w:val="18"/>
                <w:szCs w:val="18"/>
                <w:lang w:val="en-GB" w:eastAsia="en-US"/>
              </w:rPr>
              <w:t>,</w:t>
            </w:r>
          </w:p>
          <w:p w14:paraId="7C332074" w14:textId="77777777" w:rsidR="003F42D3" w:rsidRPr="00C501E3" w:rsidRDefault="00016F29" w:rsidP="003260B5">
            <w:pPr>
              <w:rPr>
                <w:sz w:val="18"/>
                <w:szCs w:val="18"/>
                <w:lang w:val="en-GB"/>
              </w:rPr>
            </w:pPr>
            <w:r w:rsidRPr="00C501E3">
              <w:rPr>
                <w:sz w:val="18"/>
                <w:szCs w:val="18"/>
                <w:lang w:val="en-GB"/>
              </w:rPr>
              <w:t>angioedema</w:t>
            </w:r>
          </w:p>
        </w:tc>
        <w:tc>
          <w:tcPr>
            <w:tcW w:w="794" w:type="pct"/>
          </w:tcPr>
          <w:p w14:paraId="7C332075" w14:textId="77777777" w:rsidR="003F42D3" w:rsidRPr="00C501E3" w:rsidRDefault="00016F29" w:rsidP="003260B5">
            <w:pPr>
              <w:rPr>
                <w:sz w:val="18"/>
                <w:szCs w:val="18"/>
                <w:lang w:val="en-GB"/>
              </w:rPr>
            </w:pPr>
            <w:r w:rsidRPr="00C501E3">
              <w:rPr>
                <w:sz w:val="18"/>
                <w:szCs w:val="18"/>
                <w:lang w:val="en-GB"/>
              </w:rPr>
              <w:t>hypersensitivity</w:t>
            </w:r>
          </w:p>
        </w:tc>
        <w:tc>
          <w:tcPr>
            <w:tcW w:w="674" w:type="pct"/>
          </w:tcPr>
          <w:p w14:paraId="7C332076" w14:textId="77777777" w:rsidR="003F42D3" w:rsidRPr="00C501E3" w:rsidRDefault="003F42D3" w:rsidP="003260B5">
            <w:pPr>
              <w:rPr>
                <w:sz w:val="18"/>
                <w:szCs w:val="18"/>
                <w:lang w:val="en-GB"/>
              </w:rPr>
            </w:pPr>
          </w:p>
        </w:tc>
        <w:tc>
          <w:tcPr>
            <w:tcW w:w="674" w:type="pct"/>
          </w:tcPr>
          <w:p w14:paraId="7C332077" w14:textId="77777777" w:rsidR="003F42D3" w:rsidRPr="00C501E3" w:rsidRDefault="00016F29" w:rsidP="003260B5">
            <w:pPr>
              <w:rPr>
                <w:snapToGrid w:val="0"/>
                <w:sz w:val="18"/>
                <w:szCs w:val="18"/>
                <w:lang w:val="en-GB" w:eastAsia="en-US"/>
              </w:rPr>
            </w:pPr>
            <w:r w:rsidRPr="00C501E3">
              <w:rPr>
                <w:snapToGrid w:val="0"/>
                <w:sz w:val="18"/>
                <w:szCs w:val="18"/>
                <w:lang w:val="en-GB" w:eastAsia="en-US"/>
              </w:rPr>
              <w:t>anaphylaxis</w:t>
            </w:r>
          </w:p>
        </w:tc>
        <w:tc>
          <w:tcPr>
            <w:tcW w:w="675" w:type="pct"/>
          </w:tcPr>
          <w:p w14:paraId="7C332078" w14:textId="77777777" w:rsidR="003F42D3" w:rsidRPr="00C501E3" w:rsidRDefault="00016F29" w:rsidP="003260B5">
            <w:pPr>
              <w:rPr>
                <w:snapToGrid w:val="0"/>
                <w:sz w:val="18"/>
                <w:szCs w:val="18"/>
                <w:lang w:val="en-GB" w:eastAsia="en-US"/>
              </w:rPr>
            </w:pPr>
            <w:r w:rsidRPr="00C501E3">
              <w:rPr>
                <w:snapToGrid w:val="0"/>
                <w:sz w:val="18"/>
                <w:szCs w:val="18"/>
                <w:lang w:val="en-GB" w:eastAsia="en-US"/>
              </w:rPr>
              <w:t>tumour lysis syndrome,</w:t>
            </w:r>
          </w:p>
          <w:p w14:paraId="7C332079" w14:textId="77777777" w:rsidR="003F42D3" w:rsidRPr="00C501E3" w:rsidRDefault="00016F29" w:rsidP="003260B5">
            <w:pPr>
              <w:rPr>
                <w:snapToGrid w:val="0"/>
                <w:sz w:val="18"/>
                <w:szCs w:val="18"/>
                <w:lang w:val="en-GB" w:eastAsia="en-US"/>
              </w:rPr>
            </w:pPr>
            <w:r w:rsidRPr="00C501E3">
              <w:rPr>
                <w:snapToGrid w:val="0"/>
                <w:sz w:val="18"/>
                <w:szCs w:val="18"/>
                <w:lang w:val="en-GB" w:eastAsia="en-US"/>
              </w:rPr>
              <w:t>cytokine release syndrome</w:t>
            </w:r>
            <w:r w:rsidRPr="00C501E3">
              <w:rPr>
                <w:snapToGrid w:val="0"/>
                <w:sz w:val="18"/>
                <w:szCs w:val="18"/>
                <w:vertAlign w:val="superscript"/>
                <w:lang w:val="en-GB" w:eastAsia="en-US"/>
              </w:rPr>
              <w:t>4</w:t>
            </w:r>
            <w:r w:rsidRPr="00C501E3">
              <w:rPr>
                <w:snapToGrid w:val="0"/>
                <w:sz w:val="18"/>
                <w:szCs w:val="18"/>
                <w:lang w:val="en-GB" w:eastAsia="en-US"/>
              </w:rPr>
              <w:t>, serum sickness</w:t>
            </w:r>
          </w:p>
        </w:tc>
        <w:tc>
          <w:tcPr>
            <w:tcW w:w="823" w:type="pct"/>
          </w:tcPr>
          <w:p w14:paraId="7C33207A" w14:textId="77777777" w:rsidR="003F42D3" w:rsidRPr="00E2064A" w:rsidRDefault="00016F29" w:rsidP="003260B5">
            <w:pPr>
              <w:rPr>
                <w:sz w:val="18"/>
                <w:szCs w:val="18"/>
                <w:lang w:val="en-GB"/>
              </w:rPr>
            </w:pPr>
            <w:r w:rsidRPr="00E2064A">
              <w:rPr>
                <w:snapToGrid w:val="0"/>
                <w:sz w:val="18"/>
                <w:szCs w:val="18"/>
                <w:lang w:val="en-GB" w:eastAsia="en-US"/>
              </w:rPr>
              <w:t>infusion</w:t>
            </w:r>
            <w:r w:rsidR="000A6DDA" w:rsidRPr="00E2064A">
              <w:rPr>
                <w:snapToGrid w:val="0"/>
                <w:sz w:val="18"/>
                <w:szCs w:val="18"/>
                <w:lang w:val="en-GB" w:eastAsia="en-US"/>
              </w:rPr>
              <w:noBreakHyphen/>
            </w:r>
            <w:r w:rsidRPr="00E2064A">
              <w:rPr>
                <w:snapToGrid w:val="0"/>
                <w:sz w:val="18"/>
                <w:szCs w:val="18"/>
                <w:lang w:val="en-GB" w:eastAsia="en-US"/>
              </w:rPr>
              <w:t>related acute reversible thrombocytopenia </w:t>
            </w:r>
            <w:r w:rsidRPr="00E2064A">
              <w:rPr>
                <w:snapToGrid w:val="0"/>
                <w:sz w:val="18"/>
                <w:szCs w:val="18"/>
                <w:vertAlign w:val="superscript"/>
                <w:lang w:val="en-GB" w:eastAsia="en-US"/>
              </w:rPr>
              <w:t>4</w:t>
            </w:r>
          </w:p>
        </w:tc>
      </w:tr>
      <w:tr w:rsidR="003A788B" w14:paraId="7C332083" w14:textId="77777777" w:rsidTr="003260B5">
        <w:trPr>
          <w:cantSplit/>
        </w:trPr>
        <w:tc>
          <w:tcPr>
            <w:tcW w:w="731" w:type="pct"/>
          </w:tcPr>
          <w:p w14:paraId="7C33207C" w14:textId="77777777" w:rsidR="003F42D3" w:rsidRPr="00C501E3" w:rsidRDefault="00016F29" w:rsidP="003260B5">
            <w:pPr>
              <w:rPr>
                <w:sz w:val="18"/>
                <w:szCs w:val="18"/>
                <w:lang w:val="en-GB"/>
              </w:rPr>
            </w:pPr>
            <w:r w:rsidRPr="00C501E3">
              <w:rPr>
                <w:b/>
                <w:sz w:val="18"/>
                <w:szCs w:val="18"/>
                <w:lang w:val="en-GB"/>
              </w:rPr>
              <w:t>Metabolism and nutrition disorders</w:t>
            </w:r>
          </w:p>
        </w:tc>
        <w:tc>
          <w:tcPr>
            <w:tcW w:w="628" w:type="pct"/>
          </w:tcPr>
          <w:p w14:paraId="7C33207D" w14:textId="77777777" w:rsidR="003F42D3" w:rsidRPr="00C501E3" w:rsidRDefault="003F42D3" w:rsidP="003260B5">
            <w:pPr>
              <w:rPr>
                <w:sz w:val="18"/>
                <w:szCs w:val="18"/>
                <w:lang w:val="en-GB"/>
              </w:rPr>
            </w:pPr>
          </w:p>
        </w:tc>
        <w:tc>
          <w:tcPr>
            <w:tcW w:w="794" w:type="pct"/>
          </w:tcPr>
          <w:p w14:paraId="7C33207E" w14:textId="77777777" w:rsidR="003F42D3" w:rsidRPr="00C501E3" w:rsidRDefault="00016F29" w:rsidP="003260B5">
            <w:pPr>
              <w:rPr>
                <w:sz w:val="18"/>
                <w:szCs w:val="18"/>
                <w:lang w:val="en-GB"/>
              </w:rPr>
            </w:pPr>
            <w:r w:rsidRPr="00C501E3">
              <w:rPr>
                <w:sz w:val="18"/>
                <w:szCs w:val="18"/>
                <w:lang w:val="en-GB"/>
              </w:rPr>
              <w:t>hyperglycaemia, weight decrease, peripheral oedema, face oedema, increased LDH, hypocalcaemia</w:t>
            </w:r>
          </w:p>
        </w:tc>
        <w:tc>
          <w:tcPr>
            <w:tcW w:w="674" w:type="pct"/>
          </w:tcPr>
          <w:p w14:paraId="7C33207F" w14:textId="77777777" w:rsidR="003F42D3" w:rsidRPr="00C501E3" w:rsidRDefault="003F42D3" w:rsidP="003260B5">
            <w:pPr>
              <w:rPr>
                <w:sz w:val="18"/>
                <w:szCs w:val="18"/>
                <w:lang w:val="en-GB"/>
              </w:rPr>
            </w:pPr>
          </w:p>
        </w:tc>
        <w:tc>
          <w:tcPr>
            <w:tcW w:w="674" w:type="pct"/>
          </w:tcPr>
          <w:p w14:paraId="7C332080" w14:textId="77777777" w:rsidR="003F42D3" w:rsidRPr="00C501E3" w:rsidRDefault="003F42D3" w:rsidP="003260B5">
            <w:pPr>
              <w:rPr>
                <w:sz w:val="18"/>
                <w:szCs w:val="18"/>
                <w:lang w:val="en-GB"/>
              </w:rPr>
            </w:pPr>
          </w:p>
        </w:tc>
        <w:tc>
          <w:tcPr>
            <w:tcW w:w="675" w:type="pct"/>
          </w:tcPr>
          <w:p w14:paraId="7C332081" w14:textId="77777777" w:rsidR="003F42D3" w:rsidRPr="00C501E3" w:rsidRDefault="003F42D3" w:rsidP="003260B5">
            <w:pPr>
              <w:rPr>
                <w:sz w:val="18"/>
                <w:szCs w:val="18"/>
                <w:lang w:val="en-GB"/>
              </w:rPr>
            </w:pPr>
          </w:p>
        </w:tc>
        <w:tc>
          <w:tcPr>
            <w:tcW w:w="823" w:type="pct"/>
          </w:tcPr>
          <w:p w14:paraId="7C332082" w14:textId="77777777" w:rsidR="003F42D3" w:rsidRPr="00C501E3" w:rsidRDefault="003F42D3" w:rsidP="003260B5">
            <w:pPr>
              <w:rPr>
                <w:sz w:val="18"/>
                <w:szCs w:val="18"/>
                <w:lang w:val="en-GB"/>
              </w:rPr>
            </w:pPr>
          </w:p>
        </w:tc>
      </w:tr>
      <w:tr w:rsidR="003A788B" w14:paraId="7C33208B" w14:textId="77777777" w:rsidTr="003260B5">
        <w:trPr>
          <w:cantSplit/>
        </w:trPr>
        <w:tc>
          <w:tcPr>
            <w:tcW w:w="731" w:type="pct"/>
          </w:tcPr>
          <w:p w14:paraId="7C332084" w14:textId="77777777" w:rsidR="003F42D3" w:rsidRPr="00C501E3" w:rsidRDefault="00016F29" w:rsidP="003260B5">
            <w:pPr>
              <w:rPr>
                <w:sz w:val="18"/>
                <w:szCs w:val="18"/>
                <w:lang w:val="en-GB"/>
              </w:rPr>
            </w:pPr>
            <w:r w:rsidRPr="00C501E3">
              <w:rPr>
                <w:b/>
                <w:sz w:val="18"/>
                <w:szCs w:val="18"/>
                <w:lang w:val="en-GB"/>
              </w:rPr>
              <w:t>Psychiatric disorders</w:t>
            </w:r>
          </w:p>
        </w:tc>
        <w:tc>
          <w:tcPr>
            <w:tcW w:w="628" w:type="pct"/>
          </w:tcPr>
          <w:p w14:paraId="7C332085" w14:textId="77777777" w:rsidR="003F42D3" w:rsidRPr="00C501E3" w:rsidRDefault="003F42D3" w:rsidP="003260B5">
            <w:pPr>
              <w:rPr>
                <w:sz w:val="18"/>
                <w:szCs w:val="18"/>
                <w:lang w:val="en-GB"/>
              </w:rPr>
            </w:pPr>
          </w:p>
        </w:tc>
        <w:tc>
          <w:tcPr>
            <w:tcW w:w="794" w:type="pct"/>
          </w:tcPr>
          <w:p w14:paraId="7C332086" w14:textId="77777777" w:rsidR="003F42D3" w:rsidRPr="00C501E3" w:rsidRDefault="003F42D3" w:rsidP="003260B5">
            <w:pPr>
              <w:rPr>
                <w:sz w:val="18"/>
                <w:szCs w:val="18"/>
                <w:lang w:val="en-GB"/>
              </w:rPr>
            </w:pPr>
          </w:p>
        </w:tc>
        <w:tc>
          <w:tcPr>
            <w:tcW w:w="674" w:type="pct"/>
          </w:tcPr>
          <w:p w14:paraId="7C332087" w14:textId="77777777" w:rsidR="003F42D3" w:rsidRPr="00C501E3" w:rsidRDefault="00016F29" w:rsidP="003260B5">
            <w:pPr>
              <w:rPr>
                <w:sz w:val="18"/>
                <w:szCs w:val="18"/>
                <w:lang w:val="en-GB"/>
              </w:rPr>
            </w:pPr>
            <w:r w:rsidRPr="00C501E3">
              <w:rPr>
                <w:sz w:val="18"/>
                <w:szCs w:val="18"/>
                <w:lang w:val="en-GB"/>
              </w:rPr>
              <w:t>depression, nervousness,</w:t>
            </w:r>
          </w:p>
        </w:tc>
        <w:tc>
          <w:tcPr>
            <w:tcW w:w="674" w:type="pct"/>
          </w:tcPr>
          <w:p w14:paraId="7C332088" w14:textId="77777777" w:rsidR="003F42D3" w:rsidRPr="00C501E3" w:rsidRDefault="003F42D3" w:rsidP="003260B5">
            <w:pPr>
              <w:rPr>
                <w:sz w:val="18"/>
                <w:szCs w:val="18"/>
                <w:lang w:val="en-GB"/>
              </w:rPr>
            </w:pPr>
          </w:p>
        </w:tc>
        <w:tc>
          <w:tcPr>
            <w:tcW w:w="675" w:type="pct"/>
          </w:tcPr>
          <w:p w14:paraId="7C332089" w14:textId="77777777" w:rsidR="003F42D3" w:rsidRPr="00C501E3" w:rsidRDefault="003F42D3" w:rsidP="003260B5">
            <w:pPr>
              <w:rPr>
                <w:sz w:val="18"/>
                <w:szCs w:val="18"/>
                <w:lang w:val="en-GB"/>
              </w:rPr>
            </w:pPr>
          </w:p>
        </w:tc>
        <w:tc>
          <w:tcPr>
            <w:tcW w:w="823" w:type="pct"/>
          </w:tcPr>
          <w:p w14:paraId="7C33208A" w14:textId="77777777" w:rsidR="003F42D3" w:rsidRPr="00C501E3" w:rsidRDefault="003F42D3" w:rsidP="003260B5">
            <w:pPr>
              <w:rPr>
                <w:sz w:val="18"/>
                <w:szCs w:val="18"/>
                <w:lang w:val="en-GB"/>
              </w:rPr>
            </w:pPr>
          </w:p>
        </w:tc>
      </w:tr>
      <w:tr w:rsidR="003A788B" w14:paraId="7C332095" w14:textId="77777777" w:rsidTr="003260B5">
        <w:trPr>
          <w:cantSplit/>
        </w:trPr>
        <w:tc>
          <w:tcPr>
            <w:tcW w:w="731" w:type="pct"/>
          </w:tcPr>
          <w:p w14:paraId="7C33208C" w14:textId="77777777" w:rsidR="003F42D3" w:rsidRPr="00C501E3" w:rsidRDefault="00016F29" w:rsidP="003260B5">
            <w:pPr>
              <w:rPr>
                <w:b/>
                <w:sz w:val="18"/>
                <w:szCs w:val="18"/>
                <w:lang w:val="en-GB"/>
              </w:rPr>
            </w:pPr>
            <w:r w:rsidRPr="00C501E3">
              <w:rPr>
                <w:b/>
                <w:sz w:val="18"/>
                <w:szCs w:val="18"/>
                <w:lang w:val="en-GB"/>
              </w:rPr>
              <w:t>Nervous system disorders</w:t>
            </w:r>
          </w:p>
        </w:tc>
        <w:tc>
          <w:tcPr>
            <w:tcW w:w="628" w:type="pct"/>
          </w:tcPr>
          <w:p w14:paraId="7C33208D" w14:textId="77777777" w:rsidR="003F42D3" w:rsidRPr="00C501E3" w:rsidRDefault="003F42D3" w:rsidP="003260B5">
            <w:pPr>
              <w:rPr>
                <w:sz w:val="18"/>
                <w:szCs w:val="18"/>
                <w:lang w:val="en-GB"/>
              </w:rPr>
            </w:pPr>
          </w:p>
        </w:tc>
        <w:tc>
          <w:tcPr>
            <w:tcW w:w="794" w:type="pct"/>
          </w:tcPr>
          <w:p w14:paraId="7C33208E" w14:textId="77777777" w:rsidR="003F42D3" w:rsidRPr="00C501E3" w:rsidRDefault="00016F29" w:rsidP="003260B5">
            <w:pPr>
              <w:rPr>
                <w:sz w:val="18"/>
                <w:szCs w:val="18"/>
                <w:lang w:val="en-GB"/>
              </w:rPr>
            </w:pPr>
            <w:r w:rsidRPr="00C501E3">
              <w:rPr>
                <w:sz w:val="18"/>
                <w:szCs w:val="18"/>
                <w:lang w:val="en-GB"/>
              </w:rPr>
              <w:t>paraesthesia, hypoaesthesia, agitation, insomnia, vasodilatation, dizziness, anxiety</w:t>
            </w:r>
          </w:p>
        </w:tc>
        <w:tc>
          <w:tcPr>
            <w:tcW w:w="674" w:type="pct"/>
          </w:tcPr>
          <w:p w14:paraId="7C33208F" w14:textId="77777777" w:rsidR="003F42D3" w:rsidRPr="00C501E3" w:rsidRDefault="00016F29" w:rsidP="003260B5">
            <w:pPr>
              <w:rPr>
                <w:sz w:val="18"/>
                <w:szCs w:val="18"/>
                <w:lang w:val="en-GB"/>
              </w:rPr>
            </w:pPr>
            <w:r w:rsidRPr="00C501E3">
              <w:rPr>
                <w:sz w:val="18"/>
                <w:szCs w:val="18"/>
                <w:lang w:val="en-GB"/>
              </w:rPr>
              <w:t>dysgeusia</w:t>
            </w:r>
          </w:p>
        </w:tc>
        <w:tc>
          <w:tcPr>
            <w:tcW w:w="674" w:type="pct"/>
          </w:tcPr>
          <w:p w14:paraId="7C332090" w14:textId="77777777" w:rsidR="003F42D3" w:rsidRPr="00C501E3" w:rsidRDefault="003F42D3" w:rsidP="003260B5">
            <w:pPr>
              <w:rPr>
                <w:snapToGrid w:val="0"/>
                <w:sz w:val="18"/>
                <w:szCs w:val="18"/>
                <w:lang w:val="en-GB" w:eastAsia="en-US"/>
              </w:rPr>
            </w:pPr>
          </w:p>
        </w:tc>
        <w:tc>
          <w:tcPr>
            <w:tcW w:w="675" w:type="pct"/>
          </w:tcPr>
          <w:p w14:paraId="7C332091" w14:textId="77777777" w:rsidR="003F42D3" w:rsidRPr="00C501E3" w:rsidRDefault="00016F29" w:rsidP="003260B5">
            <w:pPr>
              <w:rPr>
                <w:snapToGrid w:val="0"/>
                <w:sz w:val="18"/>
                <w:szCs w:val="18"/>
                <w:lang w:val="en-GB" w:eastAsia="en-US"/>
              </w:rPr>
            </w:pPr>
            <w:r w:rsidRPr="00C501E3">
              <w:rPr>
                <w:snapToGrid w:val="0"/>
                <w:sz w:val="18"/>
                <w:szCs w:val="18"/>
                <w:lang w:val="en-GB" w:eastAsia="en-US"/>
              </w:rPr>
              <w:t>peripheral neuropathy,</w:t>
            </w:r>
          </w:p>
          <w:p w14:paraId="7C332092" w14:textId="77777777" w:rsidR="003F42D3" w:rsidRPr="00C501E3" w:rsidRDefault="00016F29" w:rsidP="003260B5">
            <w:pPr>
              <w:rPr>
                <w:snapToGrid w:val="0"/>
                <w:sz w:val="18"/>
                <w:szCs w:val="18"/>
                <w:lang w:val="en-GB" w:eastAsia="en-US"/>
              </w:rPr>
            </w:pPr>
            <w:r w:rsidRPr="00C501E3">
              <w:rPr>
                <w:snapToGrid w:val="0"/>
                <w:sz w:val="18"/>
                <w:szCs w:val="18"/>
                <w:lang w:val="en-GB" w:eastAsia="en-US"/>
              </w:rPr>
              <w:t>facial nerve palsy</w:t>
            </w:r>
            <w:r w:rsidRPr="00C501E3">
              <w:rPr>
                <w:snapToGrid w:val="0"/>
                <w:sz w:val="18"/>
                <w:szCs w:val="18"/>
                <w:vertAlign w:val="superscript"/>
                <w:lang w:val="en-GB" w:eastAsia="en-US"/>
              </w:rPr>
              <w:t>5</w:t>
            </w:r>
          </w:p>
        </w:tc>
        <w:tc>
          <w:tcPr>
            <w:tcW w:w="823" w:type="pct"/>
          </w:tcPr>
          <w:p w14:paraId="7C332093" w14:textId="77777777" w:rsidR="003F42D3" w:rsidRPr="00C501E3" w:rsidRDefault="00016F29" w:rsidP="003260B5">
            <w:pPr>
              <w:rPr>
                <w:snapToGrid w:val="0"/>
                <w:sz w:val="18"/>
                <w:szCs w:val="18"/>
                <w:lang w:val="en-GB" w:eastAsia="en-US"/>
              </w:rPr>
            </w:pPr>
            <w:r w:rsidRPr="00C501E3">
              <w:rPr>
                <w:snapToGrid w:val="0"/>
                <w:sz w:val="18"/>
                <w:szCs w:val="18"/>
                <w:lang w:val="en-GB" w:eastAsia="en-US"/>
              </w:rPr>
              <w:t>cranial neuropathy,</w:t>
            </w:r>
          </w:p>
          <w:p w14:paraId="7C332094" w14:textId="77777777" w:rsidR="003F42D3" w:rsidRPr="00C501E3" w:rsidRDefault="00016F29" w:rsidP="003260B5">
            <w:pPr>
              <w:rPr>
                <w:sz w:val="18"/>
                <w:szCs w:val="18"/>
                <w:lang w:val="en-GB"/>
              </w:rPr>
            </w:pPr>
            <w:r w:rsidRPr="00C501E3">
              <w:rPr>
                <w:snapToGrid w:val="0"/>
                <w:sz w:val="18"/>
                <w:szCs w:val="18"/>
                <w:lang w:val="en-GB" w:eastAsia="en-US"/>
              </w:rPr>
              <w:t>loss of other senses</w:t>
            </w:r>
            <w:r w:rsidRPr="00C501E3">
              <w:rPr>
                <w:snapToGrid w:val="0"/>
                <w:sz w:val="18"/>
                <w:szCs w:val="18"/>
                <w:vertAlign w:val="superscript"/>
                <w:lang w:val="en-GB" w:eastAsia="en-US"/>
              </w:rPr>
              <w:t>5</w:t>
            </w:r>
          </w:p>
        </w:tc>
      </w:tr>
      <w:tr w:rsidR="003A788B" w14:paraId="7C33209D" w14:textId="77777777" w:rsidTr="003260B5">
        <w:trPr>
          <w:cantSplit/>
        </w:trPr>
        <w:tc>
          <w:tcPr>
            <w:tcW w:w="731" w:type="pct"/>
          </w:tcPr>
          <w:p w14:paraId="7C332096" w14:textId="77777777" w:rsidR="003F42D3" w:rsidRPr="00C501E3" w:rsidRDefault="00016F29" w:rsidP="003260B5">
            <w:pPr>
              <w:rPr>
                <w:sz w:val="18"/>
                <w:szCs w:val="18"/>
                <w:lang w:val="en-GB"/>
              </w:rPr>
            </w:pPr>
            <w:r w:rsidRPr="00C501E3">
              <w:rPr>
                <w:b/>
                <w:sz w:val="18"/>
                <w:szCs w:val="18"/>
                <w:lang w:val="en-GB"/>
              </w:rPr>
              <w:t>Eye disorders</w:t>
            </w:r>
          </w:p>
        </w:tc>
        <w:tc>
          <w:tcPr>
            <w:tcW w:w="628" w:type="pct"/>
          </w:tcPr>
          <w:p w14:paraId="7C332097" w14:textId="77777777" w:rsidR="003F42D3" w:rsidRPr="00C501E3" w:rsidRDefault="003F42D3" w:rsidP="003260B5">
            <w:pPr>
              <w:rPr>
                <w:sz w:val="18"/>
                <w:szCs w:val="18"/>
                <w:lang w:val="en-GB"/>
              </w:rPr>
            </w:pPr>
          </w:p>
        </w:tc>
        <w:tc>
          <w:tcPr>
            <w:tcW w:w="794" w:type="pct"/>
          </w:tcPr>
          <w:p w14:paraId="7C332098" w14:textId="77777777" w:rsidR="003F42D3" w:rsidRPr="00C501E3" w:rsidRDefault="00016F29" w:rsidP="003260B5">
            <w:pPr>
              <w:rPr>
                <w:sz w:val="18"/>
                <w:szCs w:val="18"/>
                <w:lang w:val="en-GB"/>
              </w:rPr>
            </w:pPr>
            <w:r w:rsidRPr="00C501E3">
              <w:rPr>
                <w:sz w:val="18"/>
                <w:szCs w:val="18"/>
                <w:lang w:val="en-GB"/>
              </w:rPr>
              <w:t>lacrimation disorder, conjunctivitis</w:t>
            </w:r>
          </w:p>
        </w:tc>
        <w:tc>
          <w:tcPr>
            <w:tcW w:w="674" w:type="pct"/>
          </w:tcPr>
          <w:p w14:paraId="7C332099" w14:textId="77777777" w:rsidR="003F42D3" w:rsidRPr="00C501E3" w:rsidRDefault="003F42D3" w:rsidP="003260B5">
            <w:pPr>
              <w:rPr>
                <w:sz w:val="18"/>
                <w:szCs w:val="18"/>
                <w:lang w:val="en-GB"/>
              </w:rPr>
            </w:pPr>
          </w:p>
        </w:tc>
        <w:tc>
          <w:tcPr>
            <w:tcW w:w="674" w:type="pct"/>
          </w:tcPr>
          <w:p w14:paraId="7C33209A" w14:textId="77777777" w:rsidR="003F42D3" w:rsidRPr="00C501E3" w:rsidRDefault="003F42D3" w:rsidP="003260B5">
            <w:pPr>
              <w:rPr>
                <w:snapToGrid w:val="0"/>
                <w:sz w:val="18"/>
                <w:szCs w:val="18"/>
                <w:lang w:val="en-GB" w:eastAsia="en-US"/>
              </w:rPr>
            </w:pPr>
          </w:p>
        </w:tc>
        <w:tc>
          <w:tcPr>
            <w:tcW w:w="675" w:type="pct"/>
          </w:tcPr>
          <w:p w14:paraId="7C33209B" w14:textId="77777777" w:rsidR="003F42D3" w:rsidRPr="00C501E3" w:rsidRDefault="00016F29" w:rsidP="003260B5">
            <w:pPr>
              <w:rPr>
                <w:snapToGrid w:val="0"/>
                <w:sz w:val="18"/>
                <w:szCs w:val="18"/>
                <w:lang w:val="en-GB" w:eastAsia="en-US"/>
              </w:rPr>
            </w:pPr>
            <w:r w:rsidRPr="00C501E3">
              <w:rPr>
                <w:snapToGrid w:val="0"/>
                <w:sz w:val="18"/>
                <w:szCs w:val="18"/>
                <w:lang w:val="en-GB" w:eastAsia="en-US"/>
              </w:rPr>
              <w:t>severe vision loss</w:t>
            </w:r>
            <w:r w:rsidRPr="00C501E3">
              <w:rPr>
                <w:snapToGrid w:val="0"/>
                <w:sz w:val="18"/>
                <w:szCs w:val="18"/>
                <w:vertAlign w:val="superscript"/>
                <w:lang w:val="en-GB" w:eastAsia="en-US"/>
              </w:rPr>
              <w:t>5</w:t>
            </w:r>
          </w:p>
        </w:tc>
        <w:tc>
          <w:tcPr>
            <w:tcW w:w="823" w:type="pct"/>
          </w:tcPr>
          <w:p w14:paraId="7C33209C" w14:textId="77777777" w:rsidR="003F42D3" w:rsidRPr="00C501E3" w:rsidRDefault="003F42D3" w:rsidP="003260B5">
            <w:pPr>
              <w:rPr>
                <w:sz w:val="18"/>
                <w:szCs w:val="18"/>
                <w:lang w:val="en-GB"/>
              </w:rPr>
            </w:pPr>
          </w:p>
        </w:tc>
      </w:tr>
      <w:tr w:rsidR="003A788B" w14:paraId="7C3320A5" w14:textId="77777777" w:rsidTr="003260B5">
        <w:trPr>
          <w:cantSplit/>
        </w:trPr>
        <w:tc>
          <w:tcPr>
            <w:tcW w:w="731" w:type="pct"/>
          </w:tcPr>
          <w:p w14:paraId="7C33209E" w14:textId="77777777" w:rsidR="003F42D3" w:rsidRPr="00C501E3" w:rsidRDefault="00016F29" w:rsidP="003260B5">
            <w:pPr>
              <w:rPr>
                <w:b/>
                <w:sz w:val="18"/>
                <w:szCs w:val="18"/>
                <w:lang w:val="en-GB"/>
              </w:rPr>
            </w:pPr>
            <w:r w:rsidRPr="00C501E3">
              <w:rPr>
                <w:b/>
                <w:sz w:val="18"/>
                <w:szCs w:val="18"/>
                <w:lang w:val="en-GB"/>
              </w:rPr>
              <w:t>Ear and labyrinth disorders</w:t>
            </w:r>
          </w:p>
        </w:tc>
        <w:tc>
          <w:tcPr>
            <w:tcW w:w="628" w:type="pct"/>
          </w:tcPr>
          <w:p w14:paraId="7C33209F" w14:textId="77777777" w:rsidR="003F42D3" w:rsidRPr="00C501E3" w:rsidRDefault="003F42D3" w:rsidP="003260B5">
            <w:pPr>
              <w:rPr>
                <w:sz w:val="18"/>
                <w:szCs w:val="18"/>
                <w:lang w:val="en-GB"/>
              </w:rPr>
            </w:pPr>
          </w:p>
        </w:tc>
        <w:tc>
          <w:tcPr>
            <w:tcW w:w="794" w:type="pct"/>
          </w:tcPr>
          <w:p w14:paraId="7C3320A0" w14:textId="77777777" w:rsidR="003F42D3" w:rsidRPr="00C501E3" w:rsidRDefault="00016F29" w:rsidP="003260B5">
            <w:pPr>
              <w:rPr>
                <w:sz w:val="18"/>
                <w:szCs w:val="18"/>
                <w:lang w:val="en-GB"/>
              </w:rPr>
            </w:pPr>
            <w:r w:rsidRPr="00C501E3">
              <w:rPr>
                <w:sz w:val="18"/>
                <w:szCs w:val="18"/>
                <w:lang w:val="en-GB"/>
              </w:rPr>
              <w:t>tinnitus, ear pain</w:t>
            </w:r>
          </w:p>
        </w:tc>
        <w:tc>
          <w:tcPr>
            <w:tcW w:w="674" w:type="pct"/>
          </w:tcPr>
          <w:p w14:paraId="7C3320A1" w14:textId="77777777" w:rsidR="003F42D3" w:rsidRPr="00C501E3" w:rsidRDefault="003F42D3" w:rsidP="003260B5">
            <w:pPr>
              <w:rPr>
                <w:sz w:val="18"/>
                <w:szCs w:val="18"/>
                <w:lang w:val="en-GB"/>
              </w:rPr>
            </w:pPr>
          </w:p>
        </w:tc>
        <w:tc>
          <w:tcPr>
            <w:tcW w:w="674" w:type="pct"/>
          </w:tcPr>
          <w:p w14:paraId="7C3320A2" w14:textId="77777777" w:rsidR="003F42D3" w:rsidRPr="00C501E3" w:rsidRDefault="003F42D3" w:rsidP="003260B5">
            <w:pPr>
              <w:rPr>
                <w:snapToGrid w:val="0"/>
                <w:sz w:val="18"/>
                <w:szCs w:val="18"/>
                <w:lang w:val="en-GB" w:eastAsia="en-US"/>
              </w:rPr>
            </w:pPr>
          </w:p>
        </w:tc>
        <w:tc>
          <w:tcPr>
            <w:tcW w:w="675" w:type="pct"/>
          </w:tcPr>
          <w:p w14:paraId="7C3320A3" w14:textId="77777777" w:rsidR="003F42D3" w:rsidRPr="00C501E3" w:rsidRDefault="003F42D3" w:rsidP="003260B5">
            <w:pPr>
              <w:rPr>
                <w:snapToGrid w:val="0"/>
                <w:sz w:val="18"/>
                <w:szCs w:val="18"/>
                <w:lang w:val="en-GB" w:eastAsia="en-US"/>
              </w:rPr>
            </w:pPr>
          </w:p>
        </w:tc>
        <w:tc>
          <w:tcPr>
            <w:tcW w:w="823" w:type="pct"/>
          </w:tcPr>
          <w:p w14:paraId="7C3320A4" w14:textId="77777777" w:rsidR="003F42D3" w:rsidRPr="00C501E3" w:rsidRDefault="00016F29" w:rsidP="003260B5">
            <w:pPr>
              <w:rPr>
                <w:sz w:val="18"/>
                <w:szCs w:val="18"/>
                <w:lang w:val="en-GB"/>
              </w:rPr>
            </w:pPr>
            <w:r w:rsidRPr="00C501E3">
              <w:rPr>
                <w:snapToGrid w:val="0"/>
                <w:sz w:val="18"/>
                <w:szCs w:val="18"/>
                <w:lang w:val="en-GB" w:eastAsia="en-US"/>
              </w:rPr>
              <w:t>hearing loss</w:t>
            </w:r>
            <w:r w:rsidRPr="00C501E3">
              <w:rPr>
                <w:snapToGrid w:val="0"/>
                <w:sz w:val="18"/>
                <w:szCs w:val="18"/>
                <w:vertAlign w:val="superscript"/>
                <w:lang w:val="en-GB" w:eastAsia="en-US"/>
              </w:rPr>
              <w:t>5</w:t>
            </w:r>
          </w:p>
        </w:tc>
      </w:tr>
      <w:tr w:rsidR="003A788B" w14:paraId="7C3320AD" w14:textId="77777777" w:rsidTr="003260B5">
        <w:trPr>
          <w:cantSplit/>
        </w:trPr>
        <w:tc>
          <w:tcPr>
            <w:tcW w:w="731" w:type="pct"/>
          </w:tcPr>
          <w:p w14:paraId="7C3320A6" w14:textId="77777777" w:rsidR="003F42D3" w:rsidRPr="00C501E3" w:rsidRDefault="00016F29" w:rsidP="003260B5">
            <w:pPr>
              <w:rPr>
                <w:b/>
                <w:sz w:val="18"/>
                <w:szCs w:val="18"/>
                <w:lang w:val="en-GB"/>
              </w:rPr>
            </w:pPr>
            <w:r w:rsidRPr="00C501E3">
              <w:rPr>
                <w:b/>
                <w:sz w:val="18"/>
                <w:szCs w:val="18"/>
                <w:lang w:val="en-GB"/>
              </w:rPr>
              <w:t>Cardiac disorders</w:t>
            </w:r>
          </w:p>
        </w:tc>
        <w:tc>
          <w:tcPr>
            <w:tcW w:w="628" w:type="pct"/>
          </w:tcPr>
          <w:p w14:paraId="7C3320A7" w14:textId="77777777" w:rsidR="003F42D3" w:rsidRPr="00C501E3" w:rsidRDefault="003F42D3" w:rsidP="003260B5">
            <w:pPr>
              <w:rPr>
                <w:sz w:val="18"/>
                <w:szCs w:val="18"/>
                <w:lang w:val="en-GB"/>
              </w:rPr>
            </w:pPr>
          </w:p>
        </w:tc>
        <w:tc>
          <w:tcPr>
            <w:tcW w:w="794" w:type="pct"/>
          </w:tcPr>
          <w:p w14:paraId="7C3320A8" w14:textId="77777777" w:rsidR="003F42D3" w:rsidRPr="00C501E3" w:rsidRDefault="00016F29" w:rsidP="003260B5">
            <w:pPr>
              <w:rPr>
                <w:sz w:val="18"/>
                <w:szCs w:val="18"/>
                <w:lang w:val="en-GB"/>
              </w:rPr>
            </w:pPr>
            <w:r w:rsidRPr="00C501E3">
              <w:rPr>
                <w:sz w:val="18"/>
                <w:szCs w:val="18"/>
                <w:vertAlign w:val="superscript"/>
                <w:lang w:val="en-GB"/>
              </w:rPr>
              <w:t>+</w:t>
            </w:r>
            <w:r w:rsidRPr="00C501E3">
              <w:rPr>
                <w:sz w:val="18"/>
                <w:szCs w:val="18"/>
                <w:lang w:val="en-GB"/>
              </w:rPr>
              <w:t>myocardial infarction</w:t>
            </w:r>
            <w:r w:rsidRPr="00C501E3">
              <w:rPr>
                <w:snapToGrid w:val="0"/>
                <w:sz w:val="18"/>
                <w:szCs w:val="18"/>
                <w:vertAlign w:val="superscript"/>
                <w:lang w:val="en-GB" w:eastAsia="en-US"/>
              </w:rPr>
              <w:t>4 and 6</w:t>
            </w:r>
            <w:r w:rsidRPr="00C501E3">
              <w:rPr>
                <w:sz w:val="18"/>
                <w:szCs w:val="18"/>
                <w:lang w:val="en-GB"/>
              </w:rPr>
              <w:t xml:space="preserve">, arrhythmia, </w:t>
            </w:r>
            <w:r w:rsidRPr="00C501E3">
              <w:rPr>
                <w:sz w:val="18"/>
                <w:szCs w:val="18"/>
                <w:vertAlign w:val="superscript"/>
                <w:lang w:val="en-GB"/>
              </w:rPr>
              <w:t>+</w:t>
            </w:r>
            <w:r w:rsidRPr="00C501E3">
              <w:rPr>
                <w:sz w:val="18"/>
                <w:szCs w:val="18"/>
                <w:lang w:val="en-GB"/>
              </w:rPr>
              <w:t xml:space="preserve">atrial fibrillation, tachycardia, </w:t>
            </w:r>
            <w:r w:rsidRPr="00C501E3">
              <w:rPr>
                <w:sz w:val="18"/>
                <w:szCs w:val="18"/>
                <w:vertAlign w:val="superscript"/>
                <w:lang w:val="en-GB"/>
              </w:rPr>
              <w:t>+</w:t>
            </w:r>
            <w:r w:rsidRPr="00C501E3">
              <w:rPr>
                <w:sz w:val="18"/>
                <w:szCs w:val="18"/>
                <w:lang w:val="en-GB"/>
              </w:rPr>
              <w:t>cardiac disorder</w:t>
            </w:r>
          </w:p>
        </w:tc>
        <w:tc>
          <w:tcPr>
            <w:tcW w:w="674" w:type="pct"/>
          </w:tcPr>
          <w:p w14:paraId="7C3320A9" w14:textId="77777777" w:rsidR="003F42D3" w:rsidRPr="00C501E3" w:rsidRDefault="00016F29" w:rsidP="003260B5">
            <w:pPr>
              <w:rPr>
                <w:sz w:val="18"/>
                <w:szCs w:val="18"/>
                <w:lang w:val="en-GB"/>
              </w:rPr>
            </w:pPr>
            <w:r w:rsidRPr="00C501E3">
              <w:rPr>
                <w:sz w:val="18"/>
                <w:szCs w:val="18"/>
                <w:vertAlign w:val="superscript"/>
                <w:lang w:val="en-GB"/>
              </w:rPr>
              <w:t>+</w:t>
            </w:r>
            <w:r w:rsidRPr="00C501E3">
              <w:rPr>
                <w:sz w:val="18"/>
                <w:szCs w:val="18"/>
                <w:lang w:val="en-GB"/>
              </w:rPr>
              <w:t xml:space="preserve">left ventricular failure, </w:t>
            </w:r>
            <w:r w:rsidRPr="00C501E3">
              <w:rPr>
                <w:sz w:val="18"/>
                <w:szCs w:val="18"/>
                <w:vertAlign w:val="superscript"/>
                <w:lang w:val="en-GB"/>
              </w:rPr>
              <w:t>+</w:t>
            </w:r>
            <w:r w:rsidRPr="00C501E3">
              <w:rPr>
                <w:sz w:val="18"/>
                <w:szCs w:val="18"/>
                <w:lang w:val="en-GB"/>
              </w:rPr>
              <w:t xml:space="preserve">supraventricular tachycardia,  </w:t>
            </w:r>
            <w:r w:rsidRPr="00C501E3">
              <w:rPr>
                <w:sz w:val="18"/>
                <w:szCs w:val="18"/>
                <w:vertAlign w:val="superscript"/>
                <w:lang w:val="en-GB"/>
              </w:rPr>
              <w:t>+</w:t>
            </w:r>
            <w:r w:rsidRPr="00C501E3">
              <w:rPr>
                <w:sz w:val="18"/>
                <w:szCs w:val="18"/>
                <w:lang w:val="en-GB"/>
              </w:rPr>
              <w:t xml:space="preserve">ventricular tachycardia,  </w:t>
            </w:r>
            <w:r w:rsidRPr="00C501E3">
              <w:rPr>
                <w:sz w:val="18"/>
                <w:szCs w:val="18"/>
                <w:vertAlign w:val="superscript"/>
                <w:lang w:val="en-GB"/>
              </w:rPr>
              <w:t>+</w:t>
            </w:r>
            <w:r w:rsidRPr="00C501E3">
              <w:rPr>
                <w:sz w:val="18"/>
                <w:szCs w:val="18"/>
                <w:lang w:val="en-GB"/>
              </w:rPr>
              <w:t xml:space="preserve">angina,  </w:t>
            </w:r>
            <w:r w:rsidRPr="00C501E3">
              <w:rPr>
                <w:sz w:val="18"/>
                <w:szCs w:val="18"/>
                <w:vertAlign w:val="superscript"/>
                <w:lang w:val="en-GB"/>
              </w:rPr>
              <w:t>+</w:t>
            </w:r>
            <w:r w:rsidRPr="00C501E3">
              <w:rPr>
                <w:sz w:val="18"/>
                <w:szCs w:val="18"/>
                <w:lang w:val="en-GB"/>
              </w:rPr>
              <w:t>myocardial ischaemia, bradycardia</w:t>
            </w:r>
          </w:p>
        </w:tc>
        <w:tc>
          <w:tcPr>
            <w:tcW w:w="674" w:type="pct"/>
          </w:tcPr>
          <w:p w14:paraId="7C3320AA" w14:textId="77777777" w:rsidR="003F42D3" w:rsidRPr="00C501E3" w:rsidRDefault="00016F29" w:rsidP="003260B5">
            <w:pPr>
              <w:rPr>
                <w:sz w:val="18"/>
                <w:szCs w:val="18"/>
                <w:lang w:val="en-GB"/>
              </w:rPr>
            </w:pPr>
            <w:r w:rsidRPr="00C501E3">
              <w:rPr>
                <w:sz w:val="18"/>
                <w:szCs w:val="18"/>
                <w:lang w:val="en-GB"/>
              </w:rPr>
              <w:t xml:space="preserve">severe cardiac disorders </w:t>
            </w:r>
            <w:r w:rsidRPr="00C501E3">
              <w:rPr>
                <w:snapToGrid w:val="0"/>
                <w:sz w:val="18"/>
                <w:szCs w:val="18"/>
                <w:vertAlign w:val="superscript"/>
                <w:lang w:val="en-GB" w:eastAsia="en-US"/>
              </w:rPr>
              <w:t>4 and 6</w:t>
            </w:r>
          </w:p>
        </w:tc>
        <w:tc>
          <w:tcPr>
            <w:tcW w:w="675" w:type="pct"/>
          </w:tcPr>
          <w:p w14:paraId="7C3320AB" w14:textId="77777777" w:rsidR="003F42D3" w:rsidRPr="00C501E3" w:rsidRDefault="00016F29" w:rsidP="003260B5">
            <w:pPr>
              <w:rPr>
                <w:sz w:val="18"/>
                <w:szCs w:val="18"/>
                <w:lang w:val="en-GB"/>
              </w:rPr>
            </w:pPr>
            <w:r w:rsidRPr="00C501E3">
              <w:rPr>
                <w:sz w:val="18"/>
                <w:szCs w:val="18"/>
                <w:lang w:val="en-GB"/>
              </w:rPr>
              <w:t>heart failure</w:t>
            </w:r>
            <w:r w:rsidRPr="00C501E3">
              <w:rPr>
                <w:snapToGrid w:val="0"/>
                <w:sz w:val="18"/>
                <w:szCs w:val="18"/>
                <w:vertAlign w:val="superscript"/>
                <w:lang w:val="en-GB" w:eastAsia="en-US"/>
              </w:rPr>
              <w:t>4 and 6</w:t>
            </w:r>
          </w:p>
        </w:tc>
        <w:tc>
          <w:tcPr>
            <w:tcW w:w="823" w:type="pct"/>
          </w:tcPr>
          <w:p w14:paraId="7C3320AC" w14:textId="77777777" w:rsidR="003F42D3" w:rsidRPr="00C501E3" w:rsidRDefault="003F42D3" w:rsidP="003260B5">
            <w:pPr>
              <w:rPr>
                <w:sz w:val="18"/>
                <w:szCs w:val="18"/>
                <w:lang w:val="en-GB"/>
              </w:rPr>
            </w:pPr>
          </w:p>
        </w:tc>
      </w:tr>
      <w:tr w:rsidR="003A788B" w14:paraId="7C3320B6" w14:textId="77777777" w:rsidTr="003260B5">
        <w:trPr>
          <w:cantSplit/>
        </w:trPr>
        <w:tc>
          <w:tcPr>
            <w:tcW w:w="731" w:type="pct"/>
          </w:tcPr>
          <w:p w14:paraId="7C3320AE" w14:textId="77777777" w:rsidR="003F42D3" w:rsidRPr="00C501E3" w:rsidRDefault="00016F29" w:rsidP="003260B5">
            <w:pPr>
              <w:rPr>
                <w:b/>
                <w:sz w:val="18"/>
                <w:szCs w:val="18"/>
                <w:lang w:val="en-GB"/>
              </w:rPr>
            </w:pPr>
            <w:r w:rsidRPr="00C501E3">
              <w:rPr>
                <w:b/>
                <w:sz w:val="18"/>
                <w:szCs w:val="18"/>
                <w:lang w:val="en-GB"/>
              </w:rPr>
              <w:t>Vascular disorders</w:t>
            </w:r>
          </w:p>
        </w:tc>
        <w:tc>
          <w:tcPr>
            <w:tcW w:w="628" w:type="pct"/>
          </w:tcPr>
          <w:p w14:paraId="7C3320AF" w14:textId="77777777" w:rsidR="003F42D3" w:rsidRPr="00C501E3" w:rsidRDefault="003F42D3" w:rsidP="003260B5">
            <w:pPr>
              <w:rPr>
                <w:sz w:val="18"/>
                <w:szCs w:val="18"/>
                <w:lang w:val="en-GB"/>
              </w:rPr>
            </w:pPr>
          </w:p>
        </w:tc>
        <w:tc>
          <w:tcPr>
            <w:tcW w:w="794" w:type="pct"/>
          </w:tcPr>
          <w:p w14:paraId="7C3320B0" w14:textId="77777777" w:rsidR="003F42D3" w:rsidRPr="00C501E3" w:rsidRDefault="00016F29" w:rsidP="003260B5">
            <w:pPr>
              <w:keepNext/>
              <w:rPr>
                <w:sz w:val="18"/>
                <w:szCs w:val="18"/>
                <w:lang w:val="en-GB"/>
              </w:rPr>
            </w:pPr>
            <w:r w:rsidRPr="00C501E3">
              <w:rPr>
                <w:sz w:val="18"/>
                <w:szCs w:val="18"/>
                <w:lang w:val="en-GB"/>
              </w:rPr>
              <w:t>hypertension, orthostatic hypotension, hypotension</w:t>
            </w:r>
            <w:r w:rsidRPr="00C501E3">
              <w:rPr>
                <w:sz w:val="18"/>
                <w:szCs w:val="18"/>
                <w:vertAlign w:val="superscript"/>
                <w:lang w:val="en-GB"/>
              </w:rPr>
              <w:t xml:space="preserve"> </w:t>
            </w:r>
          </w:p>
        </w:tc>
        <w:tc>
          <w:tcPr>
            <w:tcW w:w="674" w:type="pct"/>
          </w:tcPr>
          <w:p w14:paraId="7C3320B1" w14:textId="77777777" w:rsidR="003F42D3" w:rsidRPr="00C501E3" w:rsidRDefault="003F42D3" w:rsidP="003260B5">
            <w:pPr>
              <w:rPr>
                <w:sz w:val="18"/>
                <w:szCs w:val="18"/>
                <w:lang w:val="en-GB"/>
              </w:rPr>
            </w:pPr>
          </w:p>
        </w:tc>
        <w:tc>
          <w:tcPr>
            <w:tcW w:w="674" w:type="pct"/>
          </w:tcPr>
          <w:p w14:paraId="7C3320B2" w14:textId="77777777" w:rsidR="003F42D3" w:rsidRPr="00C501E3" w:rsidRDefault="003F42D3" w:rsidP="003260B5">
            <w:pPr>
              <w:rPr>
                <w:snapToGrid w:val="0"/>
                <w:sz w:val="18"/>
                <w:szCs w:val="18"/>
                <w:lang w:val="en-GB" w:eastAsia="en-US"/>
              </w:rPr>
            </w:pPr>
          </w:p>
        </w:tc>
        <w:tc>
          <w:tcPr>
            <w:tcW w:w="675" w:type="pct"/>
          </w:tcPr>
          <w:p w14:paraId="7C3320B3" w14:textId="77777777" w:rsidR="003F42D3" w:rsidRPr="00C501E3" w:rsidRDefault="00016F29" w:rsidP="003260B5">
            <w:pPr>
              <w:rPr>
                <w:snapToGrid w:val="0"/>
                <w:sz w:val="18"/>
                <w:szCs w:val="18"/>
                <w:lang w:val="en-GB" w:eastAsia="en-US"/>
              </w:rPr>
            </w:pPr>
            <w:r w:rsidRPr="00C501E3">
              <w:rPr>
                <w:snapToGrid w:val="0"/>
                <w:sz w:val="18"/>
                <w:szCs w:val="18"/>
                <w:lang w:val="en-GB" w:eastAsia="en-US"/>
              </w:rPr>
              <w:t>vasculitis (predominately cutaneous),</w:t>
            </w:r>
          </w:p>
          <w:p w14:paraId="7C3320B4" w14:textId="77777777" w:rsidR="003F42D3" w:rsidRPr="00C501E3" w:rsidRDefault="00016F29" w:rsidP="003260B5">
            <w:pPr>
              <w:rPr>
                <w:snapToGrid w:val="0"/>
                <w:sz w:val="18"/>
                <w:szCs w:val="18"/>
                <w:lang w:val="en-GB" w:eastAsia="en-US"/>
              </w:rPr>
            </w:pPr>
            <w:r w:rsidRPr="00C501E3">
              <w:rPr>
                <w:snapToGrid w:val="0"/>
                <w:sz w:val="18"/>
                <w:szCs w:val="18"/>
                <w:lang w:val="en-GB" w:eastAsia="en-US"/>
              </w:rPr>
              <w:t>leukocytoclastic vasculitis</w:t>
            </w:r>
          </w:p>
        </w:tc>
        <w:tc>
          <w:tcPr>
            <w:tcW w:w="823" w:type="pct"/>
          </w:tcPr>
          <w:p w14:paraId="7C3320B5" w14:textId="77777777" w:rsidR="003F42D3" w:rsidRPr="00C501E3" w:rsidRDefault="003F42D3" w:rsidP="003260B5">
            <w:pPr>
              <w:rPr>
                <w:sz w:val="18"/>
                <w:szCs w:val="18"/>
                <w:lang w:val="en-GB"/>
              </w:rPr>
            </w:pPr>
          </w:p>
        </w:tc>
      </w:tr>
      <w:tr w:rsidR="003A788B" w14:paraId="7C3320BF" w14:textId="77777777" w:rsidTr="003260B5">
        <w:trPr>
          <w:cantSplit/>
        </w:trPr>
        <w:tc>
          <w:tcPr>
            <w:tcW w:w="731" w:type="pct"/>
          </w:tcPr>
          <w:p w14:paraId="7C3320B7" w14:textId="77777777" w:rsidR="003F42D3" w:rsidRPr="00C501E3" w:rsidRDefault="00016F29" w:rsidP="003260B5">
            <w:pPr>
              <w:rPr>
                <w:b/>
                <w:sz w:val="18"/>
                <w:szCs w:val="18"/>
                <w:lang w:val="en-GB"/>
              </w:rPr>
            </w:pPr>
            <w:r w:rsidRPr="00C501E3">
              <w:rPr>
                <w:b/>
                <w:sz w:val="18"/>
                <w:szCs w:val="18"/>
                <w:lang w:val="en-GB"/>
              </w:rPr>
              <w:t>Respiratory, thoracic and mediastinal disorders</w:t>
            </w:r>
          </w:p>
        </w:tc>
        <w:tc>
          <w:tcPr>
            <w:tcW w:w="628" w:type="pct"/>
          </w:tcPr>
          <w:p w14:paraId="7C3320B8" w14:textId="77777777" w:rsidR="003F42D3" w:rsidRPr="00C501E3" w:rsidRDefault="003F42D3" w:rsidP="003260B5">
            <w:pPr>
              <w:rPr>
                <w:sz w:val="18"/>
                <w:szCs w:val="18"/>
                <w:lang w:val="en-GB"/>
              </w:rPr>
            </w:pPr>
          </w:p>
        </w:tc>
        <w:tc>
          <w:tcPr>
            <w:tcW w:w="794" w:type="pct"/>
          </w:tcPr>
          <w:p w14:paraId="7C3320B9" w14:textId="77777777" w:rsidR="003F42D3" w:rsidRPr="00C501E3" w:rsidRDefault="00016F29" w:rsidP="003260B5">
            <w:pPr>
              <w:keepNext/>
              <w:rPr>
                <w:sz w:val="18"/>
                <w:szCs w:val="18"/>
                <w:lang w:val="en-GB"/>
              </w:rPr>
            </w:pPr>
            <w:r w:rsidRPr="00C501E3">
              <w:rPr>
                <w:sz w:val="18"/>
                <w:szCs w:val="18"/>
                <w:lang w:val="en-GB"/>
              </w:rPr>
              <w:t>Bronchospasm</w:t>
            </w:r>
            <w:r w:rsidRPr="00C501E3">
              <w:rPr>
                <w:snapToGrid w:val="0"/>
                <w:sz w:val="18"/>
                <w:szCs w:val="18"/>
                <w:vertAlign w:val="superscript"/>
                <w:lang w:val="en-GB" w:eastAsia="en-US"/>
              </w:rPr>
              <w:t>4</w:t>
            </w:r>
            <w:r w:rsidRPr="00C501E3">
              <w:rPr>
                <w:sz w:val="18"/>
                <w:szCs w:val="18"/>
                <w:lang w:val="en-GB"/>
              </w:rPr>
              <w:t>, respiratory disease, chest pain, dyspnoea, increased cough, rhinitis</w:t>
            </w:r>
          </w:p>
        </w:tc>
        <w:tc>
          <w:tcPr>
            <w:tcW w:w="674" w:type="pct"/>
          </w:tcPr>
          <w:p w14:paraId="7C3320BA" w14:textId="77777777" w:rsidR="003F42D3" w:rsidRPr="00C501E3" w:rsidRDefault="00016F29" w:rsidP="003260B5">
            <w:pPr>
              <w:rPr>
                <w:sz w:val="18"/>
                <w:szCs w:val="18"/>
                <w:lang w:val="en-GB"/>
              </w:rPr>
            </w:pPr>
            <w:r w:rsidRPr="00C501E3">
              <w:rPr>
                <w:sz w:val="18"/>
                <w:szCs w:val="18"/>
                <w:lang w:val="en-GB"/>
              </w:rPr>
              <w:t>asthma, bronchiolitis obliterans, lung disorder, hypoxia</w:t>
            </w:r>
          </w:p>
        </w:tc>
        <w:tc>
          <w:tcPr>
            <w:tcW w:w="674" w:type="pct"/>
          </w:tcPr>
          <w:p w14:paraId="7C3320BB" w14:textId="77777777" w:rsidR="003F42D3" w:rsidRPr="00C501E3" w:rsidRDefault="00016F29" w:rsidP="003260B5">
            <w:pPr>
              <w:rPr>
                <w:snapToGrid w:val="0"/>
                <w:sz w:val="18"/>
                <w:szCs w:val="18"/>
                <w:lang w:val="en-GB" w:eastAsia="en-US"/>
              </w:rPr>
            </w:pPr>
            <w:r w:rsidRPr="00C501E3">
              <w:rPr>
                <w:snapToGrid w:val="0"/>
                <w:sz w:val="18"/>
                <w:szCs w:val="18"/>
                <w:lang w:val="en-GB" w:eastAsia="en-US"/>
              </w:rPr>
              <w:t>interstitial lung disease</w:t>
            </w:r>
            <w:r w:rsidRPr="00C501E3">
              <w:rPr>
                <w:snapToGrid w:val="0"/>
                <w:sz w:val="18"/>
                <w:szCs w:val="18"/>
                <w:vertAlign w:val="superscript"/>
                <w:lang w:val="en-GB" w:eastAsia="en-US"/>
              </w:rPr>
              <w:t>7</w:t>
            </w:r>
          </w:p>
        </w:tc>
        <w:tc>
          <w:tcPr>
            <w:tcW w:w="675" w:type="pct"/>
          </w:tcPr>
          <w:p w14:paraId="7C3320BC" w14:textId="77777777" w:rsidR="003F42D3" w:rsidRPr="00C501E3" w:rsidRDefault="00016F29" w:rsidP="003260B5">
            <w:pPr>
              <w:rPr>
                <w:snapToGrid w:val="0"/>
                <w:sz w:val="18"/>
                <w:szCs w:val="18"/>
                <w:lang w:val="en-GB" w:eastAsia="en-US"/>
              </w:rPr>
            </w:pPr>
            <w:r w:rsidRPr="00C501E3">
              <w:rPr>
                <w:snapToGrid w:val="0"/>
                <w:sz w:val="18"/>
                <w:szCs w:val="18"/>
                <w:lang w:val="en-GB" w:eastAsia="en-US"/>
              </w:rPr>
              <w:t>respiratory failure</w:t>
            </w:r>
            <w:r w:rsidRPr="00C501E3">
              <w:rPr>
                <w:snapToGrid w:val="0"/>
                <w:sz w:val="18"/>
                <w:szCs w:val="18"/>
                <w:vertAlign w:val="superscript"/>
                <w:lang w:val="en-GB" w:eastAsia="en-US"/>
              </w:rPr>
              <w:t>4</w:t>
            </w:r>
            <w:r w:rsidRPr="00C501E3">
              <w:rPr>
                <w:snapToGrid w:val="0"/>
                <w:sz w:val="18"/>
                <w:szCs w:val="18"/>
                <w:lang w:val="en-GB" w:eastAsia="en-US"/>
              </w:rPr>
              <w:t>,</w:t>
            </w:r>
          </w:p>
          <w:p w14:paraId="7C3320BD" w14:textId="77777777" w:rsidR="003F42D3" w:rsidRPr="00C501E3" w:rsidRDefault="003F42D3" w:rsidP="003260B5">
            <w:pPr>
              <w:rPr>
                <w:snapToGrid w:val="0"/>
                <w:sz w:val="18"/>
                <w:szCs w:val="18"/>
                <w:lang w:val="en-GB" w:eastAsia="en-US"/>
              </w:rPr>
            </w:pPr>
          </w:p>
        </w:tc>
        <w:tc>
          <w:tcPr>
            <w:tcW w:w="823" w:type="pct"/>
          </w:tcPr>
          <w:p w14:paraId="7C3320BE" w14:textId="77777777" w:rsidR="003F42D3" w:rsidRPr="00C501E3" w:rsidRDefault="00016F29" w:rsidP="003260B5">
            <w:pPr>
              <w:rPr>
                <w:sz w:val="18"/>
                <w:szCs w:val="18"/>
                <w:lang w:val="en-GB"/>
              </w:rPr>
            </w:pPr>
            <w:r w:rsidRPr="00C501E3">
              <w:rPr>
                <w:sz w:val="18"/>
                <w:szCs w:val="18"/>
                <w:lang w:val="en-GB"/>
              </w:rPr>
              <w:t>lung infiltration</w:t>
            </w:r>
            <w:r w:rsidRPr="00C501E3">
              <w:rPr>
                <w:snapToGrid w:val="0"/>
                <w:sz w:val="18"/>
                <w:szCs w:val="18"/>
                <w:lang w:val="en-GB" w:eastAsia="en-US"/>
              </w:rPr>
              <w:t xml:space="preserve">, </w:t>
            </w:r>
          </w:p>
        </w:tc>
      </w:tr>
      <w:tr w:rsidR="003A788B" w14:paraId="7C3320C7" w14:textId="77777777" w:rsidTr="003260B5">
        <w:trPr>
          <w:cantSplit/>
        </w:trPr>
        <w:tc>
          <w:tcPr>
            <w:tcW w:w="731" w:type="pct"/>
          </w:tcPr>
          <w:p w14:paraId="7C3320C0" w14:textId="77777777" w:rsidR="003F42D3" w:rsidRPr="00C501E3" w:rsidRDefault="00016F29" w:rsidP="003260B5">
            <w:pPr>
              <w:rPr>
                <w:b/>
                <w:sz w:val="18"/>
                <w:szCs w:val="18"/>
                <w:lang w:val="en-GB"/>
              </w:rPr>
            </w:pPr>
            <w:r w:rsidRPr="00C501E3">
              <w:rPr>
                <w:b/>
                <w:sz w:val="18"/>
                <w:szCs w:val="18"/>
                <w:lang w:val="en-GB"/>
              </w:rPr>
              <w:t>Gastrointestinal disorders</w:t>
            </w:r>
          </w:p>
        </w:tc>
        <w:tc>
          <w:tcPr>
            <w:tcW w:w="628" w:type="pct"/>
          </w:tcPr>
          <w:p w14:paraId="7C3320C1" w14:textId="77777777" w:rsidR="003F42D3" w:rsidRPr="00C501E3" w:rsidRDefault="00016F29" w:rsidP="003260B5">
            <w:pPr>
              <w:keepNext/>
              <w:rPr>
                <w:sz w:val="18"/>
                <w:szCs w:val="18"/>
                <w:lang w:val="en-GB"/>
              </w:rPr>
            </w:pPr>
            <w:r w:rsidRPr="00C501E3">
              <w:rPr>
                <w:sz w:val="18"/>
                <w:szCs w:val="18"/>
                <w:lang w:val="en-GB"/>
              </w:rPr>
              <w:t>nausea</w:t>
            </w:r>
            <w:r w:rsidRPr="00C501E3">
              <w:rPr>
                <w:sz w:val="18"/>
                <w:szCs w:val="18"/>
                <w:vertAlign w:val="superscript"/>
                <w:lang w:val="en-GB"/>
              </w:rPr>
              <w:t xml:space="preserve"> </w:t>
            </w:r>
          </w:p>
        </w:tc>
        <w:tc>
          <w:tcPr>
            <w:tcW w:w="794" w:type="pct"/>
          </w:tcPr>
          <w:p w14:paraId="7C3320C2" w14:textId="77777777" w:rsidR="003F42D3" w:rsidRPr="00C501E3" w:rsidRDefault="00016F29" w:rsidP="003260B5">
            <w:pPr>
              <w:keepNext/>
              <w:rPr>
                <w:sz w:val="18"/>
                <w:szCs w:val="18"/>
                <w:lang w:val="en-GB"/>
              </w:rPr>
            </w:pPr>
            <w:r w:rsidRPr="00C501E3">
              <w:rPr>
                <w:sz w:val="18"/>
                <w:szCs w:val="18"/>
                <w:lang w:val="en-GB"/>
              </w:rPr>
              <w:t>vomiting</w:t>
            </w:r>
            <w:r w:rsidRPr="00C501E3">
              <w:rPr>
                <w:sz w:val="18"/>
                <w:szCs w:val="18"/>
                <w:vertAlign w:val="superscript"/>
                <w:lang w:val="en-GB"/>
              </w:rPr>
              <w:t xml:space="preserve"> </w:t>
            </w:r>
            <w:r w:rsidRPr="00C501E3">
              <w:rPr>
                <w:sz w:val="18"/>
                <w:szCs w:val="18"/>
                <w:lang w:val="en-GB"/>
              </w:rPr>
              <w:t>, diarrhoea, abdominal pain, dysphagia, stomatitis, constipation, dyspepsia, anorexia, throat irritation</w:t>
            </w:r>
          </w:p>
        </w:tc>
        <w:tc>
          <w:tcPr>
            <w:tcW w:w="674" w:type="pct"/>
          </w:tcPr>
          <w:p w14:paraId="7C3320C3" w14:textId="77777777" w:rsidR="003F42D3" w:rsidRPr="00C501E3" w:rsidRDefault="00016F29" w:rsidP="003260B5">
            <w:pPr>
              <w:rPr>
                <w:sz w:val="18"/>
                <w:szCs w:val="18"/>
                <w:lang w:val="en-GB"/>
              </w:rPr>
            </w:pPr>
            <w:r w:rsidRPr="00C501E3">
              <w:rPr>
                <w:sz w:val="18"/>
                <w:szCs w:val="18"/>
                <w:lang w:val="en-GB"/>
              </w:rPr>
              <w:t>abdominal enlargement</w:t>
            </w:r>
          </w:p>
        </w:tc>
        <w:tc>
          <w:tcPr>
            <w:tcW w:w="674" w:type="pct"/>
          </w:tcPr>
          <w:p w14:paraId="7C3320C4" w14:textId="77777777" w:rsidR="003F42D3" w:rsidRPr="00C501E3" w:rsidRDefault="003F42D3" w:rsidP="003260B5">
            <w:pPr>
              <w:rPr>
                <w:snapToGrid w:val="0"/>
                <w:sz w:val="18"/>
                <w:szCs w:val="18"/>
                <w:lang w:val="en-GB" w:eastAsia="en-US"/>
              </w:rPr>
            </w:pPr>
          </w:p>
        </w:tc>
        <w:tc>
          <w:tcPr>
            <w:tcW w:w="675" w:type="pct"/>
          </w:tcPr>
          <w:p w14:paraId="7C3320C5" w14:textId="77777777" w:rsidR="003F42D3" w:rsidRPr="00A41743" w:rsidRDefault="00016F29" w:rsidP="003260B5">
            <w:pPr>
              <w:rPr>
                <w:snapToGrid w:val="0"/>
                <w:sz w:val="18"/>
                <w:szCs w:val="18"/>
                <w:lang w:val="en-GB" w:eastAsia="en-US"/>
              </w:rPr>
            </w:pPr>
            <w:r w:rsidRPr="00A41743">
              <w:rPr>
                <w:snapToGrid w:val="0"/>
                <w:sz w:val="18"/>
                <w:szCs w:val="18"/>
                <w:lang w:val="en-GB" w:eastAsia="en-US"/>
              </w:rPr>
              <w:t>gastro</w:t>
            </w:r>
            <w:r w:rsidR="000A6DDA" w:rsidRPr="00A41743">
              <w:rPr>
                <w:snapToGrid w:val="0"/>
                <w:sz w:val="18"/>
                <w:szCs w:val="18"/>
                <w:lang w:val="en-GB" w:eastAsia="en-US"/>
              </w:rPr>
              <w:noBreakHyphen/>
            </w:r>
            <w:r w:rsidRPr="00A41743">
              <w:rPr>
                <w:snapToGrid w:val="0"/>
                <w:sz w:val="18"/>
                <w:szCs w:val="18"/>
                <w:lang w:val="en-GB" w:eastAsia="en-US"/>
              </w:rPr>
              <w:t>intestinal perforation</w:t>
            </w:r>
            <w:r w:rsidRPr="00A41743">
              <w:rPr>
                <w:snapToGrid w:val="0"/>
                <w:sz w:val="18"/>
                <w:szCs w:val="18"/>
                <w:vertAlign w:val="superscript"/>
                <w:lang w:val="en-GB" w:eastAsia="en-US"/>
              </w:rPr>
              <w:t>7</w:t>
            </w:r>
          </w:p>
        </w:tc>
        <w:tc>
          <w:tcPr>
            <w:tcW w:w="823" w:type="pct"/>
          </w:tcPr>
          <w:p w14:paraId="7C3320C6" w14:textId="77777777" w:rsidR="003F42D3" w:rsidRPr="00C501E3" w:rsidRDefault="003F42D3" w:rsidP="003260B5">
            <w:pPr>
              <w:rPr>
                <w:sz w:val="18"/>
                <w:szCs w:val="18"/>
                <w:lang w:val="en-GB"/>
              </w:rPr>
            </w:pPr>
          </w:p>
        </w:tc>
      </w:tr>
      <w:tr w:rsidR="003A788B" w14:paraId="7C3320D1" w14:textId="77777777" w:rsidTr="003260B5">
        <w:trPr>
          <w:cantSplit/>
        </w:trPr>
        <w:tc>
          <w:tcPr>
            <w:tcW w:w="731" w:type="pct"/>
          </w:tcPr>
          <w:p w14:paraId="7C3320C8" w14:textId="77777777" w:rsidR="003F42D3" w:rsidRPr="00C501E3" w:rsidRDefault="00016F29" w:rsidP="003260B5">
            <w:pPr>
              <w:rPr>
                <w:b/>
                <w:sz w:val="18"/>
                <w:szCs w:val="18"/>
                <w:lang w:val="en-GB"/>
              </w:rPr>
            </w:pPr>
            <w:r w:rsidRPr="00C501E3">
              <w:rPr>
                <w:b/>
                <w:sz w:val="18"/>
                <w:szCs w:val="18"/>
                <w:lang w:val="en-GB"/>
              </w:rPr>
              <w:t>Skin and subcutaneous tissue disorders</w:t>
            </w:r>
          </w:p>
        </w:tc>
        <w:tc>
          <w:tcPr>
            <w:tcW w:w="628" w:type="pct"/>
          </w:tcPr>
          <w:p w14:paraId="7C3320C9" w14:textId="77777777" w:rsidR="003F42D3" w:rsidRPr="00C501E3" w:rsidRDefault="00016F29" w:rsidP="003260B5">
            <w:pPr>
              <w:rPr>
                <w:sz w:val="18"/>
                <w:szCs w:val="18"/>
                <w:lang w:val="en-GB"/>
              </w:rPr>
            </w:pPr>
            <w:r w:rsidRPr="00C501E3">
              <w:rPr>
                <w:sz w:val="18"/>
                <w:szCs w:val="18"/>
                <w:lang w:val="en-GB"/>
              </w:rPr>
              <w:t xml:space="preserve">pruritis, rash, </w:t>
            </w:r>
            <w:r w:rsidRPr="00C501E3">
              <w:rPr>
                <w:sz w:val="18"/>
                <w:szCs w:val="18"/>
                <w:vertAlign w:val="superscript"/>
                <w:lang w:val="en-GB"/>
              </w:rPr>
              <w:t>+</w:t>
            </w:r>
            <w:r w:rsidRPr="00C501E3">
              <w:rPr>
                <w:sz w:val="18"/>
                <w:szCs w:val="18"/>
                <w:lang w:val="en-GB"/>
              </w:rPr>
              <w:t>alopecia</w:t>
            </w:r>
            <w:r w:rsidRPr="00C501E3">
              <w:rPr>
                <w:sz w:val="18"/>
                <w:szCs w:val="18"/>
                <w:vertAlign w:val="superscript"/>
                <w:lang w:val="en-GB"/>
              </w:rPr>
              <w:t xml:space="preserve"> </w:t>
            </w:r>
          </w:p>
        </w:tc>
        <w:tc>
          <w:tcPr>
            <w:tcW w:w="794" w:type="pct"/>
          </w:tcPr>
          <w:p w14:paraId="7C3320CA" w14:textId="77777777" w:rsidR="003F42D3" w:rsidRPr="00C501E3" w:rsidRDefault="00016F29" w:rsidP="003260B5">
            <w:pPr>
              <w:rPr>
                <w:sz w:val="18"/>
                <w:szCs w:val="18"/>
                <w:lang w:val="en-GB"/>
              </w:rPr>
            </w:pPr>
            <w:r w:rsidRPr="00C501E3">
              <w:rPr>
                <w:sz w:val="18"/>
                <w:szCs w:val="18"/>
                <w:lang w:val="en-GB"/>
              </w:rPr>
              <w:t xml:space="preserve">urticaria, sweating, night sweats, </w:t>
            </w:r>
            <w:r w:rsidRPr="00C501E3">
              <w:rPr>
                <w:sz w:val="18"/>
                <w:szCs w:val="18"/>
                <w:vertAlign w:val="superscript"/>
                <w:lang w:val="en-GB"/>
              </w:rPr>
              <w:t>+</w:t>
            </w:r>
            <w:r w:rsidRPr="00C501E3">
              <w:rPr>
                <w:sz w:val="18"/>
                <w:szCs w:val="18"/>
                <w:lang w:val="en-GB"/>
              </w:rPr>
              <w:t>skin disorder</w:t>
            </w:r>
          </w:p>
        </w:tc>
        <w:tc>
          <w:tcPr>
            <w:tcW w:w="674" w:type="pct"/>
          </w:tcPr>
          <w:p w14:paraId="7C3320CB" w14:textId="77777777" w:rsidR="003F42D3" w:rsidRPr="00C501E3" w:rsidRDefault="003F42D3" w:rsidP="003260B5">
            <w:pPr>
              <w:rPr>
                <w:sz w:val="18"/>
                <w:szCs w:val="18"/>
                <w:lang w:val="en-GB"/>
              </w:rPr>
            </w:pPr>
          </w:p>
        </w:tc>
        <w:tc>
          <w:tcPr>
            <w:tcW w:w="674" w:type="pct"/>
          </w:tcPr>
          <w:p w14:paraId="7C3320CC" w14:textId="77777777" w:rsidR="003F42D3" w:rsidRPr="00C501E3" w:rsidRDefault="003F42D3" w:rsidP="003260B5">
            <w:pPr>
              <w:rPr>
                <w:snapToGrid w:val="0"/>
                <w:sz w:val="18"/>
                <w:szCs w:val="18"/>
                <w:lang w:val="en-GB" w:eastAsia="en-US"/>
              </w:rPr>
            </w:pPr>
          </w:p>
        </w:tc>
        <w:tc>
          <w:tcPr>
            <w:tcW w:w="675" w:type="pct"/>
          </w:tcPr>
          <w:p w14:paraId="7C3320CD" w14:textId="77777777" w:rsidR="003F42D3" w:rsidRPr="00A41743" w:rsidRDefault="00016F29" w:rsidP="003260B5">
            <w:pPr>
              <w:rPr>
                <w:snapToGrid w:val="0"/>
                <w:sz w:val="18"/>
                <w:szCs w:val="18"/>
                <w:lang w:val="en-GB" w:eastAsia="en-US"/>
              </w:rPr>
            </w:pPr>
            <w:r w:rsidRPr="00A41743">
              <w:rPr>
                <w:snapToGrid w:val="0"/>
                <w:sz w:val="18"/>
                <w:szCs w:val="18"/>
                <w:lang w:val="en-GB" w:eastAsia="en-US"/>
              </w:rPr>
              <w:t>severe bullous skin reactions,</w:t>
            </w:r>
          </w:p>
          <w:p w14:paraId="7C3320CE" w14:textId="77777777" w:rsidR="003F42D3" w:rsidRPr="00A41743" w:rsidRDefault="00016F29" w:rsidP="003260B5">
            <w:pPr>
              <w:rPr>
                <w:snapToGrid w:val="0"/>
                <w:sz w:val="18"/>
                <w:szCs w:val="18"/>
                <w:lang w:val="en-GB" w:eastAsia="en-US"/>
              </w:rPr>
            </w:pPr>
            <w:r w:rsidRPr="00A41743">
              <w:rPr>
                <w:iCs/>
                <w:snapToGrid w:val="0"/>
                <w:sz w:val="18"/>
                <w:szCs w:val="18"/>
                <w:lang w:val="en-GB" w:eastAsia="en-US"/>
              </w:rPr>
              <w:t>Stevens</w:t>
            </w:r>
            <w:r w:rsidR="000A6DDA" w:rsidRPr="00A41743">
              <w:rPr>
                <w:iCs/>
                <w:snapToGrid w:val="0"/>
                <w:sz w:val="18"/>
                <w:szCs w:val="18"/>
                <w:lang w:val="en-GB" w:eastAsia="en-US"/>
              </w:rPr>
              <w:noBreakHyphen/>
            </w:r>
            <w:r w:rsidRPr="00A41743">
              <w:rPr>
                <w:iCs/>
                <w:snapToGrid w:val="0"/>
                <w:sz w:val="18"/>
                <w:szCs w:val="18"/>
                <w:lang w:val="en-GB" w:eastAsia="en-US"/>
              </w:rPr>
              <w:t>Johnson Syndrome</w:t>
            </w:r>
            <w:r w:rsidR="00153E10">
              <w:rPr>
                <w:iCs/>
                <w:snapToGrid w:val="0"/>
                <w:sz w:val="18"/>
                <w:szCs w:val="18"/>
                <w:lang w:val="en-GB" w:eastAsia="en-US"/>
              </w:rPr>
              <w:t>,</w:t>
            </w:r>
          </w:p>
          <w:p w14:paraId="7C3320CF" w14:textId="77777777" w:rsidR="003F42D3" w:rsidRPr="00A41743" w:rsidRDefault="00016F29" w:rsidP="003260B5">
            <w:pPr>
              <w:rPr>
                <w:snapToGrid w:val="0"/>
                <w:sz w:val="18"/>
                <w:szCs w:val="18"/>
                <w:lang w:val="en-GB" w:eastAsia="en-US"/>
              </w:rPr>
            </w:pPr>
            <w:r w:rsidRPr="00A41743">
              <w:rPr>
                <w:snapToGrid w:val="0"/>
                <w:sz w:val="18"/>
                <w:szCs w:val="18"/>
                <w:lang w:val="en-GB" w:eastAsia="en-US"/>
              </w:rPr>
              <w:t xml:space="preserve">toxic epidermal necrolysis </w:t>
            </w:r>
            <w:r w:rsidRPr="00A41743">
              <w:rPr>
                <w:iCs/>
                <w:snapToGrid w:val="0"/>
                <w:sz w:val="18"/>
                <w:szCs w:val="18"/>
                <w:lang w:val="en-GB" w:eastAsia="en-US"/>
              </w:rPr>
              <w:t>(Lyell’s Syndrome)</w:t>
            </w:r>
            <w:r w:rsidRPr="00A41743">
              <w:rPr>
                <w:snapToGrid w:val="0"/>
                <w:sz w:val="18"/>
                <w:szCs w:val="18"/>
                <w:vertAlign w:val="superscript"/>
                <w:lang w:val="en-GB" w:eastAsia="en-US"/>
              </w:rPr>
              <w:t xml:space="preserve"> 7</w:t>
            </w:r>
          </w:p>
        </w:tc>
        <w:tc>
          <w:tcPr>
            <w:tcW w:w="823" w:type="pct"/>
          </w:tcPr>
          <w:p w14:paraId="7C3320D0" w14:textId="77777777" w:rsidR="003F42D3" w:rsidRPr="00C501E3" w:rsidRDefault="003F42D3" w:rsidP="003260B5">
            <w:pPr>
              <w:rPr>
                <w:sz w:val="18"/>
                <w:szCs w:val="18"/>
                <w:lang w:val="en-GB"/>
              </w:rPr>
            </w:pPr>
          </w:p>
        </w:tc>
      </w:tr>
      <w:tr w:rsidR="003A788B" w14:paraId="7C3320D9" w14:textId="77777777" w:rsidTr="003260B5">
        <w:trPr>
          <w:cantSplit/>
        </w:trPr>
        <w:tc>
          <w:tcPr>
            <w:tcW w:w="731" w:type="pct"/>
          </w:tcPr>
          <w:p w14:paraId="7C3320D2" w14:textId="77777777" w:rsidR="003F42D3" w:rsidRPr="00C501E3" w:rsidRDefault="00016F29" w:rsidP="003260B5">
            <w:pPr>
              <w:rPr>
                <w:sz w:val="18"/>
                <w:szCs w:val="18"/>
                <w:lang w:val="en-GB"/>
              </w:rPr>
            </w:pPr>
            <w:r w:rsidRPr="00C501E3">
              <w:rPr>
                <w:b/>
                <w:sz w:val="18"/>
                <w:szCs w:val="18"/>
                <w:lang w:val="en-GB"/>
              </w:rPr>
              <w:t>Musculoskeletal, connective tissue disorders</w:t>
            </w:r>
          </w:p>
        </w:tc>
        <w:tc>
          <w:tcPr>
            <w:tcW w:w="628" w:type="pct"/>
          </w:tcPr>
          <w:p w14:paraId="7C3320D3" w14:textId="77777777" w:rsidR="003F42D3" w:rsidRPr="00C501E3" w:rsidRDefault="003F42D3" w:rsidP="003260B5">
            <w:pPr>
              <w:rPr>
                <w:sz w:val="18"/>
                <w:szCs w:val="18"/>
                <w:lang w:val="en-GB"/>
              </w:rPr>
            </w:pPr>
          </w:p>
        </w:tc>
        <w:tc>
          <w:tcPr>
            <w:tcW w:w="794" w:type="pct"/>
          </w:tcPr>
          <w:p w14:paraId="7C3320D4" w14:textId="77777777" w:rsidR="003F42D3" w:rsidRPr="00C501E3" w:rsidRDefault="00016F29" w:rsidP="003260B5">
            <w:pPr>
              <w:keepNext/>
              <w:rPr>
                <w:sz w:val="18"/>
                <w:szCs w:val="18"/>
                <w:lang w:val="en-GB"/>
              </w:rPr>
            </w:pPr>
            <w:r w:rsidRPr="00C501E3">
              <w:rPr>
                <w:sz w:val="18"/>
                <w:szCs w:val="18"/>
                <w:lang w:val="en-GB"/>
              </w:rPr>
              <w:t>hypertonia, myalgia, arthralgia, back pain, neck pain, pain</w:t>
            </w:r>
          </w:p>
        </w:tc>
        <w:tc>
          <w:tcPr>
            <w:tcW w:w="674" w:type="pct"/>
          </w:tcPr>
          <w:p w14:paraId="7C3320D5" w14:textId="77777777" w:rsidR="003F42D3" w:rsidRPr="00C501E3" w:rsidRDefault="003F42D3" w:rsidP="003260B5">
            <w:pPr>
              <w:rPr>
                <w:b/>
                <w:sz w:val="18"/>
                <w:szCs w:val="18"/>
                <w:lang w:val="en-GB"/>
              </w:rPr>
            </w:pPr>
          </w:p>
        </w:tc>
        <w:tc>
          <w:tcPr>
            <w:tcW w:w="674" w:type="pct"/>
          </w:tcPr>
          <w:p w14:paraId="7C3320D6" w14:textId="77777777" w:rsidR="003F42D3" w:rsidRPr="00C501E3" w:rsidRDefault="003F42D3" w:rsidP="003260B5">
            <w:pPr>
              <w:rPr>
                <w:b/>
                <w:sz w:val="18"/>
                <w:szCs w:val="18"/>
                <w:lang w:val="en-GB"/>
              </w:rPr>
            </w:pPr>
          </w:p>
        </w:tc>
        <w:tc>
          <w:tcPr>
            <w:tcW w:w="675" w:type="pct"/>
          </w:tcPr>
          <w:p w14:paraId="7C3320D7" w14:textId="77777777" w:rsidR="003F42D3" w:rsidRPr="00C501E3" w:rsidRDefault="003F42D3" w:rsidP="003260B5">
            <w:pPr>
              <w:rPr>
                <w:b/>
                <w:sz w:val="18"/>
                <w:szCs w:val="18"/>
                <w:lang w:val="en-GB"/>
              </w:rPr>
            </w:pPr>
          </w:p>
        </w:tc>
        <w:tc>
          <w:tcPr>
            <w:tcW w:w="823" w:type="pct"/>
          </w:tcPr>
          <w:p w14:paraId="7C3320D8" w14:textId="77777777" w:rsidR="003F42D3" w:rsidRPr="00C501E3" w:rsidRDefault="003F42D3" w:rsidP="003260B5">
            <w:pPr>
              <w:rPr>
                <w:b/>
                <w:sz w:val="18"/>
                <w:szCs w:val="18"/>
                <w:lang w:val="en-GB"/>
              </w:rPr>
            </w:pPr>
          </w:p>
        </w:tc>
      </w:tr>
      <w:tr w:rsidR="003A788B" w14:paraId="7C3320E1" w14:textId="77777777" w:rsidTr="003260B5">
        <w:trPr>
          <w:cantSplit/>
        </w:trPr>
        <w:tc>
          <w:tcPr>
            <w:tcW w:w="731" w:type="pct"/>
          </w:tcPr>
          <w:p w14:paraId="7C3320DA" w14:textId="77777777" w:rsidR="003F42D3" w:rsidRPr="00C501E3" w:rsidRDefault="00016F29" w:rsidP="003260B5">
            <w:pPr>
              <w:rPr>
                <w:b/>
                <w:sz w:val="18"/>
                <w:szCs w:val="18"/>
                <w:lang w:val="en-GB"/>
              </w:rPr>
            </w:pPr>
            <w:r w:rsidRPr="00C501E3">
              <w:rPr>
                <w:b/>
                <w:sz w:val="18"/>
                <w:szCs w:val="18"/>
                <w:lang w:val="en-GB"/>
              </w:rPr>
              <w:t>Renal and urinary disorders</w:t>
            </w:r>
          </w:p>
        </w:tc>
        <w:tc>
          <w:tcPr>
            <w:tcW w:w="628" w:type="pct"/>
          </w:tcPr>
          <w:p w14:paraId="7C3320DB" w14:textId="77777777" w:rsidR="003F42D3" w:rsidRPr="00C501E3" w:rsidRDefault="003F42D3" w:rsidP="003260B5">
            <w:pPr>
              <w:rPr>
                <w:sz w:val="18"/>
                <w:szCs w:val="18"/>
                <w:lang w:val="en-GB"/>
              </w:rPr>
            </w:pPr>
          </w:p>
        </w:tc>
        <w:tc>
          <w:tcPr>
            <w:tcW w:w="794" w:type="pct"/>
          </w:tcPr>
          <w:p w14:paraId="7C3320DC" w14:textId="77777777" w:rsidR="003F42D3" w:rsidRPr="00C501E3" w:rsidRDefault="003F42D3" w:rsidP="003260B5">
            <w:pPr>
              <w:keepNext/>
              <w:rPr>
                <w:sz w:val="18"/>
                <w:szCs w:val="18"/>
                <w:lang w:val="en-GB"/>
              </w:rPr>
            </w:pPr>
          </w:p>
        </w:tc>
        <w:tc>
          <w:tcPr>
            <w:tcW w:w="674" w:type="pct"/>
          </w:tcPr>
          <w:p w14:paraId="7C3320DD" w14:textId="77777777" w:rsidR="003F42D3" w:rsidRPr="00C501E3" w:rsidRDefault="003F42D3" w:rsidP="003260B5">
            <w:pPr>
              <w:rPr>
                <w:b/>
                <w:sz w:val="18"/>
                <w:szCs w:val="18"/>
                <w:lang w:val="en-GB"/>
              </w:rPr>
            </w:pPr>
          </w:p>
        </w:tc>
        <w:tc>
          <w:tcPr>
            <w:tcW w:w="674" w:type="pct"/>
          </w:tcPr>
          <w:p w14:paraId="7C3320DE" w14:textId="77777777" w:rsidR="003F42D3" w:rsidRPr="00C501E3" w:rsidRDefault="003F42D3" w:rsidP="003260B5">
            <w:pPr>
              <w:rPr>
                <w:snapToGrid w:val="0"/>
                <w:sz w:val="18"/>
                <w:szCs w:val="18"/>
                <w:lang w:val="en-GB" w:eastAsia="en-US"/>
              </w:rPr>
            </w:pPr>
          </w:p>
        </w:tc>
        <w:tc>
          <w:tcPr>
            <w:tcW w:w="675" w:type="pct"/>
          </w:tcPr>
          <w:p w14:paraId="7C3320DF" w14:textId="77777777" w:rsidR="003F42D3" w:rsidRPr="00C501E3" w:rsidRDefault="00016F29" w:rsidP="003260B5">
            <w:pPr>
              <w:rPr>
                <w:snapToGrid w:val="0"/>
                <w:sz w:val="18"/>
                <w:szCs w:val="18"/>
                <w:lang w:val="en-GB" w:eastAsia="en-US"/>
              </w:rPr>
            </w:pPr>
            <w:r w:rsidRPr="00C501E3">
              <w:rPr>
                <w:snapToGrid w:val="0"/>
                <w:sz w:val="18"/>
                <w:szCs w:val="18"/>
                <w:lang w:val="en-GB" w:eastAsia="en-US"/>
              </w:rPr>
              <w:t>renal failure</w:t>
            </w:r>
            <w:r w:rsidRPr="00C501E3">
              <w:rPr>
                <w:snapToGrid w:val="0"/>
                <w:sz w:val="18"/>
                <w:szCs w:val="18"/>
                <w:vertAlign w:val="superscript"/>
                <w:lang w:val="en-GB" w:eastAsia="en-US"/>
              </w:rPr>
              <w:t>4</w:t>
            </w:r>
          </w:p>
        </w:tc>
        <w:tc>
          <w:tcPr>
            <w:tcW w:w="823" w:type="pct"/>
          </w:tcPr>
          <w:p w14:paraId="7C3320E0" w14:textId="77777777" w:rsidR="003F42D3" w:rsidRPr="00C501E3" w:rsidRDefault="003F42D3" w:rsidP="003260B5">
            <w:pPr>
              <w:rPr>
                <w:b/>
                <w:sz w:val="18"/>
                <w:szCs w:val="18"/>
                <w:lang w:val="en-GB"/>
              </w:rPr>
            </w:pPr>
          </w:p>
        </w:tc>
      </w:tr>
      <w:tr w:rsidR="003A788B" w14:paraId="7C3320EA" w14:textId="77777777" w:rsidTr="003260B5">
        <w:trPr>
          <w:cantSplit/>
        </w:trPr>
        <w:tc>
          <w:tcPr>
            <w:tcW w:w="731" w:type="pct"/>
          </w:tcPr>
          <w:p w14:paraId="7C3320E2" w14:textId="77777777" w:rsidR="003F42D3" w:rsidRPr="00C501E3" w:rsidRDefault="00016F29" w:rsidP="003260B5">
            <w:pPr>
              <w:rPr>
                <w:sz w:val="18"/>
                <w:szCs w:val="18"/>
                <w:lang w:val="en-GB"/>
              </w:rPr>
            </w:pPr>
            <w:r w:rsidRPr="00C501E3">
              <w:rPr>
                <w:b/>
                <w:sz w:val="18"/>
                <w:szCs w:val="18"/>
                <w:lang w:val="en-GB"/>
              </w:rPr>
              <w:t>General disorders and administration site conditions</w:t>
            </w:r>
          </w:p>
        </w:tc>
        <w:tc>
          <w:tcPr>
            <w:tcW w:w="628" w:type="pct"/>
          </w:tcPr>
          <w:p w14:paraId="7C3320E3" w14:textId="77777777" w:rsidR="003F42D3" w:rsidRPr="00C501E3" w:rsidRDefault="00016F29" w:rsidP="003260B5">
            <w:pPr>
              <w:rPr>
                <w:sz w:val="18"/>
                <w:szCs w:val="18"/>
                <w:lang w:val="en-GB"/>
              </w:rPr>
            </w:pPr>
            <w:r w:rsidRPr="00C501E3">
              <w:rPr>
                <w:sz w:val="18"/>
                <w:szCs w:val="18"/>
                <w:lang w:val="en-GB"/>
              </w:rPr>
              <w:t>fever</w:t>
            </w:r>
            <w:r w:rsidRPr="00C501E3">
              <w:rPr>
                <w:sz w:val="18"/>
                <w:szCs w:val="18"/>
                <w:vertAlign w:val="superscript"/>
                <w:lang w:val="en-GB"/>
              </w:rPr>
              <w:t xml:space="preserve"> </w:t>
            </w:r>
            <w:r w:rsidRPr="00C501E3">
              <w:rPr>
                <w:sz w:val="18"/>
                <w:szCs w:val="18"/>
                <w:lang w:val="en-GB"/>
              </w:rPr>
              <w:t>, chills, asthenia, headache</w:t>
            </w:r>
            <w:r w:rsidRPr="00C501E3">
              <w:rPr>
                <w:sz w:val="18"/>
                <w:szCs w:val="18"/>
                <w:vertAlign w:val="superscript"/>
                <w:lang w:val="en-GB"/>
              </w:rPr>
              <w:t xml:space="preserve"> </w:t>
            </w:r>
          </w:p>
        </w:tc>
        <w:tc>
          <w:tcPr>
            <w:tcW w:w="794" w:type="pct"/>
          </w:tcPr>
          <w:p w14:paraId="7C3320E4" w14:textId="77777777" w:rsidR="003F42D3" w:rsidRPr="007C471A" w:rsidRDefault="00016F29" w:rsidP="003260B5">
            <w:pPr>
              <w:keepNext/>
              <w:rPr>
                <w:sz w:val="18"/>
                <w:szCs w:val="18"/>
                <w:lang w:val="en-GB"/>
              </w:rPr>
            </w:pPr>
            <w:r w:rsidRPr="007C471A">
              <w:rPr>
                <w:sz w:val="18"/>
                <w:szCs w:val="18"/>
                <w:lang w:val="en-GB"/>
              </w:rPr>
              <w:t xml:space="preserve">tumour pain, flushing, malaise, cold syndrome, </w:t>
            </w:r>
            <w:r w:rsidRPr="007C471A">
              <w:rPr>
                <w:sz w:val="18"/>
                <w:szCs w:val="18"/>
                <w:vertAlign w:val="superscript"/>
                <w:lang w:val="en-GB"/>
              </w:rPr>
              <w:t>+</w:t>
            </w:r>
            <w:r w:rsidRPr="007C471A">
              <w:rPr>
                <w:sz w:val="18"/>
                <w:szCs w:val="18"/>
                <w:lang w:val="en-GB"/>
              </w:rPr>
              <w:t xml:space="preserve">fatigue, </w:t>
            </w:r>
            <w:r w:rsidRPr="007C471A">
              <w:rPr>
                <w:sz w:val="18"/>
                <w:szCs w:val="18"/>
                <w:vertAlign w:val="superscript"/>
                <w:lang w:val="en-GB"/>
              </w:rPr>
              <w:t>+</w:t>
            </w:r>
            <w:r w:rsidRPr="007C471A">
              <w:rPr>
                <w:sz w:val="18"/>
                <w:szCs w:val="18"/>
                <w:lang w:val="en-GB"/>
              </w:rPr>
              <w:t xml:space="preserve">shivering, </w:t>
            </w:r>
          </w:p>
          <w:p w14:paraId="7C3320E5" w14:textId="77777777" w:rsidR="003F42D3" w:rsidRPr="007C471A" w:rsidRDefault="00016F29" w:rsidP="003260B5">
            <w:pPr>
              <w:keepNext/>
              <w:rPr>
                <w:sz w:val="18"/>
                <w:szCs w:val="18"/>
                <w:lang w:val="en-GB"/>
              </w:rPr>
            </w:pPr>
            <w:r w:rsidRPr="007C471A">
              <w:rPr>
                <w:sz w:val="18"/>
                <w:szCs w:val="18"/>
                <w:vertAlign w:val="superscript"/>
                <w:lang w:val="en-GB"/>
              </w:rPr>
              <w:t>+</w:t>
            </w:r>
            <w:r w:rsidRPr="007C471A">
              <w:rPr>
                <w:sz w:val="18"/>
                <w:szCs w:val="18"/>
                <w:lang w:val="en-GB"/>
              </w:rPr>
              <w:t>multi</w:t>
            </w:r>
            <w:r w:rsidR="000A6DDA" w:rsidRPr="007C471A">
              <w:rPr>
                <w:sz w:val="18"/>
                <w:szCs w:val="18"/>
                <w:lang w:val="en-GB"/>
              </w:rPr>
              <w:noBreakHyphen/>
            </w:r>
            <w:r w:rsidRPr="007C471A">
              <w:rPr>
                <w:sz w:val="18"/>
                <w:szCs w:val="18"/>
                <w:lang w:val="en-GB"/>
              </w:rPr>
              <w:t>organ failure</w:t>
            </w:r>
            <w:r w:rsidRPr="007C471A">
              <w:rPr>
                <w:snapToGrid w:val="0"/>
                <w:sz w:val="18"/>
                <w:szCs w:val="18"/>
                <w:vertAlign w:val="superscript"/>
                <w:lang w:val="en-GB" w:eastAsia="en-US"/>
              </w:rPr>
              <w:t>4</w:t>
            </w:r>
          </w:p>
        </w:tc>
        <w:tc>
          <w:tcPr>
            <w:tcW w:w="674" w:type="pct"/>
          </w:tcPr>
          <w:p w14:paraId="7C3320E6" w14:textId="77777777" w:rsidR="003F42D3" w:rsidRPr="00C501E3" w:rsidRDefault="00016F29" w:rsidP="003260B5">
            <w:pPr>
              <w:rPr>
                <w:b/>
                <w:sz w:val="18"/>
                <w:szCs w:val="18"/>
                <w:lang w:val="en-GB"/>
              </w:rPr>
            </w:pPr>
            <w:r w:rsidRPr="00C501E3">
              <w:rPr>
                <w:sz w:val="18"/>
                <w:szCs w:val="18"/>
                <w:lang w:val="en-GB"/>
              </w:rPr>
              <w:t>infusion site pain</w:t>
            </w:r>
          </w:p>
        </w:tc>
        <w:tc>
          <w:tcPr>
            <w:tcW w:w="674" w:type="pct"/>
          </w:tcPr>
          <w:p w14:paraId="7C3320E7" w14:textId="77777777" w:rsidR="003F42D3" w:rsidRPr="00C501E3" w:rsidRDefault="003F42D3" w:rsidP="003260B5">
            <w:pPr>
              <w:rPr>
                <w:sz w:val="18"/>
                <w:szCs w:val="18"/>
                <w:lang w:val="en-GB"/>
              </w:rPr>
            </w:pPr>
          </w:p>
        </w:tc>
        <w:tc>
          <w:tcPr>
            <w:tcW w:w="675" w:type="pct"/>
          </w:tcPr>
          <w:p w14:paraId="7C3320E8" w14:textId="77777777" w:rsidR="003F42D3" w:rsidRPr="00C501E3" w:rsidRDefault="003F42D3" w:rsidP="003260B5">
            <w:pPr>
              <w:rPr>
                <w:sz w:val="18"/>
                <w:szCs w:val="18"/>
                <w:lang w:val="en-GB"/>
              </w:rPr>
            </w:pPr>
          </w:p>
        </w:tc>
        <w:tc>
          <w:tcPr>
            <w:tcW w:w="823" w:type="pct"/>
          </w:tcPr>
          <w:p w14:paraId="7C3320E9" w14:textId="77777777" w:rsidR="003F42D3" w:rsidRPr="00C501E3" w:rsidRDefault="003F42D3" w:rsidP="003260B5">
            <w:pPr>
              <w:rPr>
                <w:sz w:val="18"/>
                <w:szCs w:val="18"/>
                <w:lang w:val="en-GB"/>
              </w:rPr>
            </w:pPr>
          </w:p>
        </w:tc>
      </w:tr>
      <w:tr w:rsidR="003A788B" w14:paraId="7C3320F2" w14:textId="77777777" w:rsidTr="003260B5">
        <w:trPr>
          <w:cantSplit/>
        </w:trPr>
        <w:tc>
          <w:tcPr>
            <w:tcW w:w="731" w:type="pct"/>
          </w:tcPr>
          <w:p w14:paraId="7C3320EB" w14:textId="77777777" w:rsidR="003F42D3" w:rsidRPr="00C501E3" w:rsidRDefault="00016F29" w:rsidP="003260B5">
            <w:pPr>
              <w:keepNext/>
              <w:rPr>
                <w:b/>
                <w:sz w:val="18"/>
                <w:szCs w:val="18"/>
                <w:lang w:val="en-GB"/>
              </w:rPr>
            </w:pPr>
            <w:r w:rsidRPr="00C501E3">
              <w:rPr>
                <w:b/>
                <w:sz w:val="18"/>
                <w:szCs w:val="18"/>
                <w:lang w:val="en-GB"/>
              </w:rPr>
              <w:t>Investigations</w:t>
            </w:r>
          </w:p>
        </w:tc>
        <w:tc>
          <w:tcPr>
            <w:tcW w:w="628" w:type="pct"/>
          </w:tcPr>
          <w:p w14:paraId="7C3320EC" w14:textId="77777777" w:rsidR="003F42D3" w:rsidRPr="00C501E3" w:rsidRDefault="00016F29" w:rsidP="003260B5">
            <w:pPr>
              <w:keepNext/>
              <w:rPr>
                <w:sz w:val="18"/>
                <w:szCs w:val="18"/>
                <w:lang w:val="en-GB"/>
              </w:rPr>
            </w:pPr>
            <w:r w:rsidRPr="00C501E3">
              <w:rPr>
                <w:sz w:val="18"/>
                <w:szCs w:val="18"/>
                <w:lang w:val="en-GB"/>
              </w:rPr>
              <w:t>decreased IgG levels</w:t>
            </w:r>
          </w:p>
        </w:tc>
        <w:tc>
          <w:tcPr>
            <w:tcW w:w="794" w:type="pct"/>
          </w:tcPr>
          <w:p w14:paraId="7C3320ED" w14:textId="77777777" w:rsidR="003F42D3" w:rsidRPr="00C501E3" w:rsidRDefault="003F42D3" w:rsidP="003260B5">
            <w:pPr>
              <w:keepNext/>
              <w:rPr>
                <w:sz w:val="18"/>
                <w:szCs w:val="18"/>
                <w:lang w:val="en-GB"/>
              </w:rPr>
            </w:pPr>
          </w:p>
        </w:tc>
        <w:tc>
          <w:tcPr>
            <w:tcW w:w="674" w:type="pct"/>
          </w:tcPr>
          <w:p w14:paraId="7C3320EE" w14:textId="77777777" w:rsidR="003F42D3" w:rsidRPr="00C501E3" w:rsidRDefault="003F42D3" w:rsidP="003260B5">
            <w:pPr>
              <w:keepNext/>
              <w:rPr>
                <w:sz w:val="18"/>
                <w:szCs w:val="18"/>
                <w:lang w:val="en-GB"/>
              </w:rPr>
            </w:pPr>
          </w:p>
        </w:tc>
        <w:tc>
          <w:tcPr>
            <w:tcW w:w="674" w:type="pct"/>
          </w:tcPr>
          <w:p w14:paraId="7C3320EF" w14:textId="77777777" w:rsidR="003F42D3" w:rsidRPr="00C501E3" w:rsidRDefault="003F42D3" w:rsidP="003260B5">
            <w:pPr>
              <w:keepNext/>
              <w:rPr>
                <w:sz w:val="18"/>
                <w:szCs w:val="18"/>
                <w:lang w:val="en-GB"/>
              </w:rPr>
            </w:pPr>
          </w:p>
        </w:tc>
        <w:tc>
          <w:tcPr>
            <w:tcW w:w="675" w:type="pct"/>
          </w:tcPr>
          <w:p w14:paraId="7C3320F0" w14:textId="77777777" w:rsidR="003F42D3" w:rsidRPr="00C501E3" w:rsidRDefault="003F42D3" w:rsidP="003260B5">
            <w:pPr>
              <w:keepNext/>
              <w:rPr>
                <w:sz w:val="18"/>
                <w:szCs w:val="18"/>
                <w:lang w:val="en-GB"/>
              </w:rPr>
            </w:pPr>
          </w:p>
        </w:tc>
        <w:tc>
          <w:tcPr>
            <w:tcW w:w="823" w:type="pct"/>
          </w:tcPr>
          <w:p w14:paraId="7C3320F1" w14:textId="77777777" w:rsidR="003F42D3" w:rsidRPr="00C501E3" w:rsidRDefault="003F42D3" w:rsidP="003260B5">
            <w:pPr>
              <w:keepNext/>
              <w:rPr>
                <w:sz w:val="18"/>
                <w:szCs w:val="18"/>
                <w:lang w:val="en-GB"/>
              </w:rPr>
            </w:pPr>
          </w:p>
        </w:tc>
      </w:tr>
      <w:tr w:rsidR="003A788B" w14:paraId="7C3320FC" w14:textId="77777777" w:rsidTr="003260B5">
        <w:trPr>
          <w:cantSplit/>
        </w:trPr>
        <w:tc>
          <w:tcPr>
            <w:tcW w:w="5000" w:type="pct"/>
            <w:gridSpan w:val="7"/>
          </w:tcPr>
          <w:p w14:paraId="7C3320F3" w14:textId="77777777" w:rsidR="003F42D3" w:rsidRPr="00956A50" w:rsidRDefault="00016F29" w:rsidP="003260B5">
            <w:pPr>
              <w:tabs>
                <w:tab w:val="left" w:pos="102"/>
              </w:tabs>
              <w:rPr>
                <w:sz w:val="18"/>
                <w:szCs w:val="16"/>
                <w:lang w:val="en-GB"/>
              </w:rPr>
            </w:pPr>
            <w:r w:rsidRPr="00956A50">
              <w:rPr>
                <w:sz w:val="18"/>
                <w:szCs w:val="16"/>
                <w:lang w:val="en-GB"/>
              </w:rPr>
              <w:t>For each term, the frequency count was based on reactions of all grades (from mild to severe), except for terms marked with "+" where the frequency count was based only on severe (≥ grade 3 NCI common toxicity criteria) reactions.  Only the highest frequency observed in the trials is reported</w:t>
            </w:r>
          </w:p>
          <w:p w14:paraId="7C3320F4" w14:textId="77777777" w:rsidR="003F42D3" w:rsidRPr="00956A50" w:rsidRDefault="00016F29" w:rsidP="003260B5">
            <w:pPr>
              <w:rPr>
                <w:sz w:val="18"/>
                <w:szCs w:val="16"/>
                <w:lang w:val="en-GB"/>
              </w:rPr>
            </w:pPr>
            <w:r w:rsidRPr="00956A50">
              <w:rPr>
                <w:sz w:val="18"/>
                <w:szCs w:val="16"/>
                <w:vertAlign w:val="superscript"/>
                <w:lang w:val="en-GB"/>
              </w:rPr>
              <w:t>1</w:t>
            </w:r>
            <w:r w:rsidRPr="00956A50">
              <w:rPr>
                <w:sz w:val="18"/>
                <w:szCs w:val="16"/>
                <w:lang w:val="en-GB"/>
              </w:rPr>
              <w:t xml:space="preserve"> includes reactivation and primary infections; frequency based on R</w:t>
            </w:r>
            <w:r w:rsidR="000A6DDA" w:rsidRPr="00956A50">
              <w:rPr>
                <w:sz w:val="18"/>
                <w:szCs w:val="16"/>
                <w:lang w:val="en-GB"/>
              </w:rPr>
              <w:noBreakHyphen/>
            </w:r>
            <w:r w:rsidRPr="00956A50">
              <w:rPr>
                <w:sz w:val="18"/>
                <w:szCs w:val="16"/>
                <w:lang w:val="en-GB"/>
              </w:rPr>
              <w:t>FC regimen in relapsed/refractory CLL</w:t>
            </w:r>
          </w:p>
          <w:p w14:paraId="7C3320F5" w14:textId="77777777" w:rsidR="003F42D3" w:rsidRPr="00956A50" w:rsidRDefault="00016F29" w:rsidP="003260B5">
            <w:pPr>
              <w:rPr>
                <w:sz w:val="18"/>
                <w:szCs w:val="16"/>
                <w:lang w:val="en-GB"/>
              </w:rPr>
            </w:pPr>
            <w:r w:rsidRPr="00956A50">
              <w:rPr>
                <w:sz w:val="18"/>
                <w:szCs w:val="16"/>
                <w:vertAlign w:val="superscript"/>
                <w:lang w:val="en-GB"/>
              </w:rPr>
              <w:t>2</w:t>
            </w:r>
            <w:r w:rsidRPr="00956A50">
              <w:rPr>
                <w:sz w:val="18"/>
                <w:szCs w:val="16"/>
                <w:lang w:val="en-GB"/>
              </w:rPr>
              <w:t xml:space="preserve"> see also section infection below </w:t>
            </w:r>
          </w:p>
          <w:p w14:paraId="7C3320F6" w14:textId="77777777" w:rsidR="003F42D3" w:rsidRPr="00956A50" w:rsidRDefault="00016F29" w:rsidP="003260B5">
            <w:pPr>
              <w:rPr>
                <w:sz w:val="18"/>
                <w:szCs w:val="16"/>
                <w:lang w:val="en-GB"/>
              </w:rPr>
            </w:pPr>
            <w:r w:rsidRPr="00956A50">
              <w:rPr>
                <w:sz w:val="18"/>
                <w:szCs w:val="16"/>
                <w:vertAlign w:val="superscript"/>
                <w:lang w:val="en-GB"/>
              </w:rPr>
              <w:t>3</w:t>
            </w:r>
            <w:r w:rsidRPr="00956A50">
              <w:rPr>
                <w:sz w:val="18"/>
                <w:szCs w:val="16"/>
                <w:lang w:val="en-GB"/>
              </w:rPr>
              <w:t xml:space="preserve"> see also section haematologic adverse reactions below</w:t>
            </w:r>
          </w:p>
          <w:p w14:paraId="7C3320F7" w14:textId="77777777" w:rsidR="003F42D3" w:rsidRPr="00956A50" w:rsidRDefault="00016F29" w:rsidP="003260B5">
            <w:pPr>
              <w:tabs>
                <w:tab w:val="left" w:pos="102"/>
              </w:tabs>
              <w:rPr>
                <w:sz w:val="18"/>
                <w:szCs w:val="16"/>
                <w:lang w:val="en-GB"/>
              </w:rPr>
            </w:pPr>
            <w:r w:rsidRPr="00956A50">
              <w:rPr>
                <w:sz w:val="18"/>
                <w:szCs w:val="16"/>
                <w:vertAlign w:val="superscript"/>
                <w:lang w:val="en-GB"/>
              </w:rPr>
              <w:t>4</w:t>
            </w:r>
            <w:r w:rsidRPr="00956A50">
              <w:rPr>
                <w:sz w:val="18"/>
                <w:szCs w:val="16"/>
                <w:lang w:val="en-GB"/>
              </w:rPr>
              <w:t xml:space="preserve"> see also section infusion</w:t>
            </w:r>
            <w:r w:rsidR="000A6DDA" w:rsidRPr="00956A50">
              <w:rPr>
                <w:sz w:val="18"/>
                <w:szCs w:val="16"/>
                <w:lang w:val="en-GB"/>
              </w:rPr>
              <w:noBreakHyphen/>
            </w:r>
            <w:r w:rsidRPr="00956A50">
              <w:rPr>
                <w:sz w:val="18"/>
                <w:szCs w:val="16"/>
                <w:lang w:val="en-GB"/>
              </w:rPr>
              <w:t>related reactions below. Rarely fatal cases reported</w:t>
            </w:r>
          </w:p>
          <w:p w14:paraId="7C3320F8" w14:textId="77777777" w:rsidR="003F42D3" w:rsidRPr="00956A50" w:rsidRDefault="00016F29" w:rsidP="003260B5">
            <w:pPr>
              <w:ind w:left="130" w:hanging="130"/>
              <w:rPr>
                <w:sz w:val="18"/>
                <w:szCs w:val="16"/>
                <w:lang w:val="en-GB"/>
              </w:rPr>
            </w:pPr>
            <w:r w:rsidRPr="00956A50">
              <w:rPr>
                <w:sz w:val="18"/>
                <w:szCs w:val="16"/>
                <w:vertAlign w:val="superscript"/>
                <w:lang w:val="en-GB"/>
              </w:rPr>
              <w:t>5</w:t>
            </w:r>
            <w:r w:rsidRPr="00956A50">
              <w:rPr>
                <w:b/>
                <w:sz w:val="18"/>
                <w:szCs w:val="16"/>
                <w:lang w:val="en-GB"/>
              </w:rPr>
              <w:t xml:space="preserve"> </w:t>
            </w:r>
            <w:r w:rsidRPr="00956A50">
              <w:rPr>
                <w:sz w:val="18"/>
                <w:szCs w:val="16"/>
                <w:lang w:val="en-GB"/>
              </w:rPr>
              <w:t>signs and symptoms of cranial neuropathy. Occurred at various times up to several months after completion of MabThera therapy</w:t>
            </w:r>
          </w:p>
          <w:p w14:paraId="7C3320F9" w14:textId="77777777" w:rsidR="003F42D3" w:rsidRPr="00956A50" w:rsidRDefault="00016F29" w:rsidP="003260B5">
            <w:pPr>
              <w:ind w:left="130" w:hanging="130"/>
              <w:rPr>
                <w:b/>
                <w:i/>
                <w:sz w:val="18"/>
                <w:szCs w:val="16"/>
                <w:lang w:val="en-GB"/>
              </w:rPr>
            </w:pPr>
            <w:r w:rsidRPr="00956A50">
              <w:rPr>
                <w:sz w:val="18"/>
                <w:szCs w:val="16"/>
                <w:vertAlign w:val="superscript"/>
                <w:lang w:val="en-GB"/>
              </w:rPr>
              <w:t>6</w:t>
            </w:r>
            <w:r w:rsidRPr="00956A50">
              <w:rPr>
                <w:sz w:val="18"/>
                <w:szCs w:val="16"/>
                <w:lang w:val="en-GB"/>
              </w:rPr>
              <w:t xml:space="preserve"> observed mainly in patients with prior cardiac condition and/or cardiotoxic chemotherapy and were mostly associated with infusion</w:t>
            </w:r>
            <w:r w:rsidR="000A6DDA" w:rsidRPr="00956A50">
              <w:rPr>
                <w:sz w:val="18"/>
                <w:szCs w:val="16"/>
                <w:lang w:val="en-GB"/>
              </w:rPr>
              <w:noBreakHyphen/>
            </w:r>
            <w:r w:rsidRPr="00956A50">
              <w:rPr>
                <w:sz w:val="18"/>
                <w:szCs w:val="16"/>
                <w:lang w:val="en-GB"/>
              </w:rPr>
              <w:t>related reactions</w:t>
            </w:r>
          </w:p>
          <w:p w14:paraId="7C3320FA" w14:textId="77777777" w:rsidR="003F42D3" w:rsidRPr="00956A50" w:rsidRDefault="00016F29" w:rsidP="003260B5">
            <w:pPr>
              <w:rPr>
                <w:sz w:val="18"/>
                <w:szCs w:val="16"/>
                <w:lang w:val="en-GB"/>
              </w:rPr>
            </w:pPr>
            <w:r w:rsidRPr="00956A50">
              <w:rPr>
                <w:sz w:val="18"/>
                <w:szCs w:val="16"/>
                <w:vertAlign w:val="superscript"/>
                <w:lang w:val="en-GB"/>
              </w:rPr>
              <w:t>7</w:t>
            </w:r>
            <w:r w:rsidRPr="00956A50">
              <w:rPr>
                <w:sz w:val="18"/>
                <w:szCs w:val="16"/>
                <w:lang w:val="en-GB"/>
              </w:rPr>
              <w:t xml:space="preserve"> includes fatal cases</w:t>
            </w:r>
          </w:p>
          <w:p w14:paraId="7C3320FB" w14:textId="77777777" w:rsidR="003F42D3" w:rsidRPr="00956A50" w:rsidRDefault="003F42D3" w:rsidP="003260B5">
            <w:pPr>
              <w:rPr>
                <w:sz w:val="16"/>
                <w:szCs w:val="16"/>
                <w:lang w:val="en-GB"/>
              </w:rPr>
            </w:pPr>
          </w:p>
        </w:tc>
      </w:tr>
    </w:tbl>
    <w:p w14:paraId="7C3320FD" w14:textId="77777777" w:rsidR="003F42D3" w:rsidRPr="00C501E3" w:rsidRDefault="003F42D3" w:rsidP="003F42D3">
      <w:pPr>
        <w:rPr>
          <w:szCs w:val="22"/>
          <w:lang w:val="en-GB"/>
        </w:rPr>
      </w:pPr>
    </w:p>
    <w:p w14:paraId="7C3320FE" w14:textId="77777777" w:rsidR="003F42D3" w:rsidRPr="00336CCD" w:rsidRDefault="00016F29" w:rsidP="003F42D3">
      <w:pPr>
        <w:rPr>
          <w:szCs w:val="22"/>
          <w:lang w:val="en-GB"/>
        </w:rPr>
      </w:pPr>
      <w:r w:rsidRPr="00336CCD">
        <w:rPr>
          <w:szCs w:val="22"/>
          <w:lang w:val="en-GB"/>
        </w:rPr>
        <w:t>The following terms have been reported as adverse events during clinical trials, however, were reported at a similar or lower incidence in the MabThera</w:t>
      </w:r>
      <w:r w:rsidR="000A6DDA" w:rsidRPr="00336CCD">
        <w:rPr>
          <w:szCs w:val="22"/>
          <w:lang w:val="en-GB"/>
        </w:rPr>
        <w:noBreakHyphen/>
      </w:r>
      <w:r w:rsidRPr="00336CCD">
        <w:rPr>
          <w:szCs w:val="22"/>
          <w:lang w:val="en-GB"/>
        </w:rPr>
        <w:t>arms compared to control arms: haematotoxicity, neutropenic infection, urinary tract infection, sensory disturbance, pyrexia.</w:t>
      </w:r>
    </w:p>
    <w:p w14:paraId="7C3320FF" w14:textId="77777777" w:rsidR="003F42D3" w:rsidRPr="00336CCD" w:rsidRDefault="003F42D3" w:rsidP="003F42D3">
      <w:pPr>
        <w:rPr>
          <w:szCs w:val="22"/>
          <w:lang w:val="en-GB"/>
        </w:rPr>
      </w:pPr>
    </w:p>
    <w:p w14:paraId="7C332100" w14:textId="77777777" w:rsidR="003F42D3" w:rsidRPr="00336CCD" w:rsidRDefault="00016F29" w:rsidP="003F42D3">
      <w:pPr>
        <w:rPr>
          <w:szCs w:val="22"/>
          <w:lang w:val="en-GB"/>
        </w:rPr>
      </w:pPr>
      <w:r w:rsidRPr="00336CCD">
        <w:rPr>
          <w:szCs w:val="22"/>
          <w:lang w:val="en-GB"/>
        </w:rPr>
        <w:t>Signs and symptoms suggestive of an infusion</w:t>
      </w:r>
      <w:r w:rsidR="000A6DDA" w:rsidRPr="00336CCD">
        <w:rPr>
          <w:szCs w:val="22"/>
          <w:lang w:val="en-GB"/>
        </w:rPr>
        <w:noBreakHyphen/>
      </w:r>
      <w:r w:rsidRPr="00336CCD">
        <w:rPr>
          <w:szCs w:val="22"/>
          <w:lang w:val="en-GB"/>
        </w:rPr>
        <w:t>related reaction were reported in more than 50 % of</w:t>
      </w:r>
      <w:r w:rsidRPr="00C501E3">
        <w:rPr>
          <w:szCs w:val="22"/>
          <w:lang w:val="en-GB"/>
        </w:rPr>
        <w:t xml:space="preserve"> patients in clinical trials involving MabThera intravenous formulation, and were predominantly seen during the first infusion, usually in the first one to two hours. These symptoms mainly comprised fever, chills and rigors. Other symptoms included flushing, angioedema, bronchospasm, vomiting, nausea, urticaria/rash, fatigue, headache, throat irritation, rhinitis, pruritus, pain, tachycardia, hypertension, hypotension, dyspnoea, dyspepsia, asthenia and features of tumour lysis syndrome. </w:t>
      </w:r>
      <w:r w:rsidRPr="00336CCD">
        <w:rPr>
          <w:szCs w:val="22"/>
          <w:lang w:val="en-GB"/>
        </w:rPr>
        <w:t>Severe infusion</w:t>
      </w:r>
      <w:r w:rsidR="000A6DDA" w:rsidRPr="00336CCD">
        <w:rPr>
          <w:szCs w:val="22"/>
          <w:lang w:val="en-GB"/>
        </w:rPr>
        <w:noBreakHyphen/>
      </w:r>
      <w:r w:rsidRPr="00336CCD">
        <w:rPr>
          <w:szCs w:val="22"/>
          <w:lang w:val="en-GB"/>
        </w:rPr>
        <w:t>related reactions (such as bronchospasm, hypotension) occurred in up to 12 % of the cases. Additional reactions reported in some cases were myocardial infarction, atrial fibrillation, pulmonary oedema</w:t>
      </w:r>
      <w:r w:rsidRPr="00336CCD">
        <w:rPr>
          <w:lang w:val="en-GB"/>
        </w:rPr>
        <w:t xml:space="preserve"> and acute reversible thrombocytopenia</w:t>
      </w:r>
      <w:r w:rsidRPr="00336CCD">
        <w:rPr>
          <w:szCs w:val="22"/>
          <w:lang w:val="en-GB"/>
        </w:rPr>
        <w:t>. Exacerbations of pre</w:t>
      </w:r>
      <w:r w:rsidR="000A6DDA" w:rsidRPr="00336CCD">
        <w:rPr>
          <w:szCs w:val="22"/>
          <w:lang w:val="en-GB"/>
        </w:rPr>
        <w:noBreakHyphen/>
      </w:r>
      <w:r w:rsidRPr="00336CCD">
        <w:rPr>
          <w:szCs w:val="22"/>
          <w:lang w:val="en-GB"/>
        </w:rPr>
        <w:t xml:space="preserve">existing cardiac conditions such as angina pectoris or congestive heart failure or </w:t>
      </w:r>
      <w:r w:rsidRPr="00336CCD">
        <w:rPr>
          <w:snapToGrid w:val="0"/>
          <w:szCs w:val="22"/>
          <w:lang w:val="en-GB"/>
        </w:rPr>
        <w:t xml:space="preserve">severe cardiac disorders (heart failure, myocardial infarction, </w:t>
      </w:r>
      <w:r w:rsidRPr="00336CCD">
        <w:rPr>
          <w:szCs w:val="22"/>
          <w:lang w:val="en-GB"/>
        </w:rPr>
        <w:t>atrial fibrillation</w:t>
      </w:r>
      <w:r w:rsidRPr="00336CCD">
        <w:rPr>
          <w:snapToGrid w:val="0"/>
          <w:szCs w:val="22"/>
          <w:lang w:val="en-GB"/>
        </w:rPr>
        <w:t xml:space="preserve">), </w:t>
      </w:r>
      <w:r w:rsidRPr="00336CCD">
        <w:rPr>
          <w:szCs w:val="22"/>
          <w:lang w:val="en-GB"/>
        </w:rPr>
        <w:t>pulmonary oedema, multi</w:t>
      </w:r>
      <w:r w:rsidR="000A6DDA" w:rsidRPr="00336CCD">
        <w:rPr>
          <w:szCs w:val="22"/>
          <w:lang w:val="en-GB"/>
        </w:rPr>
        <w:noBreakHyphen/>
      </w:r>
      <w:r w:rsidRPr="00336CCD">
        <w:rPr>
          <w:szCs w:val="22"/>
          <w:lang w:val="en-GB"/>
        </w:rPr>
        <w:t>organ failure</w:t>
      </w:r>
      <w:r w:rsidRPr="00336CCD">
        <w:rPr>
          <w:snapToGrid w:val="0"/>
          <w:szCs w:val="22"/>
          <w:lang w:val="en-GB"/>
        </w:rPr>
        <w:t xml:space="preserve">, tumour lysis syndrome, cytokine release syndrome, renal failure, and respiratory failure were reported </w:t>
      </w:r>
      <w:r w:rsidRPr="00336CCD">
        <w:rPr>
          <w:szCs w:val="22"/>
          <w:lang w:val="en-GB"/>
        </w:rPr>
        <w:t>at lower or unknown frequencies. The incidence of infusion</w:t>
      </w:r>
      <w:r w:rsidR="000A6DDA" w:rsidRPr="00336CCD">
        <w:rPr>
          <w:szCs w:val="22"/>
          <w:lang w:val="en-GB"/>
        </w:rPr>
        <w:noBreakHyphen/>
      </w:r>
      <w:r w:rsidRPr="00336CCD">
        <w:rPr>
          <w:szCs w:val="22"/>
          <w:lang w:val="en-GB"/>
        </w:rPr>
        <w:t xml:space="preserve">related symptoms decreased substantially with subsequent intravenous infusions and is &lt;1% of patients by the eighth cycle of MabThera (containing) treatment. </w:t>
      </w:r>
    </w:p>
    <w:p w14:paraId="7C332101" w14:textId="77777777" w:rsidR="003F42D3" w:rsidRPr="00336CCD" w:rsidRDefault="003F42D3" w:rsidP="003F42D3">
      <w:pPr>
        <w:rPr>
          <w:szCs w:val="22"/>
          <w:lang w:val="en-GB"/>
        </w:rPr>
      </w:pPr>
    </w:p>
    <w:p w14:paraId="7C332102" w14:textId="77777777" w:rsidR="003F42D3" w:rsidRPr="00336CCD" w:rsidRDefault="00016F29" w:rsidP="003F42D3">
      <w:pPr>
        <w:rPr>
          <w:szCs w:val="22"/>
          <w:u w:val="single"/>
          <w:lang w:val="en-GB"/>
        </w:rPr>
      </w:pPr>
      <w:r w:rsidRPr="00336CCD">
        <w:rPr>
          <w:szCs w:val="22"/>
          <w:u w:val="single"/>
          <w:lang w:val="en-GB"/>
        </w:rPr>
        <w:t>Description of selected adverse reactions</w:t>
      </w:r>
    </w:p>
    <w:p w14:paraId="7C332103" w14:textId="77777777" w:rsidR="003F42D3" w:rsidRPr="00336CCD" w:rsidRDefault="003F42D3" w:rsidP="003F42D3">
      <w:pPr>
        <w:rPr>
          <w:b/>
          <w:i/>
          <w:szCs w:val="22"/>
          <w:lang w:val="en-GB"/>
        </w:rPr>
      </w:pPr>
    </w:p>
    <w:p w14:paraId="7C332104" w14:textId="77777777" w:rsidR="003F42D3" w:rsidRPr="00336CCD" w:rsidRDefault="00016F29" w:rsidP="003F42D3">
      <w:pPr>
        <w:outlineLvl w:val="0"/>
        <w:rPr>
          <w:i/>
          <w:szCs w:val="22"/>
          <w:lang w:val="en-GB"/>
        </w:rPr>
      </w:pPr>
      <w:r w:rsidRPr="00336CCD">
        <w:rPr>
          <w:i/>
          <w:szCs w:val="22"/>
          <w:lang w:val="en-GB"/>
        </w:rPr>
        <w:t xml:space="preserve">Infections </w:t>
      </w:r>
    </w:p>
    <w:p w14:paraId="7C332105" w14:textId="77777777" w:rsidR="003F42D3" w:rsidRPr="00081823" w:rsidRDefault="00016F29" w:rsidP="003F42D3">
      <w:pPr>
        <w:rPr>
          <w:szCs w:val="22"/>
          <w:lang w:val="en-GB"/>
        </w:rPr>
      </w:pPr>
      <w:r w:rsidRPr="00081823">
        <w:rPr>
          <w:szCs w:val="22"/>
          <w:lang w:val="en-GB"/>
        </w:rPr>
        <w:t>MabThera induces B</w:t>
      </w:r>
      <w:r w:rsidR="000A6DDA" w:rsidRPr="00081823">
        <w:rPr>
          <w:szCs w:val="22"/>
          <w:lang w:val="en-GB"/>
        </w:rPr>
        <w:noBreakHyphen/>
      </w:r>
      <w:r w:rsidRPr="00081823">
        <w:rPr>
          <w:szCs w:val="22"/>
          <w:lang w:val="en-GB"/>
        </w:rPr>
        <w:t>cell depletion in about 70</w:t>
      </w:r>
      <w:r w:rsidR="000A6DDA" w:rsidRPr="00081823">
        <w:rPr>
          <w:szCs w:val="22"/>
          <w:lang w:val="en-GB"/>
        </w:rPr>
        <w:noBreakHyphen/>
      </w:r>
      <w:r w:rsidRPr="00081823">
        <w:rPr>
          <w:szCs w:val="22"/>
          <w:lang w:val="en-GB"/>
        </w:rPr>
        <w:t xml:space="preserve">80% of patients, but was associated with decreased serum immunoglobulins only in a minority of patients. </w:t>
      </w:r>
    </w:p>
    <w:p w14:paraId="7C332106" w14:textId="77777777" w:rsidR="003F42D3" w:rsidRPr="00081823" w:rsidRDefault="003F42D3" w:rsidP="003F42D3">
      <w:pPr>
        <w:rPr>
          <w:szCs w:val="22"/>
          <w:lang w:val="en-GB"/>
        </w:rPr>
      </w:pPr>
    </w:p>
    <w:p w14:paraId="7C332107" w14:textId="77777777" w:rsidR="003F42D3" w:rsidRPr="001500B3" w:rsidRDefault="00016F29" w:rsidP="003F42D3">
      <w:pPr>
        <w:rPr>
          <w:iCs/>
          <w:szCs w:val="22"/>
          <w:lang w:val="en-GB"/>
        </w:rPr>
      </w:pPr>
      <w:r w:rsidRPr="00081823">
        <w:rPr>
          <w:szCs w:val="22"/>
          <w:lang w:val="en-GB"/>
        </w:rPr>
        <w:t>Localized candida infections as well as Herpes zoster were reported at a higher incidence in the MabThera</w:t>
      </w:r>
      <w:r w:rsidR="000A6DDA" w:rsidRPr="00081823">
        <w:rPr>
          <w:szCs w:val="22"/>
          <w:lang w:val="en-GB"/>
        </w:rPr>
        <w:noBreakHyphen/>
      </w:r>
      <w:r w:rsidRPr="00081823">
        <w:rPr>
          <w:szCs w:val="22"/>
          <w:lang w:val="en-GB"/>
        </w:rPr>
        <w:t xml:space="preserve">containing arm of randomized studies. </w:t>
      </w:r>
      <w:r w:rsidRPr="00081823">
        <w:rPr>
          <w:lang w:val="en-GB"/>
        </w:rPr>
        <w:t xml:space="preserve">Severe infections were reported in about 4% of patients treated with MabThera monotherapy. </w:t>
      </w:r>
      <w:r w:rsidRPr="00081823">
        <w:rPr>
          <w:szCs w:val="22"/>
          <w:lang w:val="en-GB"/>
        </w:rPr>
        <w:t>Higher frequencies of infections overall, including grade 3 or 4 infections, were observed during MabThera maintenance treatment up to 2 years when</w:t>
      </w:r>
      <w:r w:rsidRPr="00C501E3">
        <w:rPr>
          <w:szCs w:val="22"/>
          <w:lang w:val="en-GB"/>
        </w:rPr>
        <w:t xml:space="preserve"> </w:t>
      </w:r>
      <w:r w:rsidRPr="00081823">
        <w:rPr>
          <w:szCs w:val="22"/>
          <w:lang w:val="en-GB"/>
        </w:rPr>
        <w:t xml:space="preserve">compared to observation. </w:t>
      </w:r>
      <w:r w:rsidRPr="00081823">
        <w:rPr>
          <w:lang w:val="en-GB"/>
        </w:rPr>
        <w:t>There was no cumulative toxicity in terms of infections reported over a 2</w:t>
      </w:r>
      <w:r w:rsidR="000A6DDA" w:rsidRPr="00081823">
        <w:rPr>
          <w:lang w:val="en-GB"/>
        </w:rPr>
        <w:noBreakHyphen/>
      </w:r>
      <w:r w:rsidRPr="00081823">
        <w:rPr>
          <w:lang w:val="en-GB"/>
        </w:rPr>
        <w:t>year treatment period</w:t>
      </w:r>
      <w:r w:rsidRPr="00081823">
        <w:rPr>
          <w:szCs w:val="22"/>
          <w:lang w:val="en-GB"/>
        </w:rPr>
        <w:t>. In addition, other serious viral infections either new, reactivated or exacerbated, some of which were fatal, have been reported with MabThera treatment. The majority of patients had received MabThera in combination with chemotherapy or as part of a hematopoietic stem cell transplant. Examples of these serious viral infections are infections caused by the herpes viruses</w:t>
      </w:r>
      <w:r w:rsidRPr="00C501E3">
        <w:rPr>
          <w:szCs w:val="22"/>
          <w:lang w:val="en-GB"/>
        </w:rPr>
        <w:t xml:space="preserve"> (Cytomegalovirus, Varicella Zoster Virus and Herpes Simplex Virus), JC virus (PML) and hepatitis C virus. Cases of fatal PML that occurred after disease progression and retreatment have also been reported in clinical trials. C</w:t>
      </w:r>
      <w:r w:rsidRPr="00C501E3">
        <w:rPr>
          <w:rFonts w:eastAsia="MS Mincho"/>
          <w:szCs w:val="22"/>
          <w:lang w:val="en-GB"/>
        </w:rPr>
        <w:t xml:space="preserve">ases of hepatitis B reactivation, have been reported, the majority of which were in patients receiving MabThera in combination with cytotoxic </w:t>
      </w:r>
      <w:r w:rsidRPr="001A72EB">
        <w:rPr>
          <w:rFonts w:eastAsia="MS Mincho"/>
          <w:szCs w:val="22"/>
          <w:lang w:val="en-GB"/>
        </w:rPr>
        <w:t>chemotherapy</w:t>
      </w:r>
      <w:r w:rsidRPr="001A72EB">
        <w:rPr>
          <w:szCs w:val="22"/>
          <w:lang w:val="en-GB"/>
        </w:rPr>
        <w:t>.</w:t>
      </w:r>
      <w:r w:rsidR="002D194E" w:rsidRPr="001A72EB">
        <w:rPr>
          <w:szCs w:val="22"/>
          <w:lang w:val="en-GB"/>
        </w:rPr>
        <w:t xml:space="preserve"> In patients with relapsed/refractory CLL, the incidence of grade 3/4 hepatitis B infection (reactivation and primary </w:t>
      </w:r>
      <w:r w:rsidR="002D194E" w:rsidRPr="001500B3">
        <w:rPr>
          <w:szCs w:val="22"/>
          <w:lang w:val="en-GB"/>
        </w:rPr>
        <w:t>infection) was 2% in R</w:t>
      </w:r>
      <w:r w:rsidR="000A6DDA" w:rsidRPr="001500B3">
        <w:rPr>
          <w:szCs w:val="22"/>
          <w:lang w:val="en-GB"/>
        </w:rPr>
        <w:noBreakHyphen/>
      </w:r>
      <w:r w:rsidR="002D194E" w:rsidRPr="001500B3">
        <w:rPr>
          <w:szCs w:val="22"/>
          <w:lang w:val="en-GB"/>
        </w:rPr>
        <w:t>FC vs 0% in FC.</w:t>
      </w:r>
      <w:r w:rsidRPr="001500B3">
        <w:rPr>
          <w:szCs w:val="22"/>
          <w:lang w:val="en-GB"/>
        </w:rPr>
        <w:t xml:space="preserve"> </w:t>
      </w:r>
      <w:r w:rsidRPr="001500B3">
        <w:rPr>
          <w:lang w:val="en-GB"/>
        </w:rPr>
        <w:t>Progression of Kaposi’s sarcoma has been observed in MabThera</w:t>
      </w:r>
      <w:r w:rsidR="000A6DDA" w:rsidRPr="001500B3">
        <w:rPr>
          <w:lang w:val="en-GB"/>
        </w:rPr>
        <w:noBreakHyphen/>
      </w:r>
      <w:r w:rsidRPr="001500B3">
        <w:rPr>
          <w:lang w:val="en-GB"/>
        </w:rPr>
        <w:t>exposed patients with pre</w:t>
      </w:r>
      <w:r w:rsidR="000A6DDA" w:rsidRPr="001500B3">
        <w:rPr>
          <w:lang w:val="en-GB"/>
        </w:rPr>
        <w:noBreakHyphen/>
      </w:r>
      <w:r w:rsidRPr="001500B3">
        <w:rPr>
          <w:lang w:val="en-GB"/>
        </w:rPr>
        <w:t>existing Kaposi’s sarcoma. These cases occurred in non</w:t>
      </w:r>
      <w:r w:rsidR="000A6DDA" w:rsidRPr="001500B3">
        <w:rPr>
          <w:lang w:val="en-GB"/>
        </w:rPr>
        <w:noBreakHyphen/>
      </w:r>
      <w:r w:rsidRPr="001500B3">
        <w:rPr>
          <w:lang w:val="en-GB"/>
        </w:rPr>
        <w:t>approved indications and the majority of patients were HIV positive.</w:t>
      </w:r>
    </w:p>
    <w:p w14:paraId="7C332108" w14:textId="77777777" w:rsidR="003F42D3" w:rsidRPr="00C501E3" w:rsidRDefault="003F42D3" w:rsidP="003F42D3">
      <w:pPr>
        <w:rPr>
          <w:b/>
          <w:szCs w:val="22"/>
          <w:lang w:val="en-GB"/>
        </w:rPr>
      </w:pPr>
    </w:p>
    <w:p w14:paraId="7C332109" w14:textId="77777777" w:rsidR="003F42D3" w:rsidRPr="00C501E3" w:rsidRDefault="00016F29" w:rsidP="003F42D3">
      <w:pPr>
        <w:keepNext/>
        <w:outlineLvl w:val="0"/>
        <w:rPr>
          <w:b/>
          <w:i/>
          <w:szCs w:val="22"/>
          <w:lang w:val="en-GB"/>
        </w:rPr>
      </w:pPr>
      <w:r w:rsidRPr="00C501E3">
        <w:rPr>
          <w:i/>
          <w:szCs w:val="22"/>
          <w:lang w:val="en-GB"/>
        </w:rPr>
        <w:t>Haematologic adverse reactions</w:t>
      </w:r>
      <w:r w:rsidRPr="00C501E3">
        <w:rPr>
          <w:b/>
          <w:i/>
          <w:szCs w:val="22"/>
          <w:lang w:val="en-GB"/>
        </w:rPr>
        <w:t xml:space="preserve"> </w:t>
      </w:r>
    </w:p>
    <w:p w14:paraId="7C33210A" w14:textId="77777777" w:rsidR="00F42C18" w:rsidRPr="00386D8E" w:rsidRDefault="00016F29" w:rsidP="00941759">
      <w:pPr>
        <w:shd w:val="clear" w:color="auto" w:fill="FFFFFF"/>
        <w:rPr>
          <w:lang w:val="en-GB"/>
        </w:rPr>
      </w:pPr>
      <w:r w:rsidRPr="00C501E3">
        <w:rPr>
          <w:szCs w:val="22"/>
          <w:lang w:val="en-GB"/>
        </w:rPr>
        <w:t>In clinical trials with MabThera monotherapy given for 4 weeks, haematological abnormalities occurred in a minority of patients and were usually mild and reversible. Severe (grade 3/4) neutropenia was reported in 4.2%, anaemia in 1.1% and thrombocytopenia in 1.7% of the patients. During</w:t>
      </w:r>
      <w:r w:rsidRPr="00C501E3">
        <w:rPr>
          <w:szCs w:val="22"/>
          <w:u w:val="single"/>
          <w:lang w:val="en-GB"/>
        </w:rPr>
        <w:t xml:space="preserve"> </w:t>
      </w:r>
      <w:r w:rsidRPr="00C501E3">
        <w:rPr>
          <w:szCs w:val="22"/>
          <w:lang w:val="en-GB"/>
        </w:rPr>
        <w:t xml:space="preserve">MabThera maintenance treatment for up to 2 years, leucopoenia (5% vs. 2%, grade 3/4) and neutropenia (10% vs. 4%, grade 3/4) were reported at a higher incidence when compared to observation. The incidence of thrombocytopenia was low (&lt;1 %, grade 3/4) and was not different between treatment arms. During the treatment course in studies with MabThera in combination with </w:t>
      </w:r>
      <w:r w:rsidRPr="001500B3">
        <w:rPr>
          <w:szCs w:val="22"/>
          <w:lang w:val="en-GB"/>
        </w:rPr>
        <w:t xml:space="preserve">chemotherapy, </w:t>
      </w:r>
      <w:r w:rsidRPr="001500B3">
        <w:rPr>
          <w:lang w:val="en-GB"/>
        </w:rPr>
        <w:t>grade 3/4 leucopoenia (R</w:t>
      </w:r>
      <w:r w:rsidR="000A6DDA" w:rsidRPr="001500B3">
        <w:rPr>
          <w:lang w:val="en-GB"/>
        </w:rPr>
        <w:noBreakHyphen/>
      </w:r>
      <w:r w:rsidRPr="001500B3">
        <w:rPr>
          <w:lang w:val="en-GB"/>
        </w:rPr>
        <w:t>CHOP 88% vs. CHOP 79%</w:t>
      </w:r>
      <w:r w:rsidR="00B36F9A" w:rsidRPr="001500B3">
        <w:rPr>
          <w:lang w:val="en-GB"/>
        </w:rPr>
        <w:t>, R</w:t>
      </w:r>
      <w:r w:rsidR="000A6DDA" w:rsidRPr="001500B3">
        <w:rPr>
          <w:lang w:val="en-GB"/>
        </w:rPr>
        <w:noBreakHyphen/>
      </w:r>
      <w:r w:rsidR="00B36F9A" w:rsidRPr="001500B3">
        <w:rPr>
          <w:lang w:val="en-GB"/>
        </w:rPr>
        <w:t>FC 23% vs. FC 12%</w:t>
      </w:r>
      <w:r w:rsidRPr="001500B3">
        <w:rPr>
          <w:lang w:val="en-GB"/>
        </w:rPr>
        <w:t xml:space="preserve">), </w:t>
      </w:r>
      <w:r w:rsidR="002D194E" w:rsidRPr="001500B3">
        <w:rPr>
          <w:szCs w:val="22"/>
          <w:lang w:val="en-GB"/>
        </w:rPr>
        <w:t xml:space="preserve">grade 3/4 </w:t>
      </w:r>
      <w:r w:rsidRPr="001500B3">
        <w:rPr>
          <w:lang w:val="en-GB"/>
        </w:rPr>
        <w:t>neutropenia (R</w:t>
      </w:r>
      <w:r w:rsidR="000A6DDA" w:rsidRPr="001500B3">
        <w:rPr>
          <w:lang w:val="en-GB"/>
        </w:rPr>
        <w:noBreakHyphen/>
      </w:r>
      <w:r w:rsidRPr="001500B3">
        <w:rPr>
          <w:lang w:val="en-GB"/>
        </w:rPr>
        <w:t>CVP 24% vs. CVP 14%; R</w:t>
      </w:r>
      <w:r w:rsidR="000A6DDA" w:rsidRPr="001500B3">
        <w:rPr>
          <w:lang w:val="en-GB"/>
        </w:rPr>
        <w:noBreakHyphen/>
      </w:r>
      <w:r w:rsidRPr="001500B3">
        <w:rPr>
          <w:lang w:val="en-GB"/>
        </w:rPr>
        <w:t>CHOP 97% vs. CHOP 88%</w:t>
      </w:r>
      <w:r w:rsidR="00B36F9A" w:rsidRPr="001500B3">
        <w:rPr>
          <w:lang w:val="en-GB"/>
        </w:rPr>
        <w:t>, R</w:t>
      </w:r>
      <w:r w:rsidR="000A6DDA" w:rsidRPr="001500B3">
        <w:rPr>
          <w:lang w:val="en-GB"/>
        </w:rPr>
        <w:noBreakHyphen/>
      </w:r>
      <w:r w:rsidR="00B36F9A" w:rsidRPr="001500B3">
        <w:rPr>
          <w:lang w:val="en-GB"/>
        </w:rPr>
        <w:t>FC 30% vs. FC 19% in previously untreated CLL</w:t>
      </w:r>
      <w:r w:rsidRPr="001500B3">
        <w:rPr>
          <w:lang w:val="en-GB"/>
        </w:rPr>
        <w:t xml:space="preserve">), </w:t>
      </w:r>
      <w:r w:rsidR="002D194E" w:rsidRPr="001500B3">
        <w:rPr>
          <w:szCs w:val="22"/>
          <w:lang w:val="en-GB"/>
        </w:rPr>
        <w:t xml:space="preserve">grade 3/4 </w:t>
      </w:r>
      <w:r w:rsidRPr="001500B3">
        <w:rPr>
          <w:lang w:val="en-GB"/>
        </w:rPr>
        <w:t>pancytopenia (R</w:t>
      </w:r>
      <w:r w:rsidR="000A6DDA" w:rsidRPr="001500B3">
        <w:rPr>
          <w:lang w:val="en-GB"/>
        </w:rPr>
        <w:noBreakHyphen/>
      </w:r>
      <w:r w:rsidRPr="001500B3">
        <w:rPr>
          <w:lang w:val="en-GB"/>
        </w:rPr>
        <w:t>FC 3% vs. FC 1% in previously</w:t>
      </w:r>
      <w:r w:rsidRPr="001A72EB">
        <w:rPr>
          <w:lang w:val="en-GB"/>
        </w:rPr>
        <w:t xml:space="preserve"> untreated CLL)  were usually reported with higher frequencies when compared</w:t>
      </w:r>
      <w:r w:rsidRPr="00C501E3">
        <w:rPr>
          <w:lang w:val="en-GB"/>
        </w:rPr>
        <w:t xml:space="preserve"> to chemotherapy alone. However, the higher incidence of neutropenia in patients treated with MabThera and chemotherapy was not associated with a higher incidence of infections and infestations compared to patients treated with chemotherapy </w:t>
      </w:r>
      <w:r w:rsidRPr="001A72EB">
        <w:rPr>
          <w:lang w:val="en-GB"/>
        </w:rPr>
        <w:t>alone</w:t>
      </w:r>
      <w:r w:rsidRPr="00941759">
        <w:rPr>
          <w:shd w:val="clear" w:color="auto" w:fill="FFFFFF"/>
          <w:lang w:val="en-GB"/>
        </w:rPr>
        <w:t xml:space="preserve">. Studies </w:t>
      </w:r>
      <w:r w:rsidR="00B71D69" w:rsidRPr="00941759">
        <w:rPr>
          <w:shd w:val="clear" w:color="auto" w:fill="FFFFFF"/>
          <w:lang w:val="en-GB"/>
        </w:rPr>
        <w:t xml:space="preserve">with MabThera intravenous formulation </w:t>
      </w:r>
      <w:r w:rsidRPr="00941759">
        <w:rPr>
          <w:shd w:val="clear" w:color="auto" w:fill="FFFFFF"/>
          <w:lang w:val="en-GB"/>
        </w:rPr>
        <w:t xml:space="preserve">in previously untreated and relapsed/refractory CLL have established that in up to 25% of patients treated </w:t>
      </w:r>
      <w:r w:rsidRPr="00386D8E">
        <w:rPr>
          <w:shd w:val="clear" w:color="auto" w:fill="FFFFFF"/>
          <w:lang w:val="en-GB"/>
        </w:rPr>
        <w:t>with R</w:t>
      </w:r>
      <w:r w:rsidR="000A6DDA" w:rsidRPr="00386D8E">
        <w:rPr>
          <w:shd w:val="clear" w:color="auto" w:fill="FFFFFF"/>
          <w:lang w:val="en-GB"/>
        </w:rPr>
        <w:noBreakHyphen/>
      </w:r>
      <w:r w:rsidRPr="00386D8E">
        <w:rPr>
          <w:shd w:val="clear" w:color="auto" w:fill="FFFFFF"/>
          <w:lang w:val="en-GB"/>
        </w:rPr>
        <w:t>FC  neutropenia was prolonged (defined as neutrophil count remaining below 1x10</w:t>
      </w:r>
      <w:r w:rsidRPr="00386D8E">
        <w:rPr>
          <w:shd w:val="clear" w:color="auto" w:fill="FFFFFF"/>
          <w:vertAlign w:val="superscript"/>
          <w:lang w:val="en-GB"/>
        </w:rPr>
        <w:t>9</w:t>
      </w:r>
      <w:r w:rsidRPr="00386D8E">
        <w:rPr>
          <w:shd w:val="clear" w:color="auto" w:fill="FFFFFF"/>
          <w:lang w:val="en-GB"/>
        </w:rPr>
        <w:t>/L between day 24 and 42 after the last dose) or occurred with a late onset (defined as neutrophil count below 1x10</w:t>
      </w:r>
      <w:r w:rsidRPr="00386D8E">
        <w:rPr>
          <w:shd w:val="clear" w:color="auto" w:fill="FFFFFF"/>
          <w:vertAlign w:val="superscript"/>
          <w:lang w:val="en-GB"/>
        </w:rPr>
        <w:t>9</w:t>
      </w:r>
      <w:r w:rsidRPr="00386D8E">
        <w:rPr>
          <w:shd w:val="clear" w:color="auto" w:fill="FFFFFF"/>
          <w:lang w:val="en-GB"/>
        </w:rPr>
        <w:t>/L later than 42 days after last dose in patients with no previous prolonged neutropenia or who recovered prior to day 42) following treatment with MabThera plus FC.</w:t>
      </w:r>
      <w:r w:rsidRPr="00386D8E">
        <w:rPr>
          <w:szCs w:val="22"/>
          <w:lang w:val="en-GB"/>
        </w:rPr>
        <w:t>There were no differences reported for the incidence of anaemia.</w:t>
      </w:r>
      <w:r w:rsidRPr="00386D8E">
        <w:rPr>
          <w:lang w:val="en-GB"/>
        </w:rPr>
        <w:t xml:space="preserve"> </w:t>
      </w:r>
      <w:r w:rsidRPr="00386D8E">
        <w:rPr>
          <w:szCs w:val="22"/>
          <w:lang w:val="en-GB"/>
        </w:rPr>
        <w:t>Some c</w:t>
      </w:r>
      <w:r w:rsidRPr="00386D8E">
        <w:rPr>
          <w:lang w:val="en-GB"/>
        </w:rPr>
        <w:t xml:space="preserve">ases of late </w:t>
      </w:r>
      <w:r w:rsidRPr="00386D8E">
        <w:rPr>
          <w:szCs w:val="22"/>
          <w:lang w:val="en-GB"/>
        </w:rPr>
        <w:t xml:space="preserve">neutropenia occurring more than four weeks after the last infusion of MabThera were reported. </w:t>
      </w:r>
      <w:r w:rsidRPr="00386D8E">
        <w:rPr>
          <w:shd w:val="clear" w:color="auto" w:fill="FFFFFF"/>
          <w:lang w:val="en-GB"/>
        </w:rPr>
        <w:t>In the CLL first</w:t>
      </w:r>
      <w:r w:rsidR="000A6DDA" w:rsidRPr="00386D8E">
        <w:rPr>
          <w:shd w:val="clear" w:color="auto" w:fill="FFFFFF"/>
          <w:lang w:val="en-GB"/>
        </w:rPr>
        <w:noBreakHyphen/>
      </w:r>
      <w:r w:rsidRPr="00386D8E">
        <w:rPr>
          <w:shd w:val="clear" w:color="auto" w:fill="FFFFFF"/>
          <w:lang w:val="en-GB"/>
        </w:rPr>
        <w:t>line study, Binet stage C patients experienced more adverse events in the R</w:t>
      </w:r>
      <w:r w:rsidR="000A6DDA" w:rsidRPr="00386D8E">
        <w:rPr>
          <w:shd w:val="clear" w:color="auto" w:fill="FFFFFF"/>
          <w:lang w:val="en-GB"/>
        </w:rPr>
        <w:noBreakHyphen/>
      </w:r>
      <w:r w:rsidRPr="00386D8E">
        <w:rPr>
          <w:shd w:val="clear" w:color="auto" w:fill="FFFFFF"/>
          <w:lang w:val="en-GB"/>
        </w:rPr>
        <w:t>FC arm compared to the FC arm (R</w:t>
      </w:r>
      <w:r w:rsidR="000A6DDA" w:rsidRPr="00386D8E">
        <w:rPr>
          <w:shd w:val="clear" w:color="auto" w:fill="FFFFFF"/>
          <w:lang w:val="en-GB"/>
        </w:rPr>
        <w:noBreakHyphen/>
      </w:r>
      <w:r w:rsidRPr="00386D8E">
        <w:rPr>
          <w:shd w:val="clear" w:color="auto" w:fill="FFFFFF"/>
          <w:lang w:val="en-GB"/>
        </w:rPr>
        <w:t>FC 83% vs. FC 71%)</w:t>
      </w:r>
      <w:r w:rsidRPr="00386D8E">
        <w:rPr>
          <w:szCs w:val="22"/>
          <w:shd w:val="clear" w:color="auto" w:fill="FFFFFF"/>
          <w:lang w:val="en-GB"/>
        </w:rPr>
        <w:t xml:space="preserve">. In the relapsed/refractory CLL study </w:t>
      </w:r>
      <w:r w:rsidRPr="00386D8E">
        <w:rPr>
          <w:shd w:val="clear" w:color="auto" w:fill="FFFFFF"/>
          <w:lang w:val="en-GB"/>
        </w:rPr>
        <w:t xml:space="preserve">grade </w:t>
      </w:r>
      <w:r w:rsidRPr="00386D8E">
        <w:rPr>
          <w:szCs w:val="22"/>
          <w:shd w:val="clear" w:color="auto" w:fill="FFFFFF"/>
          <w:lang w:val="en-GB"/>
        </w:rPr>
        <w:t xml:space="preserve">3/4 </w:t>
      </w:r>
      <w:r w:rsidRPr="00386D8E">
        <w:rPr>
          <w:shd w:val="clear" w:color="auto" w:fill="FFFFFF"/>
          <w:lang w:val="en-GB"/>
        </w:rPr>
        <w:t>thrombocytopenia was reported in 11% of patients in the R</w:t>
      </w:r>
      <w:r w:rsidR="000A6DDA" w:rsidRPr="00386D8E">
        <w:rPr>
          <w:shd w:val="clear" w:color="auto" w:fill="FFFFFF"/>
          <w:lang w:val="en-GB"/>
        </w:rPr>
        <w:noBreakHyphen/>
      </w:r>
      <w:r w:rsidRPr="00386D8E">
        <w:rPr>
          <w:shd w:val="clear" w:color="auto" w:fill="FFFFFF"/>
          <w:lang w:val="en-GB"/>
        </w:rPr>
        <w:t>FC group compared to 9% of patients in the FC group.</w:t>
      </w:r>
      <w:r w:rsidRPr="00386D8E">
        <w:rPr>
          <w:szCs w:val="22"/>
          <w:lang w:val="en-GB"/>
        </w:rPr>
        <w:t xml:space="preserve"> </w:t>
      </w:r>
    </w:p>
    <w:p w14:paraId="7C33210B" w14:textId="77777777" w:rsidR="00F42C18" w:rsidRPr="00386D8E" w:rsidRDefault="00F42C18" w:rsidP="00941759">
      <w:pPr>
        <w:shd w:val="clear" w:color="auto" w:fill="FFFFFF"/>
        <w:rPr>
          <w:lang w:val="en-GB"/>
        </w:rPr>
      </w:pPr>
    </w:p>
    <w:p w14:paraId="7C33210C" w14:textId="77777777" w:rsidR="00F42C18" w:rsidRPr="00F332AF" w:rsidRDefault="00016F29" w:rsidP="00941759">
      <w:pPr>
        <w:shd w:val="clear" w:color="auto" w:fill="FFFFFF"/>
        <w:rPr>
          <w:iCs/>
          <w:szCs w:val="22"/>
          <w:lang w:val="en-GB"/>
        </w:rPr>
      </w:pPr>
      <w:r w:rsidRPr="00941759">
        <w:rPr>
          <w:rFonts w:eastAsia="Arial Unicode MS"/>
          <w:szCs w:val="22"/>
          <w:shd w:val="clear" w:color="auto" w:fill="FFFFFF"/>
          <w:lang w:val="en-GB"/>
        </w:rPr>
        <w:t>In studies of MabThera in patients with Waldenstrom’s macroglobulinaemia, transient increases in serum IgM levels have been observed following treatment initiation, which may be associated with hyperviscosity and related symptoms. The transient IgM increase usually returned to at least baseline level within 4 months</w:t>
      </w:r>
      <w:r w:rsidRPr="001A72EB">
        <w:rPr>
          <w:rFonts w:eastAsia="Arial Unicode MS"/>
          <w:szCs w:val="22"/>
          <w:lang w:val="en-GB"/>
        </w:rPr>
        <w:t>.</w:t>
      </w:r>
    </w:p>
    <w:p w14:paraId="7C33210D" w14:textId="77777777" w:rsidR="003F42D3" w:rsidRPr="00C501E3" w:rsidRDefault="003F42D3" w:rsidP="003F42D3">
      <w:pPr>
        <w:rPr>
          <w:szCs w:val="22"/>
          <w:lang w:val="en-GB"/>
        </w:rPr>
      </w:pPr>
    </w:p>
    <w:p w14:paraId="7C33210E" w14:textId="77777777" w:rsidR="003F42D3" w:rsidRPr="00C501E3" w:rsidRDefault="00016F29" w:rsidP="003F42D3">
      <w:pPr>
        <w:outlineLvl w:val="0"/>
        <w:rPr>
          <w:i/>
          <w:szCs w:val="22"/>
          <w:lang w:val="en-GB"/>
        </w:rPr>
      </w:pPr>
      <w:r w:rsidRPr="00C501E3">
        <w:rPr>
          <w:i/>
          <w:szCs w:val="22"/>
          <w:lang w:val="en-GB"/>
        </w:rPr>
        <w:t>Cardiovascular adverse reactions</w:t>
      </w:r>
    </w:p>
    <w:p w14:paraId="7C33210F" w14:textId="77777777" w:rsidR="003F42D3" w:rsidRPr="00251C85" w:rsidRDefault="00016F29" w:rsidP="003F42D3">
      <w:pPr>
        <w:rPr>
          <w:szCs w:val="22"/>
          <w:lang w:val="en-GB"/>
        </w:rPr>
      </w:pPr>
      <w:r w:rsidRPr="00C501E3">
        <w:rPr>
          <w:szCs w:val="22"/>
          <w:lang w:val="en-GB"/>
        </w:rPr>
        <w:t xml:space="preserve">Cardiovascular reactions during clinical trials with MabThera monotherapy were reported in 18.8% of patients with the most frequently reported events being hypotension and hypertension. Cases of grade 3 or 4 arrhythmia (including ventricular and supraventricular tachycardia) and angina pectoris during infusion were reported. </w:t>
      </w:r>
      <w:r w:rsidRPr="00C501E3">
        <w:rPr>
          <w:lang w:val="en-GB"/>
        </w:rPr>
        <w:t xml:space="preserve">During maintenance treatment, the incidence of grade 3/4 cardiac disorders was comparable between patients treated with MabThera and observation. Cardiac events were reported as serious adverse events (including atrial fibrillation, myocardial infarction, left ventricular failure, myocardial ischemia) in 3% of patients treated with MabThera compared to &lt;1% on observation. In studies evaluating MabThera in combination with chemotherapy, </w:t>
      </w:r>
      <w:r w:rsidRPr="00C501E3">
        <w:rPr>
          <w:szCs w:val="22"/>
          <w:lang w:val="en-GB"/>
        </w:rPr>
        <w:t xml:space="preserve">the incidence of grade 3 and 4 cardiac arrhythmias, predominantly supraventricular arrhythmias such as tachycardia </w:t>
      </w:r>
      <w:r w:rsidRPr="00251C85">
        <w:rPr>
          <w:szCs w:val="22"/>
          <w:lang w:val="en-GB"/>
        </w:rPr>
        <w:t>and atrial flutter/fibrillation, was higher in the R</w:t>
      </w:r>
      <w:r w:rsidR="000A6DDA" w:rsidRPr="00251C85">
        <w:rPr>
          <w:szCs w:val="22"/>
          <w:lang w:val="en-GB"/>
        </w:rPr>
        <w:noBreakHyphen/>
      </w:r>
      <w:r w:rsidRPr="00251C85">
        <w:rPr>
          <w:szCs w:val="22"/>
          <w:lang w:val="en-GB"/>
        </w:rPr>
        <w:t>CHOP group (14 patients, 6.9%) as compared to the CHOP group (3 patients, 1.5%). All of these arrhythmias either occurred in the context of a MabThera infusion or were associated with predisposing conditions such as fever, infection, acute myocardial infarction or pre</w:t>
      </w:r>
      <w:r w:rsidR="000A6DDA" w:rsidRPr="00251C85">
        <w:rPr>
          <w:szCs w:val="22"/>
          <w:lang w:val="en-GB"/>
        </w:rPr>
        <w:noBreakHyphen/>
      </w:r>
      <w:r w:rsidRPr="00251C85">
        <w:rPr>
          <w:szCs w:val="22"/>
          <w:lang w:val="en-GB"/>
        </w:rPr>
        <w:t>existing respiratory and cardiovascular disease. No difference between the R</w:t>
      </w:r>
      <w:r w:rsidR="000A6DDA" w:rsidRPr="00251C85">
        <w:rPr>
          <w:szCs w:val="22"/>
          <w:lang w:val="en-GB"/>
        </w:rPr>
        <w:noBreakHyphen/>
      </w:r>
      <w:r w:rsidRPr="00251C85">
        <w:rPr>
          <w:szCs w:val="22"/>
          <w:lang w:val="en-GB"/>
        </w:rPr>
        <w:t>CHOP</w:t>
      </w:r>
      <w:r w:rsidRPr="00C501E3">
        <w:rPr>
          <w:szCs w:val="22"/>
          <w:lang w:val="en-GB"/>
        </w:rPr>
        <w:t xml:space="preserve"> and CHOP group was observed in the incidence of other grade 3 and 4 cardiac events including heart failure, myocardial disease and manifestations of coronary artery disease</w:t>
      </w:r>
      <w:r w:rsidRPr="00C501E3">
        <w:rPr>
          <w:lang w:val="en-GB"/>
        </w:rPr>
        <w:t xml:space="preserve">. </w:t>
      </w:r>
      <w:r w:rsidR="00F42C18" w:rsidRPr="001A72EB">
        <w:rPr>
          <w:lang w:val="en-GB"/>
        </w:rPr>
        <w:t xml:space="preserve">In CLL, the overall </w:t>
      </w:r>
      <w:r w:rsidR="00F42C18" w:rsidRPr="00251C85">
        <w:rPr>
          <w:lang w:val="en-GB"/>
        </w:rPr>
        <w:t>incidence of grade 3 or 4 cardiac disorders was low both in the first</w:t>
      </w:r>
      <w:r w:rsidR="000A6DDA" w:rsidRPr="00251C85">
        <w:rPr>
          <w:lang w:val="en-GB"/>
        </w:rPr>
        <w:noBreakHyphen/>
      </w:r>
      <w:r w:rsidR="00F42C18" w:rsidRPr="00251C85">
        <w:rPr>
          <w:lang w:val="en-GB"/>
        </w:rPr>
        <w:t>line study (4% R</w:t>
      </w:r>
      <w:r w:rsidR="000A6DDA" w:rsidRPr="00251C85">
        <w:rPr>
          <w:lang w:val="en-GB"/>
        </w:rPr>
        <w:noBreakHyphen/>
      </w:r>
      <w:r w:rsidR="00F42C18" w:rsidRPr="00251C85">
        <w:rPr>
          <w:lang w:val="en-GB"/>
        </w:rPr>
        <w:t>FC, 3% FC) and in the relapsed/refractory study (4% R</w:t>
      </w:r>
      <w:r w:rsidR="000A6DDA" w:rsidRPr="00251C85">
        <w:rPr>
          <w:lang w:val="en-GB"/>
        </w:rPr>
        <w:noBreakHyphen/>
      </w:r>
      <w:r w:rsidR="00F42C18" w:rsidRPr="00251C85">
        <w:rPr>
          <w:lang w:val="en-GB"/>
        </w:rPr>
        <w:t>FC, 4% FC).</w:t>
      </w:r>
    </w:p>
    <w:p w14:paraId="7C332110" w14:textId="77777777" w:rsidR="003F42D3" w:rsidRPr="00251C85" w:rsidRDefault="003F42D3" w:rsidP="003F42D3">
      <w:pPr>
        <w:rPr>
          <w:lang w:val="en-GB"/>
        </w:rPr>
      </w:pPr>
    </w:p>
    <w:p w14:paraId="7C332111" w14:textId="77777777" w:rsidR="003F42D3" w:rsidRPr="00251C85" w:rsidRDefault="00016F29" w:rsidP="003F42D3">
      <w:pPr>
        <w:rPr>
          <w:i/>
          <w:iCs/>
          <w:lang w:val="en-GB"/>
        </w:rPr>
      </w:pPr>
      <w:r w:rsidRPr="00251C85">
        <w:rPr>
          <w:i/>
          <w:iCs/>
          <w:lang w:val="en-GB"/>
        </w:rPr>
        <w:t>Respiratory system</w:t>
      </w:r>
    </w:p>
    <w:p w14:paraId="7C332112" w14:textId="77777777" w:rsidR="003F42D3" w:rsidRPr="00251C85" w:rsidRDefault="00016F29" w:rsidP="003F42D3">
      <w:pPr>
        <w:rPr>
          <w:iCs/>
          <w:lang w:val="en-GB"/>
        </w:rPr>
      </w:pPr>
      <w:r w:rsidRPr="00251C85">
        <w:rPr>
          <w:iCs/>
          <w:lang w:val="en-GB"/>
        </w:rPr>
        <w:t>Cases of interstitial lung disease, some with fatal outcome have been reported.</w:t>
      </w:r>
    </w:p>
    <w:p w14:paraId="7C332113" w14:textId="77777777" w:rsidR="003F42D3" w:rsidRPr="00251C85" w:rsidRDefault="003F42D3" w:rsidP="003F42D3">
      <w:pPr>
        <w:outlineLvl w:val="0"/>
        <w:rPr>
          <w:i/>
          <w:szCs w:val="22"/>
          <w:lang w:val="en-GB"/>
        </w:rPr>
      </w:pPr>
    </w:p>
    <w:p w14:paraId="7C332114" w14:textId="77777777" w:rsidR="003F42D3" w:rsidRPr="00251C85" w:rsidRDefault="00016F29" w:rsidP="006C7FEA">
      <w:pPr>
        <w:keepNext/>
        <w:keepLines/>
        <w:outlineLvl w:val="0"/>
        <w:rPr>
          <w:szCs w:val="22"/>
          <w:lang w:val="en-GB"/>
        </w:rPr>
      </w:pPr>
      <w:r w:rsidRPr="00251C85">
        <w:rPr>
          <w:i/>
          <w:szCs w:val="22"/>
          <w:lang w:val="en-GB"/>
        </w:rPr>
        <w:t>Neurologic disorders</w:t>
      </w:r>
      <w:r w:rsidRPr="00251C85">
        <w:rPr>
          <w:szCs w:val="22"/>
          <w:lang w:val="en-GB"/>
        </w:rPr>
        <w:t xml:space="preserve"> </w:t>
      </w:r>
    </w:p>
    <w:p w14:paraId="7C332115" w14:textId="77777777" w:rsidR="003F42D3" w:rsidRPr="00C14D47" w:rsidRDefault="00016F29" w:rsidP="00030A90">
      <w:pPr>
        <w:keepNext/>
        <w:keepLines/>
        <w:rPr>
          <w:szCs w:val="22"/>
          <w:lang w:val="en-GB"/>
        </w:rPr>
      </w:pPr>
      <w:r w:rsidRPr="00251C85">
        <w:rPr>
          <w:szCs w:val="22"/>
          <w:lang w:val="en-GB"/>
        </w:rPr>
        <w:t xml:space="preserve">During the treatment period </w:t>
      </w:r>
      <w:r w:rsidRPr="00251C85">
        <w:rPr>
          <w:b/>
          <w:szCs w:val="22"/>
          <w:lang w:val="en-GB"/>
        </w:rPr>
        <w:t>(</w:t>
      </w:r>
      <w:r w:rsidRPr="00251C85">
        <w:rPr>
          <w:iCs/>
          <w:lang w:val="en-GB"/>
        </w:rPr>
        <w:t>induction treatment phase comprising of R</w:t>
      </w:r>
      <w:r w:rsidR="000A6DDA" w:rsidRPr="00251C85">
        <w:rPr>
          <w:iCs/>
          <w:lang w:val="en-GB"/>
        </w:rPr>
        <w:noBreakHyphen/>
      </w:r>
      <w:r w:rsidRPr="00251C85">
        <w:rPr>
          <w:iCs/>
          <w:lang w:val="en-GB"/>
        </w:rPr>
        <w:t>CHOP for at most eight cycles)</w:t>
      </w:r>
      <w:r w:rsidRPr="00251C85">
        <w:rPr>
          <w:szCs w:val="22"/>
          <w:lang w:val="en-GB"/>
        </w:rPr>
        <w:t>, four patients (2 %) treated with R</w:t>
      </w:r>
      <w:r w:rsidR="000A6DDA" w:rsidRPr="00251C85">
        <w:rPr>
          <w:szCs w:val="22"/>
          <w:lang w:val="en-GB"/>
        </w:rPr>
        <w:noBreakHyphen/>
      </w:r>
      <w:r w:rsidRPr="00251C85">
        <w:rPr>
          <w:szCs w:val="22"/>
          <w:lang w:val="en-GB"/>
        </w:rPr>
        <w:t>CHOP, all with cardiovascular risk factors, experienced</w:t>
      </w:r>
      <w:r w:rsidRPr="00C501E3">
        <w:rPr>
          <w:szCs w:val="22"/>
          <w:lang w:val="en-GB"/>
        </w:rPr>
        <w:t xml:space="preserve"> thromboembolic cerebrovascular accidents during the first treatment cycle. There was no difference between the treatment groups in the incidence of other thromboembolic events. In contrast, three patients (1.5%) had cerebrovascular events in the CHOP group, all of which occurred during the </w:t>
      </w:r>
      <w:r w:rsidRPr="00C14D47">
        <w:rPr>
          <w:szCs w:val="22"/>
          <w:lang w:val="en-GB"/>
        </w:rPr>
        <w:t>follow</w:t>
      </w:r>
      <w:r w:rsidR="000A6DDA" w:rsidRPr="00C14D47">
        <w:rPr>
          <w:szCs w:val="22"/>
          <w:lang w:val="en-GB"/>
        </w:rPr>
        <w:noBreakHyphen/>
      </w:r>
      <w:r w:rsidRPr="00C14D47">
        <w:rPr>
          <w:szCs w:val="22"/>
          <w:lang w:val="en-GB"/>
        </w:rPr>
        <w:t xml:space="preserve">up period.  </w:t>
      </w:r>
      <w:r w:rsidR="002D3E75" w:rsidRPr="00C14D47">
        <w:rPr>
          <w:szCs w:val="22"/>
          <w:lang w:val="en-GB"/>
        </w:rPr>
        <w:t xml:space="preserve">In CLL, the overall incidence of grade 3 or 4 nervous system disorders was low </w:t>
      </w:r>
      <w:r w:rsidR="002D3E75" w:rsidRPr="00C14D47">
        <w:rPr>
          <w:lang w:val="en-GB"/>
        </w:rPr>
        <w:t>both in the first</w:t>
      </w:r>
      <w:r w:rsidR="000A6DDA" w:rsidRPr="00C14D47">
        <w:rPr>
          <w:lang w:val="en-GB"/>
        </w:rPr>
        <w:noBreakHyphen/>
      </w:r>
      <w:r w:rsidR="002D3E75" w:rsidRPr="00C14D47">
        <w:rPr>
          <w:lang w:val="en-GB"/>
        </w:rPr>
        <w:t xml:space="preserve">line study </w:t>
      </w:r>
      <w:r w:rsidR="002D3E75" w:rsidRPr="00C14D47">
        <w:rPr>
          <w:szCs w:val="22"/>
          <w:lang w:val="en-GB"/>
        </w:rPr>
        <w:t>(4% R</w:t>
      </w:r>
      <w:r w:rsidR="000A6DDA" w:rsidRPr="00C14D47">
        <w:rPr>
          <w:szCs w:val="22"/>
          <w:lang w:val="en-GB"/>
        </w:rPr>
        <w:noBreakHyphen/>
      </w:r>
      <w:r w:rsidR="002D3E75" w:rsidRPr="00C14D47">
        <w:rPr>
          <w:szCs w:val="22"/>
          <w:lang w:val="en-GB"/>
        </w:rPr>
        <w:t xml:space="preserve">FC, 4% FC) </w:t>
      </w:r>
      <w:r w:rsidR="002D3E75" w:rsidRPr="00C14D47">
        <w:rPr>
          <w:lang w:val="en-GB"/>
        </w:rPr>
        <w:t>and in the relapsed/refractory study (3% R</w:t>
      </w:r>
      <w:r w:rsidR="000A6DDA" w:rsidRPr="00C14D47">
        <w:rPr>
          <w:lang w:val="en-GB"/>
        </w:rPr>
        <w:noBreakHyphen/>
      </w:r>
      <w:r w:rsidR="002D3E75" w:rsidRPr="00C14D47">
        <w:rPr>
          <w:lang w:val="en-GB"/>
        </w:rPr>
        <w:t>FC, 3%</w:t>
      </w:r>
      <w:r w:rsidR="00DB359C">
        <w:rPr>
          <w:lang w:val="en-GB"/>
        </w:rPr>
        <w:t xml:space="preserve"> </w:t>
      </w:r>
      <w:r w:rsidR="002D3E75" w:rsidRPr="00C14D47">
        <w:rPr>
          <w:lang w:val="en-GB"/>
        </w:rPr>
        <w:t>FC)</w:t>
      </w:r>
      <w:r w:rsidR="002D3E75" w:rsidRPr="00C14D47">
        <w:rPr>
          <w:szCs w:val="22"/>
          <w:lang w:val="en-GB"/>
        </w:rPr>
        <w:t>.</w:t>
      </w:r>
    </w:p>
    <w:p w14:paraId="7C332116" w14:textId="77777777" w:rsidR="003F42D3" w:rsidRPr="00C14D47" w:rsidRDefault="003F42D3" w:rsidP="003F42D3">
      <w:pPr>
        <w:rPr>
          <w:iCs/>
          <w:lang w:val="en-GB"/>
        </w:rPr>
      </w:pPr>
    </w:p>
    <w:p w14:paraId="7C332117" w14:textId="77777777" w:rsidR="003F42D3" w:rsidRPr="00C14D47" w:rsidRDefault="00016F29" w:rsidP="003F42D3">
      <w:pPr>
        <w:keepNext/>
        <w:keepLines/>
        <w:outlineLvl w:val="0"/>
        <w:rPr>
          <w:lang w:val="en-GB"/>
        </w:rPr>
      </w:pPr>
      <w:r w:rsidRPr="00C14D47">
        <w:rPr>
          <w:lang w:val="en-GB"/>
        </w:rPr>
        <w:t xml:space="preserve">Cases of </w:t>
      </w:r>
      <w:r w:rsidRPr="00C14D47">
        <w:rPr>
          <w:szCs w:val="22"/>
          <w:lang w:val="en-GB"/>
        </w:rPr>
        <w:t>posterior reversible encephalopathy syndrome (PRES) / reversible posterior leukoencephalopathy syndrome (RPLS)</w:t>
      </w:r>
      <w:r w:rsidRPr="00C14D47">
        <w:rPr>
          <w:lang w:val="en-GB"/>
        </w:rPr>
        <w:t xml:space="preserve"> have been reported.</w:t>
      </w:r>
      <w:r w:rsidRPr="00C14D47">
        <w:rPr>
          <w:szCs w:val="22"/>
          <w:lang w:val="en-GB"/>
        </w:rPr>
        <w:t xml:space="preserve"> Signs and symptoms included visual disturbance, headache, seizures and altered mental status, with or without associated hypertension. A diagnosis of PRES/RPLS requires confirmation by brain imaging. The reported cases had recognized risk factors for PRES/RPLS, including the patients’ underlying disease, hypertension, immunosuppressive therapy and/or chemotherapy.</w:t>
      </w:r>
    </w:p>
    <w:p w14:paraId="7C332118" w14:textId="77777777" w:rsidR="003F42D3" w:rsidRPr="00C14D47" w:rsidRDefault="003F42D3" w:rsidP="003F42D3">
      <w:pPr>
        <w:rPr>
          <w:iCs/>
          <w:lang w:val="en-GB"/>
        </w:rPr>
      </w:pPr>
    </w:p>
    <w:p w14:paraId="7C332119" w14:textId="77777777" w:rsidR="003F42D3" w:rsidRPr="00C14D47" w:rsidRDefault="00016F29" w:rsidP="003F42D3">
      <w:pPr>
        <w:keepNext/>
        <w:keepLines/>
        <w:outlineLvl w:val="0"/>
        <w:rPr>
          <w:i/>
          <w:lang w:val="en-GB"/>
        </w:rPr>
      </w:pPr>
      <w:r w:rsidRPr="00C14D47">
        <w:rPr>
          <w:i/>
          <w:lang w:val="en-GB"/>
        </w:rPr>
        <w:t>Gastrointestinal disorders</w:t>
      </w:r>
    </w:p>
    <w:p w14:paraId="7C33211A" w14:textId="77777777" w:rsidR="003F42D3" w:rsidRPr="00C14D47" w:rsidRDefault="00016F29" w:rsidP="003F42D3">
      <w:pPr>
        <w:rPr>
          <w:lang w:val="en-GB"/>
        </w:rPr>
      </w:pPr>
      <w:r w:rsidRPr="00C14D47">
        <w:rPr>
          <w:lang w:val="en-GB"/>
        </w:rPr>
        <w:t>Gastrointestinal perforation in some cases leading to death has been observed in patients receiving MabThera for treatment of Non</w:t>
      </w:r>
      <w:r w:rsidR="000A6DDA" w:rsidRPr="00C14D47">
        <w:rPr>
          <w:lang w:val="en-GB"/>
        </w:rPr>
        <w:noBreakHyphen/>
      </w:r>
      <w:r w:rsidRPr="00C14D47">
        <w:rPr>
          <w:lang w:val="en-GB"/>
        </w:rPr>
        <w:t xml:space="preserve">Hodgkin’s lymphoma (NHL). In the majority of these cases, MabThera was administered with chemotherapy. </w:t>
      </w:r>
    </w:p>
    <w:p w14:paraId="7C33211B" w14:textId="77777777" w:rsidR="003F42D3" w:rsidRPr="00C14D47" w:rsidRDefault="003F42D3" w:rsidP="003F42D3">
      <w:pPr>
        <w:rPr>
          <w:i/>
          <w:snapToGrid w:val="0"/>
          <w:szCs w:val="22"/>
          <w:lang w:val="en-GB"/>
        </w:rPr>
      </w:pPr>
    </w:p>
    <w:p w14:paraId="7C33211C" w14:textId="77777777" w:rsidR="003F42D3" w:rsidRPr="00C501E3" w:rsidRDefault="00016F29" w:rsidP="003F42D3">
      <w:pPr>
        <w:keepNext/>
        <w:outlineLvl w:val="0"/>
        <w:rPr>
          <w:lang w:val="en-GB"/>
        </w:rPr>
      </w:pPr>
      <w:r w:rsidRPr="00C501E3">
        <w:rPr>
          <w:i/>
          <w:lang w:val="en-GB"/>
        </w:rPr>
        <w:t>IgG levels</w:t>
      </w:r>
    </w:p>
    <w:p w14:paraId="7C33211D" w14:textId="77777777" w:rsidR="003F42D3" w:rsidRPr="00C501E3" w:rsidRDefault="00016F29" w:rsidP="003F42D3">
      <w:pPr>
        <w:rPr>
          <w:lang w:val="en-GB"/>
        </w:rPr>
      </w:pPr>
      <w:r w:rsidRPr="00C501E3">
        <w:rPr>
          <w:lang w:val="en-GB"/>
        </w:rPr>
        <w:t>In the clinical trial evaluating MabThera maintenance treatment in relapsed/refractory follicular lymphoma, median IgG levels were below the lower limit of normal (LLN) (&lt; 7 g/L) after induction treatment in both the observation and the MabThera groups. In the observation group, the median IgG level subsequently increased to above the LLN, but remained constant in the MabThera group. The proportion of patients with IgG levels below the LLN was about 60% in the MabThera group throughout the 2 year treatment period, while it decreased in the observation group (36% after 2 years).</w:t>
      </w:r>
    </w:p>
    <w:p w14:paraId="7C33211E" w14:textId="77777777" w:rsidR="003F42D3" w:rsidRPr="00C501E3" w:rsidRDefault="003F42D3" w:rsidP="003F42D3">
      <w:pPr>
        <w:rPr>
          <w:snapToGrid w:val="0"/>
          <w:szCs w:val="22"/>
          <w:lang w:val="en-GB"/>
        </w:rPr>
      </w:pPr>
    </w:p>
    <w:p w14:paraId="7C33211F" w14:textId="77777777" w:rsidR="003F42D3" w:rsidRPr="00C501E3" w:rsidRDefault="00016F29" w:rsidP="003F42D3">
      <w:pPr>
        <w:rPr>
          <w:rFonts w:cs="Arial"/>
          <w:i/>
          <w:lang w:val="en-GB"/>
        </w:rPr>
      </w:pPr>
      <w:r w:rsidRPr="00C501E3">
        <w:rPr>
          <w:rFonts w:cs="Arial"/>
          <w:i/>
          <w:lang w:val="en-GB"/>
        </w:rPr>
        <w:t>Skin and subcutaneous tissue disorders</w:t>
      </w:r>
    </w:p>
    <w:p w14:paraId="7C332120" w14:textId="77777777" w:rsidR="003F42D3" w:rsidRPr="000E2610" w:rsidRDefault="00016F29" w:rsidP="003F42D3">
      <w:pPr>
        <w:rPr>
          <w:lang w:val="en-GB"/>
        </w:rPr>
      </w:pPr>
      <w:r w:rsidRPr="000E2610">
        <w:rPr>
          <w:lang w:val="en-GB"/>
        </w:rPr>
        <w:t>Toxic Epidermal Necrolysis (</w:t>
      </w:r>
      <w:r w:rsidRPr="000E2610">
        <w:rPr>
          <w:iCs/>
          <w:lang w:val="en-GB"/>
        </w:rPr>
        <w:t xml:space="preserve">Lyell Syndrome) </w:t>
      </w:r>
      <w:r w:rsidRPr="000E2610">
        <w:rPr>
          <w:lang w:val="en-GB"/>
        </w:rPr>
        <w:t>and Stevens</w:t>
      </w:r>
      <w:r w:rsidR="000A6DDA" w:rsidRPr="000E2610">
        <w:rPr>
          <w:lang w:val="en-GB"/>
        </w:rPr>
        <w:noBreakHyphen/>
      </w:r>
      <w:r w:rsidRPr="000E2610">
        <w:rPr>
          <w:lang w:val="en-GB"/>
        </w:rPr>
        <w:t>Johnson syndrome, some with fatal outcome, have been reported very rarely.</w:t>
      </w:r>
    </w:p>
    <w:p w14:paraId="7C332121" w14:textId="77777777" w:rsidR="003F42D3" w:rsidRPr="000E2610" w:rsidRDefault="003F42D3" w:rsidP="003F42D3">
      <w:pPr>
        <w:rPr>
          <w:snapToGrid w:val="0"/>
          <w:szCs w:val="22"/>
          <w:lang w:val="en-GB"/>
        </w:rPr>
      </w:pPr>
    </w:p>
    <w:p w14:paraId="7C332122" w14:textId="77777777" w:rsidR="003F42D3" w:rsidRPr="000E2610" w:rsidRDefault="00016F29" w:rsidP="003F42D3">
      <w:pPr>
        <w:outlineLvl w:val="0"/>
        <w:rPr>
          <w:i/>
          <w:snapToGrid w:val="0"/>
          <w:szCs w:val="22"/>
          <w:lang w:val="en-GB"/>
        </w:rPr>
      </w:pPr>
      <w:r w:rsidRPr="000E2610">
        <w:rPr>
          <w:i/>
          <w:snapToGrid w:val="0"/>
          <w:szCs w:val="22"/>
          <w:lang w:val="en-GB"/>
        </w:rPr>
        <w:t xml:space="preserve">Patient subpopulations </w:t>
      </w:r>
      <w:r w:rsidR="000A6DDA" w:rsidRPr="000E2610">
        <w:rPr>
          <w:i/>
          <w:snapToGrid w:val="0"/>
          <w:szCs w:val="22"/>
          <w:lang w:val="en-GB"/>
        </w:rPr>
        <w:noBreakHyphen/>
      </w:r>
      <w:r w:rsidRPr="000E2610">
        <w:rPr>
          <w:i/>
          <w:snapToGrid w:val="0"/>
          <w:szCs w:val="22"/>
          <w:lang w:val="en-GB"/>
        </w:rPr>
        <w:t xml:space="preserve"> MabThera monotherapy</w:t>
      </w:r>
    </w:p>
    <w:p w14:paraId="7C332123" w14:textId="77777777" w:rsidR="003F42D3" w:rsidRPr="000E2610" w:rsidRDefault="00016F29" w:rsidP="003F42D3">
      <w:pPr>
        <w:rPr>
          <w:szCs w:val="22"/>
          <w:lang w:val="en-GB"/>
        </w:rPr>
      </w:pPr>
      <w:r w:rsidRPr="000E2610">
        <w:rPr>
          <w:szCs w:val="22"/>
          <w:lang w:val="en-GB"/>
        </w:rPr>
        <w:t>Elderly (</w:t>
      </w:r>
      <w:r w:rsidRPr="00E06A78">
        <w:rPr>
          <w:rFonts w:ascii="Symbol" w:hAnsi="Symbol"/>
          <w:lang w:val="en-GB"/>
        </w:rPr>
        <w:sym w:font="Symbol" w:char="F0B3"/>
      </w:r>
      <w:r w:rsidRPr="000E2610">
        <w:rPr>
          <w:szCs w:val="22"/>
          <w:lang w:val="en-GB"/>
        </w:rPr>
        <w:t xml:space="preserve"> 65 years): </w:t>
      </w:r>
    </w:p>
    <w:p w14:paraId="7C332124" w14:textId="77777777" w:rsidR="003F42D3" w:rsidRPr="000E2610" w:rsidRDefault="00016F29" w:rsidP="003F42D3">
      <w:pPr>
        <w:rPr>
          <w:szCs w:val="22"/>
          <w:lang w:val="en-GB"/>
        </w:rPr>
      </w:pPr>
      <w:r w:rsidRPr="000E2610">
        <w:rPr>
          <w:szCs w:val="22"/>
          <w:lang w:val="en-GB"/>
        </w:rPr>
        <w:t xml:space="preserve">The incidence of ADRs of all grades and grade 3 /4 ADR was similar in elderly patients compared to younger patients (&lt;65 years). </w:t>
      </w:r>
    </w:p>
    <w:p w14:paraId="7C332125" w14:textId="77777777" w:rsidR="003F42D3" w:rsidRPr="000E2610" w:rsidRDefault="003F42D3" w:rsidP="003F42D3">
      <w:pPr>
        <w:rPr>
          <w:b/>
          <w:i/>
          <w:snapToGrid w:val="0"/>
          <w:szCs w:val="22"/>
          <w:lang w:val="en-GB"/>
        </w:rPr>
      </w:pPr>
    </w:p>
    <w:p w14:paraId="7C332126" w14:textId="77777777" w:rsidR="003F42D3" w:rsidRPr="000E2610" w:rsidRDefault="00016F29" w:rsidP="003F42D3">
      <w:pPr>
        <w:keepNext/>
        <w:keepLines/>
        <w:outlineLvl w:val="0"/>
        <w:rPr>
          <w:szCs w:val="22"/>
          <w:lang w:val="en-GB"/>
        </w:rPr>
      </w:pPr>
      <w:r w:rsidRPr="000E2610">
        <w:rPr>
          <w:szCs w:val="22"/>
          <w:lang w:val="en-GB"/>
        </w:rPr>
        <w:t>Bulky disease:</w:t>
      </w:r>
    </w:p>
    <w:p w14:paraId="7C332127" w14:textId="77777777" w:rsidR="003F42D3" w:rsidRPr="00C501E3" w:rsidRDefault="00016F29" w:rsidP="003F42D3">
      <w:pPr>
        <w:keepNext/>
        <w:keepLines/>
        <w:rPr>
          <w:szCs w:val="22"/>
          <w:lang w:val="en-GB"/>
        </w:rPr>
      </w:pPr>
      <w:r w:rsidRPr="000E2610">
        <w:rPr>
          <w:szCs w:val="22"/>
          <w:lang w:val="en-GB"/>
        </w:rPr>
        <w:t>There was a higher incidence of grade 3/4 ADRs in patients with bulky disease than in patients</w:t>
      </w:r>
      <w:r w:rsidRPr="00C501E3">
        <w:rPr>
          <w:szCs w:val="22"/>
          <w:lang w:val="en-GB"/>
        </w:rPr>
        <w:t xml:space="preserve"> without bulky disease (25.6 % vs. 15.4 %). The incidence of ADRs of any grade was similar in these two groups.</w:t>
      </w:r>
    </w:p>
    <w:p w14:paraId="7C332128" w14:textId="77777777" w:rsidR="003F42D3" w:rsidRPr="00C501E3" w:rsidRDefault="003F42D3" w:rsidP="003F42D3">
      <w:pPr>
        <w:rPr>
          <w:szCs w:val="22"/>
          <w:lang w:val="en-GB"/>
        </w:rPr>
      </w:pPr>
    </w:p>
    <w:p w14:paraId="7C332129" w14:textId="77777777" w:rsidR="003F42D3" w:rsidRPr="002176E5" w:rsidRDefault="00016F29" w:rsidP="003F42D3">
      <w:pPr>
        <w:rPr>
          <w:szCs w:val="22"/>
          <w:lang w:val="en-GB"/>
        </w:rPr>
      </w:pPr>
      <w:r w:rsidRPr="002176E5">
        <w:rPr>
          <w:szCs w:val="22"/>
          <w:lang w:val="en-GB"/>
        </w:rPr>
        <w:t>Re</w:t>
      </w:r>
      <w:r w:rsidR="000A6DDA" w:rsidRPr="002176E5">
        <w:rPr>
          <w:szCs w:val="22"/>
          <w:lang w:val="en-GB"/>
        </w:rPr>
        <w:noBreakHyphen/>
      </w:r>
      <w:r w:rsidRPr="002176E5">
        <w:rPr>
          <w:szCs w:val="22"/>
          <w:lang w:val="en-GB"/>
        </w:rPr>
        <w:t>treatment:</w:t>
      </w:r>
    </w:p>
    <w:p w14:paraId="7C33212A" w14:textId="77777777" w:rsidR="003F42D3" w:rsidRDefault="00016F29" w:rsidP="003F42D3">
      <w:pPr>
        <w:rPr>
          <w:szCs w:val="22"/>
          <w:lang w:val="en-GB"/>
        </w:rPr>
      </w:pPr>
      <w:r w:rsidRPr="002176E5">
        <w:rPr>
          <w:szCs w:val="22"/>
          <w:lang w:val="en-GB"/>
        </w:rPr>
        <w:t>The percentage of patients reporting ADRs upon re</w:t>
      </w:r>
      <w:r w:rsidR="000A6DDA" w:rsidRPr="002176E5">
        <w:rPr>
          <w:szCs w:val="22"/>
          <w:lang w:val="en-GB"/>
        </w:rPr>
        <w:noBreakHyphen/>
      </w:r>
      <w:r w:rsidRPr="002176E5">
        <w:rPr>
          <w:szCs w:val="22"/>
          <w:lang w:val="en-GB"/>
        </w:rPr>
        <w:t>treatment with further courses of MabThera was similar to the percentage of patients reporting ADRs upon initial exposure (any grade and grade 3/4</w:t>
      </w:r>
      <w:r w:rsidRPr="00C501E3">
        <w:rPr>
          <w:szCs w:val="22"/>
          <w:lang w:val="en-GB"/>
        </w:rPr>
        <w:t xml:space="preserve"> ADRs).</w:t>
      </w:r>
    </w:p>
    <w:p w14:paraId="7C33212B" w14:textId="77777777" w:rsidR="000F00A4" w:rsidRDefault="000F00A4" w:rsidP="00941759">
      <w:pPr>
        <w:shd w:val="clear" w:color="auto" w:fill="FFFFFF"/>
        <w:rPr>
          <w:szCs w:val="22"/>
          <w:lang w:val="en-GB"/>
        </w:rPr>
      </w:pPr>
    </w:p>
    <w:p w14:paraId="7C33212C" w14:textId="77777777" w:rsidR="003F3658" w:rsidRPr="00080D78" w:rsidRDefault="00016F29" w:rsidP="005A4B98">
      <w:pPr>
        <w:keepNext/>
        <w:keepLines/>
        <w:rPr>
          <w:i/>
          <w:snapToGrid w:val="0"/>
          <w:szCs w:val="22"/>
          <w:lang w:val="en-GB"/>
        </w:rPr>
      </w:pPr>
      <w:r w:rsidRPr="00080D78">
        <w:rPr>
          <w:i/>
          <w:snapToGrid w:val="0"/>
          <w:szCs w:val="22"/>
          <w:lang w:val="en-GB"/>
        </w:rPr>
        <w:t xml:space="preserve">Patient subpopulations </w:t>
      </w:r>
      <w:r w:rsidR="000A6DDA" w:rsidRPr="00080D78">
        <w:rPr>
          <w:i/>
          <w:snapToGrid w:val="0"/>
          <w:szCs w:val="22"/>
          <w:lang w:val="en-GB"/>
        </w:rPr>
        <w:noBreakHyphen/>
      </w:r>
      <w:r w:rsidRPr="00080D78">
        <w:rPr>
          <w:i/>
          <w:snapToGrid w:val="0"/>
          <w:szCs w:val="22"/>
          <w:lang w:val="en-GB"/>
        </w:rPr>
        <w:t xml:space="preserve"> MabThera combination therapy</w:t>
      </w:r>
    </w:p>
    <w:p w14:paraId="7C33212D" w14:textId="77777777" w:rsidR="003F3658" w:rsidRPr="00080D78" w:rsidRDefault="00016F29" w:rsidP="005A4B98">
      <w:pPr>
        <w:keepNext/>
        <w:keepLines/>
        <w:rPr>
          <w:szCs w:val="22"/>
          <w:lang w:val="en-GB"/>
        </w:rPr>
      </w:pPr>
      <w:r w:rsidRPr="00080D78">
        <w:rPr>
          <w:szCs w:val="22"/>
          <w:lang w:val="en-GB"/>
        </w:rPr>
        <w:t>Elderly (</w:t>
      </w:r>
      <w:r w:rsidRPr="00E06A78">
        <w:rPr>
          <w:rFonts w:ascii="Symbol" w:hAnsi="Symbol"/>
          <w:lang w:val="en-GB"/>
        </w:rPr>
        <w:sym w:font="Symbol" w:char="F0B3"/>
      </w:r>
      <w:r w:rsidRPr="00080D78">
        <w:rPr>
          <w:szCs w:val="22"/>
          <w:lang w:val="en-GB"/>
        </w:rPr>
        <w:t xml:space="preserve"> 65 years) </w:t>
      </w:r>
    </w:p>
    <w:p w14:paraId="7C33212E" w14:textId="77777777" w:rsidR="003F3658" w:rsidRPr="00080D78" w:rsidRDefault="00016F29" w:rsidP="005A4B98">
      <w:pPr>
        <w:rPr>
          <w:lang w:val="en-GB"/>
        </w:rPr>
      </w:pPr>
      <w:r w:rsidRPr="00080D78">
        <w:rPr>
          <w:lang w:val="en-GB"/>
        </w:rPr>
        <w:t>The incidence of grade</w:t>
      </w:r>
      <w:r w:rsidRPr="00080D78">
        <w:rPr>
          <w:szCs w:val="22"/>
          <w:lang w:val="en-GB"/>
        </w:rPr>
        <w:t xml:space="preserve"> 3/4 </w:t>
      </w:r>
      <w:r w:rsidRPr="00080D78">
        <w:rPr>
          <w:lang w:val="en-GB"/>
        </w:rPr>
        <w:t>blood and lymphatic adverse events was higher in elderly patients</w:t>
      </w:r>
      <w:r w:rsidRPr="00080D78">
        <w:rPr>
          <w:shd w:val="clear" w:color="auto" w:fill="00B050"/>
          <w:lang w:val="en-GB"/>
        </w:rPr>
        <w:t xml:space="preserve"> </w:t>
      </w:r>
      <w:r w:rsidRPr="00080D78">
        <w:rPr>
          <w:lang w:val="en-GB"/>
        </w:rPr>
        <w:t xml:space="preserve">compared to younger patients </w:t>
      </w:r>
      <w:r w:rsidRPr="00080D78">
        <w:rPr>
          <w:szCs w:val="22"/>
          <w:lang w:val="en-GB"/>
        </w:rPr>
        <w:t>(&lt;65 years)</w:t>
      </w:r>
      <w:r w:rsidRPr="00080D78">
        <w:rPr>
          <w:lang w:val="en-GB"/>
        </w:rPr>
        <w:t>, with previously untreated or relapsed/refractory CLL.</w:t>
      </w:r>
    </w:p>
    <w:p w14:paraId="7C33212F" w14:textId="77777777" w:rsidR="003F42D3" w:rsidRPr="00080D78" w:rsidRDefault="003F42D3" w:rsidP="00941759">
      <w:pPr>
        <w:shd w:val="clear" w:color="auto" w:fill="FFFFFF"/>
        <w:rPr>
          <w:szCs w:val="22"/>
          <w:lang w:val="en-GB"/>
        </w:rPr>
      </w:pPr>
    </w:p>
    <w:p w14:paraId="7C332130" w14:textId="77777777" w:rsidR="003F42D3" w:rsidRPr="00080D78" w:rsidRDefault="00016F29" w:rsidP="006C7FEA">
      <w:pPr>
        <w:keepNext/>
        <w:keepLines/>
        <w:autoSpaceDE w:val="0"/>
        <w:autoSpaceDN w:val="0"/>
        <w:adjustRightInd w:val="0"/>
        <w:rPr>
          <w:szCs w:val="22"/>
          <w:u w:val="single"/>
          <w:lang w:val="en-GB"/>
        </w:rPr>
      </w:pPr>
      <w:r w:rsidRPr="00080D78">
        <w:rPr>
          <w:szCs w:val="22"/>
          <w:u w:val="single"/>
          <w:lang w:val="en-GB"/>
        </w:rPr>
        <w:t>Reporting of suspected adverse reactions</w:t>
      </w:r>
    </w:p>
    <w:p w14:paraId="7C332131" w14:textId="77777777" w:rsidR="003F42D3" w:rsidRPr="00080D78" w:rsidRDefault="003F42D3" w:rsidP="006C7FEA">
      <w:pPr>
        <w:keepNext/>
        <w:keepLines/>
        <w:autoSpaceDE w:val="0"/>
        <w:autoSpaceDN w:val="0"/>
        <w:adjustRightInd w:val="0"/>
        <w:rPr>
          <w:b/>
          <w:szCs w:val="22"/>
          <w:u w:val="single"/>
          <w:lang w:val="en-GB"/>
        </w:rPr>
      </w:pPr>
    </w:p>
    <w:p w14:paraId="7C332132" w14:textId="77777777" w:rsidR="003F42D3" w:rsidRPr="00080D78" w:rsidRDefault="00016F29" w:rsidP="006C7FEA">
      <w:pPr>
        <w:keepNext/>
        <w:keepLines/>
        <w:outlineLvl w:val="0"/>
        <w:rPr>
          <w:szCs w:val="22"/>
          <w:lang w:val="en-GB"/>
        </w:rPr>
      </w:pPr>
      <w:r w:rsidRPr="00080D78">
        <w:rPr>
          <w:szCs w:val="22"/>
          <w:lang w:val="en-GB"/>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080D78">
        <w:rPr>
          <w:szCs w:val="22"/>
          <w:shd w:val="clear" w:color="auto" w:fill="BFBFBF"/>
          <w:lang w:val="en-GB"/>
        </w:rPr>
        <w:t xml:space="preserve">the national reporting system listed in </w:t>
      </w:r>
      <w:hyperlink r:id="rId20" w:history="1">
        <w:r w:rsidRPr="00080D78">
          <w:rPr>
            <w:color w:val="0000FF"/>
            <w:u w:val="single"/>
            <w:shd w:val="clear" w:color="auto" w:fill="BFBFBF"/>
            <w:lang w:val="en-GB"/>
          </w:rPr>
          <w:t>App</w:t>
        </w:r>
        <w:bookmarkStart w:id="14" w:name="_Hlt531783512"/>
        <w:bookmarkStart w:id="15" w:name="_Hlt531783513"/>
        <w:r w:rsidRPr="00080D78">
          <w:rPr>
            <w:color w:val="0000FF"/>
            <w:u w:val="single"/>
            <w:shd w:val="clear" w:color="auto" w:fill="BFBFBF"/>
            <w:lang w:val="en-GB"/>
          </w:rPr>
          <w:t>e</w:t>
        </w:r>
        <w:bookmarkEnd w:id="14"/>
        <w:bookmarkEnd w:id="15"/>
        <w:r w:rsidRPr="00080D78">
          <w:rPr>
            <w:color w:val="0000FF"/>
            <w:u w:val="single"/>
            <w:shd w:val="clear" w:color="auto" w:fill="BFBFBF"/>
            <w:lang w:val="en-GB"/>
          </w:rPr>
          <w:t>ndix V</w:t>
        </w:r>
      </w:hyperlink>
      <w:r w:rsidRPr="00080D78">
        <w:rPr>
          <w:color w:val="0000FF"/>
          <w:lang w:val="en-GB"/>
        </w:rPr>
        <w:t>.</w:t>
      </w:r>
    </w:p>
    <w:p w14:paraId="7C332133" w14:textId="77777777" w:rsidR="003F42D3" w:rsidRPr="00080D78" w:rsidRDefault="003F42D3" w:rsidP="00383DC8">
      <w:pPr>
        <w:rPr>
          <w:lang w:val="en-GB"/>
        </w:rPr>
      </w:pPr>
    </w:p>
    <w:p w14:paraId="7C332134" w14:textId="77777777" w:rsidR="003F42D3" w:rsidRPr="00080D78" w:rsidRDefault="00016F29" w:rsidP="003F42D3">
      <w:pPr>
        <w:outlineLvl w:val="0"/>
        <w:rPr>
          <w:szCs w:val="22"/>
          <w:lang w:val="en-GB"/>
        </w:rPr>
      </w:pPr>
      <w:r w:rsidRPr="00080D78">
        <w:rPr>
          <w:b/>
          <w:szCs w:val="22"/>
          <w:lang w:val="en-GB"/>
        </w:rPr>
        <w:t>4.9</w:t>
      </w:r>
      <w:r w:rsidRPr="00080D78">
        <w:rPr>
          <w:b/>
          <w:szCs w:val="22"/>
          <w:lang w:val="en-GB"/>
        </w:rPr>
        <w:tab/>
        <w:t>Overdose</w:t>
      </w:r>
    </w:p>
    <w:p w14:paraId="7C332135" w14:textId="77777777" w:rsidR="003F42D3" w:rsidRPr="00080D78" w:rsidRDefault="003F42D3" w:rsidP="003F42D3">
      <w:pPr>
        <w:rPr>
          <w:szCs w:val="22"/>
          <w:lang w:val="en-GB"/>
        </w:rPr>
      </w:pPr>
    </w:p>
    <w:p w14:paraId="7C332136" w14:textId="77777777" w:rsidR="003F42D3" w:rsidRPr="00080D78" w:rsidRDefault="00016F29" w:rsidP="003F42D3">
      <w:pPr>
        <w:rPr>
          <w:lang w:val="en-GB"/>
        </w:rPr>
      </w:pPr>
      <w:r w:rsidRPr="00080D78">
        <w:rPr>
          <w:lang w:val="en-GB"/>
        </w:rPr>
        <w:t>Limited experience with doses higher than the approved dose of intravenous MabThera formulation is available from clinical trials in humans. The highest intravenous dose of MabThera tested in humans to date is 5000 mg (2250 mg/m</w:t>
      </w:r>
      <w:r w:rsidRPr="00080D78">
        <w:rPr>
          <w:vertAlign w:val="superscript"/>
          <w:lang w:val="en-GB"/>
        </w:rPr>
        <w:t>2</w:t>
      </w:r>
      <w:r w:rsidRPr="00080D78">
        <w:rPr>
          <w:lang w:val="en-GB"/>
        </w:rPr>
        <w:t xml:space="preserve">), tested in a dose escalation study in patients with </w:t>
      </w:r>
      <w:r w:rsidR="007D4E4A" w:rsidRPr="00080D78">
        <w:rPr>
          <w:lang w:val="en-GB"/>
        </w:rPr>
        <w:t>CLL</w:t>
      </w:r>
      <w:r w:rsidRPr="00080D78">
        <w:rPr>
          <w:lang w:val="en-GB"/>
        </w:rPr>
        <w:t>. No additional safety signals were identified.</w:t>
      </w:r>
    </w:p>
    <w:p w14:paraId="7C332137" w14:textId="77777777" w:rsidR="003F42D3" w:rsidRPr="00080D78" w:rsidRDefault="00016F29" w:rsidP="003F42D3">
      <w:pPr>
        <w:rPr>
          <w:lang w:val="en-GB"/>
        </w:rPr>
      </w:pPr>
      <w:r w:rsidRPr="00080D78">
        <w:rPr>
          <w:lang w:val="en-GB"/>
        </w:rPr>
        <w:t>Patients who experience overdose should have immediate interruption of their infusion and be closely monitored.</w:t>
      </w:r>
    </w:p>
    <w:p w14:paraId="7C332138" w14:textId="77777777" w:rsidR="003F42D3" w:rsidRPr="00080D78" w:rsidRDefault="003F42D3" w:rsidP="003F42D3">
      <w:pPr>
        <w:rPr>
          <w:lang w:val="en-GB"/>
        </w:rPr>
      </w:pPr>
    </w:p>
    <w:p w14:paraId="7C332139" w14:textId="77777777" w:rsidR="003F42D3" w:rsidRPr="00080D78" w:rsidRDefault="00016F29" w:rsidP="00783510">
      <w:pPr>
        <w:rPr>
          <w:lang w:val="en-GB"/>
        </w:rPr>
      </w:pPr>
      <w:r w:rsidRPr="00080D78">
        <w:rPr>
          <w:lang w:val="en-GB"/>
        </w:rPr>
        <w:t xml:space="preserve">Three </w:t>
      </w:r>
      <w:r w:rsidR="00783510" w:rsidRPr="00080D78">
        <w:rPr>
          <w:lang w:val="en-GB"/>
        </w:rPr>
        <w:t xml:space="preserve"> patient</w:t>
      </w:r>
      <w:r w:rsidRPr="00080D78">
        <w:rPr>
          <w:lang w:val="en-GB"/>
        </w:rPr>
        <w:t>s</w:t>
      </w:r>
      <w:r w:rsidR="00783510" w:rsidRPr="00080D78">
        <w:rPr>
          <w:lang w:val="en-GB"/>
        </w:rPr>
        <w:t xml:space="preserve"> in the MabThera subcutaneous </w:t>
      </w:r>
      <w:r w:rsidR="00B7023B" w:rsidRPr="00080D78">
        <w:rPr>
          <w:lang w:val="en-GB"/>
        </w:rPr>
        <w:t xml:space="preserve">NHL </w:t>
      </w:r>
      <w:r w:rsidR="00783510" w:rsidRPr="00080D78">
        <w:rPr>
          <w:lang w:val="en-GB"/>
        </w:rPr>
        <w:t xml:space="preserve">formulation trial </w:t>
      </w:r>
      <w:r w:rsidRPr="00080D78">
        <w:rPr>
          <w:lang w:val="en-GB"/>
        </w:rPr>
        <w:t>SABRINA (</w:t>
      </w:r>
      <w:r w:rsidR="00783510" w:rsidRPr="00080D78">
        <w:rPr>
          <w:lang w:val="en-GB"/>
        </w:rPr>
        <w:t>BO22334</w:t>
      </w:r>
      <w:r w:rsidRPr="00080D78">
        <w:rPr>
          <w:lang w:val="en-GB"/>
        </w:rPr>
        <w:t>) were</w:t>
      </w:r>
      <w:r w:rsidR="00783510" w:rsidRPr="00080D78">
        <w:rPr>
          <w:lang w:val="en-GB"/>
        </w:rPr>
        <w:t xml:space="preserve"> inadvertently </w:t>
      </w:r>
      <w:r w:rsidRPr="00080D78">
        <w:rPr>
          <w:lang w:val="en-GB"/>
        </w:rPr>
        <w:t xml:space="preserve">adminstered </w:t>
      </w:r>
      <w:r w:rsidR="00783510" w:rsidRPr="00080D78">
        <w:rPr>
          <w:lang w:val="en-GB"/>
        </w:rPr>
        <w:t xml:space="preserve">subcutaneous formulation  </w:t>
      </w:r>
      <w:r w:rsidRPr="00080D78">
        <w:rPr>
          <w:lang w:val="en-GB"/>
        </w:rPr>
        <w:t xml:space="preserve">through </w:t>
      </w:r>
      <w:r w:rsidR="00783510" w:rsidRPr="00080D78">
        <w:rPr>
          <w:lang w:val="en-GB"/>
        </w:rPr>
        <w:t>the intravenous route</w:t>
      </w:r>
      <w:r w:rsidRPr="00080D78">
        <w:rPr>
          <w:lang w:val="en-GB"/>
        </w:rPr>
        <w:t xml:space="preserve"> </w:t>
      </w:r>
      <w:r w:rsidRPr="00080D78">
        <w:rPr>
          <w:szCs w:val="22"/>
          <w:lang w:val="en-GB"/>
        </w:rPr>
        <w:t xml:space="preserve">up to a maximum rituximab dose of 2780 mg </w:t>
      </w:r>
      <w:r w:rsidR="00783510" w:rsidRPr="00080D78">
        <w:rPr>
          <w:lang w:val="en-GB"/>
        </w:rPr>
        <w:t>with no untoward effect.</w:t>
      </w:r>
      <w:r w:rsidR="00783510" w:rsidRPr="00080D78">
        <w:rPr>
          <w:color w:val="FF0000"/>
          <w:u w:val="single"/>
          <w:lang w:val="en-GB"/>
        </w:rPr>
        <w:t xml:space="preserve"> </w:t>
      </w:r>
    </w:p>
    <w:p w14:paraId="7C33213A" w14:textId="77777777" w:rsidR="003F42D3" w:rsidRPr="00080D78" w:rsidRDefault="00016F29" w:rsidP="003F42D3">
      <w:pPr>
        <w:rPr>
          <w:lang w:val="en-GB"/>
        </w:rPr>
      </w:pPr>
      <w:r w:rsidRPr="00080D78">
        <w:rPr>
          <w:lang w:val="en-GB"/>
        </w:rPr>
        <w:t xml:space="preserve">Patients who experience overdose or medication error </w:t>
      </w:r>
      <w:r w:rsidR="00957DBA" w:rsidRPr="00080D78">
        <w:rPr>
          <w:lang w:val="en-GB"/>
        </w:rPr>
        <w:t xml:space="preserve">with MabThera </w:t>
      </w:r>
      <w:r w:rsidRPr="00080D78">
        <w:rPr>
          <w:lang w:val="en-GB"/>
        </w:rPr>
        <w:t>should be closely monitored.</w:t>
      </w:r>
    </w:p>
    <w:p w14:paraId="7C33213B" w14:textId="77777777" w:rsidR="003F42D3" w:rsidRPr="00080D78" w:rsidRDefault="003F42D3" w:rsidP="003F42D3">
      <w:pPr>
        <w:rPr>
          <w:szCs w:val="22"/>
          <w:lang w:val="en-GB"/>
        </w:rPr>
      </w:pPr>
    </w:p>
    <w:p w14:paraId="7C33213C" w14:textId="77777777" w:rsidR="003F42D3" w:rsidRPr="00080D78" w:rsidRDefault="00016F29" w:rsidP="003F42D3">
      <w:pPr>
        <w:rPr>
          <w:u w:val="single"/>
          <w:lang w:val="en-GB"/>
        </w:rPr>
      </w:pPr>
      <w:r w:rsidRPr="00080D78">
        <w:rPr>
          <w:szCs w:val="22"/>
          <w:lang w:val="en-GB"/>
        </w:rPr>
        <w:t>In the post</w:t>
      </w:r>
      <w:r w:rsidR="000A6DDA" w:rsidRPr="00080D78">
        <w:rPr>
          <w:szCs w:val="22"/>
          <w:lang w:val="en-GB"/>
        </w:rPr>
        <w:noBreakHyphen/>
      </w:r>
      <w:r w:rsidRPr="00080D78">
        <w:rPr>
          <w:szCs w:val="22"/>
          <w:lang w:val="en-GB"/>
        </w:rPr>
        <w:t>marketing setting five cases of MabThera overdose have been reported. Three cases had no reported adverse event. The two adverse events that were reported were flu</w:t>
      </w:r>
      <w:r w:rsidR="000A6DDA" w:rsidRPr="00080D78">
        <w:rPr>
          <w:szCs w:val="22"/>
          <w:lang w:val="en-GB"/>
        </w:rPr>
        <w:noBreakHyphen/>
      </w:r>
      <w:r w:rsidRPr="00080D78">
        <w:rPr>
          <w:szCs w:val="22"/>
          <w:lang w:val="en-GB"/>
        </w:rPr>
        <w:t>like symptoms, with a dose of 1.8 g of rituximab and fatal respiratory failure, with a dose of 2 g of rituximab.</w:t>
      </w:r>
    </w:p>
    <w:p w14:paraId="7C33213D" w14:textId="77777777" w:rsidR="003F42D3" w:rsidRPr="00C501E3" w:rsidRDefault="003F42D3" w:rsidP="003F42D3">
      <w:pPr>
        <w:rPr>
          <w:szCs w:val="22"/>
          <w:lang w:val="en-GB"/>
        </w:rPr>
      </w:pPr>
    </w:p>
    <w:p w14:paraId="7C33213E" w14:textId="77777777" w:rsidR="003F42D3" w:rsidRPr="00C501E3" w:rsidRDefault="003F42D3" w:rsidP="003F42D3">
      <w:pPr>
        <w:rPr>
          <w:szCs w:val="22"/>
          <w:lang w:val="en-GB"/>
        </w:rPr>
      </w:pPr>
    </w:p>
    <w:p w14:paraId="7C33213F" w14:textId="77777777" w:rsidR="003F42D3" w:rsidRPr="00C501E3" w:rsidRDefault="00016F29" w:rsidP="003F42D3">
      <w:pPr>
        <w:keepNext/>
        <w:keepLines/>
        <w:ind w:left="567" w:hanging="567"/>
        <w:outlineLvl w:val="0"/>
        <w:rPr>
          <w:szCs w:val="22"/>
          <w:lang w:val="en-GB"/>
        </w:rPr>
      </w:pPr>
      <w:r w:rsidRPr="00C501E3">
        <w:rPr>
          <w:b/>
          <w:szCs w:val="22"/>
          <w:lang w:val="en-GB"/>
        </w:rPr>
        <w:t>5.</w:t>
      </w:r>
      <w:r w:rsidRPr="00C501E3">
        <w:rPr>
          <w:b/>
          <w:szCs w:val="22"/>
          <w:lang w:val="en-GB"/>
        </w:rPr>
        <w:tab/>
        <w:t>PHARMACOLOGICAL PROPERTIES</w:t>
      </w:r>
    </w:p>
    <w:p w14:paraId="7C332140" w14:textId="77777777" w:rsidR="003F42D3" w:rsidRPr="00C501E3" w:rsidRDefault="003F42D3" w:rsidP="003F42D3">
      <w:pPr>
        <w:keepNext/>
        <w:keepLines/>
        <w:rPr>
          <w:szCs w:val="22"/>
          <w:lang w:val="en-GB"/>
        </w:rPr>
      </w:pPr>
    </w:p>
    <w:p w14:paraId="7C332141" w14:textId="77777777" w:rsidR="003F42D3" w:rsidRPr="00C501E3" w:rsidRDefault="00016F29" w:rsidP="003F42D3">
      <w:pPr>
        <w:keepNext/>
        <w:keepLines/>
        <w:ind w:left="567" w:hanging="567"/>
        <w:outlineLvl w:val="0"/>
        <w:rPr>
          <w:szCs w:val="22"/>
          <w:lang w:val="en-GB"/>
        </w:rPr>
      </w:pPr>
      <w:r w:rsidRPr="00C501E3">
        <w:rPr>
          <w:b/>
          <w:szCs w:val="22"/>
          <w:lang w:val="en-GB"/>
        </w:rPr>
        <w:t>5.1</w:t>
      </w:r>
      <w:r w:rsidRPr="00C501E3">
        <w:rPr>
          <w:b/>
          <w:szCs w:val="22"/>
          <w:lang w:val="en-GB"/>
        </w:rPr>
        <w:tab/>
        <w:t>Pharmacodynamic properties</w:t>
      </w:r>
    </w:p>
    <w:p w14:paraId="7C332142" w14:textId="77777777" w:rsidR="003F42D3" w:rsidRPr="00C501E3" w:rsidRDefault="003F42D3" w:rsidP="003F42D3">
      <w:pPr>
        <w:keepNext/>
        <w:keepLines/>
        <w:rPr>
          <w:szCs w:val="22"/>
          <w:lang w:val="en-GB"/>
        </w:rPr>
      </w:pPr>
    </w:p>
    <w:p w14:paraId="7C332143" w14:textId="77777777" w:rsidR="003F42D3" w:rsidRPr="00080D78" w:rsidRDefault="00016F29" w:rsidP="003F42D3">
      <w:pPr>
        <w:keepNext/>
        <w:keepLines/>
        <w:outlineLvl w:val="0"/>
        <w:rPr>
          <w:i/>
          <w:szCs w:val="22"/>
          <w:lang w:val="en-GB"/>
        </w:rPr>
      </w:pPr>
      <w:r w:rsidRPr="00080D78">
        <w:rPr>
          <w:szCs w:val="22"/>
          <w:lang w:val="en-GB"/>
        </w:rPr>
        <w:t>Pharmacotherapeutic group: antineoplastic agents</w:t>
      </w:r>
      <w:r w:rsidRPr="00080D78">
        <w:rPr>
          <w:i/>
          <w:szCs w:val="22"/>
          <w:lang w:val="en-GB"/>
        </w:rPr>
        <w:t>,</w:t>
      </w:r>
      <w:r w:rsidRPr="00080D78">
        <w:rPr>
          <w:szCs w:val="22"/>
          <w:lang w:val="en-GB"/>
        </w:rPr>
        <w:t xml:space="preserve"> monoclonal antibodies, ATC code: L01X C02</w:t>
      </w:r>
    </w:p>
    <w:p w14:paraId="7C332144" w14:textId="77777777" w:rsidR="003F42D3" w:rsidRPr="00080D78" w:rsidRDefault="003F42D3" w:rsidP="003F42D3">
      <w:pPr>
        <w:rPr>
          <w:szCs w:val="22"/>
          <w:lang w:val="en-GB"/>
        </w:rPr>
      </w:pPr>
    </w:p>
    <w:p w14:paraId="7C332145" w14:textId="77777777" w:rsidR="003F42D3" w:rsidRPr="00080D78" w:rsidRDefault="00016F29" w:rsidP="003F42D3">
      <w:pPr>
        <w:rPr>
          <w:rFonts w:eastAsia="SimSun"/>
          <w:szCs w:val="24"/>
          <w:lang w:val="en-GB" w:eastAsia="zh-CN"/>
        </w:rPr>
      </w:pPr>
      <w:r w:rsidRPr="00080D78">
        <w:rPr>
          <w:rFonts w:eastAsia="SimSun"/>
          <w:szCs w:val="24"/>
          <w:lang w:val="en-GB" w:eastAsia="zh-CN"/>
        </w:rPr>
        <w:t>MabThera subcutaneous formulation contains recombinant human hyaluronidase (rHuPH20), an enzyme used to increase the dispersion and absorption of co</w:t>
      </w:r>
      <w:r w:rsidR="000A6DDA" w:rsidRPr="00080D78">
        <w:rPr>
          <w:rFonts w:eastAsia="SimSun"/>
          <w:szCs w:val="24"/>
          <w:lang w:val="en-GB" w:eastAsia="zh-CN"/>
        </w:rPr>
        <w:noBreakHyphen/>
      </w:r>
      <w:r w:rsidRPr="00080D78">
        <w:rPr>
          <w:rFonts w:eastAsia="SimSun"/>
          <w:szCs w:val="24"/>
          <w:lang w:val="en-GB" w:eastAsia="zh-CN"/>
        </w:rPr>
        <w:t>administered substances when administered subcutaneously.</w:t>
      </w:r>
    </w:p>
    <w:p w14:paraId="7C332146" w14:textId="77777777" w:rsidR="003F42D3" w:rsidRPr="00080D78" w:rsidRDefault="003F42D3" w:rsidP="003F42D3">
      <w:pPr>
        <w:rPr>
          <w:szCs w:val="22"/>
          <w:lang w:val="en-GB"/>
        </w:rPr>
      </w:pPr>
    </w:p>
    <w:p w14:paraId="7C332147" w14:textId="77777777" w:rsidR="003F42D3" w:rsidRPr="00080D78" w:rsidRDefault="00016F29" w:rsidP="003F42D3">
      <w:pPr>
        <w:rPr>
          <w:szCs w:val="22"/>
          <w:lang w:val="en-GB"/>
        </w:rPr>
      </w:pPr>
      <w:r w:rsidRPr="00080D78">
        <w:rPr>
          <w:szCs w:val="22"/>
          <w:lang w:val="en-GB"/>
        </w:rPr>
        <w:t>Rituximab binds specifically to the transmembrane antigen, CD20, a non</w:t>
      </w:r>
      <w:r w:rsidR="000A6DDA" w:rsidRPr="00080D78">
        <w:rPr>
          <w:szCs w:val="22"/>
          <w:lang w:val="en-GB"/>
        </w:rPr>
        <w:noBreakHyphen/>
      </w:r>
      <w:r w:rsidRPr="00080D78">
        <w:rPr>
          <w:szCs w:val="22"/>
          <w:lang w:val="en-GB"/>
        </w:rPr>
        <w:t>glycosylated phosphoprotein, located on pre</w:t>
      </w:r>
      <w:r w:rsidR="000A6DDA" w:rsidRPr="00080D78">
        <w:rPr>
          <w:szCs w:val="22"/>
          <w:lang w:val="en-GB"/>
        </w:rPr>
        <w:noBreakHyphen/>
      </w:r>
      <w:r w:rsidRPr="00080D78">
        <w:rPr>
          <w:szCs w:val="22"/>
          <w:lang w:val="en-GB"/>
        </w:rPr>
        <w:t xml:space="preserve">B and mature B lymphocytes. The antigen is expressed on </w:t>
      </w:r>
      <w:r w:rsidRPr="00E06A78">
        <w:rPr>
          <w:rFonts w:ascii="Symbol" w:hAnsi="Symbol"/>
          <w:lang w:val="en-GB"/>
        </w:rPr>
        <w:sym w:font="Symbol" w:char="F03E"/>
      </w:r>
      <w:r w:rsidRPr="00080D78">
        <w:rPr>
          <w:szCs w:val="22"/>
          <w:lang w:val="en-GB"/>
        </w:rPr>
        <w:t>95 % of all B cell non</w:t>
      </w:r>
      <w:r w:rsidR="000A6DDA" w:rsidRPr="00080D78">
        <w:rPr>
          <w:szCs w:val="22"/>
          <w:lang w:val="en-GB"/>
        </w:rPr>
        <w:noBreakHyphen/>
      </w:r>
      <w:r w:rsidRPr="00080D78">
        <w:rPr>
          <w:szCs w:val="22"/>
          <w:lang w:val="en-GB"/>
        </w:rPr>
        <w:t xml:space="preserve">Hodgkin’s lymphomas. </w:t>
      </w:r>
    </w:p>
    <w:p w14:paraId="7C332148" w14:textId="77777777" w:rsidR="003F42D3" w:rsidRPr="00C501E3" w:rsidRDefault="003F42D3" w:rsidP="003F42D3">
      <w:pPr>
        <w:rPr>
          <w:szCs w:val="22"/>
          <w:lang w:val="en-GB"/>
        </w:rPr>
      </w:pPr>
    </w:p>
    <w:p w14:paraId="7C332149" w14:textId="77777777" w:rsidR="003F42D3" w:rsidRPr="00080D78" w:rsidRDefault="00016F29" w:rsidP="003F42D3">
      <w:pPr>
        <w:rPr>
          <w:szCs w:val="22"/>
          <w:lang w:val="en-GB"/>
        </w:rPr>
      </w:pPr>
      <w:r w:rsidRPr="00080D78">
        <w:rPr>
          <w:szCs w:val="22"/>
          <w:lang w:val="en-GB"/>
        </w:rPr>
        <w:t>CD20 is found on both normal and malignant B cells, but not on haematopoietic stem cells, pro</w:t>
      </w:r>
      <w:r w:rsidR="000A6DDA" w:rsidRPr="00080D78">
        <w:rPr>
          <w:szCs w:val="22"/>
          <w:lang w:val="en-GB"/>
        </w:rPr>
        <w:noBreakHyphen/>
      </w:r>
      <w:r w:rsidRPr="00080D78">
        <w:rPr>
          <w:szCs w:val="22"/>
          <w:lang w:val="en-GB"/>
        </w:rPr>
        <w:t>B cells, normal plasma cells or other normal tissue. This antigen does not internalise upon antibody binding and is not shed from the cell surface. CD20 does not circulate in the plasma as a free antigen and, thus, does not compete for antibody binding.</w:t>
      </w:r>
    </w:p>
    <w:p w14:paraId="7C33214A" w14:textId="77777777" w:rsidR="003F42D3" w:rsidRPr="00080D78" w:rsidRDefault="003F42D3" w:rsidP="003F42D3">
      <w:pPr>
        <w:rPr>
          <w:szCs w:val="22"/>
          <w:lang w:val="en-GB"/>
        </w:rPr>
      </w:pPr>
    </w:p>
    <w:p w14:paraId="7C33214B" w14:textId="77777777" w:rsidR="003F42D3" w:rsidRPr="00080D78" w:rsidRDefault="00016F29" w:rsidP="003F42D3">
      <w:pPr>
        <w:rPr>
          <w:strike/>
          <w:szCs w:val="22"/>
          <w:lang w:val="en-GB"/>
        </w:rPr>
      </w:pPr>
      <w:r w:rsidRPr="00080D78">
        <w:rPr>
          <w:szCs w:val="22"/>
          <w:lang w:val="en-GB"/>
        </w:rPr>
        <w:t>The Fab domain of rituximab binds to the CD20 antigen on B lymphocytes and the Fc domain can recruit immune effector functions to mediate B cell lysis. Possible mechanisms of effector</w:t>
      </w:r>
      <w:r w:rsidR="000A6DDA" w:rsidRPr="00080D78">
        <w:rPr>
          <w:szCs w:val="22"/>
          <w:lang w:val="en-GB"/>
        </w:rPr>
        <w:noBreakHyphen/>
      </w:r>
      <w:r w:rsidRPr="00080D78">
        <w:rPr>
          <w:szCs w:val="22"/>
          <w:lang w:val="en-GB"/>
        </w:rPr>
        <w:t>mediated cell lysis include complement</w:t>
      </w:r>
      <w:r w:rsidR="000A6DDA" w:rsidRPr="00080D78">
        <w:rPr>
          <w:szCs w:val="22"/>
          <w:lang w:val="en-GB"/>
        </w:rPr>
        <w:noBreakHyphen/>
      </w:r>
      <w:r w:rsidRPr="00080D78">
        <w:rPr>
          <w:szCs w:val="22"/>
          <w:lang w:val="en-GB"/>
        </w:rPr>
        <w:t>dependent cytotoxicity (CDC) resulting from C1q binding, and antibody</w:t>
      </w:r>
      <w:r w:rsidR="000A6DDA" w:rsidRPr="00080D78">
        <w:rPr>
          <w:szCs w:val="22"/>
          <w:lang w:val="en-GB"/>
        </w:rPr>
        <w:noBreakHyphen/>
      </w:r>
      <w:r w:rsidRPr="00080D78">
        <w:rPr>
          <w:szCs w:val="22"/>
          <w:lang w:val="en-GB"/>
        </w:rPr>
        <w:t>dependent cellular cytotoxicity (ADCC) mediated by one or more of the Fc</w:t>
      </w:r>
      <w:r w:rsidRPr="00E06A78">
        <w:rPr>
          <w:rFonts w:ascii="Symbol" w:hAnsi="Symbol"/>
          <w:lang w:val="en-GB"/>
        </w:rPr>
        <w:sym w:font="Symbol" w:char="F067"/>
      </w:r>
      <w:r w:rsidRPr="00080D78">
        <w:rPr>
          <w:szCs w:val="22"/>
          <w:lang w:val="en-GB"/>
        </w:rPr>
        <w:t xml:space="preserve"> receptors on the surface of granulocytes, macrophages and NK cells. Rituximab binding to CD 20 antigen on B lymphocytes has also been demonstrated to induce cell death via apoptosis.</w:t>
      </w:r>
    </w:p>
    <w:p w14:paraId="7C33214C" w14:textId="77777777" w:rsidR="003F42D3" w:rsidRPr="00080D78" w:rsidRDefault="003F42D3" w:rsidP="003F42D3">
      <w:pPr>
        <w:rPr>
          <w:szCs w:val="22"/>
          <w:lang w:val="en-GB"/>
        </w:rPr>
      </w:pPr>
    </w:p>
    <w:p w14:paraId="7C33214D" w14:textId="77777777" w:rsidR="003F42D3" w:rsidRPr="00080D78" w:rsidRDefault="00016F29" w:rsidP="006A4D12">
      <w:pPr>
        <w:rPr>
          <w:szCs w:val="22"/>
          <w:lang w:val="en-GB"/>
        </w:rPr>
      </w:pPr>
      <w:r w:rsidRPr="00080D78">
        <w:rPr>
          <w:szCs w:val="22"/>
          <w:lang w:val="en-GB"/>
        </w:rPr>
        <w:t xml:space="preserve">Peripheral B cell counts declined below normal following completion of the first dose of MabThera. In patients treated for hematological malignancies, B cell recovery began within 6 months of treatment and generally returned to normal levels within 12 months after completion of therapy, although in some patients this may take longer </w:t>
      </w:r>
      <w:r w:rsidRPr="00080D78">
        <w:rPr>
          <w:lang w:val="en-GB"/>
        </w:rPr>
        <w:t>(up to a median recovery time of 23 months post</w:t>
      </w:r>
      <w:r w:rsidR="000A6DDA" w:rsidRPr="00080D78">
        <w:rPr>
          <w:lang w:val="en-GB"/>
        </w:rPr>
        <w:noBreakHyphen/>
      </w:r>
      <w:r w:rsidRPr="00080D78">
        <w:rPr>
          <w:lang w:val="en-GB"/>
        </w:rPr>
        <w:t>induction therapy)</w:t>
      </w:r>
      <w:r w:rsidRPr="00080D78">
        <w:rPr>
          <w:szCs w:val="22"/>
          <w:lang w:val="en-GB"/>
        </w:rPr>
        <w:t>. In rheumatoid arthritis patients, immediate depletion of B cells in the peripheral blood was observed following two infusions of 1000 mg MabThera separated by a 14 day interval. Peripheral blood B cell counts begin to increase from week 24 and evidence for repopulation is observed in the majority of patients by week 40, whether MabThera was administered as monotherapy or in combination with methotrexate.</w:t>
      </w:r>
    </w:p>
    <w:p w14:paraId="7C33214E" w14:textId="77777777" w:rsidR="003F42D3" w:rsidRPr="00080D78" w:rsidRDefault="003F42D3" w:rsidP="003F42D3">
      <w:pPr>
        <w:keepNext/>
        <w:keepLines/>
        <w:rPr>
          <w:szCs w:val="22"/>
          <w:lang w:val="en-GB"/>
        </w:rPr>
      </w:pPr>
    </w:p>
    <w:p w14:paraId="7C33214F" w14:textId="77777777" w:rsidR="006A0C3A" w:rsidRPr="00080D78" w:rsidRDefault="00016F29" w:rsidP="005B2928">
      <w:pPr>
        <w:keepNext/>
        <w:keepLines/>
        <w:rPr>
          <w:rFonts w:eastAsia="SimSun"/>
          <w:szCs w:val="22"/>
          <w:u w:val="single"/>
          <w:lang w:val="en-GB" w:eastAsia="zh-CN"/>
        </w:rPr>
      </w:pPr>
      <w:r w:rsidRPr="00080D78">
        <w:rPr>
          <w:rFonts w:eastAsia="SimSun"/>
          <w:szCs w:val="22"/>
          <w:u w:val="single"/>
          <w:lang w:val="en-GB" w:eastAsia="zh-CN"/>
        </w:rPr>
        <w:t>Clinical experience of MabThera subcutaneous formulation in chronic lymphocytic leuk</w:t>
      </w:r>
      <w:r w:rsidR="006174ED" w:rsidRPr="00080D78">
        <w:rPr>
          <w:rFonts w:eastAsia="SimSun"/>
          <w:szCs w:val="22"/>
          <w:u w:val="single"/>
          <w:lang w:val="en-GB" w:eastAsia="zh-CN"/>
        </w:rPr>
        <w:t>a</w:t>
      </w:r>
      <w:r w:rsidRPr="00080D78">
        <w:rPr>
          <w:rFonts w:eastAsia="SimSun"/>
          <w:szCs w:val="22"/>
          <w:u w:val="single"/>
          <w:lang w:val="en-GB" w:eastAsia="zh-CN"/>
        </w:rPr>
        <w:t>emia</w:t>
      </w:r>
    </w:p>
    <w:p w14:paraId="7C332150" w14:textId="77777777" w:rsidR="006A0C3A" w:rsidRPr="00080D78" w:rsidRDefault="006A0C3A" w:rsidP="00BB3CC8">
      <w:pPr>
        <w:keepNext/>
        <w:keepLines/>
        <w:rPr>
          <w:szCs w:val="22"/>
          <w:lang w:val="en-GB"/>
        </w:rPr>
      </w:pPr>
    </w:p>
    <w:p w14:paraId="7C332151" w14:textId="77777777" w:rsidR="00DD2AC8" w:rsidRDefault="00016F29" w:rsidP="00790BE4">
      <w:pPr>
        <w:rPr>
          <w:noProof/>
        </w:rPr>
      </w:pPr>
      <w:r w:rsidRPr="00080D78">
        <w:t>A two</w:t>
      </w:r>
      <w:r w:rsidR="000A6DDA" w:rsidRPr="00080D78">
        <w:noBreakHyphen/>
      </w:r>
      <w:r w:rsidRPr="00080D78">
        <w:t>part phase Ib, multicenter, randomized, open</w:t>
      </w:r>
      <w:r w:rsidR="000A6DDA" w:rsidRPr="00080D78">
        <w:noBreakHyphen/>
      </w:r>
      <w:r w:rsidRPr="00080D78">
        <w:t>label, parallel</w:t>
      </w:r>
      <w:r w:rsidR="000A6DDA" w:rsidRPr="00080D78">
        <w:noBreakHyphen/>
      </w:r>
      <w:r w:rsidRPr="00080D78">
        <w:t xml:space="preserve">group trial </w:t>
      </w:r>
      <w:r w:rsidR="006C73BE">
        <w:t xml:space="preserve">(SAWYER BO25341) </w:t>
      </w:r>
      <w:r w:rsidRPr="00080D78">
        <w:t>was conducted in patients with previously untreated CLL, to investigate the non</w:t>
      </w:r>
      <w:r w:rsidR="000A6DDA" w:rsidRPr="00080D78">
        <w:noBreakHyphen/>
      </w:r>
      <w:r w:rsidRPr="00080D78">
        <w:t xml:space="preserve">inferiority of the pharmacokinetic profile, together with efficacy and safety of MabThera subcutaneous formulation in combination with </w:t>
      </w:r>
      <w:r w:rsidRPr="00080D78">
        <w:rPr>
          <w:noProof/>
        </w:rPr>
        <w:t>chemotherapy.</w:t>
      </w:r>
    </w:p>
    <w:p w14:paraId="7C332152" w14:textId="77777777" w:rsidR="00FD3CBB" w:rsidRPr="00080D78" w:rsidRDefault="00FD3CBB" w:rsidP="00790BE4">
      <w:pPr>
        <w:rPr>
          <w:noProof/>
        </w:rPr>
      </w:pPr>
    </w:p>
    <w:p w14:paraId="7C332153" w14:textId="77777777" w:rsidR="00DD2AC8" w:rsidRPr="00080D78" w:rsidRDefault="00016F29" w:rsidP="00BB3CC8">
      <w:r w:rsidRPr="00080D78">
        <w:t>The objective of the Part 1 was to select a MabThera subcutaneous formulation dose that resulted in comparable MabThera serum C</w:t>
      </w:r>
      <w:r w:rsidRPr="00080D78">
        <w:rPr>
          <w:vertAlign w:val="subscript"/>
        </w:rPr>
        <w:t>trough</w:t>
      </w:r>
      <w:r w:rsidRPr="00080D78">
        <w:t xml:space="preserve"> levels compared with MabThera intravenous formulation. </w:t>
      </w:r>
      <w:r w:rsidR="008C4187" w:rsidRPr="00080D78">
        <w:t xml:space="preserve">A </w:t>
      </w:r>
      <w:r w:rsidR="006C73BE">
        <w:t>total</w:t>
      </w:r>
      <w:r w:rsidR="006C73BE" w:rsidRPr="00080D78">
        <w:t xml:space="preserve"> </w:t>
      </w:r>
      <w:r w:rsidR="008C4187" w:rsidRPr="00080D78">
        <w:t xml:space="preserve">of </w:t>
      </w:r>
      <w:r w:rsidR="00F600F2" w:rsidRPr="00080D78">
        <w:t xml:space="preserve">64 patients with CLL </w:t>
      </w:r>
      <w:r w:rsidRPr="00080D78">
        <w:t xml:space="preserve">were enrolled at any point </w:t>
      </w:r>
      <w:r w:rsidR="006C73BE">
        <w:t xml:space="preserve">prior to cycle 5 </w:t>
      </w:r>
      <w:r w:rsidRPr="00080D78">
        <w:t xml:space="preserve">during their treatment with MabThera intravenous formulation in combination with </w:t>
      </w:r>
      <w:r w:rsidR="003F3658" w:rsidRPr="00080D78">
        <w:t>chemotherapy.</w:t>
      </w:r>
      <w:r w:rsidRPr="00080D78">
        <w:t xml:space="preserve"> The dose of 1600</w:t>
      </w:r>
      <w:r w:rsidR="003F3658" w:rsidRPr="00080D78">
        <w:t xml:space="preserve"> </w:t>
      </w:r>
      <w:r w:rsidRPr="00080D78">
        <w:t>mg of MabThera subcutaneous formulation was selected for the Part 2 of the study.</w:t>
      </w:r>
    </w:p>
    <w:p w14:paraId="7C332154" w14:textId="77777777" w:rsidR="00DD2AC8" w:rsidRPr="00080D78" w:rsidRDefault="00DD2AC8" w:rsidP="00BB3CC8">
      <w:pPr>
        <w:jc w:val="both"/>
      </w:pPr>
    </w:p>
    <w:p w14:paraId="7C332155" w14:textId="77777777" w:rsidR="00DD2AC8" w:rsidRPr="00080D78" w:rsidRDefault="00016F29" w:rsidP="00142E95">
      <w:pPr>
        <w:keepNext/>
        <w:keepLines/>
      </w:pPr>
      <w:r w:rsidRPr="00080D78">
        <w:t>The objective of the Part 2 was to establish the non</w:t>
      </w:r>
      <w:r w:rsidR="000A6DDA" w:rsidRPr="00080D78">
        <w:noBreakHyphen/>
      </w:r>
      <w:r w:rsidRPr="00080D78">
        <w:t>inferiority in observed C</w:t>
      </w:r>
      <w:r w:rsidRPr="00080D78">
        <w:rPr>
          <w:vertAlign w:val="subscript"/>
        </w:rPr>
        <w:t>trough</w:t>
      </w:r>
      <w:r w:rsidRPr="00080D78">
        <w:t xml:space="preserve"> levels between the </w:t>
      </w:r>
      <w:r w:rsidR="006C73BE">
        <w:t>selected</w:t>
      </w:r>
      <w:r w:rsidR="006C73BE" w:rsidRPr="00080D78">
        <w:t xml:space="preserve"> </w:t>
      </w:r>
      <w:r w:rsidRPr="00080D78">
        <w:t>MabThera subcutaneous dose and the reference MabThera intravenous dose.</w:t>
      </w:r>
    </w:p>
    <w:p w14:paraId="7C332156" w14:textId="77777777" w:rsidR="00DD2AC8" w:rsidRPr="00080D78" w:rsidRDefault="00016F29" w:rsidP="00142E95">
      <w:pPr>
        <w:keepNext/>
        <w:keepLines/>
      </w:pPr>
      <w:r w:rsidRPr="00080D78">
        <w:t xml:space="preserve">A </w:t>
      </w:r>
      <w:r w:rsidR="006C73BE">
        <w:t xml:space="preserve">total </w:t>
      </w:r>
      <w:r w:rsidRPr="00080D78">
        <w:t xml:space="preserve">of </w:t>
      </w:r>
      <w:r w:rsidR="00F600F2" w:rsidRPr="00080D78">
        <w:t>176 patients with CLL</w:t>
      </w:r>
      <w:r w:rsidRPr="00080D78">
        <w:t xml:space="preserve"> were randomized into the following two treatment groups:</w:t>
      </w:r>
    </w:p>
    <w:p w14:paraId="7C332157" w14:textId="77777777" w:rsidR="00DD2AC8" w:rsidRPr="00080D78" w:rsidRDefault="00DD2AC8" w:rsidP="00142E95">
      <w:pPr>
        <w:keepNext/>
        <w:keepLines/>
        <w:jc w:val="both"/>
      </w:pPr>
    </w:p>
    <w:p w14:paraId="7C332158" w14:textId="77777777" w:rsidR="00DD2AC8" w:rsidRPr="00080D78" w:rsidRDefault="00016F29" w:rsidP="00BB3CC8">
      <w:pPr>
        <w:ind w:left="714" w:hanging="357"/>
      </w:pPr>
      <w:r w:rsidRPr="00E06A78">
        <w:rPr>
          <w:rFonts w:ascii="Symbol" w:hAnsi="Symbol"/>
        </w:rPr>
        <w:sym w:font="Symbol" w:char="F0B7"/>
      </w:r>
      <w:r w:rsidRPr="00080D78">
        <w:tab/>
        <w:t>MabThera subcutaneous (n= 88); 1</w:t>
      </w:r>
      <w:r w:rsidRPr="00080D78">
        <w:rPr>
          <w:vertAlign w:val="superscript"/>
        </w:rPr>
        <w:t>st</w:t>
      </w:r>
      <w:r w:rsidRPr="00080D78">
        <w:t xml:space="preserve"> cycle of MabThera intravenous 375 mg/m</w:t>
      </w:r>
      <w:r w:rsidRPr="00080D78">
        <w:rPr>
          <w:vertAlign w:val="superscript"/>
        </w:rPr>
        <w:t>2</w:t>
      </w:r>
      <w:r w:rsidRPr="00080D78">
        <w:t xml:space="preserve"> in combination with chemotherapy plus subsequent cycles (2</w:t>
      </w:r>
      <w:r w:rsidR="000A6DDA" w:rsidRPr="00080D78">
        <w:noBreakHyphen/>
      </w:r>
      <w:r w:rsidRPr="00080D78">
        <w:t>6) of MabThera subcutaneous 1600mg in combination with chemotherapy.</w:t>
      </w:r>
    </w:p>
    <w:p w14:paraId="7C332159" w14:textId="77777777" w:rsidR="00DD2AC8" w:rsidRPr="00080D78" w:rsidRDefault="00DD2AC8" w:rsidP="00BB3CC8">
      <w:pPr>
        <w:jc w:val="both"/>
      </w:pPr>
    </w:p>
    <w:p w14:paraId="7C33215A" w14:textId="77777777" w:rsidR="00DD2AC8" w:rsidRPr="008C69AC" w:rsidRDefault="00016F29" w:rsidP="00BB3CC8">
      <w:pPr>
        <w:ind w:left="714" w:hanging="357"/>
        <w:rPr>
          <w:rFonts w:cs="Arial"/>
        </w:rPr>
      </w:pPr>
      <w:r w:rsidRPr="00E06A78">
        <w:rPr>
          <w:rFonts w:ascii="Symbol" w:hAnsi="Symbol"/>
        </w:rPr>
        <w:sym w:font="Symbol" w:char="F0B7"/>
      </w:r>
      <w:r w:rsidRPr="008C69AC">
        <w:rPr>
          <w:rFonts w:cs="Arial"/>
        </w:rPr>
        <w:tab/>
        <w:t>MabThera intravenous (n= 88)</w:t>
      </w:r>
      <w:r w:rsidR="006C73BE">
        <w:rPr>
          <w:rFonts w:cs="Arial"/>
        </w:rPr>
        <w:t>;</w:t>
      </w:r>
      <w:r w:rsidRPr="008C69AC">
        <w:rPr>
          <w:rFonts w:cs="Arial"/>
        </w:rPr>
        <w:t xml:space="preserve"> 1</w:t>
      </w:r>
      <w:r w:rsidRPr="008C69AC">
        <w:rPr>
          <w:rFonts w:cs="Arial"/>
          <w:vertAlign w:val="superscript"/>
        </w:rPr>
        <w:t>st</w:t>
      </w:r>
      <w:r w:rsidRPr="008C69AC">
        <w:rPr>
          <w:rFonts w:cs="Arial"/>
        </w:rPr>
        <w:t xml:space="preserve"> cycle of MabThera intravenous 375 mg/m</w:t>
      </w:r>
      <w:r w:rsidRPr="008C69AC">
        <w:rPr>
          <w:rFonts w:cs="Arial"/>
          <w:vertAlign w:val="superscript"/>
        </w:rPr>
        <w:t>2</w:t>
      </w:r>
      <w:r w:rsidRPr="008C69AC">
        <w:rPr>
          <w:vertAlign w:val="superscript"/>
        </w:rPr>
        <w:t xml:space="preserve"> </w:t>
      </w:r>
      <w:r w:rsidRPr="008C69AC">
        <w:t>in combination with chemotherapy followed by up to 5 cycles of MabThera intravenous 500 mg/m</w:t>
      </w:r>
      <w:r w:rsidRPr="008C69AC">
        <w:rPr>
          <w:vertAlign w:val="superscript"/>
        </w:rPr>
        <w:t xml:space="preserve">2 </w:t>
      </w:r>
      <w:r w:rsidRPr="008C69AC">
        <w:rPr>
          <w:rFonts w:cs="Arial"/>
        </w:rPr>
        <w:t>in combination with chemotherapy.</w:t>
      </w:r>
    </w:p>
    <w:p w14:paraId="7C33215B" w14:textId="77777777" w:rsidR="006C73BE" w:rsidRDefault="00016F29" w:rsidP="006C73BE">
      <w:pPr>
        <w:autoSpaceDE w:val="0"/>
        <w:autoSpaceDN w:val="0"/>
        <w:adjustRightInd w:val="0"/>
        <w:rPr>
          <w:szCs w:val="22"/>
          <w:lang w:eastAsia="zh-CN"/>
        </w:rPr>
      </w:pPr>
      <w:r>
        <w:rPr>
          <w:szCs w:val="22"/>
        </w:rPr>
        <w:t xml:space="preserve">The response rates for the </w:t>
      </w:r>
      <w:r w:rsidRPr="007152D5">
        <w:rPr>
          <w:szCs w:val="22"/>
          <w:lang w:eastAsia="zh-CN"/>
        </w:rPr>
        <w:t xml:space="preserve">analysis of </w:t>
      </w:r>
      <w:r>
        <w:rPr>
          <w:szCs w:val="22"/>
          <w:lang w:eastAsia="zh-CN"/>
        </w:rPr>
        <w:t>176</w:t>
      </w:r>
      <w:r w:rsidRPr="007152D5">
        <w:rPr>
          <w:szCs w:val="22"/>
          <w:lang w:eastAsia="zh-CN"/>
        </w:rPr>
        <w:t xml:space="preserve"> patients in SA</w:t>
      </w:r>
      <w:r>
        <w:rPr>
          <w:szCs w:val="22"/>
          <w:lang w:eastAsia="zh-CN"/>
        </w:rPr>
        <w:t>W</w:t>
      </w:r>
      <w:r w:rsidR="008C78AA">
        <w:rPr>
          <w:szCs w:val="22"/>
          <w:lang w:eastAsia="zh-CN"/>
        </w:rPr>
        <w:t>Y</w:t>
      </w:r>
      <w:r>
        <w:rPr>
          <w:szCs w:val="22"/>
          <w:lang w:eastAsia="zh-CN"/>
        </w:rPr>
        <w:t>ER Part 2 are shown in T</w:t>
      </w:r>
      <w:r w:rsidRPr="007152D5">
        <w:rPr>
          <w:szCs w:val="22"/>
          <w:lang w:eastAsia="zh-CN"/>
        </w:rPr>
        <w:t>able 2.</w:t>
      </w:r>
    </w:p>
    <w:p w14:paraId="7C33215C" w14:textId="77777777" w:rsidR="006C73BE" w:rsidRDefault="006C73BE" w:rsidP="006C73BE">
      <w:pPr>
        <w:autoSpaceDE w:val="0"/>
        <w:autoSpaceDN w:val="0"/>
        <w:adjustRightInd w:val="0"/>
        <w:rPr>
          <w:szCs w:val="22"/>
          <w:lang w:eastAsia="zh-CN"/>
        </w:rPr>
      </w:pPr>
    </w:p>
    <w:p w14:paraId="7C33215D" w14:textId="77777777" w:rsidR="006C73BE" w:rsidRPr="00061D00" w:rsidRDefault="00016F29" w:rsidP="006C73BE">
      <w:pPr>
        <w:rPr>
          <w:b/>
          <w:lang w:eastAsia="zh-CN"/>
        </w:rPr>
      </w:pPr>
      <w:r w:rsidRPr="00A849BE">
        <w:rPr>
          <w:b/>
          <w:lang w:eastAsia="zh-CN"/>
        </w:rPr>
        <w:t>Table 2</w:t>
      </w:r>
      <w:r w:rsidRPr="00A849BE">
        <w:rPr>
          <w:b/>
          <w:lang w:eastAsia="zh-CN"/>
        </w:rPr>
        <w:tab/>
      </w:r>
      <w:r>
        <w:rPr>
          <w:b/>
          <w:lang w:eastAsia="zh-CN"/>
        </w:rPr>
        <w:t>Efficacy results for SAWYER</w:t>
      </w:r>
      <w:r w:rsidRPr="00A849BE">
        <w:rPr>
          <w:b/>
          <w:lang w:eastAsia="zh-CN"/>
        </w:rPr>
        <w:t xml:space="preserve"> (BO</w:t>
      </w:r>
      <w:r>
        <w:rPr>
          <w:b/>
          <w:lang w:eastAsia="zh-CN"/>
        </w:rPr>
        <w:t>25341</w:t>
      </w:r>
      <w:r w:rsidRPr="00A849BE">
        <w:rPr>
          <w:b/>
          <w:lang w:eastAsia="zh-CN"/>
        </w:rPr>
        <w:t>) (Intent to Treat Population)</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20" w:firstRow="1" w:lastRow="0" w:firstColumn="0" w:lastColumn="0" w:noHBand="0" w:noVBand="1"/>
      </w:tblPr>
      <w:tblGrid>
        <w:gridCol w:w="800"/>
        <w:gridCol w:w="3868"/>
        <w:gridCol w:w="2121"/>
        <w:gridCol w:w="2262"/>
      </w:tblGrid>
      <w:tr w:rsidR="003A788B" w14:paraId="7C332161" w14:textId="77777777" w:rsidTr="00E21DC4">
        <w:trPr>
          <w:trHeight w:val="340"/>
        </w:trPr>
        <w:tc>
          <w:tcPr>
            <w:tcW w:w="4692" w:type="dxa"/>
            <w:gridSpan w:val="2"/>
            <w:vMerge w:val="restart"/>
            <w:shd w:val="clear" w:color="auto" w:fill="FFFFFF"/>
            <w:tcMar>
              <w:top w:w="72" w:type="dxa"/>
              <w:left w:w="156" w:type="dxa"/>
              <w:bottom w:w="72" w:type="dxa"/>
              <w:right w:w="156" w:type="dxa"/>
            </w:tcMar>
          </w:tcPr>
          <w:p w14:paraId="7C33215E" w14:textId="77777777" w:rsidR="006C73BE" w:rsidRPr="00A20B21" w:rsidRDefault="006C73BE" w:rsidP="00E21DC4">
            <w:pPr>
              <w:jc w:val="center"/>
              <w:rPr>
                <w:b/>
                <w:bCs/>
                <w:kern w:val="24"/>
                <w:szCs w:val="22"/>
                <w:lang w:eastAsia="en-US"/>
              </w:rPr>
            </w:pPr>
          </w:p>
        </w:tc>
        <w:tc>
          <w:tcPr>
            <w:tcW w:w="4395" w:type="dxa"/>
            <w:gridSpan w:val="2"/>
            <w:shd w:val="clear" w:color="auto" w:fill="FFFFFF"/>
            <w:tcMar>
              <w:top w:w="72" w:type="dxa"/>
              <w:left w:w="156" w:type="dxa"/>
              <w:bottom w:w="72" w:type="dxa"/>
              <w:right w:w="156" w:type="dxa"/>
            </w:tcMar>
            <w:vAlign w:val="center"/>
          </w:tcPr>
          <w:p w14:paraId="7C33215F" w14:textId="77777777" w:rsidR="006C73BE" w:rsidRPr="00A20B21" w:rsidRDefault="00016F29" w:rsidP="00E21DC4">
            <w:pPr>
              <w:jc w:val="center"/>
              <w:rPr>
                <w:b/>
                <w:bCs/>
                <w:kern w:val="24"/>
                <w:szCs w:val="22"/>
                <w:lang w:eastAsia="en-US"/>
              </w:rPr>
            </w:pPr>
            <w:r>
              <w:rPr>
                <w:b/>
                <w:bCs/>
                <w:kern w:val="24"/>
              </w:rPr>
              <w:t>Part</w:t>
            </w:r>
            <w:r w:rsidRPr="00A20B21">
              <w:rPr>
                <w:b/>
                <w:bCs/>
                <w:kern w:val="24"/>
                <w:szCs w:val="22"/>
                <w:lang w:eastAsia="en-US"/>
              </w:rPr>
              <w:t xml:space="preserve"> 2</w:t>
            </w:r>
          </w:p>
          <w:p w14:paraId="7C332160" w14:textId="77777777" w:rsidR="006C73BE" w:rsidRPr="00A20B21" w:rsidRDefault="00016F29" w:rsidP="00E21DC4">
            <w:pPr>
              <w:jc w:val="center"/>
              <w:rPr>
                <w:szCs w:val="22"/>
                <w:lang w:eastAsia="en-US"/>
              </w:rPr>
            </w:pPr>
            <w:r>
              <w:rPr>
                <w:b/>
                <w:bCs/>
                <w:kern w:val="24"/>
              </w:rPr>
              <w:t>N = 176</w:t>
            </w:r>
          </w:p>
        </w:tc>
      </w:tr>
      <w:tr w:rsidR="003A788B" w14:paraId="7C332167" w14:textId="77777777" w:rsidTr="00E21DC4">
        <w:trPr>
          <w:trHeight w:val="340"/>
        </w:trPr>
        <w:tc>
          <w:tcPr>
            <w:tcW w:w="4692" w:type="dxa"/>
            <w:gridSpan w:val="2"/>
            <w:vMerge/>
            <w:vAlign w:val="center"/>
          </w:tcPr>
          <w:p w14:paraId="7C332162" w14:textId="77777777" w:rsidR="006C73BE" w:rsidRPr="00A20B21" w:rsidRDefault="006C73BE" w:rsidP="00E21DC4">
            <w:pPr>
              <w:jc w:val="center"/>
              <w:rPr>
                <w:b/>
                <w:bCs/>
                <w:kern w:val="24"/>
                <w:szCs w:val="22"/>
                <w:lang w:eastAsia="en-US"/>
              </w:rPr>
            </w:pPr>
          </w:p>
        </w:tc>
        <w:tc>
          <w:tcPr>
            <w:tcW w:w="2127" w:type="dxa"/>
            <w:shd w:val="clear" w:color="auto" w:fill="FFFFFF"/>
            <w:tcMar>
              <w:top w:w="72" w:type="dxa"/>
              <w:left w:w="156" w:type="dxa"/>
              <w:bottom w:w="72" w:type="dxa"/>
              <w:right w:w="156" w:type="dxa"/>
            </w:tcMar>
            <w:vAlign w:val="center"/>
          </w:tcPr>
          <w:p w14:paraId="7C332163" w14:textId="77777777" w:rsidR="006C73BE" w:rsidRPr="00A20B21" w:rsidRDefault="00016F29" w:rsidP="00E21DC4">
            <w:pPr>
              <w:jc w:val="center"/>
              <w:rPr>
                <w:b/>
                <w:bCs/>
                <w:kern w:val="24"/>
                <w:szCs w:val="22"/>
                <w:lang w:eastAsia="zh-CN"/>
              </w:rPr>
            </w:pPr>
            <w:r w:rsidRPr="00A20B21">
              <w:rPr>
                <w:b/>
                <w:bCs/>
                <w:kern w:val="24"/>
                <w:szCs w:val="22"/>
                <w:lang w:eastAsia="en-US"/>
              </w:rPr>
              <w:t>Rituximab intravenous formulation</w:t>
            </w:r>
          </w:p>
          <w:p w14:paraId="7C332164" w14:textId="77777777" w:rsidR="006C73BE" w:rsidRPr="00A20B21" w:rsidRDefault="00016F29" w:rsidP="00E21DC4">
            <w:pPr>
              <w:jc w:val="center"/>
              <w:rPr>
                <w:szCs w:val="22"/>
                <w:lang w:eastAsia="zh-CN"/>
              </w:rPr>
            </w:pPr>
            <w:r>
              <w:rPr>
                <w:rFonts w:hint="eastAsia"/>
                <w:b/>
                <w:bCs/>
                <w:kern w:val="24"/>
                <w:lang w:eastAsia="zh-CN"/>
              </w:rPr>
              <w:t>(</w:t>
            </w:r>
            <w:r>
              <w:rPr>
                <w:b/>
                <w:bCs/>
                <w:kern w:val="24"/>
                <w:lang w:eastAsia="zh-CN"/>
              </w:rPr>
              <w:t xml:space="preserve">n </w:t>
            </w:r>
            <w:r>
              <w:rPr>
                <w:rFonts w:hint="eastAsia"/>
                <w:b/>
                <w:bCs/>
                <w:kern w:val="24"/>
                <w:lang w:eastAsia="zh-CN"/>
              </w:rPr>
              <w:t>=</w:t>
            </w:r>
            <w:r>
              <w:rPr>
                <w:b/>
                <w:bCs/>
                <w:kern w:val="24"/>
                <w:lang w:eastAsia="zh-CN"/>
              </w:rPr>
              <w:t xml:space="preserve"> 88</w:t>
            </w:r>
            <w:r w:rsidRPr="00A20B21">
              <w:rPr>
                <w:rFonts w:hint="eastAsia"/>
                <w:b/>
                <w:bCs/>
                <w:kern w:val="24"/>
                <w:szCs w:val="22"/>
                <w:lang w:eastAsia="zh-CN"/>
              </w:rPr>
              <w:t>)</w:t>
            </w:r>
          </w:p>
        </w:tc>
        <w:tc>
          <w:tcPr>
            <w:tcW w:w="2268" w:type="dxa"/>
            <w:shd w:val="clear" w:color="auto" w:fill="FFFFFF"/>
            <w:tcMar>
              <w:top w:w="72" w:type="dxa"/>
              <w:left w:w="156" w:type="dxa"/>
              <w:bottom w:w="72" w:type="dxa"/>
              <w:right w:w="156" w:type="dxa"/>
            </w:tcMar>
            <w:vAlign w:val="center"/>
          </w:tcPr>
          <w:p w14:paraId="7C332165" w14:textId="77777777" w:rsidR="006C73BE" w:rsidRPr="00A20B21" w:rsidRDefault="00016F29" w:rsidP="00E21DC4">
            <w:pPr>
              <w:jc w:val="center"/>
              <w:rPr>
                <w:b/>
                <w:bCs/>
                <w:kern w:val="24"/>
                <w:szCs w:val="22"/>
                <w:lang w:eastAsia="zh-CN"/>
              </w:rPr>
            </w:pPr>
            <w:r w:rsidRPr="00A20B21">
              <w:rPr>
                <w:b/>
                <w:bCs/>
                <w:kern w:val="24"/>
                <w:szCs w:val="22"/>
                <w:lang w:eastAsia="en-US"/>
              </w:rPr>
              <w:t>Rituximab subcutaneous formulation</w:t>
            </w:r>
          </w:p>
          <w:p w14:paraId="7C332166" w14:textId="77777777" w:rsidR="006C73BE" w:rsidRPr="00A20B21" w:rsidRDefault="00016F29" w:rsidP="00E21DC4">
            <w:pPr>
              <w:jc w:val="center"/>
              <w:rPr>
                <w:szCs w:val="22"/>
                <w:lang w:eastAsia="zh-CN"/>
              </w:rPr>
            </w:pPr>
            <w:r>
              <w:rPr>
                <w:rFonts w:hint="eastAsia"/>
                <w:b/>
                <w:bCs/>
                <w:kern w:val="24"/>
                <w:lang w:eastAsia="zh-CN"/>
              </w:rPr>
              <w:t>(</w:t>
            </w:r>
            <w:r>
              <w:rPr>
                <w:b/>
                <w:bCs/>
                <w:kern w:val="24"/>
                <w:lang w:eastAsia="zh-CN"/>
              </w:rPr>
              <w:t xml:space="preserve">n </w:t>
            </w:r>
            <w:r>
              <w:rPr>
                <w:rFonts w:hint="eastAsia"/>
                <w:b/>
                <w:bCs/>
                <w:kern w:val="24"/>
                <w:lang w:eastAsia="zh-CN"/>
              </w:rPr>
              <w:t>=</w:t>
            </w:r>
            <w:r>
              <w:rPr>
                <w:b/>
                <w:bCs/>
                <w:kern w:val="24"/>
                <w:lang w:eastAsia="zh-CN"/>
              </w:rPr>
              <w:t xml:space="preserve"> 88</w:t>
            </w:r>
            <w:r w:rsidRPr="00A20B21">
              <w:rPr>
                <w:rFonts w:hint="eastAsia"/>
                <w:b/>
                <w:bCs/>
                <w:kern w:val="24"/>
                <w:szCs w:val="22"/>
                <w:lang w:eastAsia="zh-CN"/>
              </w:rPr>
              <w:t>)</w:t>
            </w:r>
          </w:p>
        </w:tc>
      </w:tr>
      <w:tr w:rsidR="003A788B" w14:paraId="7C33216C" w14:textId="77777777" w:rsidTr="00E21DC4">
        <w:trPr>
          <w:trHeight w:val="340"/>
        </w:trPr>
        <w:tc>
          <w:tcPr>
            <w:tcW w:w="801" w:type="dxa"/>
            <w:vMerge w:val="restart"/>
            <w:shd w:val="clear" w:color="auto" w:fill="FFFFFF"/>
            <w:vAlign w:val="center"/>
          </w:tcPr>
          <w:p w14:paraId="7C332168" w14:textId="77777777" w:rsidR="006C73BE" w:rsidRPr="00933C4D" w:rsidRDefault="00016F29" w:rsidP="00E21DC4">
            <w:pPr>
              <w:rPr>
                <w:szCs w:val="22"/>
                <w:vertAlign w:val="superscript"/>
                <w:lang w:eastAsia="en-US"/>
              </w:rPr>
            </w:pPr>
            <w:r w:rsidRPr="00A20B21">
              <w:rPr>
                <w:b/>
                <w:bCs/>
                <w:kern w:val="24"/>
                <w:szCs w:val="22"/>
                <w:lang w:val="de-CH" w:eastAsia="en-US"/>
              </w:rPr>
              <w:t>ORR</w:t>
            </w:r>
            <w:r w:rsidRPr="002C4815">
              <w:rPr>
                <w:b/>
                <w:bCs/>
                <w:kern w:val="24"/>
                <w:szCs w:val="22"/>
                <w:vertAlign w:val="superscript"/>
                <w:lang w:val="de-CH" w:eastAsia="en-US"/>
              </w:rPr>
              <w:t>a</w:t>
            </w:r>
          </w:p>
        </w:tc>
        <w:tc>
          <w:tcPr>
            <w:tcW w:w="3891" w:type="dxa"/>
            <w:shd w:val="clear" w:color="auto" w:fill="FFFFFF"/>
          </w:tcPr>
          <w:p w14:paraId="7C332169" w14:textId="77777777" w:rsidR="006C73BE" w:rsidRPr="00A20B21" w:rsidRDefault="00016F29" w:rsidP="00E21DC4">
            <w:pPr>
              <w:jc w:val="center"/>
              <w:rPr>
                <w:b/>
                <w:bCs/>
                <w:kern w:val="24"/>
                <w:szCs w:val="22"/>
                <w:lang w:val="de-CH" w:eastAsia="en-US"/>
              </w:rPr>
            </w:pPr>
            <w:r w:rsidRPr="00A20B21">
              <w:rPr>
                <w:b/>
                <w:bCs/>
                <w:kern w:val="24"/>
                <w:szCs w:val="22"/>
                <w:lang w:val="de-CH" w:eastAsia="en-US"/>
              </w:rPr>
              <w:t>Point estimate</w:t>
            </w:r>
            <w:r>
              <w:rPr>
                <w:b/>
                <w:bCs/>
                <w:kern w:val="24"/>
                <w:szCs w:val="22"/>
                <w:lang w:val="de-CH" w:eastAsia="en-US"/>
              </w:rPr>
              <w:t xml:space="preserve"> </w:t>
            </w:r>
          </w:p>
        </w:tc>
        <w:tc>
          <w:tcPr>
            <w:tcW w:w="2127" w:type="dxa"/>
            <w:shd w:val="clear" w:color="auto" w:fill="FFFFFF"/>
            <w:tcMar>
              <w:top w:w="72" w:type="dxa"/>
              <w:left w:w="156" w:type="dxa"/>
              <w:bottom w:w="72" w:type="dxa"/>
              <w:right w:w="156" w:type="dxa"/>
            </w:tcMar>
          </w:tcPr>
          <w:p w14:paraId="7C33216A" w14:textId="77777777" w:rsidR="006C73BE" w:rsidRPr="00061D00" w:rsidRDefault="00016F29" w:rsidP="00E21DC4">
            <w:pPr>
              <w:jc w:val="center"/>
              <w:rPr>
                <w:b/>
                <w:szCs w:val="22"/>
                <w:lang w:eastAsia="en-US"/>
              </w:rPr>
            </w:pPr>
            <w:r w:rsidRPr="00061D00">
              <w:rPr>
                <w:b/>
                <w:kern w:val="24"/>
              </w:rPr>
              <w:t>80.7</w:t>
            </w:r>
            <w:r w:rsidRPr="00061D00">
              <w:rPr>
                <w:b/>
                <w:kern w:val="24"/>
                <w:szCs w:val="22"/>
                <w:lang w:eastAsia="en-US"/>
              </w:rPr>
              <w:t>% (n = 7</w:t>
            </w:r>
            <w:r w:rsidRPr="00061D00">
              <w:rPr>
                <w:b/>
                <w:kern w:val="24"/>
              </w:rPr>
              <w:t>1</w:t>
            </w:r>
            <w:r w:rsidRPr="00061D00">
              <w:rPr>
                <w:b/>
                <w:kern w:val="24"/>
                <w:szCs w:val="22"/>
                <w:lang w:eastAsia="en-US"/>
              </w:rPr>
              <w:t>)</w:t>
            </w:r>
          </w:p>
        </w:tc>
        <w:tc>
          <w:tcPr>
            <w:tcW w:w="2268" w:type="dxa"/>
            <w:shd w:val="clear" w:color="auto" w:fill="FFFFFF"/>
            <w:tcMar>
              <w:top w:w="72" w:type="dxa"/>
              <w:left w:w="156" w:type="dxa"/>
              <w:bottom w:w="72" w:type="dxa"/>
              <w:right w:w="156" w:type="dxa"/>
            </w:tcMar>
          </w:tcPr>
          <w:p w14:paraId="7C33216B" w14:textId="77777777" w:rsidR="006C73BE" w:rsidRPr="00061D00" w:rsidRDefault="00016F29" w:rsidP="00E21DC4">
            <w:pPr>
              <w:jc w:val="center"/>
              <w:rPr>
                <w:b/>
                <w:szCs w:val="22"/>
                <w:lang w:eastAsia="en-US"/>
              </w:rPr>
            </w:pPr>
            <w:r w:rsidRPr="00061D00">
              <w:rPr>
                <w:b/>
                <w:kern w:val="24"/>
                <w:szCs w:val="22"/>
                <w:lang w:eastAsia="en-US"/>
              </w:rPr>
              <w:t>8</w:t>
            </w:r>
            <w:r w:rsidRPr="00061D00">
              <w:rPr>
                <w:b/>
                <w:kern w:val="24"/>
              </w:rPr>
              <w:t>5.2</w:t>
            </w:r>
            <w:r w:rsidRPr="00061D00">
              <w:rPr>
                <w:b/>
                <w:kern w:val="24"/>
                <w:szCs w:val="22"/>
                <w:lang w:eastAsia="en-US"/>
              </w:rPr>
              <w:t>% (n = 7</w:t>
            </w:r>
            <w:r w:rsidRPr="00061D00">
              <w:rPr>
                <w:b/>
                <w:kern w:val="24"/>
              </w:rPr>
              <w:t>5</w:t>
            </w:r>
            <w:r w:rsidRPr="00061D00">
              <w:rPr>
                <w:b/>
                <w:kern w:val="24"/>
                <w:szCs w:val="22"/>
                <w:lang w:eastAsia="en-US"/>
              </w:rPr>
              <w:t>)</w:t>
            </w:r>
          </w:p>
        </w:tc>
      </w:tr>
      <w:tr w:rsidR="003A788B" w14:paraId="7C332171" w14:textId="77777777" w:rsidTr="00E21DC4">
        <w:trPr>
          <w:trHeight w:val="340"/>
        </w:trPr>
        <w:tc>
          <w:tcPr>
            <w:tcW w:w="801" w:type="dxa"/>
            <w:vMerge/>
            <w:vAlign w:val="center"/>
          </w:tcPr>
          <w:p w14:paraId="7C33216D" w14:textId="77777777" w:rsidR="006C73BE" w:rsidRPr="00A20B21" w:rsidRDefault="006C73BE" w:rsidP="00E21DC4">
            <w:pPr>
              <w:rPr>
                <w:szCs w:val="22"/>
                <w:lang w:eastAsia="en-US"/>
              </w:rPr>
            </w:pPr>
          </w:p>
        </w:tc>
        <w:tc>
          <w:tcPr>
            <w:tcW w:w="3891" w:type="dxa"/>
            <w:shd w:val="clear" w:color="auto" w:fill="FFFFFF"/>
          </w:tcPr>
          <w:p w14:paraId="7C33216E" w14:textId="77777777" w:rsidR="006C73BE" w:rsidRPr="006F6661" w:rsidRDefault="00016F29" w:rsidP="00E21DC4">
            <w:pPr>
              <w:jc w:val="center"/>
              <w:rPr>
                <w:b/>
                <w:bCs/>
                <w:kern w:val="24"/>
                <w:szCs w:val="22"/>
                <w:lang w:eastAsia="en-US"/>
              </w:rPr>
            </w:pPr>
            <w:r w:rsidRPr="006F6661">
              <w:rPr>
                <w:b/>
                <w:bCs/>
                <w:kern w:val="24"/>
                <w:szCs w:val="22"/>
                <w:lang w:eastAsia="en-US"/>
              </w:rPr>
              <w:t>95% CI</w:t>
            </w:r>
          </w:p>
        </w:tc>
        <w:tc>
          <w:tcPr>
            <w:tcW w:w="2127" w:type="dxa"/>
            <w:shd w:val="clear" w:color="auto" w:fill="FFFFFF"/>
            <w:tcMar>
              <w:top w:w="72" w:type="dxa"/>
              <w:left w:w="156" w:type="dxa"/>
              <w:bottom w:w="72" w:type="dxa"/>
              <w:right w:w="156" w:type="dxa"/>
            </w:tcMar>
          </w:tcPr>
          <w:p w14:paraId="7C33216F" w14:textId="77777777" w:rsidR="006C73BE" w:rsidRPr="00061D00" w:rsidRDefault="00016F29" w:rsidP="00E21DC4">
            <w:pPr>
              <w:jc w:val="center"/>
              <w:rPr>
                <w:b/>
                <w:szCs w:val="22"/>
                <w:lang w:eastAsia="en-US"/>
              </w:rPr>
            </w:pPr>
            <w:r w:rsidRPr="00061D00">
              <w:rPr>
                <w:b/>
                <w:kern w:val="24"/>
                <w:szCs w:val="22"/>
                <w:lang w:eastAsia="en-US"/>
              </w:rPr>
              <w:t>[7</w:t>
            </w:r>
            <w:r w:rsidRPr="00061D00">
              <w:rPr>
                <w:b/>
                <w:kern w:val="24"/>
              </w:rPr>
              <w:t>0.</w:t>
            </w:r>
            <w:r w:rsidRPr="00061D00">
              <w:rPr>
                <w:b/>
                <w:kern w:val="24"/>
                <w:szCs w:val="22"/>
                <w:lang w:eastAsia="en-US"/>
              </w:rPr>
              <w:t>9%, 8</w:t>
            </w:r>
            <w:r w:rsidRPr="00061D00">
              <w:rPr>
                <w:b/>
                <w:kern w:val="24"/>
              </w:rPr>
              <w:t>8</w:t>
            </w:r>
            <w:r w:rsidRPr="00061D00">
              <w:rPr>
                <w:b/>
                <w:kern w:val="24"/>
                <w:szCs w:val="22"/>
                <w:lang w:eastAsia="en-US"/>
              </w:rPr>
              <w:t>.</w:t>
            </w:r>
            <w:r w:rsidRPr="00061D00">
              <w:rPr>
                <w:b/>
                <w:kern w:val="24"/>
              </w:rPr>
              <w:t>3</w:t>
            </w:r>
            <w:r w:rsidRPr="00061D00">
              <w:rPr>
                <w:b/>
                <w:kern w:val="24"/>
                <w:szCs w:val="22"/>
                <w:lang w:eastAsia="en-US"/>
              </w:rPr>
              <w:t>%]</w:t>
            </w:r>
          </w:p>
        </w:tc>
        <w:tc>
          <w:tcPr>
            <w:tcW w:w="2268" w:type="dxa"/>
            <w:shd w:val="clear" w:color="auto" w:fill="FFFFFF"/>
            <w:tcMar>
              <w:top w:w="72" w:type="dxa"/>
              <w:left w:w="156" w:type="dxa"/>
              <w:bottom w:w="72" w:type="dxa"/>
              <w:right w:w="156" w:type="dxa"/>
            </w:tcMar>
          </w:tcPr>
          <w:p w14:paraId="7C332170" w14:textId="77777777" w:rsidR="006C73BE" w:rsidRPr="00061D00" w:rsidRDefault="00016F29" w:rsidP="00E21DC4">
            <w:pPr>
              <w:jc w:val="center"/>
              <w:rPr>
                <w:b/>
                <w:szCs w:val="22"/>
                <w:lang w:eastAsia="en-US"/>
              </w:rPr>
            </w:pPr>
            <w:r w:rsidRPr="00061D00">
              <w:rPr>
                <w:b/>
                <w:kern w:val="24"/>
                <w:szCs w:val="22"/>
                <w:lang w:eastAsia="en-US"/>
              </w:rPr>
              <w:t>[7</w:t>
            </w:r>
            <w:r w:rsidRPr="00061D00">
              <w:rPr>
                <w:b/>
                <w:kern w:val="24"/>
              </w:rPr>
              <w:t xml:space="preserve">6.1%, </w:t>
            </w:r>
            <w:r w:rsidRPr="00061D00">
              <w:rPr>
                <w:b/>
                <w:kern w:val="24"/>
                <w:szCs w:val="22"/>
                <w:lang w:eastAsia="en-US"/>
              </w:rPr>
              <w:t>91</w:t>
            </w:r>
            <w:r w:rsidRPr="00061D00">
              <w:rPr>
                <w:b/>
                <w:kern w:val="24"/>
              </w:rPr>
              <w:t>.9</w:t>
            </w:r>
            <w:r w:rsidRPr="00061D00">
              <w:rPr>
                <w:b/>
                <w:kern w:val="24"/>
                <w:szCs w:val="22"/>
                <w:lang w:eastAsia="en-US"/>
              </w:rPr>
              <w:t>%]</w:t>
            </w:r>
          </w:p>
        </w:tc>
      </w:tr>
      <w:tr w:rsidR="003A788B" w14:paraId="7C332176" w14:textId="77777777" w:rsidTr="00E21DC4">
        <w:trPr>
          <w:trHeight w:val="340"/>
        </w:trPr>
        <w:tc>
          <w:tcPr>
            <w:tcW w:w="801" w:type="dxa"/>
            <w:vMerge w:val="restart"/>
            <w:shd w:val="clear" w:color="auto" w:fill="FFFFFF"/>
            <w:vAlign w:val="center"/>
          </w:tcPr>
          <w:p w14:paraId="7C332172" w14:textId="77777777" w:rsidR="006C73BE" w:rsidRPr="00A20B21" w:rsidRDefault="00016F29" w:rsidP="00E21DC4">
            <w:pPr>
              <w:rPr>
                <w:szCs w:val="22"/>
                <w:lang w:eastAsia="en-US"/>
              </w:rPr>
            </w:pPr>
            <w:r w:rsidRPr="006F6661">
              <w:rPr>
                <w:b/>
                <w:bCs/>
                <w:kern w:val="24"/>
                <w:szCs w:val="22"/>
                <w:lang w:eastAsia="en-US"/>
              </w:rPr>
              <w:t>CRR</w:t>
            </w:r>
            <w:r>
              <w:rPr>
                <w:b/>
                <w:bCs/>
                <w:kern w:val="24"/>
                <w:szCs w:val="22"/>
                <w:vertAlign w:val="superscript"/>
                <w:lang w:eastAsia="en-US"/>
              </w:rPr>
              <w:t>a</w:t>
            </w:r>
          </w:p>
        </w:tc>
        <w:tc>
          <w:tcPr>
            <w:tcW w:w="3891" w:type="dxa"/>
            <w:shd w:val="clear" w:color="auto" w:fill="FFFFFF"/>
          </w:tcPr>
          <w:p w14:paraId="7C332173" w14:textId="77777777" w:rsidR="006C73BE" w:rsidRPr="006F6661" w:rsidRDefault="00016F29" w:rsidP="00E21DC4">
            <w:pPr>
              <w:jc w:val="center"/>
              <w:rPr>
                <w:b/>
                <w:bCs/>
                <w:kern w:val="24"/>
                <w:szCs w:val="22"/>
                <w:lang w:eastAsia="en-US"/>
              </w:rPr>
            </w:pPr>
            <w:r w:rsidRPr="006F6661">
              <w:rPr>
                <w:b/>
                <w:bCs/>
                <w:kern w:val="24"/>
                <w:szCs w:val="22"/>
                <w:lang w:eastAsia="en-US"/>
              </w:rPr>
              <w:t>Point estimate</w:t>
            </w:r>
            <w:r>
              <w:rPr>
                <w:b/>
                <w:bCs/>
                <w:kern w:val="24"/>
                <w:szCs w:val="22"/>
                <w:lang w:eastAsia="en-US"/>
              </w:rPr>
              <w:t xml:space="preserve"> </w:t>
            </w:r>
          </w:p>
        </w:tc>
        <w:tc>
          <w:tcPr>
            <w:tcW w:w="2127" w:type="dxa"/>
            <w:shd w:val="clear" w:color="auto" w:fill="FFFFFF"/>
            <w:tcMar>
              <w:top w:w="72" w:type="dxa"/>
              <w:left w:w="156" w:type="dxa"/>
              <w:bottom w:w="72" w:type="dxa"/>
              <w:right w:w="156" w:type="dxa"/>
            </w:tcMar>
          </w:tcPr>
          <w:p w14:paraId="7C332174" w14:textId="77777777" w:rsidR="006C73BE" w:rsidRPr="00061D00" w:rsidRDefault="00016F29" w:rsidP="00E21DC4">
            <w:pPr>
              <w:jc w:val="center"/>
              <w:rPr>
                <w:b/>
                <w:szCs w:val="22"/>
                <w:lang w:eastAsia="en-US"/>
              </w:rPr>
            </w:pPr>
            <w:r w:rsidRPr="00061D00">
              <w:rPr>
                <w:b/>
                <w:kern w:val="24"/>
              </w:rPr>
              <w:t>31.8</w:t>
            </w:r>
            <w:r w:rsidRPr="00061D00">
              <w:rPr>
                <w:b/>
                <w:kern w:val="24"/>
                <w:szCs w:val="22"/>
                <w:lang w:eastAsia="en-US"/>
              </w:rPr>
              <w:t xml:space="preserve">% (n = </w:t>
            </w:r>
            <w:r w:rsidRPr="00061D00">
              <w:rPr>
                <w:b/>
                <w:kern w:val="24"/>
              </w:rPr>
              <w:t>28</w:t>
            </w:r>
            <w:r w:rsidRPr="00061D00">
              <w:rPr>
                <w:b/>
                <w:kern w:val="24"/>
                <w:szCs w:val="22"/>
                <w:lang w:eastAsia="en-US"/>
              </w:rPr>
              <w:t>)</w:t>
            </w:r>
          </w:p>
        </w:tc>
        <w:tc>
          <w:tcPr>
            <w:tcW w:w="2268" w:type="dxa"/>
            <w:shd w:val="clear" w:color="auto" w:fill="FFFFFF"/>
            <w:tcMar>
              <w:top w:w="72" w:type="dxa"/>
              <w:left w:w="156" w:type="dxa"/>
              <w:bottom w:w="72" w:type="dxa"/>
              <w:right w:w="156" w:type="dxa"/>
            </w:tcMar>
          </w:tcPr>
          <w:p w14:paraId="7C332175" w14:textId="77777777" w:rsidR="006C73BE" w:rsidRPr="00061D00" w:rsidRDefault="00016F29" w:rsidP="00E21DC4">
            <w:pPr>
              <w:jc w:val="center"/>
              <w:rPr>
                <w:b/>
                <w:szCs w:val="22"/>
                <w:lang w:eastAsia="en-US"/>
              </w:rPr>
            </w:pPr>
            <w:r w:rsidRPr="00061D00">
              <w:rPr>
                <w:b/>
                <w:kern w:val="24"/>
              </w:rPr>
              <w:t>27</w:t>
            </w:r>
            <w:r w:rsidRPr="00061D00">
              <w:rPr>
                <w:b/>
                <w:kern w:val="24"/>
                <w:szCs w:val="22"/>
                <w:lang w:eastAsia="en-US"/>
              </w:rPr>
              <w:t>.</w:t>
            </w:r>
            <w:r w:rsidRPr="00061D00">
              <w:rPr>
                <w:b/>
                <w:kern w:val="24"/>
              </w:rPr>
              <w:t>3</w:t>
            </w:r>
            <w:r w:rsidRPr="00061D00">
              <w:rPr>
                <w:b/>
                <w:kern w:val="24"/>
                <w:szCs w:val="22"/>
                <w:lang w:eastAsia="en-US"/>
              </w:rPr>
              <w:t xml:space="preserve">% (n = </w:t>
            </w:r>
            <w:r w:rsidRPr="00061D00">
              <w:rPr>
                <w:b/>
                <w:kern w:val="24"/>
              </w:rPr>
              <w:t>24</w:t>
            </w:r>
            <w:r w:rsidRPr="00061D00">
              <w:rPr>
                <w:b/>
                <w:kern w:val="24"/>
                <w:szCs w:val="22"/>
                <w:lang w:eastAsia="en-US"/>
              </w:rPr>
              <w:t>)</w:t>
            </w:r>
          </w:p>
        </w:tc>
      </w:tr>
      <w:tr w:rsidR="003A788B" w14:paraId="7C33217B" w14:textId="77777777" w:rsidTr="00E21DC4">
        <w:trPr>
          <w:trHeight w:val="340"/>
        </w:trPr>
        <w:tc>
          <w:tcPr>
            <w:tcW w:w="801" w:type="dxa"/>
            <w:vMerge/>
            <w:vAlign w:val="center"/>
          </w:tcPr>
          <w:p w14:paraId="7C332177" w14:textId="77777777" w:rsidR="006C73BE" w:rsidRPr="00A20B21" w:rsidRDefault="006C73BE" w:rsidP="00E21DC4">
            <w:pPr>
              <w:rPr>
                <w:szCs w:val="22"/>
                <w:lang w:eastAsia="en-US"/>
              </w:rPr>
            </w:pPr>
          </w:p>
        </w:tc>
        <w:tc>
          <w:tcPr>
            <w:tcW w:w="3891" w:type="dxa"/>
            <w:shd w:val="clear" w:color="auto" w:fill="FFFFFF"/>
          </w:tcPr>
          <w:p w14:paraId="7C332178" w14:textId="77777777" w:rsidR="006C73BE" w:rsidRPr="006F6661" w:rsidRDefault="00016F29" w:rsidP="00E21DC4">
            <w:pPr>
              <w:jc w:val="center"/>
              <w:rPr>
                <w:b/>
                <w:bCs/>
                <w:kern w:val="24"/>
                <w:szCs w:val="22"/>
                <w:lang w:eastAsia="en-US"/>
              </w:rPr>
            </w:pPr>
            <w:r w:rsidRPr="006F6661">
              <w:rPr>
                <w:b/>
                <w:bCs/>
                <w:kern w:val="24"/>
                <w:szCs w:val="22"/>
                <w:lang w:eastAsia="en-US"/>
              </w:rPr>
              <w:t>95% CI</w:t>
            </w:r>
          </w:p>
        </w:tc>
        <w:tc>
          <w:tcPr>
            <w:tcW w:w="2127" w:type="dxa"/>
            <w:shd w:val="clear" w:color="auto" w:fill="FFFFFF"/>
            <w:tcMar>
              <w:top w:w="72" w:type="dxa"/>
              <w:left w:w="156" w:type="dxa"/>
              <w:bottom w:w="72" w:type="dxa"/>
              <w:right w:w="156" w:type="dxa"/>
            </w:tcMar>
          </w:tcPr>
          <w:p w14:paraId="7C332179" w14:textId="77777777" w:rsidR="006C73BE" w:rsidRPr="00061D00" w:rsidRDefault="00016F29" w:rsidP="00E21DC4">
            <w:pPr>
              <w:jc w:val="center"/>
              <w:rPr>
                <w:b/>
                <w:szCs w:val="22"/>
                <w:lang w:eastAsia="en-US"/>
              </w:rPr>
            </w:pPr>
            <w:r w:rsidRPr="00061D00">
              <w:rPr>
                <w:b/>
                <w:kern w:val="24"/>
                <w:szCs w:val="22"/>
                <w:lang w:eastAsia="en-US"/>
              </w:rPr>
              <w:t>[2</w:t>
            </w:r>
            <w:r w:rsidRPr="00061D00">
              <w:rPr>
                <w:b/>
                <w:kern w:val="24"/>
              </w:rPr>
              <w:t>2.3%, 42.6</w:t>
            </w:r>
            <w:r w:rsidRPr="00061D00">
              <w:rPr>
                <w:b/>
                <w:kern w:val="24"/>
                <w:szCs w:val="22"/>
                <w:lang w:eastAsia="en-US"/>
              </w:rPr>
              <w:t>%]</w:t>
            </w:r>
          </w:p>
        </w:tc>
        <w:tc>
          <w:tcPr>
            <w:tcW w:w="2268" w:type="dxa"/>
            <w:shd w:val="clear" w:color="auto" w:fill="FFFFFF"/>
            <w:tcMar>
              <w:top w:w="72" w:type="dxa"/>
              <w:left w:w="156" w:type="dxa"/>
              <w:bottom w:w="72" w:type="dxa"/>
              <w:right w:w="156" w:type="dxa"/>
            </w:tcMar>
          </w:tcPr>
          <w:p w14:paraId="7C33217A" w14:textId="77777777" w:rsidR="006C73BE" w:rsidRPr="00061D00" w:rsidRDefault="00016F29" w:rsidP="00E21DC4">
            <w:pPr>
              <w:jc w:val="center"/>
              <w:rPr>
                <w:b/>
                <w:szCs w:val="22"/>
                <w:lang w:eastAsia="en-US"/>
              </w:rPr>
            </w:pPr>
            <w:r w:rsidRPr="00061D00">
              <w:rPr>
                <w:b/>
                <w:kern w:val="24"/>
                <w:szCs w:val="22"/>
                <w:lang w:eastAsia="en-US"/>
              </w:rPr>
              <w:t>[</w:t>
            </w:r>
            <w:r w:rsidRPr="00061D00">
              <w:rPr>
                <w:b/>
                <w:kern w:val="24"/>
              </w:rPr>
              <w:t>18.3</w:t>
            </w:r>
            <w:r w:rsidRPr="00061D00">
              <w:rPr>
                <w:b/>
                <w:kern w:val="24"/>
                <w:szCs w:val="22"/>
                <w:lang w:eastAsia="en-US"/>
              </w:rPr>
              <w:t>%, 3</w:t>
            </w:r>
            <w:r w:rsidRPr="00061D00">
              <w:rPr>
                <w:b/>
                <w:kern w:val="24"/>
              </w:rPr>
              <w:t>7.8</w:t>
            </w:r>
            <w:r w:rsidRPr="00061D00">
              <w:rPr>
                <w:b/>
                <w:kern w:val="24"/>
                <w:szCs w:val="22"/>
                <w:lang w:eastAsia="en-US"/>
              </w:rPr>
              <w:t>%]</w:t>
            </w:r>
          </w:p>
        </w:tc>
      </w:tr>
      <w:tr w:rsidR="003A788B" w14:paraId="7C332180" w14:textId="77777777" w:rsidTr="00E21DC4">
        <w:trPr>
          <w:trHeight w:val="340"/>
        </w:trPr>
        <w:tc>
          <w:tcPr>
            <w:tcW w:w="801" w:type="dxa"/>
            <w:vMerge w:val="restart"/>
            <w:vAlign w:val="center"/>
          </w:tcPr>
          <w:p w14:paraId="7C33217C" w14:textId="77777777" w:rsidR="006C73BE" w:rsidRPr="00A20B21" w:rsidRDefault="00016F29" w:rsidP="00E21DC4">
            <w:pPr>
              <w:rPr>
                <w:szCs w:val="22"/>
                <w:lang w:eastAsia="en-US"/>
              </w:rPr>
            </w:pPr>
            <w:r>
              <w:rPr>
                <w:b/>
                <w:szCs w:val="22"/>
                <w:lang w:eastAsia="en-US"/>
              </w:rPr>
              <w:t>PF</w:t>
            </w:r>
            <w:r w:rsidRPr="00933C4D">
              <w:rPr>
                <w:b/>
                <w:szCs w:val="22"/>
                <w:lang w:eastAsia="en-US"/>
              </w:rPr>
              <w:t>S</w:t>
            </w:r>
            <w:r w:rsidRPr="002C4815">
              <w:rPr>
                <w:b/>
                <w:szCs w:val="22"/>
                <w:vertAlign w:val="superscript"/>
                <w:lang w:eastAsia="en-US"/>
              </w:rPr>
              <w:t>b</w:t>
            </w:r>
          </w:p>
        </w:tc>
        <w:tc>
          <w:tcPr>
            <w:tcW w:w="3891" w:type="dxa"/>
            <w:shd w:val="clear" w:color="auto" w:fill="FFFFFF"/>
          </w:tcPr>
          <w:p w14:paraId="7C33217D" w14:textId="77777777" w:rsidR="006C73BE" w:rsidRPr="00F729B8" w:rsidRDefault="00016F29" w:rsidP="00E21DC4">
            <w:pPr>
              <w:jc w:val="center"/>
              <w:rPr>
                <w:b/>
                <w:bCs/>
                <w:kern w:val="24"/>
                <w:szCs w:val="22"/>
                <w:lang w:eastAsia="en-US"/>
              </w:rPr>
            </w:pPr>
            <w:r>
              <w:rPr>
                <w:b/>
                <w:bCs/>
                <w:kern w:val="24"/>
                <w:szCs w:val="22"/>
                <w:lang w:eastAsia="en-US"/>
              </w:rPr>
              <w:t>Proportion with PFS event</w:t>
            </w:r>
          </w:p>
        </w:tc>
        <w:tc>
          <w:tcPr>
            <w:tcW w:w="2127" w:type="dxa"/>
            <w:shd w:val="clear" w:color="auto" w:fill="FFFFFF"/>
            <w:tcMar>
              <w:top w:w="72" w:type="dxa"/>
              <w:left w:w="156" w:type="dxa"/>
              <w:bottom w:w="72" w:type="dxa"/>
              <w:right w:w="156" w:type="dxa"/>
            </w:tcMar>
          </w:tcPr>
          <w:p w14:paraId="7C33217E" w14:textId="77777777" w:rsidR="006C73BE" w:rsidRPr="00061D00" w:rsidRDefault="00016F29" w:rsidP="00E21DC4">
            <w:pPr>
              <w:jc w:val="center"/>
              <w:rPr>
                <w:b/>
                <w:kern w:val="24"/>
                <w:szCs w:val="22"/>
                <w:lang w:eastAsia="en-US"/>
              </w:rPr>
            </w:pPr>
            <w:r w:rsidRPr="00061D00">
              <w:rPr>
                <w:b/>
                <w:kern w:val="24"/>
              </w:rPr>
              <w:t>42.0% (n = 37</w:t>
            </w:r>
            <w:r w:rsidRPr="00061D00">
              <w:rPr>
                <w:b/>
                <w:kern w:val="24"/>
                <w:szCs w:val="22"/>
                <w:lang w:eastAsia="en-US"/>
              </w:rPr>
              <w:t>)</w:t>
            </w:r>
          </w:p>
        </w:tc>
        <w:tc>
          <w:tcPr>
            <w:tcW w:w="2268" w:type="dxa"/>
            <w:shd w:val="clear" w:color="auto" w:fill="FFFFFF"/>
            <w:tcMar>
              <w:top w:w="72" w:type="dxa"/>
              <w:left w:w="156" w:type="dxa"/>
              <w:bottom w:w="72" w:type="dxa"/>
              <w:right w:w="156" w:type="dxa"/>
            </w:tcMar>
          </w:tcPr>
          <w:p w14:paraId="7C33217F" w14:textId="77777777" w:rsidR="006C73BE" w:rsidRPr="00061D00" w:rsidRDefault="00016F29" w:rsidP="00E21DC4">
            <w:pPr>
              <w:jc w:val="center"/>
              <w:rPr>
                <w:b/>
                <w:kern w:val="24"/>
                <w:szCs w:val="22"/>
                <w:lang w:eastAsia="en-US"/>
              </w:rPr>
            </w:pPr>
            <w:r w:rsidRPr="00061D00">
              <w:rPr>
                <w:b/>
                <w:kern w:val="24"/>
              </w:rPr>
              <w:t>34.1% (n = 30</w:t>
            </w:r>
            <w:r w:rsidRPr="00061D00">
              <w:rPr>
                <w:b/>
                <w:kern w:val="24"/>
                <w:szCs w:val="22"/>
                <w:lang w:eastAsia="en-US"/>
              </w:rPr>
              <w:t>)</w:t>
            </w:r>
          </w:p>
        </w:tc>
      </w:tr>
      <w:tr w:rsidR="003A788B" w14:paraId="7C332184" w14:textId="77777777" w:rsidTr="00E21DC4">
        <w:trPr>
          <w:trHeight w:val="340"/>
        </w:trPr>
        <w:tc>
          <w:tcPr>
            <w:tcW w:w="801" w:type="dxa"/>
            <w:vMerge/>
            <w:vAlign w:val="center"/>
          </w:tcPr>
          <w:p w14:paraId="7C332181" w14:textId="77777777" w:rsidR="006C73BE" w:rsidRPr="00933C4D" w:rsidRDefault="006C73BE" w:rsidP="00E21DC4">
            <w:pPr>
              <w:rPr>
                <w:b/>
                <w:szCs w:val="22"/>
                <w:lang w:eastAsia="en-US"/>
              </w:rPr>
            </w:pPr>
          </w:p>
        </w:tc>
        <w:tc>
          <w:tcPr>
            <w:tcW w:w="3891" w:type="dxa"/>
            <w:shd w:val="clear" w:color="auto" w:fill="FFFFFF"/>
          </w:tcPr>
          <w:p w14:paraId="7C332182" w14:textId="77777777" w:rsidR="006C73BE" w:rsidRDefault="00016F29" w:rsidP="00E21DC4">
            <w:pPr>
              <w:jc w:val="center"/>
              <w:rPr>
                <w:b/>
                <w:bCs/>
                <w:kern w:val="24"/>
                <w:szCs w:val="22"/>
                <w:lang w:eastAsia="en-US"/>
              </w:rPr>
            </w:pPr>
            <w:r>
              <w:rPr>
                <w:b/>
                <w:bCs/>
                <w:kern w:val="24"/>
                <w:szCs w:val="22"/>
                <w:lang w:eastAsia="en-US"/>
              </w:rPr>
              <w:t>95% CI</w:t>
            </w:r>
          </w:p>
        </w:tc>
        <w:tc>
          <w:tcPr>
            <w:tcW w:w="4395" w:type="dxa"/>
            <w:gridSpan w:val="2"/>
            <w:shd w:val="clear" w:color="auto" w:fill="FFFFFF"/>
            <w:tcMar>
              <w:top w:w="72" w:type="dxa"/>
              <w:left w:w="156" w:type="dxa"/>
              <w:bottom w:w="72" w:type="dxa"/>
              <w:right w:w="156" w:type="dxa"/>
            </w:tcMar>
          </w:tcPr>
          <w:p w14:paraId="7C332183" w14:textId="77777777" w:rsidR="006C73BE" w:rsidRPr="00061D00" w:rsidRDefault="00016F29" w:rsidP="00E21DC4">
            <w:pPr>
              <w:jc w:val="center"/>
              <w:rPr>
                <w:b/>
                <w:kern w:val="24"/>
              </w:rPr>
            </w:pPr>
            <w:r w:rsidRPr="00061D00">
              <w:rPr>
                <w:b/>
                <w:kern w:val="24"/>
              </w:rPr>
              <w:t>0.76 [0.47%, 1.23%]</w:t>
            </w:r>
          </w:p>
        </w:tc>
      </w:tr>
    </w:tbl>
    <w:p w14:paraId="7C332185" w14:textId="77777777" w:rsidR="006C73BE" w:rsidRPr="007152D5" w:rsidRDefault="00016F29" w:rsidP="006C73BE">
      <w:pPr>
        <w:outlineLvl w:val="0"/>
        <w:rPr>
          <w:sz w:val="18"/>
          <w:szCs w:val="18"/>
          <w:lang w:val="en-GB"/>
        </w:rPr>
      </w:pPr>
      <w:r w:rsidRPr="007152D5">
        <w:rPr>
          <w:sz w:val="18"/>
          <w:szCs w:val="18"/>
          <w:lang w:val="en-GB"/>
        </w:rPr>
        <w:t>ORR – Overall Response Rate</w:t>
      </w:r>
    </w:p>
    <w:p w14:paraId="7C332186" w14:textId="77777777" w:rsidR="006C73BE" w:rsidRDefault="00016F29" w:rsidP="006C73BE">
      <w:pPr>
        <w:tabs>
          <w:tab w:val="left" w:pos="1152"/>
        </w:tabs>
        <w:rPr>
          <w:sz w:val="18"/>
          <w:szCs w:val="18"/>
          <w:lang w:val="en-GB"/>
        </w:rPr>
      </w:pPr>
      <w:r w:rsidRPr="007152D5">
        <w:rPr>
          <w:sz w:val="18"/>
          <w:szCs w:val="18"/>
          <w:lang w:val="en-GB"/>
        </w:rPr>
        <w:t>CRR – Complete Response Rate</w:t>
      </w:r>
    </w:p>
    <w:p w14:paraId="7C332187" w14:textId="77777777" w:rsidR="006C73BE" w:rsidRDefault="00016F29" w:rsidP="006C73BE">
      <w:pPr>
        <w:tabs>
          <w:tab w:val="left" w:pos="1152"/>
        </w:tabs>
        <w:rPr>
          <w:sz w:val="18"/>
          <w:szCs w:val="18"/>
          <w:lang w:val="en-GB"/>
        </w:rPr>
      </w:pPr>
      <w:r>
        <w:rPr>
          <w:sz w:val="18"/>
          <w:szCs w:val="18"/>
          <w:lang w:val="en-GB"/>
        </w:rPr>
        <w:t>PFS – Progression-Free Survival (proportion with event, disease progression/relapse or death from any cause)</w:t>
      </w:r>
    </w:p>
    <w:p w14:paraId="7C332188" w14:textId="77777777" w:rsidR="006C73BE" w:rsidRDefault="00016F29" w:rsidP="006C73BE">
      <w:pPr>
        <w:tabs>
          <w:tab w:val="left" w:pos="1152"/>
        </w:tabs>
        <w:rPr>
          <w:sz w:val="18"/>
          <w:szCs w:val="18"/>
          <w:lang w:val="en-GB"/>
        </w:rPr>
      </w:pPr>
      <w:r w:rsidRPr="00CC36E8">
        <w:rPr>
          <w:b/>
          <w:sz w:val="18"/>
          <w:szCs w:val="18"/>
          <w:vertAlign w:val="superscript"/>
          <w:lang w:val="en-GB"/>
        </w:rPr>
        <w:t>a</w:t>
      </w:r>
      <w:r w:rsidRPr="00CC36E8">
        <w:rPr>
          <w:b/>
          <w:sz w:val="18"/>
          <w:szCs w:val="18"/>
          <w:lang w:val="en-GB"/>
        </w:rPr>
        <w:t xml:space="preserve"> </w:t>
      </w:r>
      <w:r>
        <w:rPr>
          <w:sz w:val="18"/>
          <w:szCs w:val="18"/>
          <w:lang w:val="en-GB"/>
        </w:rPr>
        <w:t>– at 3 month follow-up visit (Part 2)</w:t>
      </w:r>
    </w:p>
    <w:p w14:paraId="7C332189" w14:textId="77777777" w:rsidR="006C73BE" w:rsidRPr="00E25142" w:rsidRDefault="00016F29" w:rsidP="006C73BE">
      <w:pPr>
        <w:tabs>
          <w:tab w:val="left" w:pos="1152"/>
        </w:tabs>
        <w:rPr>
          <w:sz w:val="18"/>
          <w:szCs w:val="18"/>
          <w:lang w:val="en-GB"/>
        </w:rPr>
      </w:pPr>
      <w:r w:rsidRPr="00CC36E8">
        <w:rPr>
          <w:b/>
          <w:sz w:val="18"/>
          <w:szCs w:val="18"/>
          <w:vertAlign w:val="superscript"/>
          <w:lang w:val="en-GB"/>
        </w:rPr>
        <w:t>b</w:t>
      </w:r>
      <w:r>
        <w:rPr>
          <w:sz w:val="18"/>
          <w:szCs w:val="18"/>
          <w:lang w:val="en-GB"/>
        </w:rPr>
        <w:t xml:space="preserve"> – at time of final analysis (median follow-up 53 months) </w:t>
      </w:r>
    </w:p>
    <w:p w14:paraId="7C33218A" w14:textId="77777777" w:rsidR="00DD2AC8" w:rsidRPr="008C69AC" w:rsidRDefault="00DD2AC8" w:rsidP="00BB3CC8">
      <w:pPr>
        <w:jc w:val="both"/>
        <w:rPr>
          <w:szCs w:val="22"/>
        </w:rPr>
      </w:pPr>
    </w:p>
    <w:p w14:paraId="7C33218B" w14:textId="77777777" w:rsidR="00DD2AC8" w:rsidRPr="008C69AC" w:rsidRDefault="00016F29" w:rsidP="00BB3CC8">
      <w:pPr>
        <w:keepNext/>
        <w:keepLines/>
        <w:rPr>
          <w:szCs w:val="22"/>
        </w:rPr>
      </w:pPr>
      <w:r w:rsidRPr="008C69AC">
        <w:rPr>
          <w:szCs w:val="22"/>
        </w:rPr>
        <w:t>Overall the results confirm that MabThera subcutaneous formulation 1600 mg has a comparable benefit/risk profile to that of MabThera intravenous formulation 500 mg/m</w:t>
      </w:r>
      <w:r w:rsidRPr="008C69AC">
        <w:rPr>
          <w:szCs w:val="22"/>
          <w:vertAlign w:val="superscript"/>
        </w:rPr>
        <w:t>2</w:t>
      </w:r>
      <w:r w:rsidRPr="008C69AC">
        <w:rPr>
          <w:szCs w:val="22"/>
        </w:rPr>
        <w:t>.</w:t>
      </w:r>
    </w:p>
    <w:p w14:paraId="7C33218C" w14:textId="77777777" w:rsidR="00DD2AC8" w:rsidRPr="001A72EB" w:rsidRDefault="00DD2AC8" w:rsidP="00DD2AC8">
      <w:pPr>
        <w:keepNext/>
        <w:keepLines/>
        <w:rPr>
          <w:szCs w:val="22"/>
          <w:u w:val="single"/>
          <w:lang w:val="en-GB"/>
        </w:rPr>
      </w:pPr>
    </w:p>
    <w:p w14:paraId="7C33218D" w14:textId="77777777" w:rsidR="00733BDD" w:rsidRPr="001A72EB" w:rsidRDefault="00016F29" w:rsidP="00733BDD">
      <w:pPr>
        <w:jc w:val="both"/>
        <w:rPr>
          <w:bCs/>
          <w:i/>
          <w:szCs w:val="22"/>
          <w:u w:val="single"/>
          <w:lang w:val="en-GB"/>
        </w:rPr>
      </w:pPr>
      <w:r w:rsidRPr="001A72EB">
        <w:rPr>
          <w:bCs/>
          <w:i/>
          <w:szCs w:val="22"/>
          <w:u w:val="single"/>
          <w:lang w:val="en-GB"/>
        </w:rPr>
        <w:t>Immunogenicity</w:t>
      </w:r>
    </w:p>
    <w:p w14:paraId="7C33218E" w14:textId="77777777" w:rsidR="00733BDD" w:rsidRPr="00304DE7" w:rsidRDefault="00016F29" w:rsidP="00733BDD">
      <w:pPr>
        <w:rPr>
          <w:rFonts w:eastAsia="SimSun"/>
          <w:bCs/>
          <w:szCs w:val="22"/>
          <w:lang w:val="en-GB" w:eastAsia="zh-CN"/>
        </w:rPr>
      </w:pPr>
      <w:r w:rsidRPr="000D2B90">
        <w:rPr>
          <w:rFonts w:eastAsia="SimSun"/>
          <w:bCs/>
          <w:szCs w:val="22"/>
          <w:lang w:val="en-GB" w:eastAsia="zh-CN"/>
        </w:rPr>
        <w:t>Data from the development programme of MabThera subcutaneous formulation indicate that the formation of anti</w:t>
      </w:r>
      <w:r w:rsidR="000A6DDA" w:rsidRPr="000D2B90">
        <w:rPr>
          <w:rFonts w:eastAsia="SimSun"/>
          <w:bCs/>
          <w:szCs w:val="22"/>
          <w:lang w:val="en-GB" w:eastAsia="zh-CN"/>
        </w:rPr>
        <w:noBreakHyphen/>
      </w:r>
      <w:r w:rsidRPr="000D2B90">
        <w:rPr>
          <w:rFonts w:eastAsia="SimSun"/>
          <w:bCs/>
          <w:szCs w:val="22"/>
          <w:lang w:val="en-GB" w:eastAsia="zh-CN"/>
        </w:rPr>
        <w:t>rituximab antibodies after subcutaneous administration is comparable with that observed after intravenous administration</w:t>
      </w:r>
      <w:r w:rsidRPr="000D2B90">
        <w:rPr>
          <w:rFonts w:eastAsia="SimSun"/>
          <w:bCs/>
          <w:szCs w:val="22"/>
          <w:shd w:val="clear" w:color="auto" w:fill="FFFFFF"/>
          <w:lang w:val="en-GB" w:eastAsia="zh-CN"/>
        </w:rPr>
        <w:t xml:space="preserve">. </w:t>
      </w:r>
      <w:r w:rsidRPr="000D2B90">
        <w:rPr>
          <w:bCs/>
          <w:shd w:val="clear" w:color="auto" w:fill="FFFFFF"/>
        </w:rPr>
        <w:t xml:space="preserve">In SAWYER </w:t>
      </w:r>
      <w:r w:rsidR="00B7023B" w:rsidRPr="000D2B90">
        <w:rPr>
          <w:bCs/>
          <w:shd w:val="clear" w:color="auto" w:fill="FFFFFF"/>
        </w:rPr>
        <w:t>trial</w:t>
      </w:r>
      <w:r w:rsidRPr="000D2B90">
        <w:rPr>
          <w:bCs/>
          <w:shd w:val="clear" w:color="auto" w:fill="FFFFFF"/>
        </w:rPr>
        <w:t xml:space="preserve"> (BO25341) the incidence of treatment</w:t>
      </w:r>
      <w:r w:rsidR="000A6DDA" w:rsidRPr="000D2B90">
        <w:rPr>
          <w:bCs/>
          <w:shd w:val="clear" w:color="auto" w:fill="FFFFFF"/>
        </w:rPr>
        <w:noBreakHyphen/>
      </w:r>
      <w:r w:rsidRPr="000D2B90">
        <w:rPr>
          <w:bCs/>
          <w:shd w:val="clear" w:color="auto" w:fill="FFFFFF"/>
        </w:rPr>
        <w:t>induced/enhanced anti</w:t>
      </w:r>
      <w:r w:rsidR="000A6DDA" w:rsidRPr="000D2B90">
        <w:rPr>
          <w:bCs/>
          <w:shd w:val="clear" w:color="auto" w:fill="FFFFFF"/>
        </w:rPr>
        <w:noBreakHyphen/>
      </w:r>
      <w:r w:rsidRPr="000D2B90">
        <w:rPr>
          <w:bCs/>
          <w:shd w:val="clear" w:color="auto" w:fill="FFFFFF"/>
        </w:rPr>
        <w:t xml:space="preserve">rituximab antibodies was similar in the two treatment arms; </w:t>
      </w:r>
      <w:r w:rsidR="006C73BE">
        <w:rPr>
          <w:bCs/>
          <w:shd w:val="clear" w:color="auto" w:fill="FFFFFF"/>
        </w:rPr>
        <w:t>15</w:t>
      </w:r>
      <w:r w:rsidRPr="000D2B90">
        <w:rPr>
          <w:bCs/>
          <w:shd w:val="clear" w:color="auto" w:fill="FFFFFF"/>
        </w:rPr>
        <w:t xml:space="preserve">% </w:t>
      </w:r>
      <w:r w:rsidR="00B7023B" w:rsidRPr="000D2B90">
        <w:rPr>
          <w:bCs/>
          <w:shd w:val="clear" w:color="auto" w:fill="FFFFFF"/>
        </w:rPr>
        <w:t xml:space="preserve">intravenous </w:t>
      </w:r>
      <w:r w:rsidRPr="000D2B90">
        <w:rPr>
          <w:bCs/>
          <w:shd w:val="clear" w:color="auto" w:fill="FFFFFF"/>
        </w:rPr>
        <w:t xml:space="preserve">vs. </w:t>
      </w:r>
      <w:r w:rsidR="006C73BE">
        <w:rPr>
          <w:bCs/>
          <w:shd w:val="clear" w:color="auto" w:fill="FFFFFF"/>
        </w:rPr>
        <w:t>1</w:t>
      </w:r>
      <w:r w:rsidRPr="000D2B90">
        <w:rPr>
          <w:bCs/>
          <w:shd w:val="clear" w:color="auto" w:fill="FFFFFF"/>
        </w:rPr>
        <w:t xml:space="preserve">2% </w:t>
      </w:r>
      <w:r w:rsidR="00B7023B" w:rsidRPr="000D2B90">
        <w:rPr>
          <w:bCs/>
          <w:shd w:val="clear" w:color="auto" w:fill="FFFFFF"/>
        </w:rPr>
        <w:t>subcutaneous</w:t>
      </w:r>
      <w:r w:rsidR="006C73BE">
        <w:rPr>
          <w:bCs/>
          <w:shd w:val="clear" w:color="auto" w:fill="FFFFFF"/>
        </w:rPr>
        <w:t>.</w:t>
      </w:r>
      <w:r w:rsidR="00B7023B" w:rsidRPr="000D2B90">
        <w:rPr>
          <w:bCs/>
          <w:shd w:val="clear" w:color="auto" w:fill="FFFFFF"/>
        </w:rPr>
        <w:t xml:space="preserve"> </w:t>
      </w:r>
      <w:r w:rsidRPr="000D2B90">
        <w:rPr>
          <w:bCs/>
          <w:shd w:val="clear" w:color="auto" w:fill="FFFFFF"/>
        </w:rPr>
        <w:t xml:space="preserve"> The incidence of treatment</w:t>
      </w:r>
      <w:r w:rsidR="000A6DDA" w:rsidRPr="000D2B90">
        <w:rPr>
          <w:bCs/>
          <w:shd w:val="clear" w:color="auto" w:fill="FFFFFF"/>
        </w:rPr>
        <w:noBreakHyphen/>
      </w:r>
      <w:r w:rsidRPr="000D2B90">
        <w:rPr>
          <w:bCs/>
          <w:shd w:val="clear" w:color="auto" w:fill="FFFFFF"/>
        </w:rPr>
        <w:t>induced/enhanced anti</w:t>
      </w:r>
      <w:r w:rsidR="000A6DDA" w:rsidRPr="00304DE7">
        <w:rPr>
          <w:bCs/>
          <w:shd w:val="clear" w:color="auto" w:fill="FFFFFF"/>
        </w:rPr>
        <w:noBreakHyphen/>
      </w:r>
      <w:r w:rsidRPr="00304DE7">
        <w:rPr>
          <w:bCs/>
          <w:shd w:val="clear" w:color="auto" w:fill="FFFFFF"/>
        </w:rPr>
        <w:t xml:space="preserve">rHuPH20 antibodies, only measured in patients in the </w:t>
      </w:r>
      <w:r w:rsidR="00B7023B" w:rsidRPr="00304DE7">
        <w:rPr>
          <w:bCs/>
          <w:shd w:val="clear" w:color="auto" w:fill="FFFFFF"/>
        </w:rPr>
        <w:t xml:space="preserve">subcutaneous </w:t>
      </w:r>
      <w:r w:rsidRPr="00304DE7">
        <w:rPr>
          <w:bCs/>
          <w:shd w:val="clear" w:color="auto" w:fill="FFFFFF"/>
        </w:rPr>
        <w:t>arm was 1</w:t>
      </w:r>
      <w:r w:rsidR="006C73BE">
        <w:rPr>
          <w:bCs/>
          <w:shd w:val="clear" w:color="auto" w:fill="FFFFFF"/>
        </w:rPr>
        <w:t>2</w:t>
      </w:r>
      <w:r w:rsidRPr="00304DE7">
        <w:rPr>
          <w:bCs/>
          <w:shd w:val="clear" w:color="auto" w:fill="FFFFFF"/>
        </w:rPr>
        <w:t>%. None of the patients who tested positive for anti</w:t>
      </w:r>
      <w:r w:rsidR="000A6DDA" w:rsidRPr="00304DE7">
        <w:rPr>
          <w:bCs/>
          <w:shd w:val="clear" w:color="auto" w:fill="FFFFFF"/>
        </w:rPr>
        <w:noBreakHyphen/>
      </w:r>
      <w:r w:rsidRPr="00304DE7">
        <w:rPr>
          <w:bCs/>
          <w:shd w:val="clear" w:color="auto" w:fill="FFFFFF"/>
        </w:rPr>
        <w:t>rHuPH20 antibodies tested positive for neutralizing antibodies</w:t>
      </w:r>
      <w:r w:rsidRPr="00304DE7">
        <w:rPr>
          <w:rFonts w:eastAsia="SimSun"/>
          <w:bCs/>
          <w:szCs w:val="22"/>
          <w:lang w:val="en-GB" w:eastAsia="zh-CN"/>
        </w:rPr>
        <w:t xml:space="preserve">. </w:t>
      </w:r>
    </w:p>
    <w:p w14:paraId="7C33218F" w14:textId="77777777" w:rsidR="00733BDD" w:rsidRPr="00304DE7" w:rsidRDefault="00733BDD" w:rsidP="00DD36B7">
      <w:pPr>
        <w:rPr>
          <w:lang w:val="en-GB"/>
        </w:rPr>
      </w:pPr>
    </w:p>
    <w:p w14:paraId="7C332190" w14:textId="77777777" w:rsidR="00733BDD" w:rsidRPr="00304DE7" w:rsidRDefault="00016F29" w:rsidP="00941759">
      <w:pPr>
        <w:keepNext/>
        <w:shd w:val="clear" w:color="auto" w:fill="FFFFFF"/>
        <w:outlineLvl w:val="0"/>
        <w:rPr>
          <w:bCs/>
          <w:szCs w:val="22"/>
          <w:lang w:val="en-GB"/>
        </w:rPr>
      </w:pPr>
      <w:r w:rsidRPr="00304DE7">
        <w:rPr>
          <w:bCs/>
          <w:szCs w:val="22"/>
          <w:lang w:val="en-GB"/>
        </w:rPr>
        <w:t xml:space="preserve">The clinical relevance of the development of </w:t>
      </w:r>
      <w:r w:rsidRPr="00304DE7">
        <w:rPr>
          <w:bCs/>
          <w:szCs w:val="22"/>
          <w:shd w:val="clear" w:color="auto" w:fill="FFFFFF"/>
          <w:lang w:val="en-GB"/>
        </w:rPr>
        <w:t>anti</w:t>
      </w:r>
      <w:r w:rsidR="000A6DDA" w:rsidRPr="00304DE7">
        <w:rPr>
          <w:bCs/>
          <w:szCs w:val="22"/>
          <w:shd w:val="clear" w:color="auto" w:fill="FFFFFF"/>
          <w:lang w:val="en-GB"/>
        </w:rPr>
        <w:noBreakHyphen/>
      </w:r>
      <w:r w:rsidRPr="00304DE7">
        <w:rPr>
          <w:bCs/>
          <w:szCs w:val="22"/>
          <w:shd w:val="clear" w:color="auto" w:fill="FFFFFF"/>
          <w:lang w:val="en-GB"/>
        </w:rPr>
        <w:t>rituximab or</w:t>
      </w:r>
      <w:r w:rsidRPr="00304DE7">
        <w:rPr>
          <w:bCs/>
          <w:szCs w:val="22"/>
          <w:lang w:val="en-GB"/>
        </w:rPr>
        <w:t xml:space="preserve"> anti</w:t>
      </w:r>
      <w:r w:rsidR="000A6DDA" w:rsidRPr="00304DE7">
        <w:rPr>
          <w:bCs/>
          <w:szCs w:val="22"/>
          <w:lang w:val="en-GB"/>
        </w:rPr>
        <w:noBreakHyphen/>
      </w:r>
      <w:r w:rsidRPr="00304DE7">
        <w:rPr>
          <w:bCs/>
          <w:szCs w:val="22"/>
          <w:lang w:val="en-GB"/>
        </w:rPr>
        <w:t>rHuPH20 antibodies after treatment with MabThera subcutaneous</w:t>
      </w:r>
      <w:r w:rsidRPr="008C69AC">
        <w:rPr>
          <w:bCs/>
          <w:szCs w:val="22"/>
          <w:lang w:val="en-GB"/>
        </w:rPr>
        <w:t xml:space="preserve"> </w:t>
      </w:r>
      <w:r w:rsidRPr="00304DE7">
        <w:rPr>
          <w:bCs/>
          <w:szCs w:val="22"/>
          <w:lang w:val="en-GB"/>
        </w:rPr>
        <w:t xml:space="preserve">formulation is not known. </w:t>
      </w:r>
      <w:r w:rsidRPr="00304DE7">
        <w:rPr>
          <w:bCs/>
        </w:rPr>
        <w:t>There was no impact of the presence of anti</w:t>
      </w:r>
      <w:r w:rsidR="000A6DDA" w:rsidRPr="00304DE7">
        <w:rPr>
          <w:bCs/>
        </w:rPr>
        <w:noBreakHyphen/>
      </w:r>
      <w:r w:rsidRPr="00304DE7">
        <w:rPr>
          <w:bCs/>
        </w:rPr>
        <w:t>rituximab or anti</w:t>
      </w:r>
      <w:r w:rsidR="000A6DDA" w:rsidRPr="00304DE7">
        <w:rPr>
          <w:bCs/>
        </w:rPr>
        <w:noBreakHyphen/>
      </w:r>
      <w:r w:rsidRPr="00304DE7">
        <w:rPr>
          <w:bCs/>
        </w:rPr>
        <w:t>rHuPH20 antibodies on safety</w:t>
      </w:r>
      <w:r w:rsidR="00AE72BF" w:rsidRPr="00304DE7">
        <w:rPr>
          <w:bCs/>
        </w:rPr>
        <w:t>,</w:t>
      </w:r>
      <w:r w:rsidRPr="00304DE7">
        <w:rPr>
          <w:bCs/>
        </w:rPr>
        <w:t xml:space="preserve"> efficacy </w:t>
      </w:r>
      <w:r w:rsidR="00AE72BF" w:rsidRPr="00304DE7">
        <w:rPr>
          <w:bCs/>
        </w:rPr>
        <w:t xml:space="preserve">or PK </w:t>
      </w:r>
      <w:r w:rsidR="00F600F2" w:rsidRPr="00304DE7">
        <w:rPr>
          <w:bCs/>
        </w:rPr>
        <w:t>of MabThera</w:t>
      </w:r>
      <w:r w:rsidRPr="00304DE7">
        <w:rPr>
          <w:bCs/>
        </w:rPr>
        <w:t>.</w:t>
      </w:r>
    </w:p>
    <w:p w14:paraId="7C332191" w14:textId="77777777" w:rsidR="003F42D3" w:rsidRPr="00304DE7" w:rsidRDefault="003F42D3" w:rsidP="00DD36B7">
      <w:pPr>
        <w:keepNext/>
        <w:outlineLvl w:val="0"/>
        <w:rPr>
          <w:lang w:val="en-GB"/>
        </w:rPr>
      </w:pPr>
    </w:p>
    <w:p w14:paraId="7C332192" w14:textId="77777777" w:rsidR="006A0C3A" w:rsidRPr="00304DE7" w:rsidRDefault="00016F29" w:rsidP="001A72EB">
      <w:pPr>
        <w:keepNext/>
        <w:outlineLvl w:val="0"/>
        <w:rPr>
          <w:szCs w:val="22"/>
          <w:u w:val="single"/>
          <w:lang w:val="en-GB"/>
        </w:rPr>
      </w:pPr>
      <w:r w:rsidRPr="00304DE7">
        <w:rPr>
          <w:szCs w:val="22"/>
          <w:u w:val="single"/>
          <w:lang w:val="en-GB"/>
        </w:rPr>
        <w:t xml:space="preserve">Clinical experience of MabThera concentrate for solution for infusion in </w:t>
      </w:r>
      <w:r w:rsidR="007D4E4A" w:rsidRPr="00304DE7">
        <w:rPr>
          <w:szCs w:val="22"/>
          <w:u w:val="single"/>
          <w:lang w:val="en-GB"/>
        </w:rPr>
        <w:t>CLL</w:t>
      </w:r>
    </w:p>
    <w:p w14:paraId="7C332193" w14:textId="77777777" w:rsidR="006A0C3A" w:rsidRPr="00304DE7" w:rsidRDefault="006A0C3A" w:rsidP="00DD36B7">
      <w:pPr>
        <w:keepNext/>
        <w:outlineLvl w:val="0"/>
        <w:rPr>
          <w:lang w:val="en-GB"/>
        </w:rPr>
      </w:pPr>
    </w:p>
    <w:p w14:paraId="7C332194" w14:textId="77777777" w:rsidR="00304014" w:rsidRPr="00C33DD1" w:rsidRDefault="00016F29" w:rsidP="001A72EB">
      <w:pPr>
        <w:rPr>
          <w:lang w:val="en-GB"/>
        </w:rPr>
      </w:pPr>
      <w:r w:rsidRPr="00304DE7">
        <w:rPr>
          <w:lang w:val="en-GB"/>
        </w:rPr>
        <w:t>In two open</w:t>
      </w:r>
      <w:r w:rsidR="000A6DDA" w:rsidRPr="00304DE7">
        <w:rPr>
          <w:lang w:val="en-GB"/>
        </w:rPr>
        <w:noBreakHyphen/>
      </w:r>
      <w:r w:rsidRPr="00304DE7">
        <w:rPr>
          <w:lang w:val="en-GB"/>
        </w:rPr>
        <w:t>label randomised trials, a total of 817 previously untreated patients and 552 patients with relapsed/refractory CLL were randomised to receive either FC chemotherapy (fludarabine 25 mg/m</w:t>
      </w:r>
      <w:r w:rsidRPr="00304DE7">
        <w:rPr>
          <w:vertAlign w:val="superscript"/>
          <w:lang w:val="en-GB"/>
        </w:rPr>
        <w:t>2</w:t>
      </w:r>
      <w:r w:rsidRPr="00304DE7">
        <w:rPr>
          <w:lang w:val="en-GB"/>
        </w:rPr>
        <w:t>, cyclophosphamide 250 mg/m</w:t>
      </w:r>
      <w:r w:rsidRPr="00304DE7">
        <w:rPr>
          <w:vertAlign w:val="superscript"/>
          <w:lang w:val="en-GB"/>
        </w:rPr>
        <w:t>2</w:t>
      </w:r>
      <w:r w:rsidRPr="00304DE7">
        <w:rPr>
          <w:lang w:val="en-GB"/>
        </w:rPr>
        <w:t>, days 1</w:t>
      </w:r>
      <w:r w:rsidR="000A6DDA" w:rsidRPr="00304DE7">
        <w:rPr>
          <w:lang w:val="en-GB"/>
        </w:rPr>
        <w:noBreakHyphen/>
      </w:r>
      <w:r w:rsidRPr="00304DE7">
        <w:rPr>
          <w:lang w:val="en-GB"/>
        </w:rPr>
        <w:t>3) every 4 weeks for 6 cycles or MabThera in combination with FC (R</w:t>
      </w:r>
      <w:r w:rsidR="000A6DDA" w:rsidRPr="00304DE7">
        <w:rPr>
          <w:lang w:val="en-GB"/>
        </w:rPr>
        <w:noBreakHyphen/>
      </w:r>
      <w:r w:rsidRPr="00304DE7">
        <w:rPr>
          <w:lang w:val="en-GB"/>
        </w:rPr>
        <w:t>FC). MabThera was administered at a dosage of 375 mg/m</w:t>
      </w:r>
      <w:r w:rsidRPr="00304DE7">
        <w:rPr>
          <w:vertAlign w:val="superscript"/>
          <w:lang w:val="en-GB"/>
        </w:rPr>
        <w:t>2</w:t>
      </w:r>
      <w:r w:rsidRPr="00304DE7">
        <w:rPr>
          <w:lang w:val="en-GB"/>
        </w:rPr>
        <w:t xml:space="preserve"> during the first cycle one day</w:t>
      </w:r>
      <w:r w:rsidRPr="001A72EB">
        <w:rPr>
          <w:lang w:val="en-GB"/>
        </w:rPr>
        <w:t xml:space="preserve"> prior to chemotherapy and at a dosage of 500 mg/m</w:t>
      </w:r>
      <w:r w:rsidRPr="001A72EB">
        <w:rPr>
          <w:vertAlign w:val="superscript"/>
          <w:lang w:val="en-GB"/>
        </w:rPr>
        <w:t>2</w:t>
      </w:r>
      <w:r w:rsidRPr="001A72EB">
        <w:rPr>
          <w:lang w:val="en-GB"/>
        </w:rPr>
        <w:t xml:space="preserve"> on day 1 of each subsequent treatment cycle. Patients were excluded from the study in relapsed/refractory CLL if they had previously been treated with monoclonal antibodies or if they were refractory (defined as failure to achieve a partial remission </w:t>
      </w:r>
      <w:r w:rsidRPr="00C33DD1">
        <w:rPr>
          <w:lang w:val="en-GB"/>
        </w:rPr>
        <w:t>for at least 6 months) to fludarabine or any nucleoside analogue. A total of 810 patients (403 R</w:t>
      </w:r>
      <w:r w:rsidR="000A6DDA" w:rsidRPr="00C33DD1">
        <w:rPr>
          <w:lang w:val="en-GB"/>
        </w:rPr>
        <w:noBreakHyphen/>
      </w:r>
      <w:r w:rsidRPr="00C33DD1">
        <w:rPr>
          <w:lang w:val="en-GB"/>
        </w:rPr>
        <w:t>FC, 407 FC) for the first</w:t>
      </w:r>
      <w:r w:rsidR="000A6DDA" w:rsidRPr="00C33DD1">
        <w:rPr>
          <w:lang w:val="en-GB"/>
        </w:rPr>
        <w:noBreakHyphen/>
      </w:r>
      <w:r w:rsidRPr="00C33DD1">
        <w:rPr>
          <w:lang w:val="en-GB"/>
        </w:rPr>
        <w:t>line study (Table </w:t>
      </w:r>
      <w:r w:rsidR="00BB33F3" w:rsidRPr="00C33DD1">
        <w:rPr>
          <w:lang w:val="en-GB"/>
        </w:rPr>
        <w:t>2</w:t>
      </w:r>
      <w:r w:rsidRPr="00C33DD1">
        <w:rPr>
          <w:lang w:val="en-GB"/>
        </w:rPr>
        <w:t xml:space="preserve">a and Table </w:t>
      </w:r>
      <w:r w:rsidR="00BB33F3" w:rsidRPr="00C33DD1">
        <w:rPr>
          <w:lang w:val="en-GB"/>
        </w:rPr>
        <w:t>2</w:t>
      </w:r>
      <w:r w:rsidRPr="00C33DD1">
        <w:rPr>
          <w:lang w:val="en-GB"/>
        </w:rPr>
        <w:t>b) and 552 patients (276 R</w:t>
      </w:r>
      <w:r w:rsidR="000A6DDA" w:rsidRPr="00C33DD1">
        <w:rPr>
          <w:lang w:val="en-GB"/>
        </w:rPr>
        <w:noBreakHyphen/>
      </w:r>
      <w:r w:rsidRPr="00C33DD1">
        <w:rPr>
          <w:lang w:val="en-GB"/>
        </w:rPr>
        <w:t>FC, 276 FC) for the relapsed/refractory study (Table </w:t>
      </w:r>
      <w:r w:rsidR="00BB33F3" w:rsidRPr="00C33DD1">
        <w:rPr>
          <w:lang w:val="en-GB"/>
        </w:rPr>
        <w:t>3</w:t>
      </w:r>
      <w:r w:rsidRPr="00C33DD1">
        <w:rPr>
          <w:lang w:val="en-GB"/>
        </w:rPr>
        <w:t>) were analysed for efficacy.</w:t>
      </w:r>
    </w:p>
    <w:p w14:paraId="7C332195" w14:textId="77777777" w:rsidR="00304014" w:rsidRPr="00C33DD1" w:rsidRDefault="00304014" w:rsidP="001A72EB">
      <w:pPr>
        <w:rPr>
          <w:lang w:val="en-GB"/>
        </w:rPr>
      </w:pPr>
    </w:p>
    <w:p w14:paraId="7C332196" w14:textId="77777777" w:rsidR="00304014" w:rsidRPr="00C33DD1" w:rsidRDefault="00016F29" w:rsidP="001A72EB">
      <w:pPr>
        <w:rPr>
          <w:lang w:val="en-GB"/>
        </w:rPr>
      </w:pPr>
      <w:r w:rsidRPr="00C33DD1">
        <w:rPr>
          <w:lang w:val="en-GB"/>
        </w:rPr>
        <w:t>In the first</w:t>
      </w:r>
      <w:r w:rsidR="000A6DDA" w:rsidRPr="00C33DD1">
        <w:rPr>
          <w:lang w:val="en-GB"/>
        </w:rPr>
        <w:noBreakHyphen/>
      </w:r>
      <w:r w:rsidRPr="00C33DD1">
        <w:rPr>
          <w:lang w:val="en-GB"/>
        </w:rPr>
        <w:t>line study, after a median observation time of 48.1 months, the median PFS was 55 months in the R</w:t>
      </w:r>
      <w:r w:rsidR="000A6DDA" w:rsidRPr="00C33DD1">
        <w:rPr>
          <w:lang w:val="en-GB"/>
        </w:rPr>
        <w:noBreakHyphen/>
      </w:r>
      <w:r w:rsidRPr="00C33DD1">
        <w:rPr>
          <w:lang w:val="en-GB"/>
        </w:rPr>
        <w:t>FC group and 33 months in the FC group (p &lt; 0.0001, log</w:t>
      </w:r>
      <w:r w:rsidR="000A6DDA" w:rsidRPr="00C33DD1">
        <w:rPr>
          <w:lang w:val="en-GB"/>
        </w:rPr>
        <w:noBreakHyphen/>
      </w:r>
      <w:r w:rsidRPr="00C33DD1">
        <w:rPr>
          <w:lang w:val="en-GB"/>
        </w:rPr>
        <w:t>rank test). The analysis of overall survival showed a significant benefit of R</w:t>
      </w:r>
      <w:r w:rsidR="000A6DDA" w:rsidRPr="00C33DD1">
        <w:rPr>
          <w:lang w:val="en-GB"/>
        </w:rPr>
        <w:noBreakHyphen/>
      </w:r>
      <w:r w:rsidRPr="00C33DD1">
        <w:rPr>
          <w:lang w:val="en-GB"/>
        </w:rPr>
        <w:t>FC treatment over FC chemotherapy alone (p = 0.0319, log</w:t>
      </w:r>
      <w:r w:rsidR="000A6DDA" w:rsidRPr="00C33DD1">
        <w:rPr>
          <w:lang w:val="en-GB"/>
        </w:rPr>
        <w:noBreakHyphen/>
      </w:r>
      <w:r w:rsidRPr="00C33DD1">
        <w:rPr>
          <w:lang w:val="en-GB"/>
        </w:rPr>
        <w:t xml:space="preserve">rank test) (Table </w:t>
      </w:r>
      <w:r w:rsidR="00BB33F3" w:rsidRPr="00C33DD1">
        <w:rPr>
          <w:lang w:val="en-GB"/>
        </w:rPr>
        <w:t>2</w:t>
      </w:r>
      <w:r w:rsidRPr="00C33DD1">
        <w:rPr>
          <w:lang w:val="en-GB"/>
        </w:rPr>
        <w:t>a).</w:t>
      </w:r>
      <w:r w:rsidRPr="00C33DD1">
        <w:rPr>
          <w:b/>
          <w:i/>
          <w:lang w:val="en-GB"/>
        </w:rPr>
        <w:t xml:space="preserve"> </w:t>
      </w:r>
      <w:r w:rsidRPr="00C33DD1">
        <w:rPr>
          <w:lang w:val="en-GB"/>
        </w:rPr>
        <w:t>The benefit in terms of PFS was consistently observed in most patient subgroups analysed according to disease risk at baseline (i.e. Binet stages A</w:t>
      </w:r>
      <w:r w:rsidR="000A6DDA" w:rsidRPr="00C33DD1">
        <w:rPr>
          <w:lang w:val="en-GB"/>
        </w:rPr>
        <w:noBreakHyphen/>
      </w:r>
      <w:r w:rsidRPr="00C33DD1">
        <w:rPr>
          <w:lang w:val="en-GB"/>
        </w:rPr>
        <w:t xml:space="preserve">C) (Table </w:t>
      </w:r>
      <w:r w:rsidR="00BB33F3" w:rsidRPr="00C33DD1">
        <w:rPr>
          <w:lang w:val="en-GB"/>
        </w:rPr>
        <w:t>2</w:t>
      </w:r>
      <w:r w:rsidRPr="00C33DD1">
        <w:rPr>
          <w:lang w:val="en-GB"/>
        </w:rPr>
        <w:t>b).</w:t>
      </w:r>
    </w:p>
    <w:p w14:paraId="7C332197" w14:textId="77777777" w:rsidR="00304014" w:rsidRPr="00C33DD1" w:rsidRDefault="00304014" w:rsidP="001A72EB">
      <w:pPr>
        <w:rPr>
          <w:lang w:val="en-GB"/>
        </w:rPr>
      </w:pPr>
    </w:p>
    <w:p w14:paraId="7C332198" w14:textId="77777777" w:rsidR="00304014" w:rsidRPr="00D3005A" w:rsidRDefault="00016F29" w:rsidP="001A72EB">
      <w:pPr>
        <w:keepNext/>
        <w:keepLines/>
        <w:ind w:left="1134" w:hanging="1134"/>
        <w:rPr>
          <w:b/>
          <w:lang w:val="en-GB"/>
        </w:rPr>
      </w:pPr>
      <w:bookmarkStart w:id="16" w:name="_Ref200176478"/>
      <w:r w:rsidRPr="00D3005A">
        <w:rPr>
          <w:b/>
          <w:lang w:val="en-GB"/>
        </w:rPr>
        <w:t>Table </w:t>
      </w:r>
      <w:bookmarkEnd w:id="16"/>
      <w:r w:rsidR="00D55C85" w:rsidRPr="00D3005A">
        <w:rPr>
          <w:b/>
          <w:lang w:val="en-GB"/>
        </w:rPr>
        <w:t>2</w:t>
      </w:r>
      <w:r w:rsidRPr="00D3005A">
        <w:rPr>
          <w:b/>
          <w:lang w:val="en-GB"/>
        </w:rPr>
        <w:t>a</w:t>
      </w:r>
      <w:r w:rsidRPr="00D3005A">
        <w:rPr>
          <w:b/>
          <w:lang w:val="en-GB"/>
        </w:rPr>
        <w:tab/>
        <w:t>First</w:t>
      </w:r>
      <w:r w:rsidR="000A6DDA" w:rsidRPr="00D3005A">
        <w:rPr>
          <w:b/>
          <w:lang w:val="en-GB"/>
        </w:rPr>
        <w:noBreakHyphen/>
      </w:r>
      <w:r w:rsidR="000A6DDA" w:rsidRPr="00D3005A">
        <w:rPr>
          <w:b/>
          <w:lang w:val="en-GB"/>
        </w:rPr>
        <w:noBreakHyphen/>
      </w:r>
      <w:r w:rsidRPr="00D3005A">
        <w:rPr>
          <w:b/>
          <w:lang w:val="en-GB"/>
        </w:rPr>
        <w:t>line treatment of chronic lymphocytic leukaemia</w:t>
      </w:r>
    </w:p>
    <w:p w14:paraId="7C332199" w14:textId="77777777" w:rsidR="00304014" w:rsidRPr="001A72EB" w:rsidRDefault="00016F29" w:rsidP="001A72EB">
      <w:pPr>
        <w:keepNext/>
        <w:keepLines/>
        <w:ind w:left="1134"/>
        <w:rPr>
          <w:szCs w:val="22"/>
          <w:lang w:val="en-GB"/>
        </w:rPr>
      </w:pPr>
      <w:r w:rsidRPr="00D3005A">
        <w:rPr>
          <w:b/>
          <w:lang w:val="en-GB"/>
        </w:rPr>
        <w:t xml:space="preserve">Overview of efficacy results for MabThera plus FC vs. FC alone </w:t>
      </w:r>
      <w:r w:rsidR="000A6DDA" w:rsidRPr="00D3005A">
        <w:rPr>
          <w:b/>
          <w:lang w:val="en-GB"/>
        </w:rPr>
        <w:noBreakHyphen/>
      </w:r>
      <w:r w:rsidRPr="00D3005A">
        <w:rPr>
          <w:b/>
          <w:lang w:val="en-GB"/>
        </w:rPr>
        <w:t xml:space="preserve"> 48.1 months</w:t>
      </w:r>
      <w:r w:rsidRPr="001A72EB">
        <w:rPr>
          <w:b/>
          <w:lang w:val="en-GB"/>
        </w:rPr>
        <w:t xml:space="preserve"> median observation time</w:t>
      </w:r>
    </w:p>
    <w:tbl>
      <w:tblPr>
        <w:tblW w:w="8658" w:type="dxa"/>
        <w:tblInd w:w="108" w:type="dxa"/>
        <w:tblBorders>
          <w:top w:val="single" w:sz="6" w:space="0" w:color="000000"/>
          <w:bottom w:val="single" w:sz="6" w:space="0" w:color="000000"/>
          <w:insideV w:val="single" w:sz="6" w:space="0" w:color="000000"/>
        </w:tblBorders>
        <w:tblLayout w:type="fixed"/>
        <w:tblLook w:val="0000" w:firstRow="0" w:lastRow="0" w:firstColumn="0" w:lastColumn="0" w:noHBand="0" w:noVBand="0"/>
      </w:tblPr>
      <w:tblGrid>
        <w:gridCol w:w="3124"/>
        <w:gridCol w:w="1448"/>
        <w:gridCol w:w="1240"/>
        <w:gridCol w:w="1422"/>
        <w:gridCol w:w="1424"/>
      </w:tblGrid>
      <w:tr w:rsidR="003A788B" w14:paraId="7C33219D" w14:textId="77777777" w:rsidTr="006A3D53">
        <w:trPr>
          <w:trHeight w:val="511"/>
          <w:tblHeader/>
        </w:trPr>
        <w:tc>
          <w:tcPr>
            <w:tcW w:w="3124" w:type="dxa"/>
            <w:vMerge w:val="restart"/>
            <w:tcBorders>
              <w:top w:val="single" w:sz="6" w:space="0" w:color="000000"/>
              <w:left w:val="single" w:sz="4" w:space="0" w:color="auto"/>
            </w:tcBorders>
            <w:shd w:val="clear" w:color="auto" w:fill="auto"/>
          </w:tcPr>
          <w:p w14:paraId="7C33219A" w14:textId="77777777" w:rsidR="00304014" w:rsidRPr="001A72EB" w:rsidRDefault="00016F29" w:rsidP="001A72EB">
            <w:pPr>
              <w:pStyle w:val="TextTi10"/>
              <w:keepNext/>
              <w:keepLines/>
              <w:jc w:val="center"/>
              <w:rPr>
                <w:b/>
                <w:sz w:val="22"/>
                <w:szCs w:val="22"/>
                <w:lang w:val="en-GB"/>
              </w:rPr>
            </w:pPr>
            <w:r w:rsidRPr="001A72EB">
              <w:rPr>
                <w:b/>
                <w:sz w:val="22"/>
                <w:szCs w:val="22"/>
                <w:lang w:val="en-GB"/>
              </w:rPr>
              <w:t>Efficacy Parameter</w:t>
            </w:r>
          </w:p>
        </w:tc>
        <w:tc>
          <w:tcPr>
            <w:tcW w:w="4110" w:type="dxa"/>
            <w:gridSpan w:val="3"/>
            <w:tcBorders>
              <w:top w:val="single" w:sz="6" w:space="0" w:color="000000"/>
              <w:bottom w:val="single" w:sz="6" w:space="0" w:color="000000"/>
            </w:tcBorders>
            <w:shd w:val="clear" w:color="auto" w:fill="auto"/>
          </w:tcPr>
          <w:p w14:paraId="7C33219B" w14:textId="77777777" w:rsidR="00304014" w:rsidRPr="00876F54" w:rsidRDefault="00016F29" w:rsidP="001A72EB">
            <w:pPr>
              <w:pStyle w:val="TextTi10"/>
              <w:keepNext/>
              <w:keepLines/>
              <w:jc w:val="center"/>
              <w:rPr>
                <w:b/>
                <w:sz w:val="22"/>
                <w:szCs w:val="22"/>
                <w:lang w:val="en-GB"/>
              </w:rPr>
            </w:pPr>
            <w:r w:rsidRPr="00876F54">
              <w:rPr>
                <w:b/>
                <w:sz w:val="22"/>
                <w:szCs w:val="22"/>
                <w:lang w:val="en-GB"/>
              </w:rPr>
              <w:t>Kaplan</w:t>
            </w:r>
            <w:r w:rsidR="000A6DDA" w:rsidRPr="00876F54">
              <w:rPr>
                <w:b/>
                <w:sz w:val="22"/>
                <w:szCs w:val="22"/>
                <w:lang w:val="en-GB"/>
              </w:rPr>
              <w:noBreakHyphen/>
            </w:r>
            <w:r w:rsidRPr="00876F54">
              <w:rPr>
                <w:b/>
                <w:sz w:val="22"/>
                <w:szCs w:val="22"/>
                <w:lang w:val="en-GB"/>
              </w:rPr>
              <w:t xml:space="preserve">Meier Estimate of </w:t>
            </w:r>
            <w:r w:rsidRPr="00876F54">
              <w:rPr>
                <w:b/>
                <w:sz w:val="22"/>
                <w:szCs w:val="22"/>
                <w:lang w:val="en-GB"/>
              </w:rPr>
              <w:br/>
              <w:t>Median Time to Event (Months)</w:t>
            </w:r>
          </w:p>
        </w:tc>
        <w:tc>
          <w:tcPr>
            <w:tcW w:w="1424" w:type="dxa"/>
            <w:vMerge w:val="restart"/>
            <w:tcBorders>
              <w:top w:val="single" w:sz="6" w:space="0" w:color="000000"/>
              <w:right w:val="single" w:sz="6" w:space="0" w:color="000000"/>
            </w:tcBorders>
            <w:shd w:val="clear" w:color="auto" w:fill="auto"/>
          </w:tcPr>
          <w:p w14:paraId="7C33219C" w14:textId="77777777" w:rsidR="00304014" w:rsidRPr="001A72EB" w:rsidRDefault="00016F29" w:rsidP="001A72EB">
            <w:pPr>
              <w:pStyle w:val="TextTi10"/>
              <w:keepNext/>
              <w:keepLines/>
              <w:jc w:val="center"/>
              <w:rPr>
                <w:b/>
                <w:sz w:val="22"/>
                <w:szCs w:val="22"/>
                <w:vertAlign w:val="superscript"/>
                <w:lang w:val="en-GB"/>
              </w:rPr>
            </w:pPr>
            <w:r w:rsidRPr="001A72EB">
              <w:rPr>
                <w:b/>
                <w:sz w:val="22"/>
                <w:szCs w:val="22"/>
                <w:lang w:val="en-GB"/>
              </w:rPr>
              <w:t>Risk Reduction</w:t>
            </w:r>
          </w:p>
        </w:tc>
      </w:tr>
      <w:tr w:rsidR="003A788B" w14:paraId="7C3321A5" w14:textId="77777777" w:rsidTr="006A3D53">
        <w:trPr>
          <w:trHeight w:val="149"/>
          <w:tblHeader/>
        </w:trPr>
        <w:tc>
          <w:tcPr>
            <w:tcW w:w="3124" w:type="dxa"/>
            <w:vMerge/>
            <w:tcBorders>
              <w:left w:val="single" w:sz="4" w:space="0" w:color="auto"/>
              <w:bottom w:val="single" w:sz="6" w:space="0" w:color="000000"/>
            </w:tcBorders>
            <w:shd w:val="clear" w:color="auto" w:fill="auto"/>
          </w:tcPr>
          <w:p w14:paraId="7C33219E" w14:textId="77777777" w:rsidR="00304014" w:rsidRPr="001A72EB" w:rsidRDefault="00304014" w:rsidP="001A72EB">
            <w:pPr>
              <w:pStyle w:val="TextTi10"/>
              <w:keepNext/>
              <w:keepLines/>
              <w:jc w:val="center"/>
              <w:rPr>
                <w:b/>
                <w:sz w:val="22"/>
                <w:szCs w:val="22"/>
                <w:lang w:val="en-GB"/>
              </w:rPr>
            </w:pPr>
          </w:p>
        </w:tc>
        <w:tc>
          <w:tcPr>
            <w:tcW w:w="1448" w:type="dxa"/>
            <w:tcBorders>
              <w:top w:val="single" w:sz="6" w:space="0" w:color="000000"/>
              <w:bottom w:val="single" w:sz="6" w:space="0" w:color="000000"/>
            </w:tcBorders>
            <w:shd w:val="clear" w:color="auto" w:fill="auto"/>
          </w:tcPr>
          <w:p w14:paraId="7C33219F" w14:textId="77777777" w:rsidR="00304014" w:rsidRPr="001A72EB" w:rsidRDefault="00016F29" w:rsidP="001A72EB">
            <w:pPr>
              <w:pStyle w:val="TextTi10"/>
              <w:keepNext/>
              <w:keepLines/>
              <w:jc w:val="center"/>
              <w:rPr>
                <w:b/>
                <w:sz w:val="22"/>
                <w:szCs w:val="22"/>
                <w:lang w:val="en-GB"/>
              </w:rPr>
            </w:pPr>
            <w:r w:rsidRPr="001A72EB">
              <w:rPr>
                <w:b/>
                <w:sz w:val="22"/>
                <w:szCs w:val="22"/>
                <w:lang w:val="en-GB"/>
              </w:rPr>
              <w:t>FC</w:t>
            </w:r>
          </w:p>
          <w:p w14:paraId="7C3321A0" w14:textId="77777777" w:rsidR="00304014" w:rsidRPr="001A72EB" w:rsidRDefault="00016F29" w:rsidP="001A72EB">
            <w:pPr>
              <w:pStyle w:val="TextTi10"/>
              <w:keepNext/>
              <w:keepLines/>
              <w:jc w:val="center"/>
              <w:rPr>
                <w:b/>
                <w:sz w:val="22"/>
                <w:szCs w:val="22"/>
                <w:lang w:val="en-GB"/>
              </w:rPr>
            </w:pPr>
            <w:r w:rsidRPr="001A72EB">
              <w:rPr>
                <w:b/>
                <w:sz w:val="22"/>
                <w:szCs w:val="22"/>
                <w:lang w:val="en-GB"/>
              </w:rPr>
              <w:t>(N = 409)</w:t>
            </w:r>
          </w:p>
        </w:tc>
        <w:tc>
          <w:tcPr>
            <w:tcW w:w="1240" w:type="dxa"/>
            <w:tcBorders>
              <w:top w:val="single" w:sz="6" w:space="0" w:color="000000"/>
              <w:bottom w:val="single" w:sz="6" w:space="0" w:color="000000"/>
            </w:tcBorders>
            <w:shd w:val="clear" w:color="auto" w:fill="auto"/>
          </w:tcPr>
          <w:p w14:paraId="7C3321A1" w14:textId="77777777" w:rsidR="00304014" w:rsidRPr="00FB3FBF" w:rsidRDefault="00016F29" w:rsidP="001A72EB">
            <w:pPr>
              <w:pStyle w:val="TextTi10"/>
              <w:keepNext/>
              <w:keepLines/>
              <w:jc w:val="center"/>
              <w:rPr>
                <w:b/>
                <w:sz w:val="22"/>
                <w:szCs w:val="22"/>
                <w:lang w:val="en-GB"/>
              </w:rPr>
            </w:pPr>
            <w:r w:rsidRPr="00FB3FBF">
              <w:rPr>
                <w:b/>
                <w:sz w:val="22"/>
                <w:szCs w:val="22"/>
                <w:lang w:val="en-GB"/>
              </w:rPr>
              <w:t>R</w:t>
            </w:r>
            <w:r w:rsidR="000A6DDA" w:rsidRPr="00FB3FBF">
              <w:rPr>
                <w:b/>
                <w:sz w:val="22"/>
                <w:szCs w:val="22"/>
                <w:lang w:val="en-GB"/>
              </w:rPr>
              <w:noBreakHyphen/>
            </w:r>
            <w:r w:rsidRPr="00FB3FBF">
              <w:rPr>
                <w:b/>
                <w:sz w:val="22"/>
                <w:szCs w:val="22"/>
                <w:lang w:val="en-GB"/>
              </w:rPr>
              <w:t>FC</w:t>
            </w:r>
          </w:p>
          <w:p w14:paraId="7C3321A2" w14:textId="77777777" w:rsidR="00304014" w:rsidRPr="00FB3FBF" w:rsidRDefault="00016F29" w:rsidP="001A72EB">
            <w:pPr>
              <w:pStyle w:val="TextTi10"/>
              <w:keepNext/>
              <w:keepLines/>
              <w:jc w:val="center"/>
              <w:rPr>
                <w:b/>
                <w:sz w:val="22"/>
                <w:szCs w:val="22"/>
                <w:lang w:val="en-GB"/>
              </w:rPr>
            </w:pPr>
            <w:r w:rsidRPr="00FB3FBF">
              <w:rPr>
                <w:b/>
                <w:sz w:val="22"/>
                <w:szCs w:val="22"/>
                <w:lang w:val="en-GB"/>
              </w:rPr>
              <w:t>(N=408)</w:t>
            </w:r>
          </w:p>
        </w:tc>
        <w:tc>
          <w:tcPr>
            <w:tcW w:w="1422" w:type="dxa"/>
            <w:tcBorders>
              <w:top w:val="single" w:sz="6" w:space="0" w:color="000000"/>
              <w:bottom w:val="single" w:sz="6" w:space="0" w:color="000000"/>
            </w:tcBorders>
            <w:shd w:val="clear" w:color="auto" w:fill="auto"/>
          </w:tcPr>
          <w:p w14:paraId="7C3321A3" w14:textId="77777777" w:rsidR="00304014" w:rsidRPr="00FB3FBF" w:rsidRDefault="00016F29" w:rsidP="001A72EB">
            <w:pPr>
              <w:pStyle w:val="TextTi10"/>
              <w:keepNext/>
              <w:keepLines/>
              <w:jc w:val="center"/>
              <w:rPr>
                <w:b/>
                <w:sz w:val="22"/>
                <w:szCs w:val="22"/>
                <w:lang w:val="en-GB"/>
              </w:rPr>
            </w:pPr>
            <w:r w:rsidRPr="00FB3FBF">
              <w:rPr>
                <w:b/>
                <w:sz w:val="22"/>
                <w:szCs w:val="22"/>
                <w:lang w:val="en-GB"/>
              </w:rPr>
              <w:t>Log</w:t>
            </w:r>
            <w:r w:rsidR="000A6DDA" w:rsidRPr="00FB3FBF">
              <w:rPr>
                <w:b/>
                <w:sz w:val="22"/>
                <w:szCs w:val="22"/>
                <w:lang w:val="en-GB"/>
              </w:rPr>
              <w:noBreakHyphen/>
            </w:r>
            <w:r w:rsidRPr="00FB3FBF">
              <w:rPr>
                <w:b/>
                <w:sz w:val="22"/>
                <w:szCs w:val="22"/>
                <w:lang w:val="en-GB"/>
              </w:rPr>
              <w:t xml:space="preserve">Rank </w:t>
            </w:r>
            <w:r w:rsidRPr="00FB3FBF">
              <w:rPr>
                <w:b/>
                <w:sz w:val="22"/>
                <w:szCs w:val="22"/>
                <w:lang w:val="en-GB"/>
              </w:rPr>
              <w:br/>
              <w:t>p value</w:t>
            </w:r>
          </w:p>
        </w:tc>
        <w:tc>
          <w:tcPr>
            <w:tcW w:w="1424" w:type="dxa"/>
            <w:vMerge/>
            <w:tcBorders>
              <w:bottom w:val="single" w:sz="6" w:space="0" w:color="000000"/>
              <w:right w:val="single" w:sz="6" w:space="0" w:color="000000"/>
            </w:tcBorders>
            <w:shd w:val="clear" w:color="auto" w:fill="auto"/>
          </w:tcPr>
          <w:p w14:paraId="7C3321A4" w14:textId="77777777" w:rsidR="00304014" w:rsidRPr="001A72EB" w:rsidRDefault="00304014" w:rsidP="001A72EB">
            <w:pPr>
              <w:pStyle w:val="TextTi10"/>
              <w:keepNext/>
              <w:keepLines/>
              <w:jc w:val="center"/>
              <w:rPr>
                <w:b/>
                <w:sz w:val="22"/>
                <w:szCs w:val="22"/>
                <w:lang w:val="en-GB"/>
              </w:rPr>
            </w:pPr>
          </w:p>
        </w:tc>
      </w:tr>
      <w:tr w:rsidR="003A788B" w14:paraId="7C3321AB" w14:textId="77777777" w:rsidTr="006A3D53">
        <w:trPr>
          <w:trHeight w:val="263"/>
        </w:trPr>
        <w:tc>
          <w:tcPr>
            <w:tcW w:w="3124" w:type="dxa"/>
            <w:tcBorders>
              <w:top w:val="single" w:sz="6" w:space="0" w:color="000000"/>
              <w:left w:val="single" w:sz="4" w:space="0" w:color="auto"/>
              <w:bottom w:val="nil"/>
            </w:tcBorders>
            <w:shd w:val="clear" w:color="auto" w:fill="auto"/>
          </w:tcPr>
          <w:p w14:paraId="7C3321A6" w14:textId="77777777" w:rsidR="00304014" w:rsidRPr="001A72EB" w:rsidRDefault="00016F29" w:rsidP="001A72EB">
            <w:pPr>
              <w:pStyle w:val="TextTi10"/>
              <w:keepNext/>
              <w:keepLines/>
              <w:rPr>
                <w:b/>
                <w:sz w:val="22"/>
                <w:szCs w:val="22"/>
                <w:lang w:val="en-GB"/>
              </w:rPr>
            </w:pPr>
            <w:r w:rsidRPr="001A72EB">
              <w:rPr>
                <w:sz w:val="22"/>
                <w:szCs w:val="22"/>
                <w:lang w:val="en-GB"/>
              </w:rPr>
              <w:t>Progression</w:t>
            </w:r>
            <w:r w:rsidR="000A6DDA" w:rsidRPr="001A72EB">
              <w:rPr>
                <w:rFonts w:ascii="Cambria Math" w:hAnsi="Cambria Math" w:cs="Cambria Math"/>
                <w:sz w:val="22"/>
                <w:szCs w:val="22"/>
                <w:lang w:val="en-GB"/>
              </w:rPr>
              <w:noBreakHyphen/>
            </w:r>
            <w:r w:rsidR="00BB746D" w:rsidRPr="001A72EB">
              <w:rPr>
                <w:rFonts w:ascii="Cambria Math" w:hAnsi="Cambria Math" w:cs="Cambria Math"/>
                <w:sz w:val="22"/>
                <w:szCs w:val="22"/>
                <w:lang w:val="en-GB"/>
              </w:rPr>
              <w:t>‑</w:t>
            </w:r>
            <w:r w:rsidR="000A6DDA" w:rsidRPr="001A72EB">
              <w:rPr>
                <w:rFonts w:ascii="Cambria Math" w:hAnsi="Cambria Math" w:cs="Cambria Math"/>
                <w:sz w:val="22"/>
                <w:szCs w:val="22"/>
                <w:lang w:val="en-GB"/>
              </w:rPr>
              <w:noBreakHyphen/>
            </w:r>
            <w:r w:rsidRPr="001A72EB">
              <w:rPr>
                <w:sz w:val="22"/>
                <w:szCs w:val="22"/>
                <w:lang w:val="en-GB"/>
              </w:rPr>
              <w:t>free survival (PFS)</w:t>
            </w:r>
          </w:p>
        </w:tc>
        <w:tc>
          <w:tcPr>
            <w:tcW w:w="1448" w:type="dxa"/>
            <w:tcBorders>
              <w:top w:val="single" w:sz="6" w:space="0" w:color="000000"/>
              <w:bottom w:val="nil"/>
            </w:tcBorders>
            <w:shd w:val="clear" w:color="auto" w:fill="auto"/>
          </w:tcPr>
          <w:p w14:paraId="7C3321A7" w14:textId="77777777" w:rsidR="00304014" w:rsidRPr="001A72EB" w:rsidRDefault="00016F29" w:rsidP="001A72EB">
            <w:pPr>
              <w:pStyle w:val="TextTi10"/>
              <w:keepNext/>
              <w:keepLines/>
              <w:jc w:val="center"/>
              <w:rPr>
                <w:sz w:val="22"/>
                <w:szCs w:val="22"/>
                <w:lang w:val="en-GB"/>
              </w:rPr>
            </w:pPr>
            <w:r w:rsidRPr="001A72EB">
              <w:rPr>
                <w:sz w:val="22"/>
                <w:szCs w:val="22"/>
                <w:lang w:val="en-GB"/>
              </w:rPr>
              <w:t>32.8</w:t>
            </w:r>
          </w:p>
        </w:tc>
        <w:tc>
          <w:tcPr>
            <w:tcW w:w="1240" w:type="dxa"/>
            <w:tcBorders>
              <w:top w:val="single" w:sz="6" w:space="0" w:color="000000"/>
              <w:bottom w:val="nil"/>
            </w:tcBorders>
            <w:shd w:val="clear" w:color="auto" w:fill="auto"/>
          </w:tcPr>
          <w:p w14:paraId="7C3321A8" w14:textId="77777777" w:rsidR="00304014" w:rsidRPr="001A72EB" w:rsidRDefault="00016F29" w:rsidP="001A72EB">
            <w:pPr>
              <w:pStyle w:val="TextTi10"/>
              <w:keepNext/>
              <w:keepLines/>
              <w:jc w:val="center"/>
              <w:rPr>
                <w:sz w:val="22"/>
                <w:szCs w:val="22"/>
                <w:lang w:val="en-GB"/>
              </w:rPr>
            </w:pPr>
            <w:r w:rsidRPr="001A72EB">
              <w:rPr>
                <w:sz w:val="22"/>
                <w:szCs w:val="22"/>
                <w:lang w:val="en-GB"/>
              </w:rPr>
              <w:t>55.3</w:t>
            </w:r>
          </w:p>
        </w:tc>
        <w:tc>
          <w:tcPr>
            <w:tcW w:w="1422" w:type="dxa"/>
            <w:tcBorders>
              <w:top w:val="single" w:sz="6" w:space="0" w:color="000000"/>
              <w:bottom w:val="nil"/>
            </w:tcBorders>
            <w:shd w:val="clear" w:color="auto" w:fill="auto"/>
          </w:tcPr>
          <w:p w14:paraId="7C3321A9" w14:textId="77777777" w:rsidR="00304014" w:rsidRPr="001A72EB" w:rsidRDefault="00016F29" w:rsidP="001A72EB">
            <w:pPr>
              <w:pStyle w:val="TextTi10"/>
              <w:keepNext/>
              <w:keepLines/>
              <w:jc w:val="center"/>
              <w:rPr>
                <w:sz w:val="22"/>
                <w:szCs w:val="22"/>
                <w:lang w:val="en-GB"/>
              </w:rPr>
            </w:pPr>
            <w:r w:rsidRPr="001A72EB">
              <w:rPr>
                <w:sz w:val="22"/>
                <w:szCs w:val="22"/>
                <w:lang w:val="en-GB"/>
              </w:rPr>
              <w:t>&lt;0.0001</w:t>
            </w:r>
          </w:p>
        </w:tc>
        <w:tc>
          <w:tcPr>
            <w:tcW w:w="1424" w:type="dxa"/>
            <w:tcBorders>
              <w:top w:val="single" w:sz="6" w:space="0" w:color="000000"/>
              <w:bottom w:val="nil"/>
              <w:right w:val="single" w:sz="6" w:space="0" w:color="000000"/>
            </w:tcBorders>
            <w:shd w:val="clear" w:color="auto" w:fill="auto"/>
          </w:tcPr>
          <w:p w14:paraId="7C3321AA" w14:textId="77777777" w:rsidR="00304014" w:rsidRPr="001A72EB" w:rsidRDefault="00016F29" w:rsidP="001A72EB">
            <w:pPr>
              <w:pStyle w:val="TextTi10"/>
              <w:keepNext/>
              <w:keepLines/>
              <w:jc w:val="center"/>
              <w:rPr>
                <w:sz w:val="22"/>
                <w:szCs w:val="22"/>
                <w:lang w:val="en-GB"/>
              </w:rPr>
            </w:pPr>
            <w:r w:rsidRPr="001A72EB">
              <w:rPr>
                <w:sz w:val="22"/>
                <w:szCs w:val="22"/>
                <w:lang w:val="en-GB"/>
              </w:rPr>
              <w:t>45%</w:t>
            </w:r>
          </w:p>
        </w:tc>
      </w:tr>
      <w:tr w:rsidR="003A788B" w14:paraId="7C3321B1" w14:textId="77777777" w:rsidTr="006A3D53">
        <w:trPr>
          <w:trHeight w:val="267"/>
        </w:trPr>
        <w:tc>
          <w:tcPr>
            <w:tcW w:w="3124" w:type="dxa"/>
            <w:tcBorders>
              <w:top w:val="single" w:sz="4" w:space="0" w:color="auto"/>
              <w:left w:val="single" w:sz="4" w:space="0" w:color="auto"/>
              <w:bottom w:val="nil"/>
            </w:tcBorders>
            <w:shd w:val="clear" w:color="auto" w:fill="auto"/>
          </w:tcPr>
          <w:p w14:paraId="7C3321AC" w14:textId="77777777" w:rsidR="00304014" w:rsidRPr="001A72EB" w:rsidRDefault="00016F29" w:rsidP="001A72EB">
            <w:pPr>
              <w:pStyle w:val="TextTi10"/>
              <w:keepNext/>
              <w:keepLines/>
              <w:rPr>
                <w:b/>
                <w:sz w:val="22"/>
                <w:szCs w:val="22"/>
                <w:lang w:val="en-GB"/>
              </w:rPr>
            </w:pPr>
            <w:r w:rsidRPr="001A72EB">
              <w:rPr>
                <w:sz w:val="22"/>
                <w:szCs w:val="22"/>
                <w:lang w:val="en-GB"/>
              </w:rPr>
              <w:t xml:space="preserve">Overall </w:t>
            </w:r>
            <w:r w:rsidR="00615F7C" w:rsidRPr="001A72EB">
              <w:rPr>
                <w:sz w:val="22"/>
                <w:szCs w:val="22"/>
                <w:lang w:val="en-GB"/>
              </w:rPr>
              <w:t>s</w:t>
            </w:r>
            <w:r w:rsidRPr="001A72EB">
              <w:rPr>
                <w:sz w:val="22"/>
                <w:szCs w:val="22"/>
                <w:lang w:val="en-GB"/>
              </w:rPr>
              <w:t xml:space="preserve">urvival </w:t>
            </w:r>
          </w:p>
        </w:tc>
        <w:tc>
          <w:tcPr>
            <w:tcW w:w="1448" w:type="dxa"/>
            <w:tcBorders>
              <w:top w:val="single" w:sz="4" w:space="0" w:color="auto"/>
              <w:bottom w:val="nil"/>
            </w:tcBorders>
            <w:shd w:val="clear" w:color="auto" w:fill="auto"/>
          </w:tcPr>
          <w:p w14:paraId="7C3321AD" w14:textId="77777777" w:rsidR="00304014" w:rsidRPr="001A72EB" w:rsidRDefault="00016F29" w:rsidP="001A72EB">
            <w:pPr>
              <w:pStyle w:val="TextTi10"/>
              <w:keepNext/>
              <w:keepLines/>
              <w:jc w:val="center"/>
              <w:rPr>
                <w:sz w:val="22"/>
                <w:szCs w:val="22"/>
                <w:lang w:val="en-GB"/>
              </w:rPr>
            </w:pPr>
            <w:r w:rsidRPr="001A72EB">
              <w:rPr>
                <w:sz w:val="22"/>
                <w:szCs w:val="22"/>
                <w:lang w:val="en-GB"/>
              </w:rPr>
              <w:t>NR</w:t>
            </w:r>
          </w:p>
        </w:tc>
        <w:tc>
          <w:tcPr>
            <w:tcW w:w="1240" w:type="dxa"/>
            <w:tcBorders>
              <w:top w:val="single" w:sz="4" w:space="0" w:color="auto"/>
              <w:bottom w:val="nil"/>
            </w:tcBorders>
            <w:shd w:val="clear" w:color="auto" w:fill="auto"/>
          </w:tcPr>
          <w:p w14:paraId="7C3321AE" w14:textId="77777777" w:rsidR="00304014" w:rsidRPr="001A72EB" w:rsidRDefault="00016F29" w:rsidP="001A72EB">
            <w:pPr>
              <w:pStyle w:val="TextTi10"/>
              <w:keepNext/>
              <w:keepLines/>
              <w:jc w:val="center"/>
              <w:rPr>
                <w:sz w:val="22"/>
                <w:szCs w:val="22"/>
                <w:lang w:val="en-GB"/>
              </w:rPr>
            </w:pPr>
            <w:r w:rsidRPr="001A72EB">
              <w:rPr>
                <w:sz w:val="22"/>
                <w:szCs w:val="22"/>
                <w:lang w:val="en-GB"/>
              </w:rPr>
              <w:t>NR</w:t>
            </w:r>
          </w:p>
        </w:tc>
        <w:tc>
          <w:tcPr>
            <w:tcW w:w="1422" w:type="dxa"/>
            <w:tcBorders>
              <w:top w:val="single" w:sz="4" w:space="0" w:color="auto"/>
              <w:bottom w:val="nil"/>
            </w:tcBorders>
            <w:shd w:val="clear" w:color="auto" w:fill="auto"/>
          </w:tcPr>
          <w:p w14:paraId="7C3321AF" w14:textId="77777777" w:rsidR="00304014" w:rsidRPr="001A72EB" w:rsidRDefault="00016F29" w:rsidP="001A72EB">
            <w:pPr>
              <w:pStyle w:val="TextTi10"/>
              <w:keepNext/>
              <w:keepLines/>
              <w:jc w:val="center"/>
              <w:rPr>
                <w:sz w:val="22"/>
                <w:szCs w:val="22"/>
                <w:lang w:val="en-GB"/>
              </w:rPr>
            </w:pPr>
            <w:r w:rsidRPr="001A72EB">
              <w:rPr>
                <w:sz w:val="22"/>
                <w:szCs w:val="22"/>
                <w:lang w:val="en-GB"/>
              </w:rPr>
              <w:t>0.0319</w:t>
            </w:r>
          </w:p>
        </w:tc>
        <w:tc>
          <w:tcPr>
            <w:tcW w:w="1424" w:type="dxa"/>
            <w:tcBorders>
              <w:top w:val="single" w:sz="4" w:space="0" w:color="auto"/>
              <w:bottom w:val="nil"/>
              <w:right w:val="single" w:sz="6" w:space="0" w:color="000000"/>
            </w:tcBorders>
            <w:shd w:val="clear" w:color="auto" w:fill="auto"/>
          </w:tcPr>
          <w:p w14:paraId="7C3321B0" w14:textId="77777777" w:rsidR="00304014" w:rsidRPr="001A72EB" w:rsidRDefault="00016F29" w:rsidP="001A72EB">
            <w:pPr>
              <w:pStyle w:val="TextTi10"/>
              <w:keepNext/>
              <w:keepLines/>
              <w:jc w:val="center"/>
              <w:rPr>
                <w:sz w:val="22"/>
                <w:szCs w:val="22"/>
                <w:lang w:val="en-GB"/>
              </w:rPr>
            </w:pPr>
            <w:r w:rsidRPr="001A72EB">
              <w:rPr>
                <w:sz w:val="22"/>
                <w:szCs w:val="22"/>
                <w:lang w:val="en-GB"/>
              </w:rPr>
              <w:t>27%</w:t>
            </w:r>
          </w:p>
        </w:tc>
      </w:tr>
      <w:tr w:rsidR="003A788B" w14:paraId="7C3321B7" w14:textId="77777777" w:rsidTr="006A3D53">
        <w:trPr>
          <w:trHeight w:val="295"/>
        </w:trPr>
        <w:tc>
          <w:tcPr>
            <w:tcW w:w="3124" w:type="dxa"/>
            <w:tcBorders>
              <w:top w:val="single" w:sz="4" w:space="0" w:color="auto"/>
              <w:left w:val="single" w:sz="4" w:space="0" w:color="auto"/>
              <w:bottom w:val="nil"/>
            </w:tcBorders>
            <w:shd w:val="clear" w:color="auto" w:fill="auto"/>
          </w:tcPr>
          <w:p w14:paraId="7C3321B2" w14:textId="77777777" w:rsidR="00304014" w:rsidRPr="001A72EB" w:rsidRDefault="00016F29" w:rsidP="001A72EB">
            <w:pPr>
              <w:pStyle w:val="TextTi10"/>
              <w:rPr>
                <w:sz w:val="22"/>
                <w:szCs w:val="22"/>
                <w:lang w:val="en-GB"/>
              </w:rPr>
            </w:pPr>
            <w:r w:rsidRPr="001A72EB">
              <w:rPr>
                <w:sz w:val="22"/>
                <w:szCs w:val="22"/>
                <w:lang w:val="en-GB"/>
              </w:rPr>
              <w:t xml:space="preserve">Event </w:t>
            </w:r>
            <w:r w:rsidR="00615F7C" w:rsidRPr="001A72EB">
              <w:rPr>
                <w:sz w:val="22"/>
                <w:szCs w:val="22"/>
                <w:lang w:val="en-GB"/>
              </w:rPr>
              <w:t>f</w:t>
            </w:r>
            <w:r w:rsidRPr="001A72EB">
              <w:rPr>
                <w:sz w:val="22"/>
                <w:szCs w:val="22"/>
                <w:lang w:val="en-GB"/>
              </w:rPr>
              <w:t xml:space="preserve">ree </w:t>
            </w:r>
            <w:r w:rsidR="00615F7C" w:rsidRPr="001A72EB">
              <w:rPr>
                <w:sz w:val="22"/>
                <w:szCs w:val="22"/>
                <w:lang w:val="en-GB"/>
              </w:rPr>
              <w:t>s</w:t>
            </w:r>
            <w:r w:rsidRPr="001A72EB">
              <w:rPr>
                <w:sz w:val="22"/>
                <w:szCs w:val="22"/>
                <w:lang w:val="en-GB"/>
              </w:rPr>
              <w:t>urvival</w:t>
            </w:r>
          </w:p>
        </w:tc>
        <w:tc>
          <w:tcPr>
            <w:tcW w:w="1448" w:type="dxa"/>
            <w:tcBorders>
              <w:top w:val="single" w:sz="4" w:space="0" w:color="auto"/>
              <w:bottom w:val="nil"/>
            </w:tcBorders>
            <w:shd w:val="clear" w:color="auto" w:fill="auto"/>
          </w:tcPr>
          <w:p w14:paraId="7C3321B3" w14:textId="77777777" w:rsidR="00304014" w:rsidRPr="001A72EB" w:rsidRDefault="00016F29" w:rsidP="001A72EB">
            <w:pPr>
              <w:pStyle w:val="TextTi10"/>
              <w:jc w:val="center"/>
              <w:rPr>
                <w:sz w:val="22"/>
                <w:szCs w:val="22"/>
                <w:lang w:val="en-GB"/>
              </w:rPr>
            </w:pPr>
            <w:r w:rsidRPr="001A72EB">
              <w:rPr>
                <w:sz w:val="22"/>
                <w:szCs w:val="22"/>
                <w:lang w:val="en-GB"/>
              </w:rPr>
              <w:t>31.3</w:t>
            </w:r>
          </w:p>
        </w:tc>
        <w:tc>
          <w:tcPr>
            <w:tcW w:w="1240" w:type="dxa"/>
            <w:tcBorders>
              <w:top w:val="single" w:sz="4" w:space="0" w:color="auto"/>
              <w:bottom w:val="nil"/>
            </w:tcBorders>
            <w:shd w:val="clear" w:color="auto" w:fill="auto"/>
          </w:tcPr>
          <w:p w14:paraId="7C3321B4" w14:textId="77777777" w:rsidR="00304014" w:rsidRPr="001A72EB" w:rsidRDefault="00016F29" w:rsidP="001A72EB">
            <w:pPr>
              <w:pStyle w:val="TextTi10"/>
              <w:jc w:val="center"/>
              <w:rPr>
                <w:sz w:val="22"/>
                <w:szCs w:val="22"/>
                <w:lang w:val="en-GB"/>
              </w:rPr>
            </w:pPr>
            <w:r w:rsidRPr="001A72EB">
              <w:rPr>
                <w:sz w:val="22"/>
                <w:szCs w:val="22"/>
                <w:lang w:val="en-GB"/>
              </w:rPr>
              <w:t>51.8</w:t>
            </w:r>
          </w:p>
        </w:tc>
        <w:tc>
          <w:tcPr>
            <w:tcW w:w="1422" w:type="dxa"/>
            <w:tcBorders>
              <w:top w:val="single" w:sz="4" w:space="0" w:color="auto"/>
              <w:bottom w:val="nil"/>
            </w:tcBorders>
            <w:shd w:val="clear" w:color="auto" w:fill="auto"/>
          </w:tcPr>
          <w:p w14:paraId="7C3321B5" w14:textId="77777777" w:rsidR="00304014" w:rsidRPr="001A72EB" w:rsidRDefault="00016F29" w:rsidP="001A72EB">
            <w:pPr>
              <w:pStyle w:val="TextTi10"/>
              <w:jc w:val="center"/>
              <w:rPr>
                <w:sz w:val="22"/>
                <w:szCs w:val="22"/>
                <w:lang w:val="en-GB"/>
              </w:rPr>
            </w:pPr>
            <w:r w:rsidRPr="001A72EB">
              <w:rPr>
                <w:sz w:val="22"/>
                <w:szCs w:val="22"/>
                <w:lang w:val="en-GB"/>
              </w:rPr>
              <w:t>&lt;0.0001</w:t>
            </w:r>
          </w:p>
        </w:tc>
        <w:tc>
          <w:tcPr>
            <w:tcW w:w="1424" w:type="dxa"/>
            <w:tcBorders>
              <w:top w:val="single" w:sz="4" w:space="0" w:color="auto"/>
              <w:bottom w:val="nil"/>
              <w:right w:val="single" w:sz="6" w:space="0" w:color="000000"/>
            </w:tcBorders>
            <w:shd w:val="clear" w:color="auto" w:fill="auto"/>
          </w:tcPr>
          <w:p w14:paraId="7C3321B6" w14:textId="77777777" w:rsidR="00304014" w:rsidRPr="001A72EB" w:rsidRDefault="00016F29" w:rsidP="001A72EB">
            <w:pPr>
              <w:pStyle w:val="TextTi10"/>
              <w:jc w:val="center"/>
              <w:rPr>
                <w:sz w:val="22"/>
                <w:szCs w:val="22"/>
                <w:lang w:val="en-GB"/>
              </w:rPr>
            </w:pPr>
            <w:r w:rsidRPr="001A72EB">
              <w:rPr>
                <w:sz w:val="22"/>
                <w:szCs w:val="22"/>
                <w:lang w:val="en-GB"/>
              </w:rPr>
              <w:t>44%</w:t>
            </w:r>
          </w:p>
        </w:tc>
      </w:tr>
      <w:tr w:rsidR="003A788B" w14:paraId="7C3321BD" w14:textId="77777777" w:rsidTr="006A3D53">
        <w:trPr>
          <w:trHeight w:val="292"/>
        </w:trPr>
        <w:tc>
          <w:tcPr>
            <w:tcW w:w="3124" w:type="dxa"/>
            <w:tcBorders>
              <w:top w:val="single" w:sz="4" w:space="0" w:color="auto"/>
              <w:left w:val="single" w:sz="4" w:space="0" w:color="auto"/>
              <w:bottom w:val="nil"/>
            </w:tcBorders>
            <w:shd w:val="clear" w:color="auto" w:fill="auto"/>
          </w:tcPr>
          <w:p w14:paraId="7C3321B8" w14:textId="77777777" w:rsidR="00304014" w:rsidRPr="001A72EB" w:rsidRDefault="00016F29" w:rsidP="001A72EB">
            <w:pPr>
              <w:pStyle w:val="TextTi10"/>
              <w:rPr>
                <w:sz w:val="22"/>
                <w:szCs w:val="22"/>
                <w:lang w:val="en-GB"/>
              </w:rPr>
            </w:pPr>
            <w:r w:rsidRPr="001A72EB">
              <w:rPr>
                <w:sz w:val="22"/>
                <w:szCs w:val="22"/>
                <w:lang w:val="en-GB"/>
              </w:rPr>
              <w:t>Response rate (CR, nPR, or PR)</w:t>
            </w:r>
          </w:p>
        </w:tc>
        <w:tc>
          <w:tcPr>
            <w:tcW w:w="1448" w:type="dxa"/>
            <w:tcBorders>
              <w:top w:val="single" w:sz="4" w:space="0" w:color="auto"/>
              <w:bottom w:val="nil"/>
            </w:tcBorders>
            <w:shd w:val="clear" w:color="auto" w:fill="auto"/>
          </w:tcPr>
          <w:p w14:paraId="7C3321B9" w14:textId="77777777" w:rsidR="00304014" w:rsidRPr="001A72EB" w:rsidRDefault="00016F29" w:rsidP="001A72EB">
            <w:pPr>
              <w:pStyle w:val="TextTi10"/>
              <w:jc w:val="center"/>
              <w:rPr>
                <w:sz w:val="22"/>
                <w:szCs w:val="22"/>
                <w:lang w:val="en-GB"/>
              </w:rPr>
            </w:pPr>
            <w:r w:rsidRPr="001A72EB">
              <w:rPr>
                <w:sz w:val="22"/>
                <w:szCs w:val="22"/>
                <w:lang w:val="en-GB"/>
              </w:rPr>
              <w:t>72.6%</w:t>
            </w:r>
          </w:p>
        </w:tc>
        <w:tc>
          <w:tcPr>
            <w:tcW w:w="1240" w:type="dxa"/>
            <w:tcBorders>
              <w:top w:val="single" w:sz="4" w:space="0" w:color="auto"/>
              <w:bottom w:val="nil"/>
            </w:tcBorders>
            <w:shd w:val="clear" w:color="auto" w:fill="auto"/>
          </w:tcPr>
          <w:p w14:paraId="7C3321BA" w14:textId="77777777" w:rsidR="00304014" w:rsidRPr="001A72EB" w:rsidRDefault="00016F29" w:rsidP="001A72EB">
            <w:pPr>
              <w:pStyle w:val="TextTi10"/>
              <w:jc w:val="center"/>
              <w:rPr>
                <w:sz w:val="22"/>
                <w:szCs w:val="22"/>
                <w:lang w:val="en-GB"/>
              </w:rPr>
            </w:pPr>
            <w:r w:rsidRPr="001A72EB">
              <w:rPr>
                <w:sz w:val="22"/>
                <w:szCs w:val="22"/>
                <w:lang w:val="en-GB"/>
              </w:rPr>
              <w:t>85.8%</w:t>
            </w:r>
          </w:p>
        </w:tc>
        <w:tc>
          <w:tcPr>
            <w:tcW w:w="1422" w:type="dxa"/>
            <w:tcBorders>
              <w:top w:val="single" w:sz="4" w:space="0" w:color="auto"/>
              <w:bottom w:val="nil"/>
            </w:tcBorders>
            <w:shd w:val="clear" w:color="auto" w:fill="auto"/>
          </w:tcPr>
          <w:p w14:paraId="7C3321BB" w14:textId="77777777" w:rsidR="00304014" w:rsidRPr="001A72EB" w:rsidRDefault="00016F29" w:rsidP="001A72EB">
            <w:pPr>
              <w:pStyle w:val="TextTi10"/>
              <w:jc w:val="center"/>
              <w:rPr>
                <w:sz w:val="22"/>
                <w:szCs w:val="22"/>
                <w:lang w:val="en-GB"/>
              </w:rPr>
            </w:pPr>
            <w:r w:rsidRPr="001A72EB">
              <w:rPr>
                <w:sz w:val="22"/>
                <w:szCs w:val="22"/>
                <w:lang w:val="en-GB"/>
              </w:rPr>
              <w:t>&lt;0.0001</w:t>
            </w:r>
          </w:p>
        </w:tc>
        <w:tc>
          <w:tcPr>
            <w:tcW w:w="1424" w:type="dxa"/>
            <w:tcBorders>
              <w:top w:val="single" w:sz="4" w:space="0" w:color="auto"/>
              <w:bottom w:val="nil"/>
              <w:right w:val="single" w:sz="6" w:space="0" w:color="000000"/>
            </w:tcBorders>
            <w:shd w:val="clear" w:color="auto" w:fill="auto"/>
          </w:tcPr>
          <w:p w14:paraId="7C3321BC" w14:textId="77777777" w:rsidR="00304014" w:rsidRPr="001A72EB" w:rsidRDefault="00016F29" w:rsidP="001A72EB">
            <w:pPr>
              <w:pStyle w:val="TextTi10"/>
              <w:jc w:val="center"/>
              <w:rPr>
                <w:sz w:val="22"/>
                <w:szCs w:val="22"/>
                <w:lang w:val="en-GB"/>
              </w:rPr>
            </w:pPr>
            <w:r w:rsidRPr="001A72EB">
              <w:rPr>
                <w:sz w:val="22"/>
                <w:szCs w:val="22"/>
                <w:lang w:val="en-GB"/>
              </w:rPr>
              <w:t>n.a.</w:t>
            </w:r>
          </w:p>
        </w:tc>
      </w:tr>
      <w:tr w:rsidR="003A788B" w14:paraId="7C3321C3" w14:textId="77777777" w:rsidTr="006A3D53">
        <w:trPr>
          <w:trHeight w:val="277"/>
        </w:trPr>
        <w:tc>
          <w:tcPr>
            <w:tcW w:w="3124" w:type="dxa"/>
            <w:tcBorders>
              <w:top w:val="nil"/>
              <w:left w:val="single" w:sz="4" w:space="0" w:color="auto"/>
              <w:bottom w:val="single" w:sz="4" w:space="0" w:color="auto"/>
            </w:tcBorders>
            <w:shd w:val="clear" w:color="auto" w:fill="auto"/>
          </w:tcPr>
          <w:p w14:paraId="7C3321BE" w14:textId="77777777" w:rsidR="00304014" w:rsidRPr="001A72EB" w:rsidRDefault="00016F29" w:rsidP="001A72EB">
            <w:pPr>
              <w:pStyle w:val="TextTi10"/>
              <w:jc w:val="right"/>
              <w:rPr>
                <w:sz w:val="22"/>
                <w:szCs w:val="22"/>
                <w:lang w:val="en-GB"/>
              </w:rPr>
            </w:pPr>
            <w:r w:rsidRPr="001A72EB">
              <w:rPr>
                <w:sz w:val="22"/>
                <w:szCs w:val="22"/>
                <w:lang w:val="en-GB"/>
              </w:rPr>
              <w:t>CR rates</w:t>
            </w:r>
          </w:p>
        </w:tc>
        <w:tc>
          <w:tcPr>
            <w:tcW w:w="1448" w:type="dxa"/>
            <w:tcBorders>
              <w:top w:val="nil"/>
              <w:bottom w:val="single" w:sz="4" w:space="0" w:color="auto"/>
            </w:tcBorders>
            <w:shd w:val="clear" w:color="auto" w:fill="auto"/>
          </w:tcPr>
          <w:p w14:paraId="7C3321BF" w14:textId="77777777" w:rsidR="00304014" w:rsidRPr="001A72EB" w:rsidRDefault="00016F29" w:rsidP="001A72EB">
            <w:pPr>
              <w:pStyle w:val="TextTi10"/>
              <w:jc w:val="center"/>
              <w:rPr>
                <w:sz w:val="22"/>
                <w:szCs w:val="22"/>
                <w:lang w:val="en-GB"/>
              </w:rPr>
            </w:pPr>
            <w:r w:rsidRPr="001A72EB">
              <w:rPr>
                <w:sz w:val="22"/>
                <w:szCs w:val="22"/>
                <w:lang w:val="en-GB"/>
              </w:rPr>
              <w:t>16.9%</w:t>
            </w:r>
          </w:p>
        </w:tc>
        <w:tc>
          <w:tcPr>
            <w:tcW w:w="1240" w:type="dxa"/>
            <w:tcBorders>
              <w:top w:val="nil"/>
              <w:bottom w:val="single" w:sz="4" w:space="0" w:color="auto"/>
            </w:tcBorders>
            <w:shd w:val="clear" w:color="auto" w:fill="auto"/>
          </w:tcPr>
          <w:p w14:paraId="7C3321C0" w14:textId="77777777" w:rsidR="00304014" w:rsidRPr="001A72EB" w:rsidRDefault="00016F29" w:rsidP="001A72EB">
            <w:pPr>
              <w:pStyle w:val="TextTi10"/>
              <w:jc w:val="center"/>
              <w:rPr>
                <w:sz w:val="22"/>
                <w:szCs w:val="22"/>
                <w:lang w:val="en-GB"/>
              </w:rPr>
            </w:pPr>
            <w:r w:rsidRPr="001A72EB">
              <w:rPr>
                <w:sz w:val="22"/>
                <w:szCs w:val="22"/>
                <w:lang w:val="en-GB"/>
              </w:rPr>
              <w:t>36.0%</w:t>
            </w:r>
          </w:p>
        </w:tc>
        <w:tc>
          <w:tcPr>
            <w:tcW w:w="1422" w:type="dxa"/>
            <w:tcBorders>
              <w:top w:val="nil"/>
              <w:bottom w:val="single" w:sz="4" w:space="0" w:color="auto"/>
            </w:tcBorders>
            <w:shd w:val="clear" w:color="auto" w:fill="auto"/>
          </w:tcPr>
          <w:p w14:paraId="7C3321C1" w14:textId="77777777" w:rsidR="00304014" w:rsidRPr="001A72EB" w:rsidRDefault="00016F29" w:rsidP="001A72EB">
            <w:pPr>
              <w:pStyle w:val="TextTi10"/>
              <w:jc w:val="center"/>
              <w:rPr>
                <w:sz w:val="22"/>
                <w:szCs w:val="22"/>
                <w:lang w:val="en-GB"/>
              </w:rPr>
            </w:pPr>
            <w:r w:rsidRPr="001A72EB">
              <w:rPr>
                <w:sz w:val="22"/>
                <w:szCs w:val="22"/>
                <w:lang w:val="en-GB"/>
              </w:rPr>
              <w:t xml:space="preserve">&lt;0.0001 </w:t>
            </w:r>
          </w:p>
        </w:tc>
        <w:tc>
          <w:tcPr>
            <w:tcW w:w="1424" w:type="dxa"/>
            <w:tcBorders>
              <w:top w:val="nil"/>
              <w:bottom w:val="single" w:sz="4" w:space="0" w:color="auto"/>
              <w:right w:val="single" w:sz="6" w:space="0" w:color="000000"/>
            </w:tcBorders>
            <w:shd w:val="clear" w:color="auto" w:fill="auto"/>
          </w:tcPr>
          <w:p w14:paraId="7C3321C2" w14:textId="77777777" w:rsidR="00304014" w:rsidRPr="001A72EB" w:rsidRDefault="00016F29" w:rsidP="001A72EB">
            <w:pPr>
              <w:pStyle w:val="TextTi10"/>
              <w:jc w:val="center"/>
              <w:rPr>
                <w:sz w:val="22"/>
                <w:szCs w:val="22"/>
                <w:lang w:val="en-GB"/>
              </w:rPr>
            </w:pPr>
            <w:r w:rsidRPr="001A72EB">
              <w:rPr>
                <w:sz w:val="22"/>
                <w:szCs w:val="22"/>
                <w:lang w:val="en-GB"/>
              </w:rPr>
              <w:t>n.a.</w:t>
            </w:r>
          </w:p>
        </w:tc>
      </w:tr>
      <w:tr w:rsidR="003A788B" w14:paraId="7C3321C9" w14:textId="77777777" w:rsidTr="006A3D53">
        <w:trPr>
          <w:trHeight w:val="263"/>
        </w:trPr>
        <w:tc>
          <w:tcPr>
            <w:tcW w:w="3124" w:type="dxa"/>
            <w:tcBorders>
              <w:top w:val="single" w:sz="4" w:space="0" w:color="auto"/>
              <w:left w:val="single" w:sz="4" w:space="0" w:color="auto"/>
              <w:bottom w:val="single" w:sz="4" w:space="0" w:color="auto"/>
            </w:tcBorders>
            <w:shd w:val="clear" w:color="auto" w:fill="auto"/>
          </w:tcPr>
          <w:p w14:paraId="7C3321C4" w14:textId="77777777" w:rsidR="00304014" w:rsidRPr="001A72EB" w:rsidRDefault="00016F29" w:rsidP="001A72EB">
            <w:pPr>
              <w:pStyle w:val="TextTi10"/>
              <w:rPr>
                <w:sz w:val="22"/>
                <w:szCs w:val="22"/>
                <w:lang w:val="en-GB"/>
              </w:rPr>
            </w:pPr>
            <w:r w:rsidRPr="001A72EB">
              <w:rPr>
                <w:sz w:val="22"/>
                <w:szCs w:val="22"/>
                <w:lang w:val="en-GB"/>
              </w:rPr>
              <w:t>Duration of response*</w:t>
            </w:r>
          </w:p>
        </w:tc>
        <w:tc>
          <w:tcPr>
            <w:tcW w:w="1448" w:type="dxa"/>
            <w:tcBorders>
              <w:top w:val="single" w:sz="4" w:space="0" w:color="auto"/>
              <w:bottom w:val="single" w:sz="4" w:space="0" w:color="auto"/>
            </w:tcBorders>
            <w:shd w:val="clear" w:color="auto" w:fill="auto"/>
          </w:tcPr>
          <w:p w14:paraId="7C3321C5" w14:textId="77777777" w:rsidR="00304014" w:rsidRPr="001A72EB" w:rsidRDefault="00016F29" w:rsidP="001A72EB">
            <w:pPr>
              <w:pStyle w:val="TextTi10"/>
              <w:jc w:val="center"/>
              <w:rPr>
                <w:sz w:val="22"/>
                <w:szCs w:val="22"/>
                <w:lang w:val="en-GB"/>
              </w:rPr>
            </w:pPr>
            <w:r w:rsidRPr="001A72EB">
              <w:rPr>
                <w:sz w:val="22"/>
                <w:szCs w:val="22"/>
                <w:lang w:val="en-GB"/>
              </w:rPr>
              <w:t>36.2</w:t>
            </w:r>
          </w:p>
        </w:tc>
        <w:tc>
          <w:tcPr>
            <w:tcW w:w="1240" w:type="dxa"/>
            <w:tcBorders>
              <w:top w:val="single" w:sz="4" w:space="0" w:color="auto"/>
              <w:bottom w:val="single" w:sz="4" w:space="0" w:color="auto"/>
            </w:tcBorders>
            <w:shd w:val="clear" w:color="auto" w:fill="auto"/>
          </w:tcPr>
          <w:p w14:paraId="7C3321C6" w14:textId="77777777" w:rsidR="00304014" w:rsidRPr="001A72EB" w:rsidRDefault="00016F29" w:rsidP="001A72EB">
            <w:pPr>
              <w:pStyle w:val="TextTi10"/>
              <w:jc w:val="center"/>
              <w:rPr>
                <w:sz w:val="22"/>
                <w:szCs w:val="22"/>
                <w:lang w:val="en-GB"/>
              </w:rPr>
            </w:pPr>
            <w:r w:rsidRPr="001A72EB">
              <w:rPr>
                <w:sz w:val="22"/>
                <w:szCs w:val="22"/>
                <w:lang w:val="en-GB"/>
              </w:rPr>
              <w:t>57.3</w:t>
            </w:r>
          </w:p>
        </w:tc>
        <w:tc>
          <w:tcPr>
            <w:tcW w:w="1422" w:type="dxa"/>
            <w:tcBorders>
              <w:top w:val="single" w:sz="4" w:space="0" w:color="auto"/>
              <w:bottom w:val="single" w:sz="4" w:space="0" w:color="auto"/>
            </w:tcBorders>
            <w:shd w:val="clear" w:color="auto" w:fill="auto"/>
          </w:tcPr>
          <w:p w14:paraId="7C3321C7" w14:textId="77777777" w:rsidR="00304014" w:rsidRPr="001A72EB" w:rsidRDefault="00016F29" w:rsidP="001A72EB">
            <w:pPr>
              <w:pStyle w:val="TextTi10"/>
              <w:jc w:val="center"/>
              <w:rPr>
                <w:sz w:val="22"/>
                <w:szCs w:val="22"/>
                <w:lang w:val="en-GB"/>
              </w:rPr>
            </w:pPr>
            <w:r w:rsidRPr="001A72EB">
              <w:rPr>
                <w:sz w:val="22"/>
                <w:szCs w:val="22"/>
                <w:lang w:val="en-GB"/>
              </w:rPr>
              <w:t>&lt;0.0001</w:t>
            </w:r>
          </w:p>
        </w:tc>
        <w:tc>
          <w:tcPr>
            <w:tcW w:w="1424" w:type="dxa"/>
            <w:tcBorders>
              <w:top w:val="single" w:sz="4" w:space="0" w:color="auto"/>
              <w:bottom w:val="single" w:sz="4" w:space="0" w:color="auto"/>
              <w:right w:val="single" w:sz="6" w:space="0" w:color="000000"/>
            </w:tcBorders>
            <w:shd w:val="clear" w:color="auto" w:fill="auto"/>
          </w:tcPr>
          <w:p w14:paraId="7C3321C8" w14:textId="77777777" w:rsidR="00304014" w:rsidRPr="001A72EB" w:rsidRDefault="00016F29" w:rsidP="001A72EB">
            <w:pPr>
              <w:pStyle w:val="TextTi10"/>
              <w:jc w:val="center"/>
              <w:rPr>
                <w:sz w:val="22"/>
                <w:szCs w:val="22"/>
                <w:lang w:val="en-GB"/>
              </w:rPr>
            </w:pPr>
            <w:r w:rsidRPr="001A72EB">
              <w:rPr>
                <w:sz w:val="22"/>
                <w:szCs w:val="22"/>
                <w:lang w:val="en-GB"/>
              </w:rPr>
              <w:t>44%</w:t>
            </w:r>
          </w:p>
        </w:tc>
      </w:tr>
      <w:tr w:rsidR="003A788B" w14:paraId="7C3321CF" w14:textId="77777777" w:rsidTr="006A3D53">
        <w:trPr>
          <w:trHeight w:val="263"/>
        </w:trPr>
        <w:tc>
          <w:tcPr>
            <w:tcW w:w="3124" w:type="dxa"/>
            <w:tcBorders>
              <w:top w:val="single" w:sz="4" w:space="0" w:color="auto"/>
              <w:left w:val="single" w:sz="4" w:space="0" w:color="auto"/>
              <w:bottom w:val="single" w:sz="4" w:space="0" w:color="auto"/>
            </w:tcBorders>
            <w:shd w:val="clear" w:color="auto" w:fill="auto"/>
          </w:tcPr>
          <w:p w14:paraId="7C3321CA" w14:textId="77777777" w:rsidR="00304014" w:rsidRPr="001A72EB" w:rsidRDefault="00016F29" w:rsidP="001A72EB">
            <w:pPr>
              <w:pStyle w:val="TextTi10"/>
              <w:rPr>
                <w:sz w:val="22"/>
                <w:szCs w:val="22"/>
                <w:lang w:val="en-GB"/>
              </w:rPr>
            </w:pPr>
            <w:r w:rsidRPr="001A72EB">
              <w:rPr>
                <w:sz w:val="22"/>
                <w:szCs w:val="22"/>
                <w:lang w:val="en-GB"/>
              </w:rPr>
              <w:t>Disease free survival (DFS)**</w:t>
            </w:r>
          </w:p>
        </w:tc>
        <w:tc>
          <w:tcPr>
            <w:tcW w:w="1448" w:type="dxa"/>
            <w:tcBorders>
              <w:top w:val="single" w:sz="4" w:space="0" w:color="auto"/>
              <w:bottom w:val="single" w:sz="4" w:space="0" w:color="auto"/>
            </w:tcBorders>
            <w:shd w:val="clear" w:color="auto" w:fill="auto"/>
          </w:tcPr>
          <w:p w14:paraId="7C3321CB" w14:textId="77777777" w:rsidR="00304014" w:rsidRPr="001A72EB" w:rsidRDefault="00016F29" w:rsidP="001A72EB">
            <w:pPr>
              <w:pStyle w:val="TextTi10"/>
              <w:jc w:val="center"/>
              <w:rPr>
                <w:sz w:val="22"/>
                <w:szCs w:val="22"/>
                <w:lang w:val="en-GB"/>
              </w:rPr>
            </w:pPr>
            <w:r w:rsidRPr="001A72EB">
              <w:rPr>
                <w:sz w:val="22"/>
                <w:szCs w:val="22"/>
                <w:lang w:val="en-GB"/>
              </w:rPr>
              <w:t>48.9</w:t>
            </w:r>
          </w:p>
        </w:tc>
        <w:tc>
          <w:tcPr>
            <w:tcW w:w="1240" w:type="dxa"/>
            <w:tcBorders>
              <w:top w:val="single" w:sz="4" w:space="0" w:color="auto"/>
              <w:bottom w:val="single" w:sz="4" w:space="0" w:color="auto"/>
            </w:tcBorders>
            <w:shd w:val="clear" w:color="auto" w:fill="auto"/>
          </w:tcPr>
          <w:p w14:paraId="7C3321CC" w14:textId="77777777" w:rsidR="00304014" w:rsidRPr="001A72EB" w:rsidRDefault="00016F29" w:rsidP="001A72EB">
            <w:pPr>
              <w:pStyle w:val="TextTi10"/>
              <w:jc w:val="center"/>
              <w:rPr>
                <w:sz w:val="22"/>
                <w:szCs w:val="22"/>
                <w:lang w:val="en-GB"/>
              </w:rPr>
            </w:pPr>
            <w:r w:rsidRPr="001A72EB">
              <w:rPr>
                <w:sz w:val="22"/>
                <w:szCs w:val="22"/>
                <w:lang w:val="en-GB"/>
              </w:rPr>
              <w:t>60.3</w:t>
            </w:r>
          </w:p>
        </w:tc>
        <w:tc>
          <w:tcPr>
            <w:tcW w:w="1422" w:type="dxa"/>
            <w:tcBorders>
              <w:top w:val="single" w:sz="4" w:space="0" w:color="auto"/>
              <w:bottom w:val="single" w:sz="4" w:space="0" w:color="auto"/>
            </w:tcBorders>
            <w:shd w:val="clear" w:color="auto" w:fill="auto"/>
          </w:tcPr>
          <w:p w14:paraId="7C3321CD" w14:textId="77777777" w:rsidR="00304014" w:rsidRPr="001A72EB" w:rsidRDefault="00016F29" w:rsidP="001A72EB">
            <w:pPr>
              <w:pStyle w:val="TextTi10"/>
              <w:jc w:val="center"/>
              <w:rPr>
                <w:sz w:val="22"/>
                <w:szCs w:val="22"/>
                <w:lang w:val="en-GB"/>
              </w:rPr>
            </w:pPr>
            <w:r w:rsidRPr="001A72EB">
              <w:rPr>
                <w:sz w:val="22"/>
                <w:szCs w:val="22"/>
                <w:lang w:val="en-GB"/>
              </w:rPr>
              <w:t>0.0520</w:t>
            </w:r>
          </w:p>
        </w:tc>
        <w:tc>
          <w:tcPr>
            <w:tcW w:w="1424" w:type="dxa"/>
            <w:tcBorders>
              <w:top w:val="single" w:sz="4" w:space="0" w:color="auto"/>
              <w:bottom w:val="single" w:sz="4" w:space="0" w:color="auto"/>
              <w:right w:val="single" w:sz="6" w:space="0" w:color="000000"/>
            </w:tcBorders>
            <w:shd w:val="clear" w:color="auto" w:fill="auto"/>
          </w:tcPr>
          <w:p w14:paraId="7C3321CE" w14:textId="77777777" w:rsidR="00304014" w:rsidRPr="001A72EB" w:rsidRDefault="00016F29" w:rsidP="001A72EB">
            <w:pPr>
              <w:pStyle w:val="TextTi10"/>
              <w:jc w:val="center"/>
              <w:rPr>
                <w:sz w:val="22"/>
                <w:szCs w:val="22"/>
                <w:lang w:val="en-GB"/>
              </w:rPr>
            </w:pPr>
            <w:r w:rsidRPr="001A72EB">
              <w:rPr>
                <w:sz w:val="22"/>
                <w:szCs w:val="22"/>
                <w:lang w:val="en-GB"/>
              </w:rPr>
              <w:t>31%</w:t>
            </w:r>
          </w:p>
        </w:tc>
      </w:tr>
      <w:tr w:rsidR="003A788B" w14:paraId="7C3321D5" w14:textId="77777777" w:rsidTr="006A3D53">
        <w:trPr>
          <w:trHeight w:val="310"/>
        </w:trPr>
        <w:tc>
          <w:tcPr>
            <w:tcW w:w="3124" w:type="dxa"/>
            <w:tcBorders>
              <w:top w:val="single" w:sz="4" w:space="0" w:color="auto"/>
              <w:left w:val="single" w:sz="4" w:space="0" w:color="auto"/>
              <w:bottom w:val="single" w:sz="4" w:space="0" w:color="auto"/>
            </w:tcBorders>
            <w:shd w:val="clear" w:color="auto" w:fill="auto"/>
          </w:tcPr>
          <w:p w14:paraId="7C3321D0" w14:textId="77777777" w:rsidR="00304014" w:rsidRPr="001A72EB" w:rsidRDefault="00016F29" w:rsidP="001A72EB">
            <w:pPr>
              <w:pStyle w:val="TextTi10"/>
              <w:rPr>
                <w:sz w:val="22"/>
                <w:szCs w:val="22"/>
                <w:lang w:val="en-GB"/>
              </w:rPr>
            </w:pPr>
            <w:r w:rsidRPr="001A72EB">
              <w:rPr>
                <w:sz w:val="22"/>
                <w:szCs w:val="22"/>
                <w:lang w:val="en-GB"/>
              </w:rPr>
              <w:t>Time to new treatment</w:t>
            </w:r>
          </w:p>
        </w:tc>
        <w:tc>
          <w:tcPr>
            <w:tcW w:w="1448" w:type="dxa"/>
            <w:tcBorders>
              <w:top w:val="single" w:sz="4" w:space="0" w:color="auto"/>
              <w:bottom w:val="single" w:sz="4" w:space="0" w:color="auto"/>
            </w:tcBorders>
            <w:shd w:val="clear" w:color="auto" w:fill="auto"/>
          </w:tcPr>
          <w:p w14:paraId="7C3321D1" w14:textId="77777777" w:rsidR="00304014" w:rsidRPr="001A72EB" w:rsidRDefault="00016F29" w:rsidP="001A72EB">
            <w:pPr>
              <w:pStyle w:val="TextTi10"/>
              <w:jc w:val="center"/>
              <w:rPr>
                <w:sz w:val="22"/>
                <w:szCs w:val="22"/>
                <w:lang w:val="en-GB"/>
              </w:rPr>
            </w:pPr>
            <w:r w:rsidRPr="001A72EB">
              <w:rPr>
                <w:sz w:val="22"/>
                <w:szCs w:val="22"/>
                <w:lang w:val="en-GB"/>
              </w:rPr>
              <w:t>47.2</w:t>
            </w:r>
          </w:p>
        </w:tc>
        <w:tc>
          <w:tcPr>
            <w:tcW w:w="1240" w:type="dxa"/>
            <w:tcBorders>
              <w:top w:val="single" w:sz="4" w:space="0" w:color="auto"/>
              <w:bottom w:val="single" w:sz="4" w:space="0" w:color="auto"/>
            </w:tcBorders>
            <w:shd w:val="clear" w:color="auto" w:fill="auto"/>
          </w:tcPr>
          <w:p w14:paraId="7C3321D2" w14:textId="77777777" w:rsidR="00304014" w:rsidRPr="001A72EB" w:rsidRDefault="00016F29" w:rsidP="001A72EB">
            <w:pPr>
              <w:pStyle w:val="TextTi10"/>
              <w:jc w:val="center"/>
              <w:rPr>
                <w:sz w:val="22"/>
                <w:szCs w:val="22"/>
                <w:lang w:val="en-GB"/>
              </w:rPr>
            </w:pPr>
            <w:r w:rsidRPr="001A72EB">
              <w:rPr>
                <w:sz w:val="22"/>
                <w:szCs w:val="22"/>
                <w:lang w:val="en-GB"/>
              </w:rPr>
              <w:t>69.7</w:t>
            </w:r>
          </w:p>
        </w:tc>
        <w:tc>
          <w:tcPr>
            <w:tcW w:w="1422" w:type="dxa"/>
            <w:tcBorders>
              <w:top w:val="single" w:sz="4" w:space="0" w:color="auto"/>
              <w:bottom w:val="single" w:sz="4" w:space="0" w:color="auto"/>
            </w:tcBorders>
            <w:shd w:val="clear" w:color="auto" w:fill="auto"/>
          </w:tcPr>
          <w:p w14:paraId="7C3321D3" w14:textId="77777777" w:rsidR="00304014" w:rsidRPr="001A72EB" w:rsidRDefault="00016F29" w:rsidP="001A72EB">
            <w:pPr>
              <w:pStyle w:val="TextTi10"/>
              <w:jc w:val="center"/>
              <w:rPr>
                <w:sz w:val="22"/>
                <w:szCs w:val="22"/>
                <w:lang w:val="en-GB"/>
              </w:rPr>
            </w:pPr>
            <w:r w:rsidRPr="001A72EB">
              <w:rPr>
                <w:sz w:val="22"/>
                <w:szCs w:val="22"/>
                <w:lang w:val="en-GB"/>
              </w:rPr>
              <w:t>&lt;0.0001</w:t>
            </w:r>
          </w:p>
        </w:tc>
        <w:tc>
          <w:tcPr>
            <w:tcW w:w="1424" w:type="dxa"/>
            <w:tcBorders>
              <w:top w:val="single" w:sz="4" w:space="0" w:color="auto"/>
              <w:bottom w:val="single" w:sz="4" w:space="0" w:color="auto"/>
              <w:right w:val="single" w:sz="6" w:space="0" w:color="000000"/>
            </w:tcBorders>
            <w:shd w:val="clear" w:color="auto" w:fill="auto"/>
          </w:tcPr>
          <w:p w14:paraId="7C3321D4" w14:textId="77777777" w:rsidR="00304014" w:rsidRPr="001A72EB" w:rsidRDefault="00016F29" w:rsidP="001A72EB">
            <w:pPr>
              <w:pStyle w:val="TextTi10"/>
              <w:jc w:val="center"/>
              <w:rPr>
                <w:sz w:val="22"/>
                <w:szCs w:val="22"/>
                <w:lang w:val="en-GB"/>
              </w:rPr>
            </w:pPr>
            <w:r w:rsidRPr="001A72EB">
              <w:rPr>
                <w:sz w:val="22"/>
                <w:szCs w:val="22"/>
                <w:lang w:val="en-GB"/>
              </w:rPr>
              <w:t>42%</w:t>
            </w:r>
          </w:p>
        </w:tc>
      </w:tr>
    </w:tbl>
    <w:p w14:paraId="7C3321D6" w14:textId="77777777" w:rsidR="00304014" w:rsidRPr="00876F54" w:rsidRDefault="00016F29" w:rsidP="001A72EB">
      <w:pPr>
        <w:rPr>
          <w:sz w:val="18"/>
          <w:szCs w:val="18"/>
          <w:lang w:val="en-GB"/>
        </w:rPr>
      </w:pPr>
      <w:r w:rsidRPr="00876F54">
        <w:rPr>
          <w:sz w:val="18"/>
          <w:szCs w:val="18"/>
          <w:lang w:val="en-GB"/>
        </w:rPr>
        <w:t>Response rate and CR rates analysed using Chi</w:t>
      </w:r>
      <w:r w:rsidR="000A6DDA" w:rsidRPr="00876F54">
        <w:rPr>
          <w:sz w:val="18"/>
          <w:szCs w:val="18"/>
          <w:lang w:val="en-GB"/>
        </w:rPr>
        <w:noBreakHyphen/>
      </w:r>
      <w:r w:rsidRPr="00876F54">
        <w:rPr>
          <w:sz w:val="18"/>
          <w:szCs w:val="18"/>
          <w:lang w:val="en-GB"/>
        </w:rPr>
        <w:t>squared Test. NR: not reached; n.a.: not applicable</w:t>
      </w:r>
    </w:p>
    <w:p w14:paraId="7C3321D7" w14:textId="77777777" w:rsidR="00304014" w:rsidRPr="00876F54" w:rsidRDefault="00016F29" w:rsidP="001A72EB">
      <w:pPr>
        <w:ind w:left="284" w:hanging="284"/>
        <w:rPr>
          <w:sz w:val="18"/>
          <w:szCs w:val="18"/>
          <w:lang w:val="en-GB"/>
        </w:rPr>
      </w:pPr>
      <w:r w:rsidRPr="00876F54">
        <w:rPr>
          <w:sz w:val="18"/>
          <w:szCs w:val="18"/>
          <w:lang w:val="en-GB"/>
        </w:rPr>
        <w:t>*: only applicable to patients achieving a CR, nPR, PR</w:t>
      </w:r>
    </w:p>
    <w:p w14:paraId="7C3321D8" w14:textId="77777777" w:rsidR="00304014" w:rsidRPr="00876F54" w:rsidRDefault="00016F29" w:rsidP="001A72EB">
      <w:pPr>
        <w:ind w:left="284" w:hanging="284"/>
        <w:rPr>
          <w:noProof/>
          <w:sz w:val="18"/>
          <w:szCs w:val="18"/>
          <w:lang w:val="en-GB"/>
        </w:rPr>
      </w:pPr>
      <w:r w:rsidRPr="00876F54">
        <w:rPr>
          <w:noProof/>
          <w:sz w:val="18"/>
          <w:szCs w:val="18"/>
          <w:lang w:val="en-GB"/>
        </w:rPr>
        <w:t>**: only applicable to patients achieving a CR</w:t>
      </w:r>
    </w:p>
    <w:p w14:paraId="7C3321D9" w14:textId="77777777" w:rsidR="00304014" w:rsidRPr="00876F54" w:rsidRDefault="00304014" w:rsidP="001A72EB">
      <w:pPr>
        <w:ind w:left="284" w:hanging="284"/>
        <w:rPr>
          <w:noProof/>
          <w:lang w:val="en-GB"/>
        </w:rPr>
      </w:pPr>
    </w:p>
    <w:p w14:paraId="7C3321DA" w14:textId="77777777" w:rsidR="00304014" w:rsidRPr="00876F54" w:rsidRDefault="00016F29" w:rsidP="001A72EB">
      <w:pPr>
        <w:keepNext/>
        <w:keepLines/>
        <w:ind w:left="1134" w:hanging="1134"/>
        <w:rPr>
          <w:b/>
          <w:lang w:val="en-GB"/>
        </w:rPr>
      </w:pPr>
      <w:r w:rsidRPr="00876F54">
        <w:rPr>
          <w:b/>
          <w:lang w:val="en-GB"/>
        </w:rPr>
        <w:t>Table </w:t>
      </w:r>
      <w:r w:rsidR="00D55C85" w:rsidRPr="00876F54">
        <w:rPr>
          <w:b/>
          <w:lang w:val="en-GB"/>
        </w:rPr>
        <w:t>2</w:t>
      </w:r>
      <w:r w:rsidRPr="00876F54">
        <w:rPr>
          <w:b/>
          <w:lang w:val="en-GB"/>
        </w:rPr>
        <w:t>b</w:t>
      </w:r>
      <w:r w:rsidRPr="00876F54">
        <w:rPr>
          <w:b/>
          <w:lang w:val="en-GB"/>
        </w:rPr>
        <w:tab/>
        <w:t>First</w:t>
      </w:r>
      <w:r w:rsidR="000A6DDA" w:rsidRPr="00876F54">
        <w:rPr>
          <w:b/>
          <w:lang w:val="en-GB"/>
        </w:rPr>
        <w:noBreakHyphen/>
      </w:r>
      <w:r w:rsidRPr="00876F54">
        <w:rPr>
          <w:b/>
          <w:lang w:val="en-GB"/>
        </w:rPr>
        <w:t>line treatment of chronic lymphocytic leukaemia</w:t>
      </w:r>
    </w:p>
    <w:p w14:paraId="7C3321DB" w14:textId="77777777" w:rsidR="00304014" w:rsidRPr="001A72EB" w:rsidRDefault="00016F29" w:rsidP="001A72EB">
      <w:pPr>
        <w:keepNext/>
        <w:keepLines/>
        <w:ind w:left="1134"/>
        <w:rPr>
          <w:b/>
          <w:noProof/>
          <w:lang w:val="en-GB"/>
        </w:rPr>
      </w:pPr>
      <w:r w:rsidRPr="00876F54">
        <w:rPr>
          <w:b/>
          <w:noProof/>
          <w:lang w:val="en-GB"/>
        </w:rPr>
        <w:t>Hazard ratios of progression</w:t>
      </w:r>
      <w:r w:rsidR="000A6DDA" w:rsidRPr="00876F54">
        <w:rPr>
          <w:b/>
          <w:noProof/>
          <w:lang w:val="en-GB"/>
        </w:rPr>
        <w:noBreakHyphen/>
      </w:r>
      <w:r w:rsidRPr="00876F54">
        <w:rPr>
          <w:b/>
          <w:noProof/>
          <w:lang w:val="en-GB"/>
        </w:rPr>
        <w:t>free survival according to Binet stage (ITT) – 48.1</w:t>
      </w:r>
      <w:r w:rsidRPr="001A72EB">
        <w:rPr>
          <w:b/>
          <w:noProof/>
          <w:lang w:val="en-GB"/>
        </w:rPr>
        <w:t xml:space="preserve"> months median observation time</w:t>
      </w:r>
    </w:p>
    <w:tbl>
      <w:tblPr>
        <w:tblW w:w="8789" w:type="dxa"/>
        <w:tblInd w:w="108" w:type="dxa"/>
        <w:tblBorders>
          <w:top w:val="single" w:sz="6" w:space="0" w:color="000000"/>
          <w:bottom w:val="single" w:sz="6" w:space="0" w:color="000000"/>
          <w:insideV w:val="single" w:sz="6" w:space="0" w:color="000000"/>
        </w:tblBorders>
        <w:tblLayout w:type="fixed"/>
        <w:tblLook w:val="0000" w:firstRow="0" w:lastRow="0" w:firstColumn="0" w:lastColumn="0" w:noHBand="0" w:noVBand="0"/>
      </w:tblPr>
      <w:tblGrid>
        <w:gridCol w:w="3402"/>
        <w:gridCol w:w="851"/>
        <w:gridCol w:w="850"/>
        <w:gridCol w:w="1985"/>
        <w:gridCol w:w="1701"/>
      </w:tblGrid>
      <w:tr w:rsidR="003A788B" w14:paraId="7C3321E1" w14:textId="77777777" w:rsidTr="006A3D53">
        <w:trPr>
          <w:trHeight w:val="511"/>
        </w:trPr>
        <w:tc>
          <w:tcPr>
            <w:tcW w:w="3402" w:type="dxa"/>
            <w:vMerge w:val="restart"/>
            <w:tcBorders>
              <w:top w:val="single" w:sz="6" w:space="0" w:color="000000"/>
              <w:left w:val="single" w:sz="4" w:space="0" w:color="auto"/>
            </w:tcBorders>
            <w:shd w:val="clear" w:color="auto" w:fill="auto"/>
          </w:tcPr>
          <w:p w14:paraId="7C3321DC" w14:textId="77777777" w:rsidR="00304014" w:rsidRPr="001A72EB" w:rsidRDefault="00016F29" w:rsidP="001A72EB">
            <w:pPr>
              <w:pStyle w:val="TextTi10"/>
              <w:keepNext/>
              <w:keepLines/>
              <w:rPr>
                <w:b/>
                <w:sz w:val="22"/>
                <w:szCs w:val="22"/>
                <w:lang w:val="en-GB"/>
              </w:rPr>
            </w:pPr>
            <w:r w:rsidRPr="001A72EB">
              <w:rPr>
                <w:b/>
                <w:sz w:val="22"/>
                <w:szCs w:val="22"/>
                <w:lang w:val="en-GB"/>
              </w:rPr>
              <w:t>Progression</w:t>
            </w:r>
            <w:r w:rsidR="000A6DDA" w:rsidRPr="001A72EB">
              <w:rPr>
                <w:rFonts w:ascii="Cambria Math" w:hAnsi="Cambria Math" w:cs="Cambria Math"/>
                <w:b/>
                <w:sz w:val="22"/>
                <w:szCs w:val="22"/>
                <w:lang w:val="en-GB"/>
              </w:rPr>
              <w:noBreakHyphen/>
            </w:r>
            <w:r w:rsidRPr="001A72EB">
              <w:rPr>
                <w:b/>
                <w:sz w:val="22"/>
                <w:szCs w:val="22"/>
                <w:lang w:val="en-GB"/>
              </w:rPr>
              <w:t>free survival (PFS)</w:t>
            </w:r>
          </w:p>
          <w:p w14:paraId="7C3321DD" w14:textId="77777777" w:rsidR="00304014" w:rsidRPr="001A72EB" w:rsidRDefault="00304014" w:rsidP="001A72EB">
            <w:pPr>
              <w:pStyle w:val="TextTi10"/>
              <w:keepNext/>
              <w:keepLines/>
              <w:jc w:val="center"/>
              <w:rPr>
                <w:b/>
                <w:sz w:val="22"/>
                <w:szCs w:val="22"/>
                <w:lang w:val="en-GB"/>
              </w:rPr>
            </w:pPr>
          </w:p>
        </w:tc>
        <w:tc>
          <w:tcPr>
            <w:tcW w:w="1701" w:type="dxa"/>
            <w:gridSpan w:val="2"/>
            <w:tcBorders>
              <w:top w:val="single" w:sz="6" w:space="0" w:color="000000"/>
              <w:bottom w:val="single" w:sz="6" w:space="0" w:color="000000"/>
            </w:tcBorders>
            <w:shd w:val="clear" w:color="auto" w:fill="auto"/>
          </w:tcPr>
          <w:p w14:paraId="7C3321DE" w14:textId="77777777" w:rsidR="00304014" w:rsidRPr="001A72EB" w:rsidRDefault="00016F29" w:rsidP="001A72EB">
            <w:pPr>
              <w:pStyle w:val="TextTi10"/>
              <w:keepNext/>
              <w:keepLines/>
              <w:jc w:val="center"/>
              <w:rPr>
                <w:b/>
                <w:sz w:val="22"/>
                <w:szCs w:val="22"/>
                <w:lang w:val="en-GB"/>
              </w:rPr>
            </w:pPr>
            <w:r w:rsidRPr="001A72EB">
              <w:rPr>
                <w:b/>
                <w:sz w:val="22"/>
                <w:szCs w:val="22"/>
                <w:lang w:val="en-GB"/>
              </w:rPr>
              <w:t>Number of patients</w:t>
            </w:r>
          </w:p>
        </w:tc>
        <w:tc>
          <w:tcPr>
            <w:tcW w:w="1985" w:type="dxa"/>
            <w:vMerge w:val="restart"/>
            <w:tcBorders>
              <w:top w:val="single" w:sz="6" w:space="0" w:color="000000"/>
            </w:tcBorders>
            <w:shd w:val="clear" w:color="auto" w:fill="auto"/>
          </w:tcPr>
          <w:p w14:paraId="7C3321DF" w14:textId="77777777" w:rsidR="00304014" w:rsidRPr="001A72EB" w:rsidRDefault="00016F29" w:rsidP="001A72EB">
            <w:pPr>
              <w:pStyle w:val="TextTi10"/>
              <w:keepNext/>
              <w:keepLines/>
              <w:jc w:val="center"/>
              <w:rPr>
                <w:b/>
                <w:sz w:val="22"/>
                <w:szCs w:val="22"/>
                <w:lang w:val="en-GB"/>
              </w:rPr>
            </w:pPr>
            <w:r w:rsidRPr="001A72EB">
              <w:rPr>
                <w:b/>
                <w:sz w:val="22"/>
                <w:szCs w:val="22"/>
                <w:lang w:val="en-GB"/>
              </w:rPr>
              <w:t>Hazard Ratio (95% CI)</w:t>
            </w:r>
          </w:p>
        </w:tc>
        <w:tc>
          <w:tcPr>
            <w:tcW w:w="1701" w:type="dxa"/>
            <w:vMerge w:val="restart"/>
            <w:tcBorders>
              <w:top w:val="single" w:sz="6" w:space="0" w:color="000000"/>
              <w:right w:val="single" w:sz="6" w:space="0" w:color="000000"/>
            </w:tcBorders>
            <w:shd w:val="clear" w:color="auto" w:fill="auto"/>
          </w:tcPr>
          <w:p w14:paraId="7C3321E0" w14:textId="77777777" w:rsidR="00304014" w:rsidRPr="0072015F" w:rsidRDefault="00016F29" w:rsidP="001A72EB">
            <w:pPr>
              <w:pStyle w:val="TextTi10"/>
              <w:keepNext/>
              <w:keepLines/>
              <w:jc w:val="center"/>
              <w:rPr>
                <w:b/>
                <w:sz w:val="22"/>
                <w:szCs w:val="22"/>
                <w:vertAlign w:val="superscript"/>
                <w:lang w:val="en-GB"/>
              </w:rPr>
            </w:pPr>
            <w:r w:rsidRPr="0072015F">
              <w:rPr>
                <w:b/>
                <w:sz w:val="22"/>
                <w:szCs w:val="22"/>
                <w:lang w:val="en-GB"/>
              </w:rPr>
              <w:t>p</w:t>
            </w:r>
            <w:r w:rsidR="000A6DDA" w:rsidRPr="0072015F">
              <w:rPr>
                <w:b/>
                <w:sz w:val="22"/>
                <w:szCs w:val="22"/>
                <w:lang w:val="en-GB"/>
              </w:rPr>
              <w:noBreakHyphen/>
            </w:r>
            <w:r w:rsidRPr="0072015F">
              <w:rPr>
                <w:b/>
                <w:sz w:val="22"/>
                <w:szCs w:val="22"/>
                <w:lang w:val="en-GB"/>
              </w:rPr>
              <w:t>value (Wald test, not adjusted)</w:t>
            </w:r>
          </w:p>
        </w:tc>
      </w:tr>
      <w:tr w:rsidR="003A788B" w14:paraId="7C3321E7" w14:textId="77777777" w:rsidTr="006A3D53">
        <w:trPr>
          <w:trHeight w:val="149"/>
        </w:trPr>
        <w:tc>
          <w:tcPr>
            <w:tcW w:w="3402" w:type="dxa"/>
            <w:vMerge/>
            <w:tcBorders>
              <w:left w:val="single" w:sz="4" w:space="0" w:color="auto"/>
              <w:bottom w:val="single" w:sz="6" w:space="0" w:color="000000"/>
            </w:tcBorders>
            <w:shd w:val="clear" w:color="auto" w:fill="auto"/>
          </w:tcPr>
          <w:p w14:paraId="7C3321E2" w14:textId="77777777" w:rsidR="00304014" w:rsidRPr="001A72EB" w:rsidRDefault="00304014" w:rsidP="001A72EB">
            <w:pPr>
              <w:pStyle w:val="TextTi10"/>
              <w:keepNext/>
              <w:jc w:val="center"/>
              <w:rPr>
                <w:b/>
                <w:sz w:val="22"/>
                <w:szCs w:val="22"/>
                <w:lang w:val="en-GB"/>
              </w:rPr>
            </w:pPr>
          </w:p>
        </w:tc>
        <w:tc>
          <w:tcPr>
            <w:tcW w:w="851" w:type="dxa"/>
            <w:tcBorders>
              <w:top w:val="single" w:sz="6" w:space="0" w:color="000000"/>
              <w:bottom w:val="single" w:sz="6" w:space="0" w:color="000000"/>
            </w:tcBorders>
            <w:shd w:val="clear" w:color="auto" w:fill="auto"/>
          </w:tcPr>
          <w:p w14:paraId="7C3321E3" w14:textId="77777777" w:rsidR="00304014" w:rsidRPr="001A72EB" w:rsidRDefault="00016F29" w:rsidP="001A72EB">
            <w:pPr>
              <w:pStyle w:val="TextTi10"/>
              <w:keepNext/>
              <w:jc w:val="center"/>
              <w:rPr>
                <w:b/>
                <w:sz w:val="22"/>
                <w:szCs w:val="22"/>
                <w:lang w:val="en-GB"/>
              </w:rPr>
            </w:pPr>
            <w:r w:rsidRPr="001A72EB">
              <w:rPr>
                <w:b/>
                <w:sz w:val="22"/>
                <w:szCs w:val="22"/>
                <w:lang w:val="en-GB"/>
              </w:rPr>
              <w:t>FC</w:t>
            </w:r>
          </w:p>
        </w:tc>
        <w:tc>
          <w:tcPr>
            <w:tcW w:w="850" w:type="dxa"/>
            <w:tcBorders>
              <w:top w:val="single" w:sz="6" w:space="0" w:color="000000"/>
              <w:bottom w:val="single" w:sz="6" w:space="0" w:color="000000"/>
            </w:tcBorders>
            <w:shd w:val="clear" w:color="auto" w:fill="auto"/>
          </w:tcPr>
          <w:p w14:paraId="7C3321E4" w14:textId="77777777" w:rsidR="00304014" w:rsidRPr="001A72EB" w:rsidRDefault="00016F29" w:rsidP="001A72EB">
            <w:pPr>
              <w:pStyle w:val="TextTi10"/>
              <w:keepNext/>
              <w:jc w:val="center"/>
              <w:rPr>
                <w:b/>
                <w:sz w:val="22"/>
                <w:szCs w:val="22"/>
                <w:lang w:val="en-GB"/>
              </w:rPr>
            </w:pPr>
            <w:r w:rsidRPr="001A72EB">
              <w:rPr>
                <w:b/>
                <w:sz w:val="22"/>
                <w:szCs w:val="22"/>
                <w:lang w:val="en-GB"/>
              </w:rPr>
              <w:t>R</w:t>
            </w:r>
            <w:r w:rsidR="000A6DDA" w:rsidRPr="001A72EB">
              <w:rPr>
                <w:rFonts w:ascii="Cambria Math" w:hAnsi="Cambria Math" w:cs="Cambria Math"/>
                <w:b/>
                <w:sz w:val="22"/>
                <w:szCs w:val="22"/>
                <w:lang w:val="en-GB"/>
              </w:rPr>
              <w:noBreakHyphen/>
            </w:r>
            <w:r w:rsidR="000A6DDA" w:rsidRPr="001A72EB">
              <w:rPr>
                <w:rFonts w:ascii="Cambria Math" w:hAnsi="Cambria Math" w:cs="Cambria Math"/>
                <w:b/>
                <w:sz w:val="22"/>
                <w:szCs w:val="22"/>
                <w:lang w:val="en-GB"/>
              </w:rPr>
              <w:noBreakHyphen/>
            </w:r>
            <w:r w:rsidRPr="001A72EB">
              <w:rPr>
                <w:b/>
                <w:sz w:val="22"/>
                <w:szCs w:val="22"/>
                <w:lang w:val="en-GB"/>
              </w:rPr>
              <w:t>FC</w:t>
            </w:r>
          </w:p>
        </w:tc>
        <w:tc>
          <w:tcPr>
            <w:tcW w:w="1985" w:type="dxa"/>
            <w:vMerge/>
            <w:tcBorders>
              <w:bottom w:val="single" w:sz="6" w:space="0" w:color="000000"/>
            </w:tcBorders>
            <w:shd w:val="clear" w:color="auto" w:fill="auto"/>
          </w:tcPr>
          <w:p w14:paraId="7C3321E5" w14:textId="77777777" w:rsidR="00304014" w:rsidRPr="001A72EB" w:rsidRDefault="00304014" w:rsidP="001A72EB">
            <w:pPr>
              <w:pStyle w:val="TextTi10"/>
              <w:keepNext/>
              <w:jc w:val="center"/>
              <w:rPr>
                <w:b/>
                <w:sz w:val="22"/>
                <w:szCs w:val="22"/>
                <w:lang w:val="en-GB"/>
              </w:rPr>
            </w:pPr>
          </w:p>
        </w:tc>
        <w:tc>
          <w:tcPr>
            <w:tcW w:w="1701" w:type="dxa"/>
            <w:vMerge/>
            <w:tcBorders>
              <w:bottom w:val="single" w:sz="6" w:space="0" w:color="000000"/>
              <w:right w:val="single" w:sz="6" w:space="0" w:color="000000"/>
            </w:tcBorders>
            <w:shd w:val="clear" w:color="auto" w:fill="auto"/>
          </w:tcPr>
          <w:p w14:paraId="7C3321E6" w14:textId="77777777" w:rsidR="00304014" w:rsidRPr="001A72EB" w:rsidRDefault="00304014" w:rsidP="001A72EB">
            <w:pPr>
              <w:pStyle w:val="TextTi10"/>
              <w:keepNext/>
              <w:jc w:val="center"/>
              <w:rPr>
                <w:b/>
                <w:sz w:val="22"/>
                <w:szCs w:val="22"/>
                <w:lang w:val="en-GB"/>
              </w:rPr>
            </w:pPr>
          </w:p>
        </w:tc>
      </w:tr>
      <w:tr w:rsidR="003A788B" w14:paraId="7C3321ED" w14:textId="77777777" w:rsidTr="006A3D53">
        <w:trPr>
          <w:trHeight w:val="284"/>
        </w:trPr>
        <w:tc>
          <w:tcPr>
            <w:tcW w:w="3402" w:type="dxa"/>
            <w:tcBorders>
              <w:top w:val="single" w:sz="6" w:space="0" w:color="000000"/>
              <w:left w:val="single" w:sz="4" w:space="0" w:color="auto"/>
              <w:bottom w:val="dotted" w:sz="4" w:space="0" w:color="auto"/>
            </w:tcBorders>
            <w:shd w:val="clear" w:color="auto" w:fill="auto"/>
          </w:tcPr>
          <w:p w14:paraId="7C3321E8" w14:textId="77777777" w:rsidR="00304014" w:rsidRPr="001A72EB" w:rsidRDefault="00016F29" w:rsidP="001A72EB">
            <w:pPr>
              <w:pStyle w:val="TextTi10"/>
              <w:keepNext/>
              <w:ind w:left="34"/>
              <w:jc w:val="both"/>
              <w:rPr>
                <w:sz w:val="22"/>
                <w:szCs w:val="22"/>
                <w:lang w:val="en-GB"/>
              </w:rPr>
            </w:pPr>
            <w:r w:rsidRPr="001A72EB">
              <w:rPr>
                <w:sz w:val="22"/>
                <w:szCs w:val="22"/>
                <w:lang w:val="en-GB"/>
              </w:rPr>
              <w:t>Binet stage A</w:t>
            </w:r>
          </w:p>
        </w:tc>
        <w:tc>
          <w:tcPr>
            <w:tcW w:w="851" w:type="dxa"/>
            <w:tcBorders>
              <w:top w:val="single" w:sz="6" w:space="0" w:color="000000"/>
              <w:bottom w:val="dotted" w:sz="4" w:space="0" w:color="auto"/>
            </w:tcBorders>
            <w:shd w:val="clear" w:color="auto" w:fill="auto"/>
          </w:tcPr>
          <w:p w14:paraId="7C3321E9" w14:textId="77777777" w:rsidR="00304014" w:rsidRPr="001A72EB" w:rsidRDefault="00016F29" w:rsidP="001A72EB">
            <w:pPr>
              <w:pStyle w:val="TextTi10"/>
              <w:keepNext/>
              <w:jc w:val="center"/>
              <w:rPr>
                <w:sz w:val="22"/>
                <w:szCs w:val="22"/>
                <w:lang w:val="en-GB"/>
              </w:rPr>
            </w:pPr>
            <w:r w:rsidRPr="001A72EB">
              <w:rPr>
                <w:sz w:val="22"/>
                <w:szCs w:val="22"/>
                <w:lang w:val="en-GB"/>
              </w:rPr>
              <w:t>22</w:t>
            </w:r>
          </w:p>
        </w:tc>
        <w:tc>
          <w:tcPr>
            <w:tcW w:w="850" w:type="dxa"/>
            <w:tcBorders>
              <w:top w:val="single" w:sz="6" w:space="0" w:color="000000"/>
              <w:bottom w:val="dotted" w:sz="4" w:space="0" w:color="auto"/>
            </w:tcBorders>
            <w:shd w:val="clear" w:color="auto" w:fill="auto"/>
          </w:tcPr>
          <w:p w14:paraId="7C3321EA" w14:textId="77777777" w:rsidR="00304014" w:rsidRPr="001A72EB" w:rsidRDefault="00016F29" w:rsidP="001A72EB">
            <w:pPr>
              <w:pStyle w:val="TextTi10"/>
              <w:keepNext/>
              <w:jc w:val="center"/>
              <w:rPr>
                <w:sz w:val="22"/>
                <w:szCs w:val="22"/>
                <w:lang w:val="en-GB"/>
              </w:rPr>
            </w:pPr>
            <w:r w:rsidRPr="001A72EB">
              <w:rPr>
                <w:sz w:val="22"/>
                <w:szCs w:val="22"/>
                <w:lang w:val="en-GB"/>
              </w:rPr>
              <w:t>18</w:t>
            </w:r>
          </w:p>
        </w:tc>
        <w:tc>
          <w:tcPr>
            <w:tcW w:w="1985" w:type="dxa"/>
            <w:tcBorders>
              <w:top w:val="single" w:sz="6" w:space="0" w:color="000000"/>
              <w:bottom w:val="dotted" w:sz="4" w:space="0" w:color="auto"/>
            </w:tcBorders>
            <w:shd w:val="clear" w:color="auto" w:fill="auto"/>
          </w:tcPr>
          <w:p w14:paraId="7C3321EB" w14:textId="77777777" w:rsidR="00304014" w:rsidRPr="001A72EB" w:rsidRDefault="00016F29" w:rsidP="001A72EB">
            <w:pPr>
              <w:pStyle w:val="TextTi10"/>
              <w:keepNext/>
              <w:jc w:val="center"/>
              <w:rPr>
                <w:sz w:val="22"/>
                <w:szCs w:val="22"/>
                <w:lang w:val="en-GB"/>
              </w:rPr>
            </w:pPr>
            <w:r w:rsidRPr="001A72EB">
              <w:rPr>
                <w:sz w:val="22"/>
                <w:szCs w:val="22"/>
                <w:lang w:val="en-GB"/>
              </w:rPr>
              <w:t>0.39 (0.15; 0.98)</w:t>
            </w:r>
          </w:p>
        </w:tc>
        <w:tc>
          <w:tcPr>
            <w:tcW w:w="1701" w:type="dxa"/>
            <w:tcBorders>
              <w:top w:val="single" w:sz="6" w:space="0" w:color="000000"/>
              <w:bottom w:val="dotted" w:sz="4" w:space="0" w:color="auto"/>
              <w:right w:val="single" w:sz="6" w:space="0" w:color="000000"/>
            </w:tcBorders>
            <w:shd w:val="clear" w:color="auto" w:fill="auto"/>
          </w:tcPr>
          <w:p w14:paraId="7C3321EC" w14:textId="77777777" w:rsidR="00304014" w:rsidRPr="001A72EB" w:rsidRDefault="00016F29" w:rsidP="001A72EB">
            <w:pPr>
              <w:pStyle w:val="TextTi10"/>
              <w:keepNext/>
              <w:jc w:val="center"/>
              <w:rPr>
                <w:sz w:val="22"/>
                <w:szCs w:val="22"/>
                <w:lang w:val="en-GB"/>
              </w:rPr>
            </w:pPr>
            <w:r w:rsidRPr="001A72EB">
              <w:rPr>
                <w:sz w:val="22"/>
                <w:szCs w:val="22"/>
                <w:lang w:val="en-GB"/>
              </w:rPr>
              <w:t>0.0442</w:t>
            </w:r>
          </w:p>
        </w:tc>
      </w:tr>
      <w:tr w:rsidR="003A788B" w14:paraId="7C3321F3" w14:textId="77777777" w:rsidTr="006A3D53">
        <w:trPr>
          <w:trHeight w:val="248"/>
        </w:trPr>
        <w:tc>
          <w:tcPr>
            <w:tcW w:w="3402" w:type="dxa"/>
            <w:tcBorders>
              <w:top w:val="dotted" w:sz="4" w:space="0" w:color="auto"/>
              <w:left w:val="single" w:sz="4" w:space="0" w:color="auto"/>
              <w:bottom w:val="dotted" w:sz="4" w:space="0" w:color="auto"/>
            </w:tcBorders>
            <w:shd w:val="clear" w:color="auto" w:fill="auto"/>
          </w:tcPr>
          <w:p w14:paraId="7C3321EE" w14:textId="77777777" w:rsidR="00304014" w:rsidRPr="001A72EB" w:rsidRDefault="00016F29" w:rsidP="001A72EB">
            <w:pPr>
              <w:pStyle w:val="TextTi10"/>
              <w:keepNext/>
              <w:rPr>
                <w:sz w:val="22"/>
                <w:szCs w:val="22"/>
                <w:lang w:val="en-GB"/>
              </w:rPr>
            </w:pPr>
            <w:r w:rsidRPr="001A72EB">
              <w:rPr>
                <w:sz w:val="22"/>
                <w:szCs w:val="22"/>
                <w:lang w:val="en-GB"/>
              </w:rPr>
              <w:t>Binet stage B</w:t>
            </w:r>
          </w:p>
        </w:tc>
        <w:tc>
          <w:tcPr>
            <w:tcW w:w="851" w:type="dxa"/>
            <w:tcBorders>
              <w:top w:val="dotted" w:sz="4" w:space="0" w:color="auto"/>
              <w:bottom w:val="dotted" w:sz="4" w:space="0" w:color="auto"/>
            </w:tcBorders>
            <w:shd w:val="clear" w:color="auto" w:fill="auto"/>
          </w:tcPr>
          <w:p w14:paraId="7C3321EF" w14:textId="77777777" w:rsidR="00304014" w:rsidRPr="001A72EB" w:rsidRDefault="00016F29" w:rsidP="001A72EB">
            <w:pPr>
              <w:pStyle w:val="TextTi10"/>
              <w:keepNext/>
              <w:jc w:val="center"/>
              <w:rPr>
                <w:sz w:val="22"/>
                <w:szCs w:val="22"/>
                <w:lang w:val="en-GB"/>
              </w:rPr>
            </w:pPr>
            <w:r w:rsidRPr="001A72EB">
              <w:rPr>
                <w:sz w:val="22"/>
                <w:szCs w:val="22"/>
                <w:lang w:val="en-GB"/>
              </w:rPr>
              <w:t>259</w:t>
            </w:r>
          </w:p>
        </w:tc>
        <w:tc>
          <w:tcPr>
            <w:tcW w:w="850" w:type="dxa"/>
            <w:tcBorders>
              <w:top w:val="dotted" w:sz="4" w:space="0" w:color="auto"/>
              <w:bottom w:val="dotted" w:sz="4" w:space="0" w:color="auto"/>
            </w:tcBorders>
            <w:shd w:val="clear" w:color="auto" w:fill="auto"/>
          </w:tcPr>
          <w:p w14:paraId="7C3321F0" w14:textId="77777777" w:rsidR="00304014" w:rsidRPr="001A72EB" w:rsidRDefault="00016F29" w:rsidP="001A72EB">
            <w:pPr>
              <w:pStyle w:val="TextTi10"/>
              <w:keepNext/>
              <w:jc w:val="center"/>
              <w:rPr>
                <w:sz w:val="22"/>
                <w:szCs w:val="22"/>
                <w:lang w:val="en-GB"/>
              </w:rPr>
            </w:pPr>
            <w:r w:rsidRPr="001A72EB">
              <w:rPr>
                <w:sz w:val="22"/>
                <w:szCs w:val="22"/>
                <w:lang w:val="en-GB"/>
              </w:rPr>
              <w:t>263</w:t>
            </w:r>
          </w:p>
        </w:tc>
        <w:tc>
          <w:tcPr>
            <w:tcW w:w="1985" w:type="dxa"/>
            <w:tcBorders>
              <w:top w:val="dotted" w:sz="4" w:space="0" w:color="auto"/>
              <w:bottom w:val="dotted" w:sz="4" w:space="0" w:color="auto"/>
            </w:tcBorders>
            <w:shd w:val="clear" w:color="auto" w:fill="auto"/>
          </w:tcPr>
          <w:p w14:paraId="7C3321F1" w14:textId="77777777" w:rsidR="00304014" w:rsidRPr="001A72EB" w:rsidRDefault="00016F29" w:rsidP="001A72EB">
            <w:pPr>
              <w:pStyle w:val="TextTi10"/>
              <w:keepNext/>
              <w:jc w:val="center"/>
              <w:rPr>
                <w:sz w:val="22"/>
                <w:szCs w:val="22"/>
                <w:lang w:val="en-GB"/>
              </w:rPr>
            </w:pPr>
            <w:r w:rsidRPr="001A72EB">
              <w:rPr>
                <w:sz w:val="22"/>
                <w:szCs w:val="22"/>
                <w:lang w:val="en-GB"/>
              </w:rPr>
              <w:t>0.52 (0.41; 0.66)</w:t>
            </w:r>
          </w:p>
        </w:tc>
        <w:tc>
          <w:tcPr>
            <w:tcW w:w="1701" w:type="dxa"/>
            <w:tcBorders>
              <w:top w:val="dotted" w:sz="4" w:space="0" w:color="auto"/>
              <w:bottom w:val="dotted" w:sz="4" w:space="0" w:color="auto"/>
              <w:right w:val="single" w:sz="6" w:space="0" w:color="000000"/>
            </w:tcBorders>
            <w:shd w:val="clear" w:color="auto" w:fill="auto"/>
          </w:tcPr>
          <w:p w14:paraId="7C3321F2" w14:textId="77777777" w:rsidR="00304014" w:rsidRPr="001A72EB" w:rsidRDefault="00016F29" w:rsidP="001A72EB">
            <w:pPr>
              <w:pStyle w:val="TextTi10"/>
              <w:keepNext/>
              <w:jc w:val="center"/>
              <w:rPr>
                <w:sz w:val="22"/>
                <w:szCs w:val="22"/>
                <w:lang w:val="en-GB"/>
              </w:rPr>
            </w:pPr>
            <w:r w:rsidRPr="001A72EB">
              <w:rPr>
                <w:sz w:val="22"/>
                <w:szCs w:val="22"/>
                <w:lang w:val="en-GB"/>
              </w:rPr>
              <w:t>&lt;0.0001</w:t>
            </w:r>
          </w:p>
        </w:tc>
      </w:tr>
      <w:tr w:rsidR="003A788B" w14:paraId="7C3321F9" w14:textId="77777777" w:rsidTr="006A3D53">
        <w:trPr>
          <w:trHeight w:val="283"/>
        </w:trPr>
        <w:tc>
          <w:tcPr>
            <w:tcW w:w="3402" w:type="dxa"/>
            <w:tcBorders>
              <w:top w:val="dotted" w:sz="4" w:space="0" w:color="auto"/>
              <w:left w:val="single" w:sz="4" w:space="0" w:color="auto"/>
              <w:bottom w:val="single" w:sz="6" w:space="0" w:color="000000"/>
            </w:tcBorders>
            <w:shd w:val="clear" w:color="auto" w:fill="auto"/>
          </w:tcPr>
          <w:p w14:paraId="7C3321F4" w14:textId="77777777" w:rsidR="00304014" w:rsidRPr="001A72EB" w:rsidRDefault="00016F29" w:rsidP="001A72EB">
            <w:pPr>
              <w:pStyle w:val="TextTi10"/>
              <w:keepNext/>
              <w:rPr>
                <w:sz w:val="22"/>
                <w:szCs w:val="22"/>
                <w:lang w:val="en-GB"/>
              </w:rPr>
            </w:pPr>
            <w:r w:rsidRPr="001A72EB">
              <w:rPr>
                <w:sz w:val="22"/>
                <w:szCs w:val="22"/>
                <w:lang w:val="en-GB"/>
              </w:rPr>
              <w:t>Binet stage C</w:t>
            </w:r>
          </w:p>
        </w:tc>
        <w:tc>
          <w:tcPr>
            <w:tcW w:w="851" w:type="dxa"/>
            <w:tcBorders>
              <w:top w:val="dotted" w:sz="4" w:space="0" w:color="auto"/>
              <w:bottom w:val="single" w:sz="6" w:space="0" w:color="000000"/>
            </w:tcBorders>
            <w:shd w:val="clear" w:color="auto" w:fill="auto"/>
          </w:tcPr>
          <w:p w14:paraId="7C3321F5" w14:textId="77777777" w:rsidR="00304014" w:rsidRPr="001A72EB" w:rsidRDefault="00016F29" w:rsidP="001A72EB">
            <w:pPr>
              <w:pStyle w:val="TextTi10"/>
              <w:keepNext/>
              <w:jc w:val="center"/>
              <w:rPr>
                <w:sz w:val="22"/>
                <w:szCs w:val="22"/>
                <w:lang w:val="en-GB"/>
              </w:rPr>
            </w:pPr>
            <w:r w:rsidRPr="001A72EB">
              <w:rPr>
                <w:sz w:val="22"/>
                <w:szCs w:val="22"/>
                <w:lang w:val="en-GB"/>
              </w:rPr>
              <w:t>126</w:t>
            </w:r>
          </w:p>
        </w:tc>
        <w:tc>
          <w:tcPr>
            <w:tcW w:w="850" w:type="dxa"/>
            <w:tcBorders>
              <w:top w:val="dotted" w:sz="4" w:space="0" w:color="auto"/>
              <w:bottom w:val="single" w:sz="6" w:space="0" w:color="000000"/>
            </w:tcBorders>
            <w:shd w:val="clear" w:color="auto" w:fill="auto"/>
          </w:tcPr>
          <w:p w14:paraId="7C3321F6" w14:textId="77777777" w:rsidR="00304014" w:rsidRPr="001A72EB" w:rsidRDefault="00016F29" w:rsidP="001A72EB">
            <w:pPr>
              <w:pStyle w:val="TextTi10"/>
              <w:keepNext/>
              <w:jc w:val="center"/>
              <w:rPr>
                <w:sz w:val="22"/>
                <w:szCs w:val="22"/>
                <w:lang w:val="en-GB"/>
              </w:rPr>
            </w:pPr>
            <w:r w:rsidRPr="001A72EB">
              <w:rPr>
                <w:sz w:val="22"/>
                <w:szCs w:val="22"/>
                <w:lang w:val="en-GB"/>
              </w:rPr>
              <w:t>126</w:t>
            </w:r>
          </w:p>
        </w:tc>
        <w:tc>
          <w:tcPr>
            <w:tcW w:w="1985" w:type="dxa"/>
            <w:tcBorders>
              <w:top w:val="dotted" w:sz="4" w:space="0" w:color="auto"/>
              <w:bottom w:val="single" w:sz="6" w:space="0" w:color="000000"/>
            </w:tcBorders>
            <w:shd w:val="clear" w:color="auto" w:fill="auto"/>
          </w:tcPr>
          <w:p w14:paraId="7C3321F7" w14:textId="77777777" w:rsidR="00304014" w:rsidRPr="001A72EB" w:rsidRDefault="00016F29" w:rsidP="001A72EB">
            <w:pPr>
              <w:pStyle w:val="TextTi10"/>
              <w:keepNext/>
              <w:jc w:val="center"/>
              <w:rPr>
                <w:sz w:val="22"/>
                <w:szCs w:val="22"/>
                <w:lang w:val="en-GB"/>
              </w:rPr>
            </w:pPr>
            <w:r w:rsidRPr="001A72EB">
              <w:rPr>
                <w:sz w:val="22"/>
                <w:szCs w:val="22"/>
                <w:lang w:val="en-GB"/>
              </w:rPr>
              <w:t>0.68 (0.49; 0.95)</w:t>
            </w:r>
          </w:p>
        </w:tc>
        <w:tc>
          <w:tcPr>
            <w:tcW w:w="1701" w:type="dxa"/>
            <w:tcBorders>
              <w:top w:val="dotted" w:sz="4" w:space="0" w:color="auto"/>
              <w:bottom w:val="single" w:sz="6" w:space="0" w:color="000000"/>
              <w:right w:val="single" w:sz="6" w:space="0" w:color="000000"/>
            </w:tcBorders>
            <w:shd w:val="clear" w:color="auto" w:fill="auto"/>
          </w:tcPr>
          <w:p w14:paraId="7C3321F8" w14:textId="77777777" w:rsidR="00304014" w:rsidRPr="001A72EB" w:rsidRDefault="00016F29" w:rsidP="001A72EB">
            <w:pPr>
              <w:pStyle w:val="TextTi10"/>
              <w:keepNext/>
              <w:jc w:val="center"/>
              <w:rPr>
                <w:sz w:val="22"/>
                <w:szCs w:val="22"/>
                <w:lang w:val="en-GB"/>
              </w:rPr>
            </w:pPr>
            <w:r w:rsidRPr="001A72EB">
              <w:rPr>
                <w:sz w:val="22"/>
                <w:szCs w:val="22"/>
                <w:lang w:val="en-GB"/>
              </w:rPr>
              <w:t>0.0224</w:t>
            </w:r>
          </w:p>
        </w:tc>
      </w:tr>
    </w:tbl>
    <w:p w14:paraId="7C3321FA" w14:textId="77777777" w:rsidR="00304014" w:rsidRPr="001A72EB" w:rsidRDefault="00016F29" w:rsidP="001A72EB">
      <w:pPr>
        <w:rPr>
          <w:noProof/>
          <w:sz w:val="18"/>
          <w:szCs w:val="18"/>
          <w:lang w:val="en-GB"/>
        </w:rPr>
      </w:pPr>
      <w:r w:rsidRPr="001A72EB">
        <w:rPr>
          <w:noProof/>
          <w:sz w:val="18"/>
          <w:szCs w:val="18"/>
          <w:lang w:val="en-GB"/>
        </w:rPr>
        <w:t>CI: Confidence Interval</w:t>
      </w:r>
    </w:p>
    <w:p w14:paraId="7C3321FB" w14:textId="77777777" w:rsidR="00304014" w:rsidRPr="001A72EB" w:rsidRDefault="00304014" w:rsidP="001A72EB">
      <w:pPr>
        <w:rPr>
          <w:lang w:val="en-GB"/>
        </w:rPr>
      </w:pPr>
    </w:p>
    <w:p w14:paraId="7C3321FC" w14:textId="77777777" w:rsidR="00304014" w:rsidRPr="00282D9F" w:rsidRDefault="00016F29" w:rsidP="001A72EB">
      <w:pPr>
        <w:rPr>
          <w:lang w:val="en-GB"/>
        </w:rPr>
      </w:pPr>
      <w:r w:rsidRPr="00282D9F">
        <w:rPr>
          <w:lang w:val="en-GB"/>
        </w:rPr>
        <w:t>In the relapsed/refractory study, the median progression</w:t>
      </w:r>
      <w:r w:rsidR="000A6DDA" w:rsidRPr="00282D9F">
        <w:rPr>
          <w:lang w:val="en-GB"/>
        </w:rPr>
        <w:noBreakHyphen/>
      </w:r>
      <w:r w:rsidRPr="00282D9F">
        <w:rPr>
          <w:lang w:val="en-GB"/>
        </w:rPr>
        <w:t>free survival (primary endpoint)</w:t>
      </w:r>
      <w:r w:rsidRPr="00282D9F">
        <w:rPr>
          <w:szCs w:val="22"/>
          <w:lang w:val="en-GB"/>
        </w:rPr>
        <w:t xml:space="preserve"> was 30.6 months </w:t>
      </w:r>
      <w:r w:rsidRPr="00282D9F">
        <w:rPr>
          <w:lang w:val="en-GB"/>
        </w:rPr>
        <w:t>in the R</w:t>
      </w:r>
      <w:r w:rsidR="000A6DDA" w:rsidRPr="00282D9F">
        <w:rPr>
          <w:lang w:val="en-GB"/>
        </w:rPr>
        <w:noBreakHyphen/>
      </w:r>
      <w:r w:rsidRPr="00282D9F">
        <w:rPr>
          <w:lang w:val="en-GB"/>
        </w:rPr>
        <w:t>FC group and 20.6 months in the FC group (p=0.0002, log</w:t>
      </w:r>
      <w:r w:rsidR="000A6DDA" w:rsidRPr="00282D9F">
        <w:rPr>
          <w:lang w:val="en-GB"/>
        </w:rPr>
        <w:noBreakHyphen/>
      </w:r>
      <w:r w:rsidR="000A6DDA" w:rsidRPr="00282D9F">
        <w:rPr>
          <w:lang w:val="en-GB"/>
        </w:rPr>
        <w:noBreakHyphen/>
      </w:r>
      <w:r w:rsidRPr="00282D9F">
        <w:rPr>
          <w:lang w:val="en-GB"/>
        </w:rPr>
        <w:t>rank test). The benefit in terms of PFS was observed in almost all patient subgroups analysed according to disease risk at baseline. A slight but not significant improvement in overall survival was reported in the R</w:t>
      </w:r>
      <w:r w:rsidR="000A6DDA" w:rsidRPr="00282D9F">
        <w:rPr>
          <w:lang w:val="en-GB"/>
        </w:rPr>
        <w:noBreakHyphen/>
      </w:r>
      <w:r w:rsidRPr="00282D9F">
        <w:rPr>
          <w:lang w:val="en-GB"/>
        </w:rPr>
        <w:t xml:space="preserve">FC compared to the FC arm. </w:t>
      </w:r>
    </w:p>
    <w:p w14:paraId="7C3321FD" w14:textId="77777777" w:rsidR="001268B1" w:rsidRPr="00282D9F" w:rsidRDefault="00016F29" w:rsidP="001A72EB">
      <w:r w:rsidRPr="00282D9F">
        <w:t>No PK/clinical data are available in patients with a refractory or relapsing disease</w:t>
      </w:r>
      <w:r w:rsidR="000B46F5" w:rsidRPr="00282D9F">
        <w:t>.</w:t>
      </w:r>
    </w:p>
    <w:p w14:paraId="7C3321FE" w14:textId="77777777" w:rsidR="00BD6117" w:rsidRPr="001A72EB" w:rsidRDefault="00BD6117" w:rsidP="001A72EB"/>
    <w:p w14:paraId="7C3321FF" w14:textId="77777777" w:rsidR="00304014" w:rsidRPr="001A72EB" w:rsidRDefault="00016F29" w:rsidP="001A72EB">
      <w:pPr>
        <w:keepNext/>
        <w:keepLines/>
        <w:ind w:left="1134" w:hanging="1134"/>
        <w:rPr>
          <w:b/>
          <w:lang w:val="en-GB"/>
        </w:rPr>
      </w:pPr>
      <w:r w:rsidRPr="001646A7">
        <w:rPr>
          <w:b/>
          <w:noProof/>
        </w:rPr>
        <w:t>Table </w:t>
      </w:r>
      <w:r w:rsidR="00D55C85" w:rsidRPr="001646A7">
        <w:rPr>
          <w:b/>
          <w:noProof/>
        </w:rPr>
        <w:t>3</w:t>
      </w:r>
      <w:r w:rsidRPr="001646A7">
        <w:rPr>
          <w:b/>
          <w:noProof/>
        </w:rPr>
        <w:tab/>
        <w:t xml:space="preserve">Treatment of relapsed/refractory chronic lymphocytic leukaemia </w:t>
      </w:r>
      <w:r w:rsidR="000A6DDA" w:rsidRPr="001646A7">
        <w:rPr>
          <w:b/>
          <w:noProof/>
        </w:rPr>
        <w:noBreakHyphen/>
      </w:r>
      <w:r w:rsidRPr="001646A7">
        <w:rPr>
          <w:b/>
          <w:noProof/>
        </w:rPr>
        <w:t>overview of</w:t>
      </w:r>
      <w:r w:rsidRPr="001A72EB">
        <w:rPr>
          <w:b/>
          <w:lang w:val="en-GB"/>
        </w:rPr>
        <w:t xml:space="preserve"> efficacy results for MabThera plus FC vs. FC alone (25.3 months median observation time)</w:t>
      </w:r>
    </w:p>
    <w:tbl>
      <w:tblPr>
        <w:tblW w:w="8658" w:type="dxa"/>
        <w:tblInd w:w="108" w:type="dxa"/>
        <w:tblBorders>
          <w:top w:val="single" w:sz="6" w:space="0" w:color="000000"/>
          <w:bottom w:val="single" w:sz="6" w:space="0" w:color="000000"/>
          <w:insideV w:val="single" w:sz="6" w:space="0" w:color="000000"/>
        </w:tblBorders>
        <w:tblLayout w:type="fixed"/>
        <w:tblLook w:val="0000" w:firstRow="0" w:lastRow="0" w:firstColumn="0" w:lastColumn="0" w:noHBand="0" w:noVBand="0"/>
      </w:tblPr>
      <w:tblGrid>
        <w:gridCol w:w="3124"/>
        <w:gridCol w:w="1448"/>
        <w:gridCol w:w="1379"/>
        <w:gridCol w:w="1283"/>
        <w:gridCol w:w="1424"/>
      </w:tblGrid>
      <w:tr w:rsidR="003A788B" w14:paraId="7C332203" w14:textId="77777777" w:rsidTr="006A3D53">
        <w:trPr>
          <w:trHeight w:val="511"/>
          <w:tblHeader/>
        </w:trPr>
        <w:tc>
          <w:tcPr>
            <w:tcW w:w="3124" w:type="dxa"/>
            <w:vMerge w:val="restart"/>
            <w:tcBorders>
              <w:top w:val="single" w:sz="6" w:space="0" w:color="000000"/>
              <w:left w:val="single" w:sz="4" w:space="0" w:color="auto"/>
            </w:tcBorders>
            <w:shd w:val="clear" w:color="auto" w:fill="auto"/>
          </w:tcPr>
          <w:p w14:paraId="7C332200" w14:textId="77777777" w:rsidR="00304014" w:rsidRPr="001A72EB" w:rsidRDefault="00016F29" w:rsidP="001A72EB">
            <w:pPr>
              <w:pStyle w:val="TextTi10"/>
              <w:keepNext/>
              <w:keepLines/>
              <w:jc w:val="center"/>
              <w:rPr>
                <w:b/>
                <w:sz w:val="22"/>
                <w:szCs w:val="22"/>
                <w:lang w:val="en-GB"/>
              </w:rPr>
            </w:pPr>
            <w:r w:rsidRPr="001A72EB">
              <w:rPr>
                <w:b/>
                <w:sz w:val="22"/>
                <w:szCs w:val="22"/>
                <w:lang w:val="en-GB"/>
              </w:rPr>
              <w:t>Efficacy Parameter</w:t>
            </w:r>
          </w:p>
        </w:tc>
        <w:tc>
          <w:tcPr>
            <w:tcW w:w="4110" w:type="dxa"/>
            <w:gridSpan w:val="3"/>
            <w:tcBorders>
              <w:top w:val="single" w:sz="6" w:space="0" w:color="000000"/>
              <w:bottom w:val="single" w:sz="6" w:space="0" w:color="000000"/>
            </w:tcBorders>
            <w:shd w:val="clear" w:color="auto" w:fill="auto"/>
          </w:tcPr>
          <w:p w14:paraId="7C332201" w14:textId="77777777" w:rsidR="00304014" w:rsidRPr="001E1FA4" w:rsidRDefault="00016F29" w:rsidP="001E1FA4">
            <w:pPr>
              <w:jc w:val="center"/>
              <w:rPr>
                <w:b/>
                <w:lang w:val="en-GB"/>
              </w:rPr>
            </w:pPr>
            <w:r w:rsidRPr="001E1FA4">
              <w:rPr>
                <w:b/>
                <w:lang w:val="en-GB"/>
              </w:rPr>
              <w:t>Kaplan</w:t>
            </w:r>
            <w:r w:rsidR="000A6DDA" w:rsidRPr="001E1FA4">
              <w:rPr>
                <w:b/>
                <w:lang w:val="en-GB"/>
              </w:rPr>
              <w:noBreakHyphen/>
            </w:r>
            <w:r w:rsidR="000A6DDA" w:rsidRPr="001E1FA4">
              <w:rPr>
                <w:b/>
                <w:lang w:val="en-GB"/>
              </w:rPr>
              <w:noBreakHyphen/>
            </w:r>
            <w:r w:rsidRPr="001E1FA4">
              <w:rPr>
                <w:b/>
                <w:lang w:val="en-GB"/>
              </w:rPr>
              <w:t xml:space="preserve">Meier Estimate of </w:t>
            </w:r>
            <w:r w:rsidRPr="001E1FA4">
              <w:rPr>
                <w:b/>
                <w:lang w:val="en-GB"/>
              </w:rPr>
              <w:br/>
              <w:t>Median Time to Event (Months)</w:t>
            </w:r>
          </w:p>
        </w:tc>
        <w:tc>
          <w:tcPr>
            <w:tcW w:w="1424" w:type="dxa"/>
            <w:vMerge w:val="restart"/>
            <w:tcBorders>
              <w:top w:val="single" w:sz="6" w:space="0" w:color="000000"/>
              <w:right w:val="single" w:sz="6" w:space="0" w:color="000000"/>
            </w:tcBorders>
            <w:shd w:val="clear" w:color="auto" w:fill="auto"/>
          </w:tcPr>
          <w:p w14:paraId="7C332202" w14:textId="77777777" w:rsidR="00304014" w:rsidRPr="001A72EB" w:rsidRDefault="00016F29" w:rsidP="001A72EB">
            <w:pPr>
              <w:pStyle w:val="TextTi10"/>
              <w:keepNext/>
              <w:keepLines/>
              <w:jc w:val="center"/>
              <w:rPr>
                <w:b/>
                <w:sz w:val="22"/>
                <w:szCs w:val="22"/>
                <w:vertAlign w:val="superscript"/>
                <w:lang w:val="en-GB"/>
              </w:rPr>
            </w:pPr>
            <w:r w:rsidRPr="001A72EB">
              <w:rPr>
                <w:b/>
                <w:sz w:val="22"/>
                <w:szCs w:val="22"/>
                <w:lang w:val="en-GB"/>
              </w:rPr>
              <w:t>Risk Reduction</w:t>
            </w:r>
          </w:p>
        </w:tc>
      </w:tr>
      <w:tr w:rsidR="003A788B" w14:paraId="7C33220B" w14:textId="77777777" w:rsidTr="006A3D53">
        <w:trPr>
          <w:trHeight w:val="149"/>
          <w:tblHeader/>
        </w:trPr>
        <w:tc>
          <w:tcPr>
            <w:tcW w:w="3124" w:type="dxa"/>
            <w:vMerge/>
            <w:tcBorders>
              <w:left w:val="single" w:sz="4" w:space="0" w:color="auto"/>
              <w:bottom w:val="single" w:sz="6" w:space="0" w:color="000000"/>
            </w:tcBorders>
            <w:shd w:val="clear" w:color="auto" w:fill="auto"/>
          </w:tcPr>
          <w:p w14:paraId="7C332204" w14:textId="77777777" w:rsidR="00304014" w:rsidRPr="001A72EB" w:rsidRDefault="00304014" w:rsidP="001A72EB">
            <w:pPr>
              <w:pStyle w:val="TextTi10"/>
              <w:keepNext/>
              <w:keepLines/>
              <w:jc w:val="center"/>
              <w:rPr>
                <w:b/>
                <w:sz w:val="22"/>
                <w:szCs w:val="22"/>
                <w:lang w:val="en-GB"/>
              </w:rPr>
            </w:pPr>
          </w:p>
        </w:tc>
        <w:tc>
          <w:tcPr>
            <w:tcW w:w="1448" w:type="dxa"/>
            <w:tcBorders>
              <w:top w:val="single" w:sz="6" w:space="0" w:color="000000"/>
              <w:bottom w:val="single" w:sz="6" w:space="0" w:color="000000"/>
            </w:tcBorders>
            <w:shd w:val="clear" w:color="auto" w:fill="auto"/>
          </w:tcPr>
          <w:p w14:paraId="7C332205" w14:textId="77777777" w:rsidR="00304014" w:rsidRPr="001A72EB" w:rsidRDefault="00016F29" w:rsidP="001A72EB">
            <w:pPr>
              <w:pStyle w:val="TextTi10"/>
              <w:keepNext/>
              <w:keepLines/>
              <w:jc w:val="center"/>
              <w:rPr>
                <w:b/>
                <w:sz w:val="22"/>
                <w:szCs w:val="22"/>
                <w:lang w:val="en-GB"/>
              </w:rPr>
            </w:pPr>
            <w:r w:rsidRPr="001A72EB">
              <w:rPr>
                <w:b/>
                <w:sz w:val="22"/>
                <w:szCs w:val="22"/>
                <w:lang w:val="en-GB"/>
              </w:rPr>
              <w:t>FC</w:t>
            </w:r>
          </w:p>
          <w:p w14:paraId="7C332206" w14:textId="77777777" w:rsidR="00304014" w:rsidRPr="001A72EB" w:rsidRDefault="00016F29" w:rsidP="001A72EB">
            <w:pPr>
              <w:pStyle w:val="TextTi10"/>
              <w:keepNext/>
              <w:keepLines/>
              <w:jc w:val="center"/>
              <w:rPr>
                <w:b/>
                <w:sz w:val="22"/>
                <w:szCs w:val="22"/>
                <w:lang w:val="en-GB"/>
              </w:rPr>
            </w:pPr>
            <w:r w:rsidRPr="001A72EB">
              <w:rPr>
                <w:b/>
                <w:sz w:val="22"/>
                <w:szCs w:val="22"/>
                <w:lang w:val="en-GB"/>
              </w:rPr>
              <w:t>(N = 276)</w:t>
            </w:r>
          </w:p>
        </w:tc>
        <w:tc>
          <w:tcPr>
            <w:tcW w:w="1379" w:type="dxa"/>
            <w:tcBorders>
              <w:top w:val="single" w:sz="6" w:space="0" w:color="000000"/>
              <w:bottom w:val="single" w:sz="6" w:space="0" w:color="000000"/>
            </w:tcBorders>
            <w:shd w:val="clear" w:color="auto" w:fill="auto"/>
          </w:tcPr>
          <w:p w14:paraId="7C332207" w14:textId="77777777" w:rsidR="00304014" w:rsidRPr="00B3468C" w:rsidRDefault="00016F29" w:rsidP="00B3468C">
            <w:pPr>
              <w:jc w:val="center"/>
              <w:rPr>
                <w:b/>
                <w:lang w:val="en-GB"/>
              </w:rPr>
            </w:pPr>
            <w:r w:rsidRPr="00B3468C">
              <w:rPr>
                <w:b/>
                <w:lang w:val="en-GB"/>
              </w:rPr>
              <w:t>R</w:t>
            </w:r>
            <w:r w:rsidR="000A6DDA" w:rsidRPr="00B3468C">
              <w:rPr>
                <w:b/>
                <w:lang w:val="en-GB"/>
              </w:rPr>
              <w:noBreakHyphen/>
            </w:r>
            <w:r w:rsidR="000A6DDA" w:rsidRPr="00B3468C">
              <w:rPr>
                <w:b/>
                <w:lang w:val="en-GB"/>
              </w:rPr>
              <w:noBreakHyphen/>
            </w:r>
            <w:r w:rsidRPr="00B3468C">
              <w:rPr>
                <w:b/>
                <w:lang w:val="en-GB"/>
              </w:rPr>
              <w:t>FC</w:t>
            </w:r>
          </w:p>
          <w:p w14:paraId="7C332208" w14:textId="77777777" w:rsidR="00304014" w:rsidRPr="00B3468C" w:rsidRDefault="00016F29" w:rsidP="00B3468C">
            <w:pPr>
              <w:jc w:val="center"/>
              <w:rPr>
                <w:b/>
                <w:lang w:val="en-GB"/>
              </w:rPr>
            </w:pPr>
            <w:r w:rsidRPr="00B3468C">
              <w:rPr>
                <w:b/>
                <w:lang w:val="en-GB"/>
              </w:rPr>
              <w:t>(N=276)</w:t>
            </w:r>
          </w:p>
        </w:tc>
        <w:tc>
          <w:tcPr>
            <w:tcW w:w="1283" w:type="dxa"/>
            <w:tcBorders>
              <w:top w:val="single" w:sz="6" w:space="0" w:color="000000"/>
              <w:bottom w:val="single" w:sz="6" w:space="0" w:color="000000"/>
            </w:tcBorders>
            <w:shd w:val="clear" w:color="auto" w:fill="auto"/>
          </w:tcPr>
          <w:p w14:paraId="7C332209" w14:textId="77777777" w:rsidR="00304014" w:rsidRPr="00A45848" w:rsidRDefault="00016F29" w:rsidP="00E43A17">
            <w:pPr>
              <w:jc w:val="center"/>
              <w:rPr>
                <w:b/>
                <w:lang w:val="en-GB"/>
              </w:rPr>
            </w:pPr>
            <w:r w:rsidRPr="00A45848">
              <w:rPr>
                <w:b/>
                <w:lang w:val="en-GB"/>
              </w:rPr>
              <w:t>Log</w:t>
            </w:r>
            <w:r w:rsidR="000A6DDA" w:rsidRPr="00A45848">
              <w:rPr>
                <w:b/>
                <w:lang w:val="en-GB"/>
              </w:rPr>
              <w:noBreakHyphen/>
            </w:r>
            <w:r w:rsidR="000A6DDA" w:rsidRPr="00A45848">
              <w:rPr>
                <w:b/>
                <w:lang w:val="en-GB"/>
              </w:rPr>
              <w:noBreakHyphen/>
            </w:r>
            <w:r w:rsidRPr="00A45848">
              <w:rPr>
                <w:b/>
                <w:lang w:val="en-GB"/>
              </w:rPr>
              <w:t xml:space="preserve">Rank </w:t>
            </w:r>
            <w:r w:rsidRPr="00A45848">
              <w:rPr>
                <w:b/>
                <w:lang w:val="en-GB"/>
              </w:rPr>
              <w:br/>
              <w:t>p value</w:t>
            </w:r>
          </w:p>
        </w:tc>
        <w:tc>
          <w:tcPr>
            <w:tcW w:w="1424" w:type="dxa"/>
            <w:vMerge/>
            <w:tcBorders>
              <w:bottom w:val="single" w:sz="6" w:space="0" w:color="000000"/>
              <w:right w:val="single" w:sz="6" w:space="0" w:color="000000"/>
            </w:tcBorders>
            <w:shd w:val="clear" w:color="auto" w:fill="auto"/>
          </w:tcPr>
          <w:p w14:paraId="7C33220A" w14:textId="77777777" w:rsidR="00304014" w:rsidRPr="001A72EB" w:rsidRDefault="00304014" w:rsidP="001A72EB">
            <w:pPr>
              <w:pStyle w:val="TextTi10"/>
              <w:keepNext/>
              <w:keepLines/>
              <w:jc w:val="center"/>
              <w:rPr>
                <w:b/>
                <w:sz w:val="22"/>
                <w:szCs w:val="22"/>
                <w:lang w:val="en-GB"/>
              </w:rPr>
            </w:pPr>
          </w:p>
        </w:tc>
      </w:tr>
      <w:tr w:rsidR="003A788B" w14:paraId="7C332211" w14:textId="77777777" w:rsidTr="006A3D53">
        <w:trPr>
          <w:trHeight w:val="263"/>
        </w:trPr>
        <w:tc>
          <w:tcPr>
            <w:tcW w:w="3124" w:type="dxa"/>
            <w:tcBorders>
              <w:top w:val="single" w:sz="6" w:space="0" w:color="000000"/>
              <w:left w:val="single" w:sz="4" w:space="0" w:color="auto"/>
              <w:bottom w:val="nil"/>
            </w:tcBorders>
            <w:shd w:val="clear" w:color="auto" w:fill="auto"/>
          </w:tcPr>
          <w:p w14:paraId="7C33220C" w14:textId="77777777" w:rsidR="00304014" w:rsidRPr="001A72EB" w:rsidRDefault="00016F29" w:rsidP="001A72EB">
            <w:pPr>
              <w:pStyle w:val="TextTi10"/>
              <w:keepNext/>
              <w:keepLines/>
              <w:rPr>
                <w:b/>
                <w:sz w:val="22"/>
                <w:szCs w:val="22"/>
                <w:lang w:val="en-GB"/>
              </w:rPr>
            </w:pPr>
            <w:r w:rsidRPr="001A72EB">
              <w:rPr>
                <w:sz w:val="22"/>
                <w:szCs w:val="22"/>
                <w:lang w:val="en-GB"/>
              </w:rPr>
              <w:t>Progression</w:t>
            </w:r>
            <w:r w:rsidR="000A6DDA" w:rsidRPr="001A72EB">
              <w:rPr>
                <w:rFonts w:ascii="Cambria Math" w:hAnsi="Cambria Math" w:cs="Cambria Math"/>
                <w:sz w:val="22"/>
                <w:szCs w:val="22"/>
                <w:lang w:val="en-GB"/>
              </w:rPr>
              <w:noBreakHyphen/>
            </w:r>
            <w:r w:rsidR="000A6DDA" w:rsidRPr="001A72EB">
              <w:rPr>
                <w:rFonts w:ascii="Cambria Math" w:hAnsi="Cambria Math" w:cs="Cambria Math"/>
                <w:sz w:val="22"/>
                <w:szCs w:val="22"/>
                <w:lang w:val="en-GB"/>
              </w:rPr>
              <w:noBreakHyphen/>
            </w:r>
            <w:r w:rsidRPr="001A72EB">
              <w:rPr>
                <w:sz w:val="22"/>
                <w:szCs w:val="22"/>
                <w:lang w:val="en-GB"/>
              </w:rPr>
              <w:t>free survival (PFS)</w:t>
            </w:r>
          </w:p>
        </w:tc>
        <w:tc>
          <w:tcPr>
            <w:tcW w:w="1448" w:type="dxa"/>
            <w:tcBorders>
              <w:top w:val="single" w:sz="6" w:space="0" w:color="000000"/>
              <w:bottom w:val="nil"/>
            </w:tcBorders>
            <w:shd w:val="clear" w:color="auto" w:fill="auto"/>
          </w:tcPr>
          <w:p w14:paraId="7C33220D" w14:textId="77777777" w:rsidR="00304014" w:rsidRPr="001A72EB" w:rsidRDefault="00016F29" w:rsidP="001A72EB">
            <w:pPr>
              <w:pStyle w:val="TextTi10"/>
              <w:keepNext/>
              <w:keepLines/>
              <w:jc w:val="center"/>
              <w:rPr>
                <w:sz w:val="22"/>
                <w:szCs w:val="22"/>
                <w:lang w:val="en-GB"/>
              </w:rPr>
            </w:pPr>
            <w:r w:rsidRPr="001A72EB">
              <w:rPr>
                <w:sz w:val="22"/>
                <w:szCs w:val="22"/>
                <w:lang w:val="en-GB"/>
              </w:rPr>
              <w:t>20.6</w:t>
            </w:r>
          </w:p>
        </w:tc>
        <w:tc>
          <w:tcPr>
            <w:tcW w:w="1379" w:type="dxa"/>
            <w:tcBorders>
              <w:top w:val="single" w:sz="6" w:space="0" w:color="000000"/>
              <w:bottom w:val="nil"/>
            </w:tcBorders>
            <w:shd w:val="clear" w:color="auto" w:fill="auto"/>
          </w:tcPr>
          <w:p w14:paraId="7C33220E" w14:textId="77777777" w:rsidR="00304014" w:rsidRPr="001A72EB" w:rsidRDefault="00016F29" w:rsidP="001A72EB">
            <w:pPr>
              <w:pStyle w:val="TextTi10"/>
              <w:keepNext/>
              <w:keepLines/>
              <w:jc w:val="center"/>
              <w:rPr>
                <w:sz w:val="22"/>
                <w:szCs w:val="22"/>
                <w:lang w:val="en-GB"/>
              </w:rPr>
            </w:pPr>
            <w:r w:rsidRPr="001A72EB">
              <w:rPr>
                <w:sz w:val="22"/>
                <w:szCs w:val="22"/>
                <w:lang w:val="en-GB"/>
              </w:rPr>
              <w:t>30.6</w:t>
            </w:r>
          </w:p>
        </w:tc>
        <w:tc>
          <w:tcPr>
            <w:tcW w:w="1283" w:type="dxa"/>
            <w:tcBorders>
              <w:top w:val="single" w:sz="6" w:space="0" w:color="000000"/>
              <w:bottom w:val="nil"/>
            </w:tcBorders>
            <w:shd w:val="clear" w:color="auto" w:fill="auto"/>
          </w:tcPr>
          <w:p w14:paraId="7C33220F" w14:textId="77777777" w:rsidR="00304014" w:rsidRPr="001A72EB" w:rsidRDefault="00016F29" w:rsidP="001A72EB">
            <w:pPr>
              <w:pStyle w:val="TextTi10"/>
              <w:keepNext/>
              <w:keepLines/>
              <w:jc w:val="center"/>
              <w:rPr>
                <w:sz w:val="22"/>
                <w:szCs w:val="22"/>
                <w:lang w:val="en-GB"/>
              </w:rPr>
            </w:pPr>
            <w:r w:rsidRPr="001A72EB">
              <w:rPr>
                <w:sz w:val="22"/>
                <w:szCs w:val="22"/>
                <w:lang w:val="en-GB"/>
              </w:rPr>
              <w:t>0.0002</w:t>
            </w:r>
          </w:p>
        </w:tc>
        <w:tc>
          <w:tcPr>
            <w:tcW w:w="1424" w:type="dxa"/>
            <w:tcBorders>
              <w:top w:val="single" w:sz="6" w:space="0" w:color="000000"/>
              <w:bottom w:val="nil"/>
              <w:right w:val="single" w:sz="6" w:space="0" w:color="000000"/>
            </w:tcBorders>
            <w:shd w:val="clear" w:color="auto" w:fill="auto"/>
          </w:tcPr>
          <w:p w14:paraId="7C332210" w14:textId="77777777" w:rsidR="00304014" w:rsidRPr="001A72EB" w:rsidRDefault="00016F29" w:rsidP="001A72EB">
            <w:pPr>
              <w:pStyle w:val="TextTi10"/>
              <w:keepNext/>
              <w:keepLines/>
              <w:jc w:val="center"/>
              <w:rPr>
                <w:sz w:val="22"/>
                <w:szCs w:val="22"/>
                <w:lang w:val="en-GB"/>
              </w:rPr>
            </w:pPr>
            <w:r w:rsidRPr="001A72EB">
              <w:rPr>
                <w:sz w:val="22"/>
                <w:szCs w:val="22"/>
                <w:lang w:val="en-GB"/>
              </w:rPr>
              <w:t>35%</w:t>
            </w:r>
          </w:p>
        </w:tc>
      </w:tr>
      <w:tr w:rsidR="003A788B" w14:paraId="7C332217" w14:textId="77777777" w:rsidTr="006A3D53">
        <w:trPr>
          <w:trHeight w:val="263"/>
        </w:trPr>
        <w:tc>
          <w:tcPr>
            <w:tcW w:w="3124" w:type="dxa"/>
            <w:tcBorders>
              <w:top w:val="nil"/>
              <w:left w:val="single" w:sz="4" w:space="0" w:color="auto"/>
              <w:bottom w:val="single" w:sz="4" w:space="0" w:color="auto"/>
            </w:tcBorders>
            <w:shd w:val="clear" w:color="auto" w:fill="auto"/>
          </w:tcPr>
          <w:p w14:paraId="7C332212" w14:textId="77777777" w:rsidR="00304014" w:rsidRPr="001A72EB" w:rsidRDefault="00304014" w:rsidP="001A72EB">
            <w:pPr>
              <w:pStyle w:val="TextTi10"/>
              <w:keepNext/>
              <w:keepLines/>
              <w:jc w:val="right"/>
              <w:rPr>
                <w:sz w:val="22"/>
                <w:szCs w:val="22"/>
                <w:lang w:val="en-GB"/>
              </w:rPr>
            </w:pPr>
          </w:p>
        </w:tc>
        <w:tc>
          <w:tcPr>
            <w:tcW w:w="1448" w:type="dxa"/>
            <w:tcBorders>
              <w:top w:val="nil"/>
              <w:bottom w:val="single" w:sz="4" w:space="0" w:color="auto"/>
            </w:tcBorders>
            <w:shd w:val="clear" w:color="auto" w:fill="auto"/>
          </w:tcPr>
          <w:p w14:paraId="7C332213" w14:textId="77777777" w:rsidR="00304014" w:rsidRPr="001A72EB" w:rsidRDefault="00304014" w:rsidP="001A72EB">
            <w:pPr>
              <w:pStyle w:val="TextTi10"/>
              <w:keepNext/>
              <w:keepLines/>
              <w:jc w:val="center"/>
              <w:rPr>
                <w:sz w:val="22"/>
                <w:szCs w:val="22"/>
                <w:lang w:val="en-GB"/>
              </w:rPr>
            </w:pPr>
          </w:p>
        </w:tc>
        <w:tc>
          <w:tcPr>
            <w:tcW w:w="1379" w:type="dxa"/>
            <w:tcBorders>
              <w:top w:val="nil"/>
              <w:bottom w:val="single" w:sz="4" w:space="0" w:color="auto"/>
            </w:tcBorders>
            <w:shd w:val="clear" w:color="auto" w:fill="auto"/>
          </w:tcPr>
          <w:p w14:paraId="7C332214" w14:textId="77777777" w:rsidR="00304014" w:rsidRPr="001A72EB" w:rsidRDefault="00304014" w:rsidP="001A72EB">
            <w:pPr>
              <w:pStyle w:val="TextTi10"/>
              <w:keepNext/>
              <w:keepLines/>
              <w:jc w:val="center"/>
              <w:rPr>
                <w:sz w:val="22"/>
                <w:szCs w:val="22"/>
                <w:lang w:val="en-GB"/>
              </w:rPr>
            </w:pPr>
          </w:p>
        </w:tc>
        <w:tc>
          <w:tcPr>
            <w:tcW w:w="1283" w:type="dxa"/>
            <w:tcBorders>
              <w:top w:val="nil"/>
              <w:bottom w:val="single" w:sz="4" w:space="0" w:color="auto"/>
            </w:tcBorders>
            <w:shd w:val="clear" w:color="auto" w:fill="auto"/>
          </w:tcPr>
          <w:p w14:paraId="7C332215" w14:textId="77777777" w:rsidR="00304014" w:rsidRPr="001A72EB" w:rsidRDefault="00304014" w:rsidP="001A72EB">
            <w:pPr>
              <w:pStyle w:val="TextTi10"/>
              <w:keepNext/>
              <w:keepLines/>
              <w:jc w:val="center"/>
              <w:rPr>
                <w:sz w:val="22"/>
                <w:szCs w:val="22"/>
                <w:lang w:val="en-GB"/>
              </w:rPr>
            </w:pPr>
          </w:p>
        </w:tc>
        <w:tc>
          <w:tcPr>
            <w:tcW w:w="1424" w:type="dxa"/>
            <w:tcBorders>
              <w:top w:val="nil"/>
              <w:bottom w:val="single" w:sz="4" w:space="0" w:color="auto"/>
              <w:right w:val="single" w:sz="6" w:space="0" w:color="000000"/>
            </w:tcBorders>
            <w:shd w:val="clear" w:color="auto" w:fill="auto"/>
          </w:tcPr>
          <w:p w14:paraId="7C332216" w14:textId="77777777" w:rsidR="00304014" w:rsidRPr="001A72EB" w:rsidRDefault="00304014" w:rsidP="001A72EB">
            <w:pPr>
              <w:pStyle w:val="TextTi10"/>
              <w:keepNext/>
              <w:keepLines/>
              <w:jc w:val="center"/>
              <w:rPr>
                <w:sz w:val="22"/>
                <w:szCs w:val="22"/>
                <w:lang w:val="en-GB"/>
              </w:rPr>
            </w:pPr>
          </w:p>
        </w:tc>
      </w:tr>
      <w:tr w:rsidR="003A788B" w14:paraId="7C33221D" w14:textId="77777777" w:rsidTr="006A3D53">
        <w:trPr>
          <w:trHeight w:val="248"/>
        </w:trPr>
        <w:tc>
          <w:tcPr>
            <w:tcW w:w="3124" w:type="dxa"/>
            <w:tcBorders>
              <w:top w:val="single" w:sz="4" w:space="0" w:color="auto"/>
              <w:left w:val="single" w:sz="4" w:space="0" w:color="auto"/>
              <w:bottom w:val="nil"/>
            </w:tcBorders>
            <w:shd w:val="clear" w:color="auto" w:fill="auto"/>
          </w:tcPr>
          <w:p w14:paraId="7C332218" w14:textId="77777777" w:rsidR="00304014" w:rsidRPr="001A72EB" w:rsidRDefault="00016F29" w:rsidP="001A72EB">
            <w:pPr>
              <w:pStyle w:val="TextTi10"/>
              <w:keepNext/>
              <w:keepLines/>
              <w:rPr>
                <w:b/>
                <w:sz w:val="22"/>
                <w:szCs w:val="22"/>
                <w:lang w:val="en-GB"/>
              </w:rPr>
            </w:pPr>
            <w:r w:rsidRPr="001A72EB">
              <w:rPr>
                <w:sz w:val="22"/>
                <w:szCs w:val="22"/>
                <w:lang w:val="en-GB"/>
              </w:rPr>
              <w:t xml:space="preserve">Overall </w:t>
            </w:r>
            <w:r w:rsidR="008D1102" w:rsidRPr="001A72EB">
              <w:rPr>
                <w:sz w:val="22"/>
                <w:szCs w:val="22"/>
                <w:lang w:val="en-GB"/>
              </w:rPr>
              <w:t>s</w:t>
            </w:r>
            <w:r w:rsidRPr="001A72EB">
              <w:rPr>
                <w:sz w:val="22"/>
                <w:szCs w:val="22"/>
                <w:lang w:val="en-GB"/>
              </w:rPr>
              <w:t xml:space="preserve">urvival </w:t>
            </w:r>
          </w:p>
        </w:tc>
        <w:tc>
          <w:tcPr>
            <w:tcW w:w="1448" w:type="dxa"/>
            <w:tcBorders>
              <w:top w:val="single" w:sz="4" w:space="0" w:color="auto"/>
              <w:bottom w:val="nil"/>
            </w:tcBorders>
            <w:shd w:val="clear" w:color="auto" w:fill="auto"/>
          </w:tcPr>
          <w:p w14:paraId="7C332219" w14:textId="77777777" w:rsidR="00304014" w:rsidRPr="001A72EB" w:rsidRDefault="00016F29" w:rsidP="001A72EB">
            <w:pPr>
              <w:pStyle w:val="TextTi10"/>
              <w:keepNext/>
              <w:keepLines/>
              <w:jc w:val="center"/>
              <w:rPr>
                <w:sz w:val="22"/>
                <w:szCs w:val="22"/>
                <w:lang w:val="en-GB"/>
              </w:rPr>
            </w:pPr>
            <w:r w:rsidRPr="001A72EB">
              <w:rPr>
                <w:sz w:val="22"/>
                <w:szCs w:val="22"/>
                <w:lang w:val="en-GB"/>
              </w:rPr>
              <w:t>51.9</w:t>
            </w:r>
          </w:p>
        </w:tc>
        <w:tc>
          <w:tcPr>
            <w:tcW w:w="1379" w:type="dxa"/>
            <w:tcBorders>
              <w:top w:val="single" w:sz="4" w:space="0" w:color="auto"/>
              <w:bottom w:val="nil"/>
            </w:tcBorders>
            <w:shd w:val="clear" w:color="auto" w:fill="auto"/>
          </w:tcPr>
          <w:p w14:paraId="7C33221A" w14:textId="77777777" w:rsidR="00304014" w:rsidRPr="001A72EB" w:rsidRDefault="00016F29" w:rsidP="001A72EB">
            <w:pPr>
              <w:pStyle w:val="TextTi10"/>
              <w:keepNext/>
              <w:keepLines/>
              <w:jc w:val="center"/>
              <w:rPr>
                <w:sz w:val="22"/>
                <w:szCs w:val="22"/>
                <w:lang w:val="en-GB"/>
              </w:rPr>
            </w:pPr>
            <w:r w:rsidRPr="001A72EB">
              <w:rPr>
                <w:sz w:val="22"/>
                <w:szCs w:val="22"/>
                <w:lang w:val="en-GB"/>
              </w:rPr>
              <w:t>NR</w:t>
            </w:r>
          </w:p>
        </w:tc>
        <w:tc>
          <w:tcPr>
            <w:tcW w:w="1283" w:type="dxa"/>
            <w:tcBorders>
              <w:top w:val="single" w:sz="4" w:space="0" w:color="auto"/>
              <w:bottom w:val="nil"/>
            </w:tcBorders>
            <w:shd w:val="clear" w:color="auto" w:fill="auto"/>
          </w:tcPr>
          <w:p w14:paraId="7C33221B" w14:textId="77777777" w:rsidR="00304014" w:rsidRPr="001A72EB" w:rsidRDefault="00016F29" w:rsidP="001A72EB">
            <w:pPr>
              <w:pStyle w:val="TextTi10"/>
              <w:keepNext/>
              <w:keepLines/>
              <w:jc w:val="center"/>
              <w:rPr>
                <w:sz w:val="22"/>
                <w:szCs w:val="22"/>
                <w:lang w:val="en-GB"/>
              </w:rPr>
            </w:pPr>
            <w:r w:rsidRPr="001A72EB">
              <w:rPr>
                <w:sz w:val="22"/>
                <w:szCs w:val="22"/>
                <w:lang w:val="en-GB"/>
              </w:rPr>
              <w:t>0.2874</w:t>
            </w:r>
          </w:p>
        </w:tc>
        <w:tc>
          <w:tcPr>
            <w:tcW w:w="1424" w:type="dxa"/>
            <w:tcBorders>
              <w:top w:val="single" w:sz="4" w:space="0" w:color="auto"/>
              <w:bottom w:val="nil"/>
              <w:right w:val="single" w:sz="6" w:space="0" w:color="000000"/>
            </w:tcBorders>
            <w:shd w:val="clear" w:color="auto" w:fill="auto"/>
          </w:tcPr>
          <w:p w14:paraId="7C33221C" w14:textId="77777777" w:rsidR="00304014" w:rsidRPr="001A72EB" w:rsidRDefault="00016F29" w:rsidP="001A72EB">
            <w:pPr>
              <w:pStyle w:val="TextTi10"/>
              <w:keepNext/>
              <w:keepLines/>
              <w:jc w:val="center"/>
              <w:rPr>
                <w:sz w:val="22"/>
                <w:szCs w:val="22"/>
                <w:lang w:val="en-GB"/>
              </w:rPr>
            </w:pPr>
            <w:r w:rsidRPr="001A72EB">
              <w:rPr>
                <w:sz w:val="22"/>
                <w:szCs w:val="22"/>
                <w:lang w:val="en-GB"/>
              </w:rPr>
              <w:t>17%</w:t>
            </w:r>
          </w:p>
        </w:tc>
      </w:tr>
      <w:tr w:rsidR="003A788B" w14:paraId="7C332223" w14:textId="77777777" w:rsidTr="006A3D53">
        <w:trPr>
          <w:trHeight w:val="263"/>
        </w:trPr>
        <w:tc>
          <w:tcPr>
            <w:tcW w:w="3124" w:type="dxa"/>
            <w:tcBorders>
              <w:top w:val="nil"/>
              <w:left w:val="single" w:sz="4" w:space="0" w:color="auto"/>
              <w:bottom w:val="single" w:sz="4" w:space="0" w:color="auto"/>
            </w:tcBorders>
            <w:shd w:val="clear" w:color="auto" w:fill="auto"/>
          </w:tcPr>
          <w:p w14:paraId="7C33221E" w14:textId="77777777" w:rsidR="00304014" w:rsidRPr="001A72EB" w:rsidRDefault="00304014" w:rsidP="001A72EB">
            <w:pPr>
              <w:pStyle w:val="TextTi10"/>
              <w:keepNext/>
              <w:keepLines/>
              <w:jc w:val="right"/>
              <w:rPr>
                <w:sz w:val="22"/>
                <w:szCs w:val="22"/>
                <w:lang w:val="en-GB"/>
              </w:rPr>
            </w:pPr>
          </w:p>
        </w:tc>
        <w:tc>
          <w:tcPr>
            <w:tcW w:w="1448" w:type="dxa"/>
            <w:tcBorders>
              <w:top w:val="nil"/>
              <w:bottom w:val="single" w:sz="4" w:space="0" w:color="auto"/>
            </w:tcBorders>
            <w:shd w:val="clear" w:color="auto" w:fill="auto"/>
          </w:tcPr>
          <w:p w14:paraId="7C33221F" w14:textId="77777777" w:rsidR="00304014" w:rsidRPr="001A72EB" w:rsidRDefault="00304014" w:rsidP="001A72EB">
            <w:pPr>
              <w:pStyle w:val="TextTi10"/>
              <w:keepNext/>
              <w:keepLines/>
              <w:jc w:val="center"/>
              <w:rPr>
                <w:sz w:val="22"/>
                <w:szCs w:val="22"/>
                <w:lang w:val="en-GB"/>
              </w:rPr>
            </w:pPr>
          </w:p>
        </w:tc>
        <w:tc>
          <w:tcPr>
            <w:tcW w:w="1379" w:type="dxa"/>
            <w:tcBorders>
              <w:top w:val="nil"/>
              <w:bottom w:val="single" w:sz="4" w:space="0" w:color="auto"/>
            </w:tcBorders>
            <w:shd w:val="clear" w:color="auto" w:fill="auto"/>
          </w:tcPr>
          <w:p w14:paraId="7C332220" w14:textId="77777777" w:rsidR="00304014" w:rsidRPr="001A72EB" w:rsidRDefault="00304014" w:rsidP="001A72EB">
            <w:pPr>
              <w:pStyle w:val="TextTi10"/>
              <w:keepNext/>
              <w:keepLines/>
              <w:jc w:val="center"/>
              <w:rPr>
                <w:sz w:val="22"/>
                <w:szCs w:val="22"/>
                <w:lang w:val="en-GB"/>
              </w:rPr>
            </w:pPr>
          </w:p>
        </w:tc>
        <w:tc>
          <w:tcPr>
            <w:tcW w:w="1283" w:type="dxa"/>
            <w:tcBorders>
              <w:top w:val="nil"/>
              <w:bottom w:val="single" w:sz="4" w:space="0" w:color="auto"/>
            </w:tcBorders>
            <w:shd w:val="clear" w:color="auto" w:fill="auto"/>
          </w:tcPr>
          <w:p w14:paraId="7C332221" w14:textId="77777777" w:rsidR="00304014" w:rsidRPr="001A72EB" w:rsidRDefault="00304014" w:rsidP="001A72EB">
            <w:pPr>
              <w:pStyle w:val="TextTi10"/>
              <w:keepNext/>
              <w:keepLines/>
              <w:jc w:val="center"/>
              <w:rPr>
                <w:sz w:val="22"/>
                <w:szCs w:val="22"/>
                <w:lang w:val="en-GB"/>
              </w:rPr>
            </w:pPr>
          </w:p>
        </w:tc>
        <w:tc>
          <w:tcPr>
            <w:tcW w:w="1424" w:type="dxa"/>
            <w:tcBorders>
              <w:top w:val="nil"/>
              <w:bottom w:val="single" w:sz="4" w:space="0" w:color="auto"/>
              <w:right w:val="single" w:sz="6" w:space="0" w:color="000000"/>
            </w:tcBorders>
            <w:shd w:val="clear" w:color="auto" w:fill="auto"/>
          </w:tcPr>
          <w:p w14:paraId="7C332222" w14:textId="77777777" w:rsidR="00304014" w:rsidRPr="001A72EB" w:rsidRDefault="00304014" w:rsidP="001A72EB">
            <w:pPr>
              <w:pStyle w:val="TextTi10"/>
              <w:keepNext/>
              <w:keepLines/>
              <w:jc w:val="center"/>
              <w:rPr>
                <w:sz w:val="22"/>
                <w:szCs w:val="22"/>
                <w:lang w:val="en-GB"/>
              </w:rPr>
            </w:pPr>
          </w:p>
        </w:tc>
      </w:tr>
      <w:tr w:rsidR="003A788B" w14:paraId="7C332229" w14:textId="77777777" w:rsidTr="006A3D53">
        <w:trPr>
          <w:trHeight w:val="561"/>
        </w:trPr>
        <w:tc>
          <w:tcPr>
            <w:tcW w:w="3124" w:type="dxa"/>
            <w:tcBorders>
              <w:top w:val="single" w:sz="4" w:space="0" w:color="auto"/>
              <w:left w:val="single" w:sz="4" w:space="0" w:color="auto"/>
              <w:bottom w:val="nil"/>
            </w:tcBorders>
            <w:shd w:val="clear" w:color="auto" w:fill="auto"/>
          </w:tcPr>
          <w:p w14:paraId="7C332224" w14:textId="77777777" w:rsidR="00304014" w:rsidRPr="001A72EB" w:rsidRDefault="00016F29" w:rsidP="001A72EB">
            <w:pPr>
              <w:pStyle w:val="TextTi10"/>
              <w:keepNext/>
              <w:keepLines/>
              <w:rPr>
                <w:sz w:val="22"/>
                <w:szCs w:val="22"/>
                <w:lang w:val="en-GB"/>
              </w:rPr>
            </w:pPr>
            <w:r w:rsidRPr="001A72EB">
              <w:rPr>
                <w:sz w:val="22"/>
                <w:szCs w:val="22"/>
                <w:lang w:val="en-GB"/>
              </w:rPr>
              <w:t xml:space="preserve">Event </w:t>
            </w:r>
            <w:r w:rsidR="008D1102" w:rsidRPr="001A72EB">
              <w:rPr>
                <w:sz w:val="22"/>
                <w:szCs w:val="22"/>
                <w:lang w:val="en-GB"/>
              </w:rPr>
              <w:t>f</w:t>
            </w:r>
            <w:r w:rsidRPr="001A72EB">
              <w:rPr>
                <w:sz w:val="22"/>
                <w:szCs w:val="22"/>
                <w:lang w:val="en-GB"/>
              </w:rPr>
              <w:t xml:space="preserve">ree </w:t>
            </w:r>
            <w:r w:rsidR="008D1102" w:rsidRPr="001A72EB">
              <w:rPr>
                <w:sz w:val="22"/>
                <w:szCs w:val="22"/>
                <w:lang w:val="en-GB"/>
              </w:rPr>
              <w:t>s</w:t>
            </w:r>
            <w:r w:rsidRPr="001A72EB">
              <w:rPr>
                <w:sz w:val="22"/>
                <w:szCs w:val="22"/>
                <w:lang w:val="en-GB"/>
              </w:rPr>
              <w:t>urvival</w:t>
            </w:r>
          </w:p>
        </w:tc>
        <w:tc>
          <w:tcPr>
            <w:tcW w:w="1448" w:type="dxa"/>
            <w:tcBorders>
              <w:top w:val="single" w:sz="4" w:space="0" w:color="auto"/>
              <w:bottom w:val="nil"/>
            </w:tcBorders>
            <w:shd w:val="clear" w:color="auto" w:fill="auto"/>
          </w:tcPr>
          <w:p w14:paraId="7C332225" w14:textId="77777777" w:rsidR="00304014" w:rsidRPr="001A72EB" w:rsidRDefault="00016F29" w:rsidP="001A72EB">
            <w:pPr>
              <w:pStyle w:val="TextTi10"/>
              <w:keepNext/>
              <w:keepLines/>
              <w:jc w:val="center"/>
              <w:rPr>
                <w:sz w:val="22"/>
                <w:szCs w:val="22"/>
                <w:lang w:val="en-GB"/>
              </w:rPr>
            </w:pPr>
            <w:r w:rsidRPr="001A72EB">
              <w:rPr>
                <w:sz w:val="22"/>
                <w:szCs w:val="22"/>
                <w:lang w:val="en-GB"/>
              </w:rPr>
              <w:t>19.3</w:t>
            </w:r>
          </w:p>
        </w:tc>
        <w:tc>
          <w:tcPr>
            <w:tcW w:w="1379" w:type="dxa"/>
            <w:tcBorders>
              <w:top w:val="single" w:sz="4" w:space="0" w:color="auto"/>
              <w:bottom w:val="nil"/>
            </w:tcBorders>
            <w:shd w:val="clear" w:color="auto" w:fill="auto"/>
          </w:tcPr>
          <w:p w14:paraId="7C332226" w14:textId="77777777" w:rsidR="00304014" w:rsidRPr="001A72EB" w:rsidRDefault="00016F29" w:rsidP="001A72EB">
            <w:pPr>
              <w:pStyle w:val="TextTi10"/>
              <w:keepNext/>
              <w:keepLines/>
              <w:jc w:val="center"/>
              <w:rPr>
                <w:sz w:val="22"/>
                <w:szCs w:val="22"/>
                <w:lang w:val="en-GB"/>
              </w:rPr>
            </w:pPr>
            <w:r w:rsidRPr="001A72EB">
              <w:rPr>
                <w:sz w:val="22"/>
                <w:szCs w:val="22"/>
                <w:lang w:val="en-GB"/>
              </w:rPr>
              <w:t>28.7</w:t>
            </w:r>
          </w:p>
        </w:tc>
        <w:tc>
          <w:tcPr>
            <w:tcW w:w="1283" w:type="dxa"/>
            <w:tcBorders>
              <w:top w:val="single" w:sz="4" w:space="0" w:color="auto"/>
              <w:bottom w:val="nil"/>
            </w:tcBorders>
            <w:shd w:val="clear" w:color="auto" w:fill="auto"/>
          </w:tcPr>
          <w:p w14:paraId="7C332227" w14:textId="77777777" w:rsidR="00304014" w:rsidRPr="001A72EB" w:rsidRDefault="00016F29" w:rsidP="001A72EB">
            <w:pPr>
              <w:pStyle w:val="TextTi10"/>
              <w:keepNext/>
              <w:keepLines/>
              <w:jc w:val="center"/>
              <w:rPr>
                <w:sz w:val="22"/>
                <w:szCs w:val="22"/>
                <w:lang w:val="en-GB"/>
              </w:rPr>
            </w:pPr>
            <w:r w:rsidRPr="001A72EB">
              <w:rPr>
                <w:sz w:val="22"/>
                <w:szCs w:val="22"/>
                <w:lang w:val="en-GB"/>
              </w:rPr>
              <w:t>0.0002</w:t>
            </w:r>
          </w:p>
        </w:tc>
        <w:tc>
          <w:tcPr>
            <w:tcW w:w="1424" w:type="dxa"/>
            <w:tcBorders>
              <w:top w:val="single" w:sz="4" w:space="0" w:color="auto"/>
              <w:bottom w:val="nil"/>
              <w:right w:val="single" w:sz="6" w:space="0" w:color="000000"/>
            </w:tcBorders>
            <w:shd w:val="clear" w:color="auto" w:fill="auto"/>
          </w:tcPr>
          <w:p w14:paraId="7C332228" w14:textId="77777777" w:rsidR="00304014" w:rsidRPr="001A72EB" w:rsidRDefault="00016F29" w:rsidP="001A72EB">
            <w:pPr>
              <w:pStyle w:val="TextTi10"/>
              <w:keepNext/>
              <w:keepLines/>
              <w:jc w:val="center"/>
              <w:rPr>
                <w:sz w:val="22"/>
                <w:szCs w:val="22"/>
                <w:lang w:val="en-GB"/>
              </w:rPr>
            </w:pPr>
            <w:r w:rsidRPr="001A72EB">
              <w:rPr>
                <w:sz w:val="22"/>
                <w:szCs w:val="22"/>
                <w:lang w:val="en-GB"/>
              </w:rPr>
              <w:t>36%</w:t>
            </w:r>
          </w:p>
        </w:tc>
      </w:tr>
      <w:tr w:rsidR="003A788B" w14:paraId="7C33222F" w14:textId="77777777" w:rsidTr="006A3D53">
        <w:trPr>
          <w:trHeight w:val="561"/>
        </w:trPr>
        <w:tc>
          <w:tcPr>
            <w:tcW w:w="3124" w:type="dxa"/>
            <w:tcBorders>
              <w:top w:val="single" w:sz="4" w:space="0" w:color="auto"/>
              <w:left w:val="single" w:sz="4" w:space="0" w:color="auto"/>
              <w:bottom w:val="nil"/>
            </w:tcBorders>
            <w:shd w:val="clear" w:color="auto" w:fill="auto"/>
          </w:tcPr>
          <w:p w14:paraId="7C33222A" w14:textId="77777777" w:rsidR="00304014" w:rsidRPr="001A72EB" w:rsidRDefault="00016F29" w:rsidP="001A72EB">
            <w:pPr>
              <w:pStyle w:val="TextTi10"/>
              <w:keepNext/>
              <w:keepLines/>
              <w:rPr>
                <w:sz w:val="22"/>
                <w:szCs w:val="22"/>
                <w:lang w:val="en-GB"/>
              </w:rPr>
            </w:pPr>
            <w:r w:rsidRPr="001A72EB">
              <w:rPr>
                <w:sz w:val="22"/>
                <w:szCs w:val="22"/>
                <w:lang w:val="en-GB"/>
              </w:rPr>
              <w:t>Response rate (CR, nPR, or PR)</w:t>
            </w:r>
          </w:p>
        </w:tc>
        <w:tc>
          <w:tcPr>
            <w:tcW w:w="1448" w:type="dxa"/>
            <w:tcBorders>
              <w:top w:val="single" w:sz="4" w:space="0" w:color="auto"/>
              <w:bottom w:val="nil"/>
            </w:tcBorders>
            <w:shd w:val="clear" w:color="auto" w:fill="auto"/>
          </w:tcPr>
          <w:p w14:paraId="7C33222B" w14:textId="77777777" w:rsidR="00304014" w:rsidRPr="001A72EB" w:rsidRDefault="00016F29" w:rsidP="001A72EB">
            <w:pPr>
              <w:pStyle w:val="TextTi10"/>
              <w:keepNext/>
              <w:keepLines/>
              <w:jc w:val="center"/>
              <w:rPr>
                <w:sz w:val="22"/>
                <w:szCs w:val="22"/>
                <w:lang w:val="en-GB"/>
              </w:rPr>
            </w:pPr>
            <w:r w:rsidRPr="001A72EB">
              <w:rPr>
                <w:sz w:val="22"/>
                <w:szCs w:val="22"/>
                <w:lang w:val="en-GB"/>
              </w:rPr>
              <w:t>58.0%</w:t>
            </w:r>
          </w:p>
        </w:tc>
        <w:tc>
          <w:tcPr>
            <w:tcW w:w="1379" w:type="dxa"/>
            <w:tcBorders>
              <w:top w:val="single" w:sz="4" w:space="0" w:color="auto"/>
              <w:bottom w:val="nil"/>
            </w:tcBorders>
            <w:shd w:val="clear" w:color="auto" w:fill="auto"/>
          </w:tcPr>
          <w:p w14:paraId="7C33222C" w14:textId="77777777" w:rsidR="00304014" w:rsidRPr="001A72EB" w:rsidRDefault="00016F29" w:rsidP="001A72EB">
            <w:pPr>
              <w:pStyle w:val="TextTi10"/>
              <w:keepNext/>
              <w:keepLines/>
              <w:jc w:val="center"/>
              <w:rPr>
                <w:sz w:val="22"/>
                <w:szCs w:val="22"/>
                <w:lang w:val="en-GB"/>
              </w:rPr>
            </w:pPr>
            <w:r w:rsidRPr="001A72EB">
              <w:rPr>
                <w:sz w:val="22"/>
                <w:szCs w:val="22"/>
                <w:lang w:val="en-GB"/>
              </w:rPr>
              <w:t>69.9%</w:t>
            </w:r>
          </w:p>
        </w:tc>
        <w:tc>
          <w:tcPr>
            <w:tcW w:w="1283" w:type="dxa"/>
            <w:tcBorders>
              <w:top w:val="single" w:sz="4" w:space="0" w:color="auto"/>
              <w:bottom w:val="nil"/>
            </w:tcBorders>
            <w:shd w:val="clear" w:color="auto" w:fill="auto"/>
          </w:tcPr>
          <w:p w14:paraId="7C33222D" w14:textId="77777777" w:rsidR="00304014" w:rsidRPr="001A72EB" w:rsidRDefault="00016F29" w:rsidP="001A72EB">
            <w:pPr>
              <w:pStyle w:val="TextTi10"/>
              <w:keepNext/>
              <w:keepLines/>
              <w:jc w:val="center"/>
              <w:rPr>
                <w:sz w:val="22"/>
                <w:szCs w:val="22"/>
                <w:lang w:val="en-GB"/>
              </w:rPr>
            </w:pPr>
            <w:r w:rsidRPr="001A72EB">
              <w:rPr>
                <w:sz w:val="22"/>
                <w:szCs w:val="22"/>
                <w:lang w:val="en-GB"/>
              </w:rPr>
              <w:t>0.0034</w:t>
            </w:r>
          </w:p>
        </w:tc>
        <w:tc>
          <w:tcPr>
            <w:tcW w:w="1424" w:type="dxa"/>
            <w:tcBorders>
              <w:top w:val="single" w:sz="4" w:space="0" w:color="auto"/>
              <w:bottom w:val="nil"/>
              <w:right w:val="single" w:sz="6" w:space="0" w:color="000000"/>
            </w:tcBorders>
            <w:shd w:val="clear" w:color="auto" w:fill="auto"/>
          </w:tcPr>
          <w:p w14:paraId="7C33222E" w14:textId="77777777" w:rsidR="00304014" w:rsidRPr="001A72EB" w:rsidRDefault="00016F29" w:rsidP="001A72EB">
            <w:pPr>
              <w:pStyle w:val="TextTi10"/>
              <w:keepNext/>
              <w:keepLines/>
              <w:jc w:val="center"/>
              <w:rPr>
                <w:sz w:val="22"/>
                <w:szCs w:val="22"/>
                <w:lang w:val="en-GB"/>
              </w:rPr>
            </w:pPr>
            <w:r w:rsidRPr="001A72EB">
              <w:rPr>
                <w:sz w:val="22"/>
                <w:szCs w:val="22"/>
                <w:lang w:val="en-GB"/>
              </w:rPr>
              <w:t>n.a.</w:t>
            </w:r>
          </w:p>
        </w:tc>
      </w:tr>
      <w:tr w:rsidR="003A788B" w14:paraId="7C332235" w14:textId="77777777" w:rsidTr="006A3D53">
        <w:trPr>
          <w:trHeight w:val="535"/>
        </w:trPr>
        <w:tc>
          <w:tcPr>
            <w:tcW w:w="3124" w:type="dxa"/>
            <w:tcBorders>
              <w:left w:val="single" w:sz="4" w:space="0" w:color="auto"/>
              <w:bottom w:val="nil"/>
            </w:tcBorders>
            <w:shd w:val="clear" w:color="auto" w:fill="auto"/>
          </w:tcPr>
          <w:p w14:paraId="7C332230" w14:textId="77777777" w:rsidR="00304014" w:rsidRPr="001A72EB" w:rsidRDefault="00016F29" w:rsidP="001A72EB">
            <w:pPr>
              <w:pStyle w:val="TextTi10"/>
              <w:keepNext/>
              <w:keepLines/>
              <w:jc w:val="right"/>
              <w:rPr>
                <w:sz w:val="22"/>
                <w:szCs w:val="22"/>
                <w:lang w:val="en-GB"/>
              </w:rPr>
            </w:pPr>
            <w:r w:rsidRPr="001A72EB">
              <w:rPr>
                <w:sz w:val="22"/>
                <w:szCs w:val="22"/>
                <w:lang w:val="en-GB"/>
              </w:rPr>
              <w:t>CR rates</w:t>
            </w:r>
          </w:p>
        </w:tc>
        <w:tc>
          <w:tcPr>
            <w:tcW w:w="1448" w:type="dxa"/>
            <w:tcBorders>
              <w:bottom w:val="nil"/>
            </w:tcBorders>
            <w:shd w:val="clear" w:color="auto" w:fill="auto"/>
          </w:tcPr>
          <w:p w14:paraId="7C332231" w14:textId="77777777" w:rsidR="00304014" w:rsidRPr="001A72EB" w:rsidRDefault="00016F29" w:rsidP="001A72EB">
            <w:pPr>
              <w:pStyle w:val="TextTi10"/>
              <w:keepNext/>
              <w:keepLines/>
              <w:jc w:val="center"/>
              <w:rPr>
                <w:sz w:val="22"/>
                <w:szCs w:val="22"/>
                <w:lang w:val="en-GB"/>
              </w:rPr>
            </w:pPr>
            <w:r w:rsidRPr="001A72EB">
              <w:rPr>
                <w:sz w:val="22"/>
                <w:szCs w:val="22"/>
                <w:lang w:val="en-GB"/>
              </w:rPr>
              <w:t>13.0%</w:t>
            </w:r>
          </w:p>
        </w:tc>
        <w:tc>
          <w:tcPr>
            <w:tcW w:w="1379" w:type="dxa"/>
            <w:tcBorders>
              <w:bottom w:val="nil"/>
            </w:tcBorders>
            <w:shd w:val="clear" w:color="auto" w:fill="auto"/>
          </w:tcPr>
          <w:p w14:paraId="7C332232" w14:textId="77777777" w:rsidR="00304014" w:rsidRPr="001A72EB" w:rsidRDefault="00016F29" w:rsidP="001A72EB">
            <w:pPr>
              <w:pStyle w:val="TextTi10"/>
              <w:keepNext/>
              <w:keepLines/>
              <w:jc w:val="center"/>
              <w:rPr>
                <w:sz w:val="22"/>
                <w:szCs w:val="22"/>
                <w:lang w:val="en-GB"/>
              </w:rPr>
            </w:pPr>
            <w:r w:rsidRPr="001A72EB">
              <w:rPr>
                <w:sz w:val="22"/>
                <w:szCs w:val="22"/>
                <w:lang w:val="en-GB"/>
              </w:rPr>
              <w:t>24.3%</w:t>
            </w:r>
          </w:p>
        </w:tc>
        <w:tc>
          <w:tcPr>
            <w:tcW w:w="1283" w:type="dxa"/>
            <w:tcBorders>
              <w:bottom w:val="nil"/>
            </w:tcBorders>
            <w:shd w:val="clear" w:color="auto" w:fill="auto"/>
          </w:tcPr>
          <w:p w14:paraId="7C332233" w14:textId="77777777" w:rsidR="00304014" w:rsidRPr="001A72EB" w:rsidRDefault="00016F29" w:rsidP="001A72EB">
            <w:pPr>
              <w:pStyle w:val="TextTi10"/>
              <w:keepNext/>
              <w:keepLines/>
              <w:jc w:val="center"/>
              <w:rPr>
                <w:sz w:val="22"/>
                <w:szCs w:val="22"/>
                <w:lang w:val="en-GB"/>
              </w:rPr>
            </w:pPr>
            <w:r w:rsidRPr="001A72EB">
              <w:rPr>
                <w:sz w:val="22"/>
                <w:szCs w:val="22"/>
                <w:lang w:val="en-GB"/>
              </w:rPr>
              <w:t xml:space="preserve">0.0007 </w:t>
            </w:r>
          </w:p>
        </w:tc>
        <w:tc>
          <w:tcPr>
            <w:tcW w:w="1424" w:type="dxa"/>
            <w:tcBorders>
              <w:bottom w:val="nil"/>
              <w:right w:val="single" w:sz="6" w:space="0" w:color="000000"/>
            </w:tcBorders>
            <w:shd w:val="clear" w:color="auto" w:fill="auto"/>
          </w:tcPr>
          <w:p w14:paraId="7C332234" w14:textId="77777777" w:rsidR="00304014" w:rsidRPr="001A72EB" w:rsidRDefault="00016F29" w:rsidP="001A72EB">
            <w:pPr>
              <w:pStyle w:val="TextTi10"/>
              <w:keepNext/>
              <w:keepLines/>
              <w:jc w:val="center"/>
              <w:rPr>
                <w:sz w:val="22"/>
                <w:szCs w:val="22"/>
                <w:lang w:val="en-GB"/>
              </w:rPr>
            </w:pPr>
            <w:r w:rsidRPr="001A72EB">
              <w:rPr>
                <w:sz w:val="22"/>
                <w:szCs w:val="22"/>
                <w:lang w:val="en-GB"/>
              </w:rPr>
              <w:t>n.a.</w:t>
            </w:r>
          </w:p>
        </w:tc>
      </w:tr>
      <w:tr w:rsidR="003A788B" w14:paraId="7C33223B" w14:textId="77777777" w:rsidTr="006A3D53">
        <w:trPr>
          <w:trHeight w:val="263"/>
        </w:trPr>
        <w:tc>
          <w:tcPr>
            <w:tcW w:w="3124" w:type="dxa"/>
            <w:tcBorders>
              <w:top w:val="nil"/>
              <w:left w:val="single" w:sz="4" w:space="0" w:color="auto"/>
              <w:bottom w:val="nil"/>
            </w:tcBorders>
            <w:shd w:val="clear" w:color="auto" w:fill="auto"/>
          </w:tcPr>
          <w:p w14:paraId="7C332236" w14:textId="77777777" w:rsidR="00304014" w:rsidRPr="001A72EB" w:rsidRDefault="00016F29" w:rsidP="001A72EB">
            <w:pPr>
              <w:pStyle w:val="TextTi10"/>
              <w:keepNext/>
              <w:keepLines/>
              <w:rPr>
                <w:sz w:val="22"/>
                <w:szCs w:val="22"/>
                <w:lang w:val="en-GB"/>
              </w:rPr>
            </w:pPr>
            <w:r w:rsidRPr="001A72EB">
              <w:rPr>
                <w:sz w:val="22"/>
                <w:szCs w:val="22"/>
                <w:lang w:val="en-GB"/>
              </w:rPr>
              <w:t xml:space="preserve"> Duration of response </w:t>
            </w:r>
            <w:r w:rsidRPr="001A72EB">
              <w:rPr>
                <w:noProof/>
                <w:lang w:val="en-GB"/>
              </w:rPr>
              <w:t>*</w:t>
            </w:r>
          </w:p>
        </w:tc>
        <w:tc>
          <w:tcPr>
            <w:tcW w:w="1448" w:type="dxa"/>
            <w:tcBorders>
              <w:top w:val="nil"/>
              <w:bottom w:val="nil"/>
            </w:tcBorders>
            <w:shd w:val="clear" w:color="auto" w:fill="auto"/>
          </w:tcPr>
          <w:p w14:paraId="7C332237" w14:textId="77777777" w:rsidR="00304014" w:rsidRPr="001A72EB" w:rsidRDefault="00016F29" w:rsidP="001A72EB">
            <w:pPr>
              <w:pStyle w:val="TextTi10"/>
              <w:keepNext/>
              <w:keepLines/>
              <w:jc w:val="center"/>
              <w:rPr>
                <w:sz w:val="22"/>
                <w:szCs w:val="22"/>
                <w:lang w:val="en-GB"/>
              </w:rPr>
            </w:pPr>
            <w:r w:rsidRPr="001A72EB">
              <w:rPr>
                <w:sz w:val="22"/>
                <w:szCs w:val="22"/>
                <w:lang w:val="en-GB"/>
              </w:rPr>
              <w:t>27.6</w:t>
            </w:r>
          </w:p>
        </w:tc>
        <w:tc>
          <w:tcPr>
            <w:tcW w:w="1379" w:type="dxa"/>
            <w:tcBorders>
              <w:top w:val="nil"/>
              <w:bottom w:val="nil"/>
            </w:tcBorders>
            <w:shd w:val="clear" w:color="auto" w:fill="auto"/>
          </w:tcPr>
          <w:p w14:paraId="7C332238" w14:textId="77777777" w:rsidR="00304014" w:rsidRPr="001A72EB" w:rsidRDefault="00016F29" w:rsidP="001A72EB">
            <w:pPr>
              <w:pStyle w:val="TextTi10"/>
              <w:keepNext/>
              <w:keepLines/>
              <w:jc w:val="center"/>
              <w:rPr>
                <w:sz w:val="22"/>
                <w:szCs w:val="22"/>
                <w:lang w:val="en-GB"/>
              </w:rPr>
            </w:pPr>
            <w:r w:rsidRPr="001A72EB">
              <w:rPr>
                <w:sz w:val="22"/>
                <w:szCs w:val="22"/>
                <w:lang w:val="en-GB"/>
              </w:rPr>
              <w:t>39.6</w:t>
            </w:r>
          </w:p>
        </w:tc>
        <w:tc>
          <w:tcPr>
            <w:tcW w:w="1283" w:type="dxa"/>
            <w:tcBorders>
              <w:top w:val="nil"/>
              <w:bottom w:val="nil"/>
            </w:tcBorders>
            <w:shd w:val="clear" w:color="auto" w:fill="auto"/>
          </w:tcPr>
          <w:p w14:paraId="7C332239" w14:textId="77777777" w:rsidR="00304014" w:rsidRPr="001A72EB" w:rsidRDefault="00016F29" w:rsidP="001A72EB">
            <w:pPr>
              <w:pStyle w:val="TextTi10"/>
              <w:keepNext/>
              <w:keepLines/>
              <w:jc w:val="center"/>
              <w:rPr>
                <w:sz w:val="22"/>
                <w:szCs w:val="22"/>
                <w:lang w:val="en-GB"/>
              </w:rPr>
            </w:pPr>
            <w:r w:rsidRPr="001A72EB">
              <w:rPr>
                <w:sz w:val="22"/>
                <w:szCs w:val="22"/>
                <w:lang w:val="en-GB"/>
              </w:rPr>
              <w:t>0.0252</w:t>
            </w:r>
          </w:p>
        </w:tc>
        <w:tc>
          <w:tcPr>
            <w:tcW w:w="1424" w:type="dxa"/>
            <w:tcBorders>
              <w:top w:val="nil"/>
              <w:bottom w:val="nil"/>
              <w:right w:val="single" w:sz="6" w:space="0" w:color="000000"/>
            </w:tcBorders>
            <w:shd w:val="clear" w:color="auto" w:fill="auto"/>
          </w:tcPr>
          <w:p w14:paraId="7C33223A" w14:textId="77777777" w:rsidR="00304014" w:rsidRPr="001A72EB" w:rsidRDefault="00016F29" w:rsidP="001A72EB">
            <w:pPr>
              <w:pStyle w:val="TextTi10"/>
              <w:keepNext/>
              <w:keepLines/>
              <w:jc w:val="center"/>
              <w:rPr>
                <w:sz w:val="22"/>
                <w:szCs w:val="22"/>
                <w:lang w:val="en-GB"/>
              </w:rPr>
            </w:pPr>
            <w:r w:rsidRPr="001A72EB">
              <w:rPr>
                <w:sz w:val="22"/>
                <w:szCs w:val="22"/>
                <w:lang w:val="en-GB"/>
              </w:rPr>
              <w:t>31%</w:t>
            </w:r>
          </w:p>
        </w:tc>
      </w:tr>
      <w:tr w:rsidR="003A788B" w14:paraId="7C332241" w14:textId="77777777" w:rsidTr="006A3D53">
        <w:trPr>
          <w:trHeight w:val="263"/>
        </w:trPr>
        <w:tc>
          <w:tcPr>
            <w:tcW w:w="3124" w:type="dxa"/>
            <w:tcBorders>
              <w:top w:val="nil"/>
              <w:left w:val="single" w:sz="4" w:space="0" w:color="auto"/>
              <w:bottom w:val="nil"/>
            </w:tcBorders>
            <w:shd w:val="clear" w:color="auto" w:fill="auto"/>
          </w:tcPr>
          <w:p w14:paraId="7C33223C" w14:textId="77777777" w:rsidR="00304014" w:rsidRPr="001A72EB" w:rsidRDefault="00016F29" w:rsidP="001A72EB">
            <w:pPr>
              <w:pStyle w:val="TextTi10"/>
              <w:keepNext/>
              <w:rPr>
                <w:sz w:val="22"/>
                <w:szCs w:val="22"/>
                <w:lang w:val="en-GB"/>
              </w:rPr>
            </w:pPr>
            <w:r w:rsidRPr="001A72EB">
              <w:rPr>
                <w:sz w:val="22"/>
                <w:szCs w:val="22"/>
                <w:lang w:val="en-GB"/>
              </w:rPr>
              <w:t>Disease free survival (DFS)**</w:t>
            </w:r>
          </w:p>
        </w:tc>
        <w:tc>
          <w:tcPr>
            <w:tcW w:w="1448" w:type="dxa"/>
            <w:tcBorders>
              <w:top w:val="nil"/>
              <w:bottom w:val="nil"/>
            </w:tcBorders>
            <w:shd w:val="clear" w:color="auto" w:fill="auto"/>
          </w:tcPr>
          <w:p w14:paraId="7C33223D" w14:textId="77777777" w:rsidR="00304014" w:rsidRPr="001A72EB" w:rsidRDefault="00016F29" w:rsidP="001A72EB">
            <w:pPr>
              <w:pStyle w:val="TextTi10"/>
              <w:keepNext/>
              <w:jc w:val="center"/>
              <w:rPr>
                <w:sz w:val="22"/>
                <w:szCs w:val="22"/>
                <w:lang w:val="en-GB"/>
              </w:rPr>
            </w:pPr>
            <w:r w:rsidRPr="001A72EB">
              <w:rPr>
                <w:sz w:val="22"/>
                <w:szCs w:val="22"/>
                <w:lang w:val="en-GB"/>
              </w:rPr>
              <w:t>42.2</w:t>
            </w:r>
          </w:p>
        </w:tc>
        <w:tc>
          <w:tcPr>
            <w:tcW w:w="1379" w:type="dxa"/>
            <w:tcBorders>
              <w:top w:val="nil"/>
              <w:bottom w:val="nil"/>
            </w:tcBorders>
            <w:shd w:val="clear" w:color="auto" w:fill="auto"/>
          </w:tcPr>
          <w:p w14:paraId="7C33223E" w14:textId="77777777" w:rsidR="00304014" w:rsidRPr="001A72EB" w:rsidRDefault="00016F29" w:rsidP="001A72EB">
            <w:pPr>
              <w:pStyle w:val="TextTi10"/>
              <w:keepNext/>
              <w:jc w:val="center"/>
              <w:rPr>
                <w:sz w:val="22"/>
                <w:szCs w:val="22"/>
                <w:lang w:val="en-GB"/>
              </w:rPr>
            </w:pPr>
            <w:r w:rsidRPr="001A72EB">
              <w:rPr>
                <w:sz w:val="22"/>
                <w:szCs w:val="22"/>
                <w:lang w:val="en-GB"/>
              </w:rPr>
              <w:t>39.6</w:t>
            </w:r>
          </w:p>
        </w:tc>
        <w:tc>
          <w:tcPr>
            <w:tcW w:w="1283" w:type="dxa"/>
            <w:tcBorders>
              <w:top w:val="nil"/>
              <w:bottom w:val="nil"/>
            </w:tcBorders>
            <w:shd w:val="clear" w:color="auto" w:fill="auto"/>
          </w:tcPr>
          <w:p w14:paraId="7C33223F" w14:textId="77777777" w:rsidR="00304014" w:rsidRPr="001A72EB" w:rsidRDefault="00016F29" w:rsidP="001A72EB">
            <w:pPr>
              <w:pStyle w:val="TextTi10"/>
              <w:keepNext/>
              <w:jc w:val="center"/>
              <w:rPr>
                <w:sz w:val="22"/>
                <w:szCs w:val="22"/>
                <w:lang w:val="en-GB"/>
              </w:rPr>
            </w:pPr>
            <w:r w:rsidRPr="001A72EB">
              <w:rPr>
                <w:sz w:val="22"/>
                <w:szCs w:val="22"/>
                <w:lang w:val="en-GB"/>
              </w:rPr>
              <w:t>0.8842</w:t>
            </w:r>
          </w:p>
        </w:tc>
        <w:tc>
          <w:tcPr>
            <w:tcW w:w="1424" w:type="dxa"/>
            <w:tcBorders>
              <w:top w:val="nil"/>
              <w:bottom w:val="nil"/>
              <w:right w:val="single" w:sz="6" w:space="0" w:color="000000"/>
            </w:tcBorders>
            <w:shd w:val="clear" w:color="auto" w:fill="auto"/>
          </w:tcPr>
          <w:p w14:paraId="7C332240" w14:textId="77777777" w:rsidR="00304014" w:rsidRPr="001A72EB" w:rsidRDefault="00016F29" w:rsidP="001A72EB">
            <w:pPr>
              <w:pStyle w:val="TextTi10"/>
              <w:keepNext/>
              <w:jc w:val="center"/>
              <w:rPr>
                <w:sz w:val="22"/>
                <w:szCs w:val="22"/>
                <w:lang w:val="en-GB"/>
              </w:rPr>
            </w:pPr>
            <w:r w:rsidRPr="001A72EB">
              <w:rPr>
                <w:rFonts w:ascii="Cambria Math" w:hAnsi="Cambria Math" w:cs="Cambria Math"/>
                <w:sz w:val="22"/>
                <w:szCs w:val="22"/>
                <w:lang w:val="en-GB"/>
              </w:rPr>
              <w:noBreakHyphen/>
            </w:r>
            <w:r w:rsidRPr="001A72EB">
              <w:rPr>
                <w:rFonts w:ascii="Cambria Math" w:hAnsi="Cambria Math" w:cs="Cambria Math"/>
                <w:sz w:val="22"/>
                <w:szCs w:val="22"/>
                <w:lang w:val="en-GB"/>
              </w:rPr>
              <w:noBreakHyphen/>
            </w:r>
            <w:r w:rsidRPr="001A72EB">
              <w:rPr>
                <w:sz w:val="22"/>
                <w:szCs w:val="22"/>
                <w:lang w:val="en-GB"/>
              </w:rPr>
              <w:t>6%</w:t>
            </w:r>
          </w:p>
        </w:tc>
      </w:tr>
      <w:tr w:rsidR="003A788B" w14:paraId="7C332247" w14:textId="77777777" w:rsidTr="006A3D53">
        <w:trPr>
          <w:trHeight w:val="526"/>
        </w:trPr>
        <w:tc>
          <w:tcPr>
            <w:tcW w:w="3124" w:type="dxa"/>
            <w:tcBorders>
              <w:top w:val="nil"/>
              <w:left w:val="single" w:sz="4" w:space="0" w:color="auto"/>
              <w:bottom w:val="single" w:sz="4" w:space="0" w:color="auto"/>
            </w:tcBorders>
            <w:shd w:val="clear" w:color="auto" w:fill="auto"/>
          </w:tcPr>
          <w:p w14:paraId="7C332242" w14:textId="77777777" w:rsidR="00304014" w:rsidRPr="001A72EB" w:rsidRDefault="00016F29" w:rsidP="001A72EB">
            <w:pPr>
              <w:pStyle w:val="TextTi10"/>
              <w:keepNext/>
              <w:rPr>
                <w:sz w:val="22"/>
                <w:szCs w:val="22"/>
                <w:lang w:val="en-GB"/>
              </w:rPr>
            </w:pPr>
            <w:r w:rsidRPr="001A72EB">
              <w:rPr>
                <w:sz w:val="22"/>
                <w:szCs w:val="22"/>
                <w:lang w:val="en-GB"/>
              </w:rPr>
              <w:t>Time to new CLL treatment</w:t>
            </w:r>
          </w:p>
        </w:tc>
        <w:tc>
          <w:tcPr>
            <w:tcW w:w="1448" w:type="dxa"/>
            <w:tcBorders>
              <w:top w:val="nil"/>
              <w:bottom w:val="single" w:sz="4" w:space="0" w:color="auto"/>
            </w:tcBorders>
            <w:shd w:val="clear" w:color="auto" w:fill="auto"/>
          </w:tcPr>
          <w:p w14:paraId="7C332243" w14:textId="77777777" w:rsidR="00304014" w:rsidRPr="001A72EB" w:rsidRDefault="00016F29" w:rsidP="001A72EB">
            <w:pPr>
              <w:pStyle w:val="TextTi10"/>
              <w:keepNext/>
              <w:jc w:val="center"/>
              <w:rPr>
                <w:sz w:val="22"/>
                <w:szCs w:val="22"/>
                <w:lang w:val="en-GB"/>
              </w:rPr>
            </w:pPr>
            <w:r w:rsidRPr="001A72EB">
              <w:rPr>
                <w:sz w:val="22"/>
                <w:szCs w:val="22"/>
                <w:lang w:val="en-GB"/>
              </w:rPr>
              <w:t>34.2</w:t>
            </w:r>
          </w:p>
        </w:tc>
        <w:tc>
          <w:tcPr>
            <w:tcW w:w="1379" w:type="dxa"/>
            <w:tcBorders>
              <w:top w:val="nil"/>
              <w:bottom w:val="single" w:sz="4" w:space="0" w:color="auto"/>
            </w:tcBorders>
            <w:shd w:val="clear" w:color="auto" w:fill="auto"/>
          </w:tcPr>
          <w:p w14:paraId="7C332244" w14:textId="77777777" w:rsidR="00304014" w:rsidRPr="001A72EB" w:rsidRDefault="00016F29" w:rsidP="001A72EB">
            <w:pPr>
              <w:pStyle w:val="TextTi10"/>
              <w:keepNext/>
              <w:jc w:val="center"/>
              <w:rPr>
                <w:sz w:val="22"/>
                <w:szCs w:val="22"/>
                <w:lang w:val="en-GB"/>
              </w:rPr>
            </w:pPr>
            <w:r w:rsidRPr="001A72EB">
              <w:rPr>
                <w:sz w:val="22"/>
                <w:szCs w:val="22"/>
                <w:lang w:val="en-GB"/>
              </w:rPr>
              <w:t>NR</w:t>
            </w:r>
          </w:p>
        </w:tc>
        <w:tc>
          <w:tcPr>
            <w:tcW w:w="1283" w:type="dxa"/>
            <w:tcBorders>
              <w:top w:val="nil"/>
              <w:bottom w:val="single" w:sz="4" w:space="0" w:color="auto"/>
            </w:tcBorders>
            <w:shd w:val="clear" w:color="auto" w:fill="auto"/>
          </w:tcPr>
          <w:p w14:paraId="7C332245" w14:textId="77777777" w:rsidR="00304014" w:rsidRPr="001A72EB" w:rsidRDefault="00016F29" w:rsidP="001A72EB">
            <w:pPr>
              <w:pStyle w:val="TextTi10"/>
              <w:keepNext/>
              <w:jc w:val="center"/>
              <w:rPr>
                <w:sz w:val="22"/>
                <w:szCs w:val="22"/>
                <w:lang w:val="en-GB"/>
              </w:rPr>
            </w:pPr>
            <w:r w:rsidRPr="001A72EB">
              <w:rPr>
                <w:sz w:val="22"/>
                <w:szCs w:val="22"/>
                <w:lang w:val="en-GB"/>
              </w:rPr>
              <w:t>0.0024</w:t>
            </w:r>
          </w:p>
        </w:tc>
        <w:tc>
          <w:tcPr>
            <w:tcW w:w="1424" w:type="dxa"/>
            <w:tcBorders>
              <w:top w:val="nil"/>
              <w:bottom w:val="single" w:sz="4" w:space="0" w:color="auto"/>
              <w:right w:val="single" w:sz="6" w:space="0" w:color="000000"/>
            </w:tcBorders>
            <w:shd w:val="clear" w:color="auto" w:fill="auto"/>
          </w:tcPr>
          <w:p w14:paraId="7C332246" w14:textId="77777777" w:rsidR="00304014" w:rsidRPr="001A72EB" w:rsidRDefault="00016F29" w:rsidP="001A72EB">
            <w:pPr>
              <w:pStyle w:val="TextTi10"/>
              <w:keepNext/>
              <w:jc w:val="center"/>
              <w:rPr>
                <w:sz w:val="22"/>
                <w:szCs w:val="22"/>
                <w:lang w:val="en-GB"/>
              </w:rPr>
            </w:pPr>
            <w:r w:rsidRPr="001A72EB">
              <w:rPr>
                <w:sz w:val="22"/>
                <w:szCs w:val="22"/>
                <w:lang w:val="en-GB"/>
              </w:rPr>
              <w:t>35%</w:t>
            </w:r>
          </w:p>
        </w:tc>
      </w:tr>
    </w:tbl>
    <w:p w14:paraId="7C332248" w14:textId="77777777" w:rsidR="00304014" w:rsidRPr="00B332DB" w:rsidRDefault="00016F29" w:rsidP="00B332DB">
      <w:pPr>
        <w:rPr>
          <w:i/>
          <w:sz w:val="18"/>
          <w:szCs w:val="18"/>
          <w:lang w:val="en-GB"/>
        </w:rPr>
      </w:pPr>
      <w:r w:rsidRPr="00B332DB">
        <w:rPr>
          <w:i/>
          <w:sz w:val="18"/>
          <w:szCs w:val="18"/>
          <w:lang w:val="en-GB"/>
        </w:rPr>
        <w:t>Response rate and CR rates analysed using Chi</w:t>
      </w:r>
      <w:r w:rsidR="000A6DDA" w:rsidRPr="00B332DB">
        <w:rPr>
          <w:i/>
          <w:sz w:val="18"/>
          <w:szCs w:val="18"/>
          <w:lang w:val="en-GB"/>
        </w:rPr>
        <w:noBreakHyphen/>
      </w:r>
      <w:r w:rsidR="000A6DDA" w:rsidRPr="00B332DB">
        <w:rPr>
          <w:i/>
          <w:sz w:val="18"/>
          <w:szCs w:val="18"/>
          <w:lang w:val="en-GB"/>
        </w:rPr>
        <w:noBreakHyphen/>
      </w:r>
      <w:r w:rsidRPr="00B332DB">
        <w:rPr>
          <w:i/>
          <w:sz w:val="18"/>
          <w:szCs w:val="18"/>
          <w:lang w:val="en-GB"/>
        </w:rPr>
        <w:t>squared Test.</w:t>
      </w:r>
    </w:p>
    <w:p w14:paraId="7C332249" w14:textId="77777777" w:rsidR="00304014" w:rsidRPr="00B332DB" w:rsidRDefault="00016F29" w:rsidP="001A72EB">
      <w:pPr>
        <w:ind w:left="284" w:hanging="284"/>
        <w:rPr>
          <w:sz w:val="18"/>
          <w:szCs w:val="18"/>
          <w:lang w:val="en-GB"/>
        </w:rPr>
      </w:pPr>
      <w:r w:rsidRPr="00B332DB">
        <w:rPr>
          <w:sz w:val="18"/>
          <w:szCs w:val="18"/>
          <w:lang w:val="en-GB"/>
        </w:rPr>
        <w:t xml:space="preserve">*: only applicable to patients achieving a CR, nPR, PR;          NR: not reached                  n.a. not applicable </w:t>
      </w:r>
    </w:p>
    <w:p w14:paraId="7C33224A" w14:textId="77777777" w:rsidR="00304014" w:rsidRPr="00B332DB" w:rsidRDefault="00016F29" w:rsidP="001A72EB">
      <w:pPr>
        <w:ind w:left="284" w:hanging="284"/>
        <w:rPr>
          <w:noProof/>
          <w:sz w:val="18"/>
          <w:szCs w:val="18"/>
          <w:lang w:val="en-GB"/>
        </w:rPr>
      </w:pPr>
      <w:r w:rsidRPr="00B332DB">
        <w:rPr>
          <w:noProof/>
          <w:sz w:val="18"/>
          <w:szCs w:val="18"/>
          <w:lang w:val="en-GB"/>
        </w:rPr>
        <w:t xml:space="preserve">**: only applicable to patients achieving a CR;     </w:t>
      </w:r>
    </w:p>
    <w:p w14:paraId="7C33224B" w14:textId="77777777" w:rsidR="00304014" w:rsidRPr="001A72EB" w:rsidRDefault="00304014" w:rsidP="001A72EB">
      <w:pPr>
        <w:ind w:left="851" w:hanging="851"/>
        <w:rPr>
          <w:noProof/>
          <w:lang w:val="en-GB"/>
        </w:rPr>
      </w:pPr>
    </w:p>
    <w:p w14:paraId="7C33224C" w14:textId="77777777" w:rsidR="00304014" w:rsidRPr="001A72EB" w:rsidRDefault="00016F29" w:rsidP="001A72EB">
      <w:pPr>
        <w:rPr>
          <w:szCs w:val="22"/>
          <w:lang w:val="en-GB"/>
        </w:rPr>
      </w:pPr>
      <w:r w:rsidRPr="001A72EB">
        <w:rPr>
          <w:szCs w:val="22"/>
          <w:lang w:val="en-GB"/>
        </w:rPr>
        <w:t xml:space="preserve">Results from other supportive studies using MabThera in combination with other chemotherapy regimens (including CHOP, FCM, PC, PCM, </w:t>
      </w:r>
      <w:r w:rsidRPr="001A72EB">
        <w:rPr>
          <w:lang w:val="en-GB"/>
        </w:rPr>
        <w:t>bendamustine and cladribine</w:t>
      </w:r>
      <w:r w:rsidRPr="001A72EB">
        <w:rPr>
          <w:szCs w:val="22"/>
          <w:lang w:val="en-GB"/>
        </w:rPr>
        <w:t xml:space="preserve">) for the treatment of previously untreated and/or relapsed/refractory CLL patients have also demonstrated high overall response rates with </w:t>
      </w:r>
      <w:r w:rsidRPr="001A72EB">
        <w:rPr>
          <w:rStyle w:val="Emphasis"/>
          <w:i w:val="0"/>
          <w:lang w:val="en-GB"/>
        </w:rPr>
        <w:t>benefit in terms of</w:t>
      </w:r>
      <w:r w:rsidRPr="001A72EB">
        <w:rPr>
          <w:rStyle w:val="Emphasis"/>
          <w:lang w:val="en-GB"/>
        </w:rPr>
        <w:t xml:space="preserve"> </w:t>
      </w:r>
      <w:r w:rsidRPr="001A72EB">
        <w:rPr>
          <w:szCs w:val="22"/>
          <w:lang w:val="en-GB"/>
        </w:rPr>
        <w:t>PFS rates, albeit with modestly higher toxicity (especially myelotoxicity). These studies support the use of MabThera with any chemotherapy.</w:t>
      </w:r>
    </w:p>
    <w:p w14:paraId="7C33224D" w14:textId="77777777" w:rsidR="006A0C3A" w:rsidRPr="001B35D0" w:rsidRDefault="00016F29" w:rsidP="00DD36B7">
      <w:pPr>
        <w:keepNext/>
        <w:outlineLvl w:val="0"/>
        <w:rPr>
          <w:lang w:val="en-GB"/>
        </w:rPr>
      </w:pPr>
      <w:r w:rsidRPr="001B35D0">
        <w:rPr>
          <w:lang w:val="en-GB"/>
        </w:rPr>
        <w:t>Data in approximately 180 patients pre</w:t>
      </w:r>
      <w:r w:rsidR="000A6DDA" w:rsidRPr="001B35D0">
        <w:rPr>
          <w:lang w:val="en-GB"/>
        </w:rPr>
        <w:noBreakHyphen/>
      </w:r>
      <w:r w:rsidR="000A6DDA" w:rsidRPr="001B35D0">
        <w:rPr>
          <w:lang w:val="en-GB"/>
        </w:rPr>
        <w:noBreakHyphen/>
      </w:r>
      <w:r w:rsidRPr="001B35D0">
        <w:rPr>
          <w:lang w:val="en-GB"/>
        </w:rPr>
        <w:t>treated with MabThera have demonstrated clinical benefit (including CR) and are supportive for MabThera re</w:t>
      </w:r>
      <w:r w:rsidR="000A6DDA" w:rsidRPr="001B35D0">
        <w:rPr>
          <w:lang w:val="en-GB"/>
        </w:rPr>
        <w:noBreakHyphen/>
      </w:r>
      <w:r w:rsidR="000A6DDA" w:rsidRPr="001B35D0">
        <w:rPr>
          <w:lang w:val="en-GB"/>
        </w:rPr>
        <w:noBreakHyphen/>
      </w:r>
      <w:r w:rsidRPr="001B35D0">
        <w:rPr>
          <w:lang w:val="en-GB"/>
        </w:rPr>
        <w:t>treatment.</w:t>
      </w:r>
    </w:p>
    <w:p w14:paraId="7C33224E" w14:textId="77777777" w:rsidR="00304014" w:rsidRPr="001B35D0" w:rsidRDefault="00304014" w:rsidP="00DD36B7">
      <w:pPr>
        <w:keepNext/>
        <w:outlineLvl w:val="0"/>
        <w:rPr>
          <w:lang w:val="en-GB"/>
        </w:rPr>
      </w:pPr>
    </w:p>
    <w:p w14:paraId="7C33224F" w14:textId="77777777" w:rsidR="003F42D3" w:rsidRPr="00C501E3" w:rsidRDefault="00016F29" w:rsidP="003F42D3">
      <w:pPr>
        <w:rPr>
          <w:szCs w:val="22"/>
          <w:u w:val="single"/>
          <w:lang w:val="en-GB"/>
        </w:rPr>
      </w:pPr>
      <w:r w:rsidRPr="00C501E3">
        <w:rPr>
          <w:szCs w:val="22"/>
          <w:u w:val="single"/>
          <w:lang w:val="en-GB"/>
        </w:rPr>
        <w:t>Paediatric population</w:t>
      </w:r>
    </w:p>
    <w:p w14:paraId="7C332250" w14:textId="77777777" w:rsidR="003F42D3" w:rsidRPr="00C501E3" w:rsidRDefault="003F42D3" w:rsidP="003F42D3">
      <w:pPr>
        <w:rPr>
          <w:i/>
          <w:szCs w:val="22"/>
          <w:u w:val="single"/>
          <w:lang w:val="en-GB"/>
        </w:rPr>
      </w:pPr>
    </w:p>
    <w:p w14:paraId="7C332251" w14:textId="77777777" w:rsidR="003F42D3" w:rsidRPr="001A72EB" w:rsidRDefault="00016F29" w:rsidP="003F42D3">
      <w:pPr>
        <w:rPr>
          <w:i/>
          <w:szCs w:val="22"/>
          <w:u w:val="single"/>
          <w:lang w:val="en-GB"/>
        </w:rPr>
      </w:pPr>
      <w:r w:rsidRPr="00C501E3">
        <w:rPr>
          <w:szCs w:val="22"/>
          <w:lang w:val="en-GB"/>
        </w:rPr>
        <w:t xml:space="preserve">The European Medicines Agency has waived the obligation to submit the results of studies with rituximab in all subsets of the paediatric population </w:t>
      </w:r>
      <w:r w:rsidRPr="001A72EB">
        <w:rPr>
          <w:szCs w:val="22"/>
          <w:lang w:val="en-GB"/>
        </w:rPr>
        <w:t xml:space="preserve">with </w:t>
      </w:r>
      <w:r w:rsidR="007D4E4A" w:rsidRPr="001A72EB">
        <w:rPr>
          <w:szCs w:val="22"/>
          <w:lang w:val="en-GB"/>
        </w:rPr>
        <w:t>CLL</w:t>
      </w:r>
      <w:r w:rsidR="00E07811" w:rsidRPr="001A72EB">
        <w:rPr>
          <w:szCs w:val="22"/>
          <w:lang w:val="en-GB"/>
        </w:rPr>
        <w:t>.</w:t>
      </w:r>
      <w:r w:rsidRPr="001A72EB">
        <w:rPr>
          <w:szCs w:val="22"/>
          <w:lang w:val="en-GB"/>
        </w:rPr>
        <w:t xml:space="preserve"> See Section 4.2 for information on paediatric use.</w:t>
      </w:r>
    </w:p>
    <w:p w14:paraId="7C332252" w14:textId="77777777" w:rsidR="003F42D3" w:rsidRPr="001A72EB" w:rsidRDefault="003F42D3" w:rsidP="003F42D3">
      <w:pPr>
        <w:rPr>
          <w:szCs w:val="22"/>
          <w:lang w:val="en-GB"/>
        </w:rPr>
      </w:pPr>
    </w:p>
    <w:p w14:paraId="7C332253" w14:textId="77777777" w:rsidR="003F42D3" w:rsidRPr="001A72EB" w:rsidRDefault="00016F29" w:rsidP="003F42D3">
      <w:pPr>
        <w:keepNext/>
        <w:keepLines/>
        <w:ind w:left="567" w:hanging="567"/>
        <w:outlineLvl w:val="0"/>
        <w:rPr>
          <w:szCs w:val="22"/>
          <w:lang w:val="en-GB"/>
        </w:rPr>
      </w:pPr>
      <w:r w:rsidRPr="001A72EB">
        <w:rPr>
          <w:b/>
          <w:szCs w:val="22"/>
          <w:lang w:val="en-GB"/>
        </w:rPr>
        <w:t>5.2</w:t>
      </w:r>
      <w:r w:rsidRPr="001A72EB">
        <w:rPr>
          <w:b/>
          <w:szCs w:val="22"/>
          <w:lang w:val="en-GB"/>
        </w:rPr>
        <w:tab/>
        <w:t>Pharmacokinetic properties</w:t>
      </w:r>
    </w:p>
    <w:p w14:paraId="7C332254" w14:textId="77777777" w:rsidR="003F42D3" w:rsidRPr="001A72EB" w:rsidRDefault="003F42D3" w:rsidP="003F42D3">
      <w:pPr>
        <w:keepNext/>
        <w:keepLines/>
        <w:rPr>
          <w:szCs w:val="22"/>
          <w:lang w:val="en-GB"/>
        </w:rPr>
      </w:pPr>
    </w:p>
    <w:p w14:paraId="7C332255" w14:textId="77777777" w:rsidR="003F42D3" w:rsidRPr="001A72EB" w:rsidRDefault="00016F29" w:rsidP="001A72EB">
      <w:pPr>
        <w:rPr>
          <w:szCs w:val="22"/>
          <w:u w:val="single"/>
          <w:lang w:val="en-GB"/>
        </w:rPr>
      </w:pPr>
      <w:r w:rsidRPr="001A72EB">
        <w:rPr>
          <w:szCs w:val="22"/>
          <w:u w:val="single"/>
          <w:lang w:val="en-GB"/>
        </w:rPr>
        <w:t>Absorption</w:t>
      </w:r>
    </w:p>
    <w:p w14:paraId="7C332256" w14:textId="77777777" w:rsidR="003F42D3" w:rsidRPr="001A72EB" w:rsidRDefault="003F42D3" w:rsidP="001A72EB">
      <w:pPr>
        <w:rPr>
          <w:szCs w:val="22"/>
          <w:u w:val="single"/>
          <w:lang w:val="en-GB"/>
        </w:rPr>
      </w:pPr>
    </w:p>
    <w:p w14:paraId="7C332257" w14:textId="77777777" w:rsidR="00480E11" w:rsidRPr="00F244F7" w:rsidRDefault="00016F29" w:rsidP="001A72EB">
      <w:pPr>
        <w:rPr>
          <w:szCs w:val="22"/>
          <w:shd w:val="clear" w:color="auto" w:fill="FFFF00"/>
        </w:rPr>
      </w:pPr>
      <w:r w:rsidRPr="00CF1BF5">
        <w:rPr>
          <w:rFonts w:eastAsia="MS Mincho"/>
          <w:lang w:val="en-GB" w:eastAsia="en-GB"/>
        </w:rPr>
        <w:t xml:space="preserve">MabThera </w:t>
      </w:r>
      <w:r w:rsidRPr="00CF1BF5">
        <w:t>at a fixed dose of 1600 mg was administered for 5 cycles subcutaneously at 4</w:t>
      </w:r>
      <w:r w:rsidR="000A6DDA" w:rsidRPr="00CF1BF5">
        <w:noBreakHyphen/>
      </w:r>
      <w:r w:rsidRPr="00CF1BF5">
        <w:t>weekly</w:t>
      </w:r>
      <w:r w:rsidRPr="008C69AC">
        <w:t xml:space="preserve"> intervals, following the first cycle of </w:t>
      </w:r>
      <w:r w:rsidRPr="008C69AC">
        <w:rPr>
          <w:rFonts w:eastAsia="MS Mincho" w:cs="Arial"/>
          <w:lang w:val="en-GB" w:eastAsia="en-GB"/>
        </w:rPr>
        <w:t>MabThera intravenous formulation</w:t>
      </w:r>
      <w:r w:rsidRPr="008C69AC">
        <w:t>, in</w:t>
      </w:r>
      <w:r w:rsidR="00CB248E" w:rsidRPr="008C69AC">
        <w:t xml:space="preserve"> previously untreated</w:t>
      </w:r>
      <w:r w:rsidRPr="008C69AC">
        <w:t xml:space="preserve"> CLL patients in combination with chemotherapy (fludarabine and cyclophosphamide (FC). The serum </w:t>
      </w:r>
      <w:r w:rsidRPr="008C69AC">
        <w:rPr>
          <w:rFonts w:eastAsia="MS Mincho" w:cs="Arial"/>
          <w:lang w:val="en-GB" w:eastAsia="en-GB"/>
        </w:rPr>
        <w:t xml:space="preserve">MabThera </w:t>
      </w:r>
      <w:r w:rsidRPr="008C69AC">
        <w:t>C</w:t>
      </w:r>
      <w:r w:rsidRPr="008C69AC">
        <w:rPr>
          <w:vertAlign w:val="subscript"/>
        </w:rPr>
        <w:t>max</w:t>
      </w:r>
      <w:r w:rsidRPr="008C69AC">
        <w:t xml:space="preserve"> at Cycle 6 was lower in the subcutaneous arm than the intravenous, with geometric mean (CV%) values of 202 (36.1) μg/mL and 280 (24.6) μg/mL with the resulting geometric mean ratio (C</w:t>
      </w:r>
      <w:r w:rsidRPr="008C69AC">
        <w:rPr>
          <w:vertAlign w:val="subscript"/>
        </w:rPr>
        <w:t>max, SC</w:t>
      </w:r>
      <w:r w:rsidRPr="008C69AC">
        <w:t>/C</w:t>
      </w:r>
      <w:r w:rsidRPr="008C69AC">
        <w:rPr>
          <w:vertAlign w:val="subscript"/>
        </w:rPr>
        <w:t>max, IV</w:t>
      </w:r>
      <w:r w:rsidRPr="008C69AC">
        <w:t xml:space="preserve">) of 0.719 (90% CI: 0.653, 0.792).  </w:t>
      </w:r>
      <w:r w:rsidRPr="008C69AC">
        <w:rPr>
          <w:lang w:val="en-GB"/>
        </w:rPr>
        <w:t>The geometric mean t</w:t>
      </w:r>
      <w:r w:rsidRPr="008C69AC">
        <w:rPr>
          <w:vertAlign w:val="subscript"/>
          <w:lang w:val="en-GB"/>
        </w:rPr>
        <w:t>max</w:t>
      </w:r>
      <w:r w:rsidRPr="008C69AC">
        <w:rPr>
          <w:lang w:val="en-GB"/>
        </w:rPr>
        <w:t xml:space="preserve"> in the</w:t>
      </w:r>
      <w:r w:rsidRPr="008C69AC">
        <w:rPr>
          <w:rFonts w:eastAsia="MS Mincho" w:cs="Arial"/>
          <w:lang w:val="en-GB" w:eastAsia="en-GB"/>
        </w:rPr>
        <w:t xml:space="preserve"> MabThera subcutaneous group</w:t>
      </w:r>
      <w:r w:rsidRPr="008C69AC">
        <w:rPr>
          <w:lang w:val="en-GB"/>
        </w:rPr>
        <w:t xml:space="preserve"> was approximately 3 days as compared to the t</w:t>
      </w:r>
      <w:r w:rsidRPr="008C69AC">
        <w:rPr>
          <w:vertAlign w:val="subscript"/>
          <w:lang w:val="en-GB"/>
        </w:rPr>
        <w:t>max</w:t>
      </w:r>
      <w:r w:rsidRPr="008C69AC">
        <w:rPr>
          <w:lang w:val="en-GB"/>
        </w:rPr>
        <w:t xml:space="preserve"> occuring at or close to the end of the infusion for the</w:t>
      </w:r>
      <w:r w:rsidRPr="008C69AC">
        <w:rPr>
          <w:rFonts w:eastAsia="MS Mincho" w:cs="Arial"/>
          <w:lang w:val="en-GB" w:eastAsia="en-GB"/>
        </w:rPr>
        <w:t xml:space="preserve"> MabThera intravenous group.</w:t>
      </w:r>
      <w:r w:rsidR="00EF1A08" w:rsidRPr="008C69AC">
        <w:rPr>
          <w:rFonts w:eastAsia="MS Mincho" w:cs="Arial"/>
          <w:lang w:val="en-GB" w:eastAsia="en-GB"/>
        </w:rPr>
        <w:t xml:space="preserve"> </w:t>
      </w:r>
      <w:r w:rsidRPr="008C69AC">
        <w:rPr>
          <w:rFonts w:cs="Arial"/>
          <w:szCs w:val="22"/>
        </w:rPr>
        <w:t>The geometric mean C</w:t>
      </w:r>
      <w:r w:rsidRPr="008C69AC">
        <w:rPr>
          <w:rFonts w:cs="Arial"/>
          <w:szCs w:val="22"/>
          <w:vertAlign w:val="subscript"/>
        </w:rPr>
        <w:t>trough</w:t>
      </w:r>
      <w:r w:rsidRPr="008C69AC">
        <w:rPr>
          <w:rFonts w:cs="Arial"/>
          <w:szCs w:val="22"/>
        </w:rPr>
        <w:t xml:space="preserve"> (CV%) values at </w:t>
      </w:r>
      <w:r w:rsidRPr="00F244F7">
        <w:rPr>
          <w:szCs w:val="22"/>
        </w:rPr>
        <w:t>Cycle 5 (pre</w:t>
      </w:r>
      <w:r w:rsidR="000A6DDA" w:rsidRPr="00F244F7">
        <w:rPr>
          <w:szCs w:val="22"/>
        </w:rPr>
        <w:noBreakHyphen/>
      </w:r>
      <w:r w:rsidRPr="00F244F7">
        <w:rPr>
          <w:szCs w:val="22"/>
        </w:rPr>
        <w:t xml:space="preserve">dose Cycle 6) were higher among the MabThera subcutaneous group than the MabThera intravenous group; 97.5 </w:t>
      </w:r>
      <w:r w:rsidRPr="00E06A78">
        <w:rPr>
          <w:rFonts w:ascii="Symbol" w:hAnsi="Symbol"/>
        </w:rPr>
        <w:sym w:font="Symbol" w:char="F06D"/>
      </w:r>
      <w:r w:rsidRPr="00F244F7">
        <w:rPr>
          <w:szCs w:val="22"/>
        </w:rPr>
        <w:t xml:space="preserve">g/mL (42.6) versus 61.5 </w:t>
      </w:r>
      <w:r w:rsidRPr="00E06A78">
        <w:rPr>
          <w:rFonts w:ascii="Symbol" w:hAnsi="Symbol"/>
        </w:rPr>
        <w:sym w:font="Symbol" w:char="F06D"/>
      </w:r>
      <w:r w:rsidRPr="00F244F7">
        <w:rPr>
          <w:szCs w:val="22"/>
        </w:rPr>
        <w:t>g/mL (63.9) respectively with a resulting adjusted geometric mean ratio [90% CI] of 1.53 [1.27</w:t>
      </w:r>
      <w:r w:rsidR="000A6DDA" w:rsidRPr="00F244F7">
        <w:rPr>
          <w:szCs w:val="22"/>
        </w:rPr>
        <w:noBreakHyphen/>
      </w:r>
      <w:r w:rsidRPr="00F244F7">
        <w:rPr>
          <w:szCs w:val="22"/>
        </w:rPr>
        <w:t>1.85]</w:t>
      </w:r>
      <w:r w:rsidRPr="00F244F7">
        <w:rPr>
          <w:szCs w:val="22"/>
          <w:lang w:eastAsia="en-US"/>
        </w:rPr>
        <w:t xml:space="preserve">. </w:t>
      </w:r>
      <w:r w:rsidRPr="00F244F7">
        <w:rPr>
          <w:szCs w:val="22"/>
        </w:rPr>
        <w:t xml:space="preserve">Similarly, the geometric mean AUC (CV%) values at Cycle 6 were higher among the </w:t>
      </w:r>
      <w:r w:rsidRPr="00F244F7">
        <w:rPr>
          <w:rFonts w:eastAsia="MS Mincho"/>
          <w:szCs w:val="22"/>
          <w:lang w:val="en-GB" w:eastAsia="en-GB"/>
        </w:rPr>
        <w:t>subcutaneous</w:t>
      </w:r>
      <w:r w:rsidRPr="00F244F7">
        <w:rPr>
          <w:szCs w:val="22"/>
        </w:rPr>
        <w:t xml:space="preserve"> group than the </w:t>
      </w:r>
      <w:r w:rsidRPr="00F244F7">
        <w:rPr>
          <w:rFonts w:eastAsia="MS Mincho"/>
          <w:szCs w:val="22"/>
          <w:lang w:val="en-GB" w:eastAsia="en-GB"/>
        </w:rPr>
        <w:t>intravenous</w:t>
      </w:r>
      <w:r w:rsidRPr="00F244F7">
        <w:rPr>
          <w:szCs w:val="22"/>
        </w:rPr>
        <w:t xml:space="preserve"> group; 4088 </w:t>
      </w:r>
      <w:r w:rsidRPr="00F244F7">
        <w:rPr>
          <w:szCs w:val="22"/>
          <w:lang w:val="en-GB"/>
        </w:rPr>
        <w:t>µg</w:t>
      </w:r>
      <w:r w:rsidRPr="00E06A78">
        <w:rPr>
          <w:rFonts w:ascii="Symbol" w:hAnsi="Symbol"/>
        </w:rPr>
        <w:sym w:font="Symbol" w:char="F0B7"/>
      </w:r>
      <w:r w:rsidRPr="00F244F7">
        <w:rPr>
          <w:szCs w:val="22"/>
        </w:rPr>
        <w:t>day</w:t>
      </w:r>
      <w:r w:rsidRPr="00F244F7">
        <w:rPr>
          <w:szCs w:val="22"/>
          <w:lang w:val="en-GB"/>
        </w:rPr>
        <w:t>/mL</w:t>
      </w:r>
      <w:r w:rsidRPr="00F244F7">
        <w:rPr>
          <w:szCs w:val="22"/>
        </w:rPr>
        <w:t xml:space="preserve"> (34.</w:t>
      </w:r>
      <w:r w:rsidR="009C58AE" w:rsidRPr="00F244F7">
        <w:rPr>
          <w:szCs w:val="22"/>
        </w:rPr>
        <w:t>2</w:t>
      </w:r>
      <w:r w:rsidRPr="00F244F7">
        <w:rPr>
          <w:szCs w:val="22"/>
        </w:rPr>
        <w:t xml:space="preserve">) versus 3630 </w:t>
      </w:r>
      <w:r w:rsidRPr="00F244F7">
        <w:rPr>
          <w:szCs w:val="22"/>
          <w:lang w:val="en-GB"/>
        </w:rPr>
        <w:t>µg</w:t>
      </w:r>
      <w:r w:rsidRPr="00E06A78">
        <w:rPr>
          <w:rFonts w:ascii="Symbol" w:hAnsi="Symbol"/>
        </w:rPr>
        <w:sym w:font="Symbol" w:char="F0B7"/>
      </w:r>
      <w:r w:rsidRPr="00F244F7">
        <w:rPr>
          <w:szCs w:val="22"/>
        </w:rPr>
        <w:t>day</w:t>
      </w:r>
      <w:r w:rsidRPr="00F244F7">
        <w:rPr>
          <w:szCs w:val="22"/>
          <w:lang w:val="en-GB"/>
        </w:rPr>
        <w:t>/mL</w:t>
      </w:r>
      <w:r w:rsidRPr="00F244F7">
        <w:rPr>
          <w:szCs w:val="22"/>
        </w:rPr>
        <w:t xml:space="preserve"> (32.8) respectively) with a resulting adjusted geometric mean ratio [90% CI] of 1.10 [0.98</w:t>
      </w:r>
      <w:r w:rsidR="000A6DDA" w:rsidRPr="00F244F7">
        <w:rPr>
          <w:szCs w:val="22"/>
        </w:rPr>
        <w:noBreakHyphen/>
      </w:r>
      <w:r w:rsidRPr="00F244F7">
        <w:rPr>
          <w:szCs w:val="22"/>
        </w:rPr>
        <w:t>1.24].</w:t>
      </w:r>
    </w:p>
    <w:p w14:paraId="7C332258" w14:textId="77777777" w:rsidR="00763853" w:rsidRPr="008C69AC" w:rsidRDefault="00016F29" w:rsidP="001A72EB">
      <w:pPr>
        <w:rPr>
          <w:rFonts w:eastAsia="MS Mincho" w:cs="Arial"/>
          <w:lang w:val="en-GB" w:eastAsia="en-GB"/>
        </w:rPr>
      </w:pPr>
      <w:r w:rsidRPr="008C69AC">
        <w:rPr>
          <w:rFonts w:eastAsia="MS Mincho" w:cs="Arial"/>
          <w:lang w:val="en-GB" w:eastAsia="en-GB"/>
        </w:rPr>
        <w:t xml:space="preserve">Based on popPK analysis </w:t>
      </w:r>
      <w:r w:rsidR="00AF1534" w:rsidRPr="008C69AC">
        <w:rPr>
          <w:rFonts w:eastAsia="MS Mincho" w:cs="Arial"/>
          <w:lang w:val="en-GB" w:eastAsia="en-GB"/>
        </w:rPr>
        <w:t xml:space="preserve">of study BO25341 (SAWYER) </w:t>
      </w:r>
      <w:r w:rsidR="00AF1534" w:rsidRPr="008C69AC">
        <w:rPr>
          <w:szCs w:val="22"/>
          <w:lang w:val="en-GB"/>
        </w:rPr>
        <w:t>an absolute</w:t>
      </w:r>
      <w:r w:rsidRPr="008C69AC">
        <w:rPr>
          <w:rFonts w:eastAsia="MS Mincho" w:cs="Arial"/>
          <w:lang w:val="en-GB" w:eastAsia="en-GB"/>
        </w:rPr>
        <w:t xml:space="preserve"> bioavailability of </w:t>
      </w:r>
      <w:r w:rsidR="00AF1534" w:rsidRPr="008C69AC">
        <w:rPr>
          <w:rFonts w:eastAsia="MS Mincho" w:cs="Arial"/>
          <w:lang w:val="en-GB" w:eastAsia="en-GB"/>
        </w:rPr>
        <w:t>68.4%</w:t>
      </w:r>
      <w:r w:rsidRPr="008C69AC">
        <w:rPr>
          <w:rFonts w:eastAsia="MS Mincho" w:cs="Arial"/>
          <w:lang w:val="en-GB" w:eastAsia="en-GB"/>
        </w:rPr>
        <w:t xml:space="preserve"> was estimated.</w:t>
      </w:r>
    </w:p>
    <w:p w14:paraId="7C332259" w14:textId="77777777" w:rsidR="00763853" w:rsidRPr="008C69AC" w:rsidRDefault="00763853" w:rsidP="003F42D3">
      <w:pPr>
        <w:rPr>
          <w:rFonts w:eastAsia="MS Mincho" w:cs="Arial"/>
          <w:u w:val="single"/>
          <w:lang w:val="en-GB" w:eastAsia="en-GB"/>
        </w:rPr>
      </w:pPr>
    </w:p>
    <w:p w14:paraId="7C33225A" w14:textId="77777777" w:rsidR="000F26CA" w:rsidRPr="008C69AC" w:rsidRDefault="00016F29" w:rsidP="000F26CA">
      <w:pPr>
        <w:keepNext/>
        <w:keepLines/>
        <w:rPr>
          <w:szCs w:val="22"/>
          <w:u w:val="single"/>
          <w:lang w:val="en-GB"/>
        </w:rPr>
      </w:pPr>
      <w:r w:rsidRPr="008C69AC">
        <w:rPr>
          <w:szCs w:val="22"/>
          <w:u w:val="single"/>
          <w:lang w:val="en-GB"/>
        </w:rPr>
        <w:t>Distribution/Elimination</w:t>
      </w:r>
    </w:p>
    <w:p w14:paraId="7C33225B" w14:textId="77777777" w:rsidR="000F26CA" w:rsidRPr="008C69AC" w:rsidRDefault="000F26CA" w:rsidP="002B7226">
      <w:pPr>
        <w:rPr>
          <w:rFonts w:cs="Arial"/>
          <w:szCs w:val="22"/>
          <w:u w:val="single"/>
          <w:shd w:val="clear" w:color="auto" w:fill="FFFF00"/>
        </w:rPr>
      </w:pPr>
    </w:p>
    <w:p w14:paraId="7C33225C" w14:textId="77777777" w:rsidR="000F26CA" w:rsidRPr="009C3030" w:rsidRDefault="00016F29" w:rsidP="00A6595C">
      <w:pPr>
        <w:rPr>
          <w:shd w:val="clear" w:color="auto" w:fill="FFFFFF"/>
        </w:rPr>
      </w:pPr>
      <w:r w:rsidRPr="009C3030">
        <w:rPr>
          <w:shd w:val="clear" w:color="auto" w:fill="FFFFFF"/>
        </w:rPr>
        <w:t>The estimated half</w:t>
      </w:r>
      <w:r w:rsidR="000A6DDA" w:rsidRPr="009C3030">
        <w:rPr>
          <w:shd w:val="clear" w:color="auto" w:fill="FFFFFF"/>
        </w:rPr>
        <w:noBreakHyphen/>
      </w:r>
      <w:r w:rsidRPr="009C3030">
        <w:rPr>
          <w:shd w:val="clear" w:color="auto" w:fill="FFFFFF"/>
        </w:rPr>
        <w:t>life of Mabthera subcutaneous formulation of 1600 mg is 30 days, the estimated clearance is 0.22 L/day and the volume of distribution of the central compartment is 4.65 L.</w:t>
      </w:r>
    </w:p>
    <w:p w14:paraId="7C33225D" w14:textId="77777777" w:rsidR="003F42D3" w:rsidRPr="001A72EB" w:rsidRDefault="003F42D3" w:rsidP="009C58AE">
      <w:pPr>
        <w:suppressLineNumbers/>
        <w:tabs>
          <w:tab w:val="left" w:pos="567"/>
        </w:tabs>
        <w:rPr>
          <w:rFonts w:cs="Arial"/>
          <w:lang w:val="en-GB"/>
        </w:rPr>
      </w:pPr>
    </w:p>
    <w:p w14:paraId="7C33225E" w14:textId="77777777" w:rsidR="00A800F2" w:rsidRDefault="00016F29" w:rsidP="00A6595C">
      <w:pPr>
        <w:rPr>
          <w:u w:val="single"/>
        </w:rPr>
      </w:pPr>
      <w:r w:rsidRPr="00A6595C">
        <w:rPr>
          <w:u w:val="single"/>
        </w:rPr>
        <w:t xml:space="preserve">Special </w:t>
      </w:r>
      <w:r w:rsidR="00615F7C" w:rsidRPr="00A6595C">
        <w:rPr>
          <w:u w:val="single"/>
        </w:rPr>
        <w:t>p</w:t>
      </w:r>
      <w:r w:rsidRPr="00A6595C">
        <w:rPr>
          <w:u w:val="single"/>
        </w:rPr>
        <w:t>opulations</w:t>
      </w:r>
    </w:p>
    <w:p w14:paraId="7C33225F" w14:textId="77777777" w:rsidR="00A6595C" w:rsidRPr="00A6595C" w:rsidRDefault="00A6595C" w:rsidP="00A6595C">
      <w:pPr>
        <w:rPr>
          <w:u w:val="single"/>
        </w:rPr>
      </w:pPr>
    </w:p>
    <w:p w14:paraId="7C332260" w14:textId="77777777" w:rsidR="00A800F2" w:rsidRDefault="00016F29" w:rsidP="007318E4">
      <w:r w:rsidRPr="008C69AC">
        <w:t xml:space="preserve">As typical for monoclonal antibodies, rituximab PK parameters depended on body size measures.  All clearance and volume parameters increased with BSA.  In addition, central volume was slightly (9%) lower in females compared to males.  Absorption parameters of subcutaneous  formulation, </w:t>
      </w:r>
      <w:r w:rsidRPr="008C69AC">
        <w:rPr>
          <w:color w:val="000000"/>
        </w:rPr>
        <w:t xml:space="preserve">decreased with increasing BMI.  </w:t>
      </w:r>
      <w:r w:rsidRPr="008C69AC">
        <w:t>Conditional simulations that summarized the impact of all body size dependencies on rituximab exposure demonstrated that, while fixed subcutaneous dosing leads to larger differences in exposure (C</w:t>
      </w:r>
      <w:r w:rsidRPr="008C69AC">
        <w:rPr>
          <w:vertAlign w:val="subscript"/>
        </w:rPr>
        <w:t>trough</w:t>
      </w:r>
      <w:r w:rsidRPr="008C69AC">
        <w:t xml:space="preserve"> and AUC</w:t>
      </w:r>
      <w:r w:rsidRPr="008C69AC">
        <w:rPr>
          <w:vertAlign w:val="subscript"/>
        </w:rPr>
        <w:t>τ</w:t>
      </w:r>
      <w:r w:rsidRPr="008C69AC">
        <w:t>) between subjects with low and high body sizes compared to body</w:t>
      </w:r>
      <w:r w:rsidR="000A6DDA" w:rsidRPr="008C69AC">
        <w:noBreakHyphen/>
      </w:r>
      <w:r w:rsidRPr="008C69AC">
        <w:t>weight</w:t>
      </w:r>
      <w:r w:rsidR="000A6DDA" w:rsidRPr="008C69AC">
        <w:noBreakHyphen/>
      </w:r>
      <w:r w:rsidRPr="008C69AC">
        <w:t>adjusted intravenous dosing, it allows to maintain C</w:t>
      </w:r>
      <w:r w:rsidRPr="008C69AC">
        <w:rPr>
          <w:vertAlign w:val="subscript"/>
        </w:rPr>
        <w:t>trough</w:t>
      </w:r>
      <w:r w:rsidRPr="008C69AC">
        <w:t xml:space="preserve"> and AUC</w:t>
      </w:r>
      <w:r w:rsidRPr="008C69AC">
        <w:rPr>
          <w:vertAlign w:val="subscript"/>
        </w:rPr>
        <w:t>τ</w:t>
      </w:r>
      <w:r w:rsidRPr="008C69AC">
        <w:t xml:space="preserve"> values for all body</w:t>
      </w:r>
      <w:r w:rsidR="000A6DDA" w:rsidRPr="008C69AC">
        <w:noBreakHyphen/>
      </w:r>
      <w:r w:rsidRPr="008C69AC">
        <w:t xml:space="preserve">size groups at the levels not lower than levels attained by intravenous dosing, thus achieving at least the same target saturation as for intravenousdosing.  For subjects weighing </w:t>
      </w:r>
      <w:r w:rsidRPr="008C69AC">
        <w:rPr>
          <w:sz w:val="11"/>
        </w:rPr>
        <w:t> </w:t>
      </w:r>
      <w:r w:rsidRPr="00E06A78">
        <w:rPr>
          <w:rFonts w:ascii="Symbol" w:hAnsi="Symbol"/>
        </w:rPr>
        <w:sym w:font="Symbol" w:char="F03E"/>
      </w:r>
      <w:r w:rsidRPr="008C69AC">
        <w:rPr>
          <w:sz w:val="11"/>
        </w:rPr>
        <w:t> </w:t>
      </w:r>
      <w:r w:rsidRPr="008C69AC">
        <w:t>90 kg, C</w:t>
      </w:r>
      <w:r w:rsidRPr="008C69AC">
        <w:rPr>
          <w:vertAlign w:val="subscript"/>
        </w:rPr>
        <w:t>trough</w:t>
      </w:r>
      <w:r w:rsidRPr="008C69AC">
        <w:t xml:space="preserve"> values were the same for the intravenous and subcutaneous regimens.  For subjects weighing 60</w:t>
      </w:r>
      <w:r w:rsidR="000A6DDA" w:rsidRPr="008C69AC">
        <w:noBreakHyphen/>
      </w:r>
      <w:r w:rsidRPr="008C69AC">
        <w:t xml:space="preserve">90 kg and </w:t>
      </w:r>
      <w:r w:rsidRPr="008C69AC">
        <w:rPr>
          <w:sz w:val="11"/>
        </w:rPr>
        <w:t> </w:t>
      </w:r>
      <w:r w:rsidRPr="00E06A78">
        <w:rPr>
          <w:rFonts w:ascii="Symbol" w:hAnsi="Symbol"/>
        </w:rPr>
        <w:sym w:font="Symbol" w:char="F03C"/>
      </w:r>
      <w:r w:rsidRPr="008C69AC">
        <w:rPr>
          <w:sz w:val="11"/>
        </w:rPr>
        <w:t> </w:t>
      </w:r>
      <w:r w:rsidRPr="008C69AC">
        <w:t>60 kg, average C</w:t>
      </w:r>
      <w:r w:rsidRPr="008C69AC">
        <w:rPr>
          <w:vertAlign w:val="subscript"/>
        </w:rPr>
        <w:t>trough</w:t>
      </w:r>
      <w:r w:rsidRPr="008C69AC">
        <w:t xml:space="preserve"> values following intravenous dosing were approximately 16% and 34% lower compared to the subcutaneous regimen, respectively.  Similarly, for subjects in the high BSA tritile, C</w:t>
      </w:r>
      <w:r w:rsidRPr="008C69AC">
        <w:rPr>
          <w:vertAlign w:val="subscript"/>
        </w:rPr>
        <w:t>trough</w:t>
      </w:r>
      <w:r w:rsidRPr="008C69AC">
        <w:t xml:space="preserve"> values were the same for the intravenous and subcutaneous regimens.  For subjects in the middle and low BSA tritiles, average C</w:t>
      </w:r>
      <w:r w:rsidRPr="008C69AC">
        <w:rPr>
          <w:vertAlign w:val="subscript"/>
        </w:rPr>
        <w:t>trough</w:t>
      </w:r>
      <w:r w:rsidRPr="008C69AC">
        <w:t xml:space="preserve"> values following intravenous dosing were approximately 12% and 26% lower compared to the subcutaneous regimen.</w:t>
      </w:r>
    </w:p>
    <w:p w14:paraId="7C332261" w14:textId="77777777" w:rsidR="007318E4" w:rsidRPr="008C69AC" w:rsidRDefault="007318E4" w:rsidP="007318E4"/>
    <w:p w14:paraId="7C332262" w14:textId="77777777" w:rsidR="00A800F2" w:rsidRDefault="00016F29" w:rsidP="007318E4">
      <w:r w:rsidRPr="008C69AC">
        <w:t>In addition to dependence on body size, time</w:t>
      </w:r>
      <w:r w:rsidR="000A6DDA" w:rsidRPr="008C69AC">
        <w:noBreakHyphen/>
      </w:r>
      <w:r w:rsidRPr="008C69AC">
        <w:t>dependent clearance was higher in subjects with higher baseline tumour size, which is consistent with target</w:t>
      </w:r>
      <w:r w:rsidR="000A6DDA" w:rsidRPr="008C69AC">
        <w:noBreakHyphen/>
      </w:r>
      <w:r w:rsidRPr="008C69AC">
        <w:t>mediated elimination.  Higher time</w:t>
      </w:r>
      <w:r w:rsidR="000A6DDA" w:rsidRPr="008C69AC">
        <w:noBreakHyphen/>
      </w:r>
      <w:r w:rsidRPr="008C69AC">
        <w:t>dependenet clearance in subjects with higher disease burden would lead to lower initial exposure and longer time needed to achieve the same exposure as in subjects with lower burden of the disease.</w:t>
      </w:r>
    </w:p>
    <w:p w14:paraId="7C332263" w14:textId="77777777" w:rsidR="007318E4" w:rsidRPr="008C69AC" w:rsidRDefault="007318E4" w:rsidP="007318E4"/>
    <w:p w14:paraId="7C332264" w14:textId="77777777" w:rsidR="003F42D3" w:rsidRPr="00C501E3" w:rsidRDefault="00016F29" w:rsidP="003F42D3">
      <w:pPr>
        <w:ind w:left="567" w:hanging="567"/>
        <w:outlineLvl w:val="0"/>
        <w:rPr>
          <w:szCs w:val="22"/>
          <w:lang w:val="en-GB"/>
        </w:rPr>
      </w:pPr>
      <w:r w:rsidRPr="00C501E3">
        <w:rPr>
          <w:b/>
          <w:szCs w:val="22"/>
          <w:lang w:val="en-GB"/>
        </w:rPr>
        <w:t>5.3</w:t>
      </w:r>
      <w:r w:rsidRPr="00C501E3">
        <w:rPr>
          <w:b/>
          <w:szCs w:val="22"/>
          <w:lang w:val="en-GB"/>
        </w:rPr>
        <w:tab/>
        <w:t>Preclinical safety data</w:t>
      </w:r>
    </w:p>
    <w:p w14:paraId="7C332265" w14:textId="77777777" w:rsidR="003F42D3" w:rsidRPr="00C501E3" w:rsidRDefault="003F42D3" w:rsidP="003F42D3">
      <w:pPr>
        <w:rPr>
          <w:szCs w:val="22"/>
          <w:lang w:val="en-GB"/>
        </w:rPr>
      </w:pPr>
    </w:p>
    <w:p w14:paraId="7C332266" w14:textId="77777777" w:rsidR="003F42D3" w:rsidRPr="000E744B" w:rsidRDefault="00016F29" w:rsidP="003F42D3">
      <w:pPr>
        <w:rPr>
          <w:szCs w:val="22"/>
          <w:lang w:val="en-GB"/>
        </w:rPr>
      </w:pPr>
      <w:r w:rsidRPr="000E744B">
        <w:rPr>
          <w:szCs w:val="22"/>
          <w:lang w:val="en-GB"/>
        </w:rPr>
        <w:t xml:space="preserve">Rituximab has shown to be highly specific to the CD20 antigen on B cells. Toxicity studies in cynomolgus monkeys have shown no other effect than the expected pharmacological depletion of B cells in peripheral blood and in lymphoid tissue. </w:t>
      </w:r>
    </w:p>
    <w:p w14:paraId="7C332267" w14:textId="77777777" w:rsidR="003F42D3" w:rsidRPr="000E744B" w:rsidRDefault="003F42D3" w:rsidP="003F42D3">
      <w:pPr>
        <w:rPr>
          <w:szCs w:val="22"/>
          <w:lang w:val="en-GB"/>
        </w:rPr>
      </w:pPr>
    </w:p>
    <w:p w14:paraId="7C332268" w14:textId="77777777" w:rsidR="003F42D3" w:rsidRPr="00714FA5" w:rsidRDefault="00016F29" w:rsidP="003F42D3">
      <w:pPr>
        <w:rPr>
          <w:szCs w:val="22"/>
          <w:lang w:val="en-GB"/>
        </w:rPr>
      </w:pPr>
      <w:r w:rsidRPr="000E744B">
        <w:rPr>
          <w:szCs w:val="22"/>
          <w:lang w:val="en-GB"/>
        </w:rPr>
        <w:t>Developmental toxicity studies have been performed in cynomolgus monkeys at doses up to 100 mg/kg (treatment on gestation days 20</w:t>
      </w:r>
      <w:r w:rsidR="000A6DDA" w:rsidRPr="000E744B">
        <w:rPr>
          <w:szCs w:val="22"/>
          <w:lang w:val="en-GB"/>
        </w:rPr>
        <w:noBreakHyphen/>
      </w:r>
      <w:r w:rsidRPr="000E744B">
        <w:rPr>
          <w:szCs w:val="22"/>
          <w:lang w:val="en-GB"/>
        </w:rPr>
        <w:t>50) and have revealed no evidence of toxicity to the foetus</w:t>
      </w:r>
      <w:r w:rsidRPr="00C501E3">
        <w:rPr>
          <w:szCs w:val="22"/>
          <w:lang w:val="en-GB"/>
        </w:rPr>
        <w:t xml:space="preserve"> </w:t>
      </w:r>
      <w:r w:rsidRPr="00714FA5">
        <w:rPr>
          <w:szCs w:val="22"/>
          <w:lang w:val="en-GB"/>
        </w:rPr>
        <w:t>due to rituximab. However, dose</w:t>
      </w:r>
      <w:r w:rsidR="000A6DDA" w:rsidRPr="00714FA5">
        <w:rPr>
          <w:szCs w:val="22"/>
          <w:lang w:val="en-GB"/>
        </w:rPr>
        <w:noBreakHyphen/>
      </w:r>
      <w:r w:rsidRPr="00714FA5">
        <w:rPr>
          <w:szCs w:val="22"/>
          <w:lang w:val="en-GB"/>
        </w:rPr>
        <w:t>dependent pharmacologic depletion of B cells in the lymphoid organs of the foetuses was observed</w:t>
      </w:r>
      <w:r w:rsidRPr="00714FA5">
        <w:rPr>
          <w:rFonts w:eastAsia="MS Mincho"/>
          <w:bCs/>
          <w:iCs/>
          <w:szCs w:val="22"/>
          <w:lang w:val="en-GB" w:eastAsia="zh-CN"/>
        </w:rPr>
        <w:t>, which persisted post natally and was accompanied by a decrease in IgG level in the newborn animals affected. B cell counts returned to normal in these animals within 6 months of birth and did not compromise the reaction to immunization.</w:t>
      </w:r>
    </w:p>
    <w:p w14:paraId="7C332269" w14:textId="77777777" w:rsidR="003F42D3" w:rsidRPr="00714FA5" w:rsidRDefault="003F42D3" w:rsidP="003F42D3">
      <w:pPr>
        <w:rPr>
          <w:szCs w:val="22"/>
          <w:lang w:val="en-GB"/>
        </w:rPr>
      </w:pPr>
    </w:p>
    <w:p w14:paraId="7C33226A" w14:textId="77777777" w:rsidR="003F42D3" w:rsidRPr="00C501E3" w:rsidRDefault="00016F29" w:rsidP="003F42D3">
      <w:pPr>
        <w:rPr>
          <w:strike/>
          <w:szCs w:val="22"/>
          <w:lang w:val="en-GB"/>
        </w:rPr>
      </w:pPr>
      <w:r w:rsidRPr="00714FA5">
        <w:rPr>
          <w:lang w:val="en-GB"/>
        </w:rPr>
        <w:t xml:space="preserve">Standard tests to investigate mutagenicity have not been carried out, since such tests are not relevant </w:t>
      </w:r>
      <w:r w:rsidRPr="00A6091A">
        <w:rPr>
          <w:lang w:val="en-GB"/>
        </w:rPr>
        <w:t xml:space="preserve">for this molecule. </w:t>
      </w:r>
      <w:r w:rsidRPr="00A6091A">
        <w:rPr>
          <w:szCs w:val="22"/>
          <w:lang w:val="en-GB"/>
        </w:rPr>
        <w:t>No long</w:t>
      </w:r>
      <w:r w:rsidR="000A6DDA" w:rsidRPr="00A6091A">
        <w:rPr>
          <w:szCs w:val="22"/>
          <w:lang w:val="en-GB"/>
        </w:rPr>
        <w:noBreakHyphen/>
      </w:r>
      <w:r w:rsidRPr="00A6091A">
        <w:rPr>
          <w:szCs w:val="22"/>
          <w:lang w:val="en-GB"/>
        </w:rPr>
        <w:t>term animal studies have been performed to establish the carcinogenic</w:t>
      </w:r>
      <w:r w:rsidRPr="00C501E3">
        <w:rPr>
          <w:szCs w:val="22"/>
          <w:lang w:val="en-GB"/>
        </w:rPr>
        <w:t xml:space="preserve"> potential of rituximab.</w:t>
      </w:r>
      <w:r w:rsidRPr="00C501E3">
        <w:rPr>
          <w:strike/>
          <w:szCs w:val="22"/>
          <w:lang w:val="en-GB"/>
        </w:rPr>
        <w:t xml:space="preserve"> </w:t>
      </w:r>
    </w:p>
    <w:p w14:paraId="7C33226B" w14:textId="77777777" w:rsidR="003F42D3" w:rsidRPr="00C501E3" w:rsidRDefault="00016F29" w:rsidP="003F42D3">
      <w:pPr>
        <w:rPr>
          <w:lang w:val="en-GB"/>
        </w:rPr>
      </w:pPr>
      <w:r w:rsidRPr="00C501E3">
        <w:rPr>
          <w:lang w:val="en-GB"/>
        </w:rPr>
        <w:t>Specific studies to determine the effects of rituximab or rHuPH20 on fertility have not been performed. In general toxicity studies in cynomolgus monkeys no deleterious effects on reproductive organs in males or females were observed. Additionally, no effects on semen quality were shown for rHuPH20.</w:t>
      </w:r>
    </w:p>
    <w:p w14:paraId="7C33226C" w14:textId="77777777" w:rsidR="003F42D3" w:rsidRPr="00C501E3" w:rsidRDefault="003F42D3" w:rsidP="003F42D3">
      <w:pPr>
        <w:rPr>
          <w:szCs w:val="22"/>
          <w:lang w:val="en-GB"/>
        </w:rPr>
      </w:pPr>
    </w:p>
    <w:p w14:paraId="7C33226D" w14:textId="77777777" w:rsidR="003F42D3" w:rsidRPr="00C501E3" w:rsidRDefault="00016F29" w:rsidP="003F42D3">
      <w:pPr>
        <w:rPr>
          <w:rFonts w:cs="Arial"/>
          <w:lang w:val="en-GB"/>
        </w:rPr>
      </w:pPr>
      <w:r w:rsidRPr="00C501E3">
        <w:rPr>
          <w:lang w:val="en-GB"/>
        </w:rPr>
        <w:t>In embryofetal developmental studies in mice, rHuPH20 caused reduced fetal weight and loss of implantations at systemic exposures sufficiently in excess of human therapeutic exposure.</w:t>
      </w:r>
    </w:p>
    <w:p w14:paraId="7C33226E" w14:textId="77777777" w:rsidR="003F42D3" w:rsidRPr="00C501E3" w:rsidRDefault="00016F29" w:rsidP="003F42D3">
      <w:pPr>
        <w:rPr>
          <w:rFonts w:cs="Arial"/>
          <w:lang w:val="en-GB"/>
        </w:rPr>
      </w:pPr>
      <w:r w:rsidRPr="00C501E3">
        <w:rPr>
          <w:rFonts w:cs="Arial"/>
          <w:lang w:val="en-GB"/>
        </w:rPr>
        <w:t>There is no evidence of dysmorphogenesis (i.e. teratogenesis) resulting from systemic exposure to rHuPH20.</w:t>
      </w:r>
    </w:p>
    <w:p w14:paraId="7C33226F" w14:textId="77777777" w:rsidR="003F42D3" w:rsidRPr="00C501E3" w:rsidRDefault="003F42D3" w:rsidP="003F42D3">
      <w:pPr>
        <w:rPr>
          <w:rFonts w:cs="Arial"/>
          <w:lang w:val="en-GB"/>
        </w:rPr>
      </w:pPr>
    </w:p>
    <w:p w14:paraId="7C332270" w14:textId="77777777" w:rsidR="003F42D3" w:rsidRPr="00C501E3" w:rsidRDefault="003F42D3" w:rsidP="003F42D3">
      <w:pPr>
        <w:rPr>
          <w:rFonts w:cs="Arial"/>
          <w:lang w:val="en-GB"/>
        </w:rPr>
      </w:pPr>
    </w:p>
    <w:p w14:paraId="7C332271" w14:textId="77777777" w:rsidR="003F42D3" w:rsidRPr="00C501E3" w:rsidRDefault="00016F29" w:rsidP="003F42D3">
      <w:pPr>
        <w:ind w:left="14" w:hanging="14"/>
        <w:outlineLvl w:val="0"/>
        <w:rPr>
          <w:b/>
          <w:szCs w:val="22"/>
          <w:lang w:val="en-GB"/>
        </w:rPr>
      </w:pPr>
      <w:r w:rsidRPr="00C501E3">
        <w:rPr>
          <w:b/>
          <w:szCs w:val="22"/>
          <w:lang w:val="en-GB"/>
        </w:rPr>
        <w:t>6.</w:t>
      </w:r>
      <w:r w:rsidRPr="00C501E3">
        <w:rPr>
          <w:b/>
          <w:szCs w:val="22"/>
          <w:lang w:val="en-GB"/>
        </w:rPr>
        <w:tab/>
        <w:t>PHARMACEUTICAL PARTICULARS</w:t>
      </w:r>
    </w:p>
    <w:p w14:paraId="7C332272" w14:textId="77777777" w:rsidR="003F42D3" w:rsidRPr="00C501E3" w:rsidRDefault="003F42D3" w:rsidP="003F42D3">
      <w:pPr>
        <w:rPr>
          <w:szCs w:val="22"/>
          <w:lang w:val="en-GB"/>
        </w:rPr>
      </w:pPr>
    </w:p>
    <w:p w14:paraId="7C332273" w14:textId="77777777" w:rsidR="003F42D3" w:rsidRPr="00C501E3" w:rsidRDefault="00016F29" w:rsidP="003F42D3">
      <w:pPr>
        <w:ind w:left="567" w:hanging="567"/>
        <w:outlineLvl w:val="0"/>
        <w:rPr>
          <w:szCs w:val="22"/>
          <w:lang w:val="en-GB"/>
        </w:rPr>
      </w:pPr>
      <w:r w:rsidRPr="00C501E3">
        <w:rPr>
          <w:b/>
          <w:szCs w:val="22"/>
          <w:lang w:val="en-GB"/>
        </w:rPr>
        <w:t>6.1</w:t>
      </w:r>
      <w:r w:rsidRPr="00C501E3">
        <w:rPr>
          <w:b/>
          <w:szCs w:val="22"/>
          <w:lang w:val="en-GB"/>
        </w:rPr>
        <w:tab/>
        <w:t>List of excipients</w:t>
      </w:r>
    </w:p>
    <w:p w14:paraId="7C332274" w14:textId="77777777" w:rsidR="003F42D3" w:rsidRPr="00C501E3" w:rsidRDefault="003F42D3" w:rsidP="003F42D3">
      <w:pPr>
        <w:rPr>
          <w:b/>
          <w:szCs w:val="22"/>
          <w:lang w:val="en-GB"/>
        </w:rPr>
      </w:pPr>
    </w:p>
    <w:p w14:paraId="7C332275" w14:textId="77777777" w:rsidR="003F42D3" w:rsidRPr="00B65D4A" w:rsidRDefault="00016F29" w:rsidP="003F42D3">
      <w:pPr>
        <w:outlineLvl w:val="0"/>
        <w:rPr>
          <w:szCs w:val="22"/>
          <w:lang w:val="en-GB"/>
        </w:rPr>
      </w:pPr>
      <w:r w:rsidRPr="00B65D4A">
        <w:rPr>
          <w:szCs w:val="22"/>
          <w:lang w:val="en-GB"/>
        </w:rPr>
        <w:t>Recombinant human hyaluronidase (rHuPH20)</w:t>
      </w:r>
    </w:p>
    <w:p w14:paraId="7C332276" w14:textId="77777777" w:rsidR="003F42D3" w:rsidRPr="00E06A78" w:rsidRDefault="00016F29" w:rsidP="003F42D3">
      <w:pPr>
        <w:outlineLvl w:val="0"/>
        <w:rPr>
          <w:lang w:val="da-DK"/>
        </w:rPr>
      </w:pPr>
      <w:r w:rsidRPr="00E06A78">
        <w:rPr>
          <w:lang w:val="da-DK"/>
        </w:rPr>
        <w:t>L</w:t>
      </w:r>
      <w:r w:rsidR="000A6DDA" w:rsidRPr="00E06A78">
        <w:rPr>
          <w:lang w:val="da-DK"/>
        </w:rPr>
        <w:noBreakHyphen/>
      </w:r>
      <w:r w:rsidRPr="00E06A78">
        <w:rPr>
          <w:lang w:val="da-DK"/>
        </w:rPr>
        <w:t>histidine</w:t>
      </w:r>
    </w:p>
    <w:p w14:paraId="7C332277" w14:textId="77777777" w:rsidR="003F42D3" w:rsidRPr="00E06A78" w:rsidRDefault="00016F29" w:rsidP="003F42D3">
      <w:pPr>
        <w:outlineLvl w:val="0"/>
        <w:rPr>
          <w:lang w:val="da-DK"/>
        </w:rPr>
      </w:pPr>
      <w:r w:rsidRPr="00E06A78">
        <w:rPr>
          <w:lang w:val="da-DK"/>
        </w:rPr>
        <w:t>L</w:t>
      </w:r>
      <w:r w:rsidR="000A6DDA" w:rsidRPr="00E06A78">
        <w:rPr>
          <w:lang w:val="da-DK"/>
        </w:rPr>
        <w:noBreakHyphen/>
      </w:r>
      <w:r w:rsidRPr="00E06A78">
        <w:rPr>
          <w:lang w:val="da-DK"/>
        </w:rPr>
        <w:t>histidine hydrochloride monohydrate</w:t>
      </w:r>
    </w:p>
    <w:p w14:paraId="7C332278" w14:textId="77777777" w:rsidR="003F42D3" w:rsidRPr="00B65D4A" w:rsidRDefault="00016F29" w:rsidP="003F42D3">
      <w:pPr>
        <w:outlineLvl w:val="0"/>
        <w:rPr>
          <w:szCs w:val="22"/>
          <w:lang w:val="en-GB"/>
        </w:rPr>
      </w:pPr>
      <w:r w:rsidRPr="00B65D4A">
        <w:rPr>
          <w:rFonts w:ascii="Symbol" w:hAnsi="Symbol"/>
          <w:szCs w:val="22"/>
          <w:lang w:val="en-GB"/>
        </w:rPr>
        <w:sym w:font="Symbol" w:char="F061"/>
      </w:r>
      <w:r w:rsidRPr="00B65D4A">
        <w:rPr>
          <w:szCs w:val="22"/>
          <w:lang w:val="en-GB"/>
        </w:rPr>
        <w:t>,</w:t>
      </w:r>
      <w:r w:rsidRPr="00B65D4A">
        <w:rPr>
          <w:rFonts w:ascii="Symbol" w:hAnsi="Symbol"/>
          <w:szCs w:val="22"/>
          <w:lang w:val="en-GB"/>
        </w:rPr>
        <w:sym w:font="Symbol" w:char="F061"/>
      </w:r>
      <w:r w:rsidR="000A6DDA" w:rsidRPr="00B65D4A">
        <w:rPr>
          <w:szCs w:val="22"/>
          <w:lang w:val="en-GB"/>
        </w:rPr>
        <w:noBreakHyphen/>
      </w:r>
      <w:r w:rsidRPr="00B65D4A">
        <w:rPr>
          <w:szCs w:val="22"/>
          <w:lang w:val="en-GB"/>
        </w:rPr>
        <w:t>trehalose dihydrate</w:t>
      </w:r>
    </w:p>
    <w:p w14:paraId="7C332279" w14:textId="77777777" w:rsidR="003F42D3" w:rsidRPr="00B65D4A" w:rsidRDefault="00016F29" w:rsidP="003F42D3">
      <w:pPr>
        <w:outlineLvl w:val="0"/>
        <w:rPr>
          <w:szCs w:val="22"/>
          <w:lang w:val="en-GB"/>
        </w:rPr>
      </w:pPr>
      <w:r w:rsidRPr="00B65D4A">
        <w:rPr>
          <w:lang w:val="en-GB"/>
        </w:rPr>
        <w:t>L</w:t>
      </w:r>
      <w:r w:rsidR="000A6DDA" w:rsidRPr="00B65D4A">
        <w:rPr>
          <w:lang w:val="en-GB"/>
        </w:rPr>
        <w:noBreakHyphen/>
      </w:r>
      <w:r w:rsidRPr="00B65D4A">
        <w:rPr>
          <w:lang w:val="en-GB"/>
        </w:rPr>
        <w:t>methionine</w:t>
      </w:r>
    </w:p>
    <w:p w14:paraId="7C33227A" w14:textId="77777777" w:rsidR="003F42D3" w:rsidRPr="00C501E3" w:rsidRDefault="00016F29" w:rsidP="003F42D3">
      <w:pPr>
        <w:rPr>
          <w:szCs w:val="22"/>
          <w:lang w:val="en-GB"/>
        </w:rPr>
      </w:pPr>
      <w:r w:rsidRPr="00C501E3">
        <w:rPr>
          <w:szCs w:val="22"/>
          <w:lang w:val="en-GB"/>
        </w:rPr>
        <w:t>Polysorbate 80</w:t>
      </w:r>
      <w:r w:rsidR="00464EF6">
        <w:rPr>
          <w:szCs w:val="22"/>
          <w:lang w:val="en-GB"/>
        </w:rPr>
        <w:t xml:space="preserve"> (E433)</w:t>
      </w:r>
    </w:p>
    <w:p w14:paraId="7C33227B" w14:textId="77777777" w:rsidR="003F42D3" w:rsidRPr="00C501E3" w:rsidRDefault="00016F29" w:rsidP="003F42D3">
      <w:pPr>
        <w:rPr>
          <w:lang w:val="en-GB"/>
        </w:rPr>
      </w:pPr>
      <w:r w:rsidRPr="00C501E3">
        <w:rPr>
          <w:szCs w:val="22"/>
          <w:lang w:val="en-GB"/>
        </w:rPr>
        <w:t>Water for injections</w:t>
      </w:r>
      <w:r w:rsidRPr="00C501E3">
        <w:rPr>
          <w:color w:val="008000"/>
          <w:lang w:val="en-GB"/>
        </w:rPr>
        <w:t xml:space="preserve"> </w:t>
      </w:r>
    </w:p>
    <w:p w14:paraId="7C33227C" w14:textId="77777777" w:rsidR="003F42D3" w:rsidRPr="00C501E3" w:rsidRDefault="003F42D3" w:rsidP="003F42D3">
      <w:pPr>
        <w:rPr>
          <w:b/>
          <w:szCs w:val="22"/>
          <w:lang w:val="en-GB"/>
        </w:rPr>
      </w:pPr>
    </w:p>
    <w:p w14:paraId="7C33227D" w14:textId="77777777" w:rsidR="003F42D3" w:rsidRPr="00C501E3" w:rsidRDefault="00016F29" w:rsidP="003F42D3">
      <w:pPr>
        <w:keepNext/>
        <w:keepLines/>
        <w:ind w:left="567" w:hanging="567"/>
        <w:outlineLvl w:val="0"/>
        <w:rPr>
          <w:szCs w:val="22"/>
          <w:lang w:val="en-GB"/>
        </w:rPr>
      </w:pPr>
      <w:r w:rsidRPr="00C501E3">
        <w:rPr>
          <w:b/>
          <w:szCs w:val="22"/>
          <w:lang w:val="en-GB"/>
        </w:rPr>
        <w:t>6.2</w:t>
      </w:r>
      <w:r w:rsidRPr="00C501E3">
        <w:rPr>
          <w:b/>
          <w:szCs w:val="22"/>
          <w:lang w:val="en-GB"/>
        </w:rPr>
        <w:tab/>
        <w:t>Incompatibilities</w:t>
      </w:r>
    </w:p>
    <w:p w14:paraId="7C33227E" w14:textId="77777777" w:rsidR="003F42D3" w:rsidRPr="00C501E3" w:rsidRDefault="003F42D3" w:rsidP="003F42D3">
      <w:pPr>
        <w:keepNext/>
        <w:keepLines/>
        <w:rPr>
          <w:szCs w:val="22"/>
          <w:lang w:val="en-GB"/>
        </w:rPr>
      </w:pPr>
    </w:p>
    <w:p w14:paraId="7C33227F" w14:textId="77777777" w:rsidR="003F42D3" w:rsidRPr="00C501E3" w:rsidRDefault="00016F29" w:rsidP="003F42D3">
      <w:pPr>
        <w:rPr>
          <w:lang w:val="en-GB"/>
        </w:rPr>
      </w:pPr>
      <w:r w:rsidRPr="00C501E3">
        <w:rPr>
          <w:lang w:val="en-GB"/>
        </w:rPr>
        <w:t>No incompatibilities between MabThera subcutaneous formulation and polypropylene or polycarbonate syringe material or stainless steel transfer and injection needles and polyethylene Luer cone stoppers have been observed.</w:t>
      </w:r>
    </w:p>
    <w:p w14:paraId="7C332280" w14:textId="77777777" w:rsidR="003F42D3" w:rsidRPr="00C501E3" w:rsidRDefault="003F42D3" w:rsidP="003F42D3">
      <w:pPr>
        <w:rPr>
          <w:b/>
          <w:szCs w:val="22"/>
          <w:lang w:val="en-GB"/>
        </w:rPr>
      </w:pPr>
    </w:p>
    <w:p w14:paraId="7C332281" w14:textId="77777777" w:rsidR="003F42D3" w:rsidRPr="00C501E3" w:rsidRDefault="00016F29" w:rsidP="003F42D3">
      <w:pPr>
        <w:keepNext/>
        <w:keepLines/>
        <w:ind w:left="567" w:hanging="567"/>
        <w:outlineLvl w:val="0"/>
        <w:rPr>
          <w:szCs w:val="22"/>
          <w:lang w:val="en-GB"/>
        </w:rPr>
      </w:pPr>
      <w:r w:rsidRPr="00C501E3">
        <w:rPr>
          <w:b/>
          <w:szCs w:val="22"/>
          <w:lang w:val="en-GB"/>
        </w:rPr>
        <w:t>6.3</w:t>
      </w:r>
      <w:r w:rsidRPr="00C501E3">
        <w:rPr>
          <w:b/>
          <w:szCs w:val="22"/>
          <w:lang w:val="en-GB"/>
        </w:rPr>
        <w:tab/>
        <w:t>Shelf life</w:t>
      </w:r>
    </w:p>
    <w:p w14:paraId="7C332282" w14:textId="77777777" w:rsidR="003F42D3" w:rsidRDefault="003F42D3" w:rsidP="003F42D3">
      <w:pPr>
        <w:keepNext/>
        <w:keepLines/>
        <w:rPr>
          <w:szCs w:val="22"/>
          <w:lang w:val="en-GB"/>
        </w:rPr>
      </w:pPr>
    </w:p>
    <w:p w14:paraId="7C332283" w14:textId="77777777" w:rsidR="00615F7C" w:rsidRPr="001A72EB" w:rsidRDefault="00016F29" w:rsidP="003F42D3">
      <w:pPr>
        <w:keepNext/>
        <w:keepLines/>
        <w:rPr>
          <w:szCs w:val="22"/>
          <w:u w:val="single"/>
          <w:lang w:val="en-GB"/>
        </w:rPr>
      </w:pPr>
      <w:r w:rsidRPr="001A72EB">
        <w:rPr>
          <w:szCs w:val="22"/>
          <w:u w:val="single"/>
          <w:lang w:val="en-GB"/>
        </w:rPr>
        <w:t>Unopened vial</w:t>
      </w:r>
    </w:p>
    <w:p w14:paraId="7C332284" w14:textId="77777777" w:rsidR="003F42D3" w:rsidRPr="001A72EB" w:rsidRDefault="00016F29" w:rsidP="003F42D3">
      <w:pPr>
        <w:keepNext/>
        <w:keepLines/>
        <w:rPr>
          <w:szCs w:val="22"/>
          <w:lang w:val="en-GB"/>
        </w:rPr>
      </w:pPr>
      <w:r w:rsidRPr="001A72EB">
        <w:rPr>
          <w:szCs w:val="22"/>
          <w:lang w:val="en-GB"/>
        </w:rPr>
        <w:t>30 months</w:t>
      </w:r>
    </w:p>
    <w:p w14:paraId="7C332285" w14:textId="77777777" w:rsidR="003F42D3" w:rsidRPr="001A72EB" w:rsidRDefault="003F42D3" w:rsidP="003F42D3">
      <w:pPr>
        <w:keepNext/>
        <w:keepLines/>
        <w:rPr>
          <w:b/>
          <w:szCs w:val="22"/>
          <w:lang w:val="en-GB"/>
        </w:rPr>
      </w:pPr>
    </w:p>
    <w:p w14:paraId="7C332286" w14:textId="77777777" w:rsidR="00615F7C" w:rsidRPr="004A0DDD" w:rsidRDefault="00016F29" w:rsidP="003F42D3">
      <w:pPr>
        <w:keepNext/>
        <w:keepLines/>
        <w:rPr>
          <w:szCs w:val="22"/>
          <w:u w:val="single"/>
          <w:lang w:val="en-GB"/>
        </w:rPr>
      </w:pPr>
      <w:r w:rsidRPr="001A72EB">
        <w:rPr>
          <w:szCs w:val="22"/>
          <w:u w:val="single"/>
          <w:lang w:val="en-GB"/>
        </w:rPr>
        <w:t>After first opening</w:t>
      </w:r>
    </w:p>
    <w:p w14:paraId="7C332287" w14:textId="77777777" w:rsidR="003F42D3" w:rsidRPr="000937E2" w:rsidRDefault="00016F29" w:rsidP="003F42D3">
      <w:pPr>
        <w:keepNext/>
        <w:keepLines/>
        <w:rPr>
          <w:snapToGrid w:val="0"/>
          <w:szCs w:val="22"/>
          <w:lang w:val="en-GB"/>
        </w:rPr>
      </w:pPr>
      <w:r w:rsidRPr="000937E2">
        <w:rPr>
          <w:snapToGrid w:val="0"/>
          <w:szCs w:val="22"/>
          <w:lang w:val="en-GB"/>
        </w:rPr>
        <w:t>Once transferred from the vial into the syringe, the solution of MabThera subcutaneous formulation is physically and chemically stable for 48 hours at 2 °C </w:t>
      </w:r>
      <w:r w:rsidR="000A6DDA" w:rsidRPr="000937E2">
        <w:rPr>
          <w:snapToGrid w:val="0"/>
          <w:szCs w:val="22"/>
          <w:lang w:val="en-GB"/>
        </w:rPr>
        <w:noBreakHyphen/>
      </w:r>
      <w:r w:rsidRPr="000937E2">
        <w:rPr>
          <w:snapToGrid w:val="0"/>
          <w:szCs w:val="22"/>
          <w:lang w:val="en-GB"/>
        </w:rPr>
        <w:t xml:space="preserve"> 8 °C and subsequently for 8 hours at </w:t>
      </w:r>
      <w:r w:rsidRPr="000937E2">
        <w:rPr>
          <w:szCs w:val="22"/>
          <w:lang w:val="en-GB"/>
        </w:rPr>
        <w:t>30°C in diffuse daylight</w:t>
      </w:r>
      <w:r w:rsidRPr="000937E2">
        <w:rPr>
          <w:snapToGrid w:val="0"/>
          <w:szCs w:val="22"/>
          <w:lang w:val="en-GB"/>
        </w:rPr>
        <w:t>.</w:t>
      </w:r>
    </w:p>
    <w:p w14:paraId="7C332288" w14:textId="77777777" w:rsidR="003F42D3" w:rsidRPr="000937E2" w:rsidRDefault="003F42D3" w:rsidP="003F42D3">
      <w:pPr>
        <w:keepNext/>
        <w:keepLines/>
        <w:rPr>
          <w:snapToGrid w:val="0"/>
          <w:szCs w:val="22"/>
          <w:lang w:val="en-GB"/>
        </w:rPr>
      </w:pPr>
    </w:p>
    <w:p w14:paraId="7C332289" w14:textId="77777777" w:rsidR="003F42D3" w:rsidRPr="00C501E3" w:rsidRDefault="00016F29" w:rsidP="003F42D3">
      <w:pPr>
        <w:rPr>
          <w:color w:val="000000"/>
          <w:szCs w:val="22"/>
          <w:lang w:val="en-GB"/>
        </w:rPr>
      </w:pPr>
      <w:r w:rsidRPr="000937E2">
        <w:rPr>
          <w:lang w:val="en-GB"/>
        </w:rPr>
        <w:t>F</w:t>
      </w:r>
      <w:r w:rsidRPr="000937E2">
        <w:rPr>
          <w:color w:val="000000"/>
          <w:szCs w:val="22"/>
          <w:lang w:val="en-GB"/>
        </w:rPr>
        <w:t xml:space="preserve">rom a microbiological point of view, the product should be used immediately. If not used immediately, </w:t>
      </w:r>
      <w:r w:rsidRPr="000937E2">
        <w:rPr>
          <w:lang w:val="en-GB" w:eastAsia="zh-CN"/>
        </w:rPr>
        <w:t>preparation should take place in controlled and validated aseptic conditions. I</w:t>
      </w:r>
      <w:r w:rsidRPr="000937E2">
        <w:rPr>
          <w:color w:val="000000"/>
          <w:szCs w:val="22"/>
          <w:lang w:val="en-GB"/>
        </w:rPr>
        <w:t>n</w:t>
      </w:r>
      <w:r w:rsidR="000A6DDA" w:rsidRPr="000937E2">
        <w:rPr>
          <w:color w:val="000000"/>
          <w:szCs w:val="22"/>
          <w:lang w:val="en-GB"/>
        </w:rPr>
        <w:noBreakHyphen/>
      </w:r>
      <w:r w:rsidRPr="000937E2">
        <w:rPr>
          <w:color w:val="000000"/>
          <w:szCs w:val="22"/>
          <w:lang w:val="en-GB"/>
        </w:rPr>
        <w:t>use</w:t>
      </w:r>
      <w:r w:rsidRPr="00C501E3">
        <w:rPr>
          <w:color w:val="000000"/>
          <w:szCs w:val="22"/>
          <w:lang w:val="en-GB"/>
        </w:rPr>
        <w:t xml:space="preserve"> storage times and conditions prior to use are the responsibility of the user.</w:t>
      </w:r>
    </w:p>
    <w:p w14:paraId="7C33228A" w14:textId="77777777" w:rsidR="003F42D3" w:rsidRPr="00C501E3" w:rsidRDefault="003F42D3" w:rsidP="00E06A78">
      <w:pPr>
        <w:keepNext/>
        <w:keepLines/>
        <w:rPr>
          <w:snapToGrid w:val="0"/>
          <w:szCs w:val="22"/>
          <w:lang w:val="en-GB" w:eastAsia="en-US"/>
        </w:rPr>
      </w:pPr>
    </w:p>
    <w:p w14:paraId="7C33228B" w14:textId="77777777" w:rsidR="003F42D3" w:rsidRPr="00C501E3" w:rsidRDefault="00016F29" w:rsidP="00E06A78">
      <w:pPr>
        <w:keepNext/>
        <w:keepLines/>
        <w:outlineLvl w:val="0"/>
        <w:rPr>
          <w:szCs w:val="22"/>
          <w:lang w:val="en-GB"/>
        </w:rPr>
      </w:pPr>
      <w:r w:rsidRPr="00C501E3">
        <w:rPr>
          <w:b/>
          <w:szCs w:val="22"/>
          <w:lang w:val="en-GB"/>
        </w:rPr>
        <w:t>6.4</w:t>
      </w:r>
      <w:r w:rsidRPr="00C501E3">
        <w:rPr>
          <w:b/>
          <w:szCs w:val="22"/>
          <w:lang w:val="en-GB"/>
        </w:rPr>
        <w:tab/>
        <w:t>Special precautions for storage</w:t>
      </w:r>
    </w:p>
    <w:p w14:paraId="7C33228C" w14:textId="77777777" w:rsidR="003F42D3" w:rsidRPr="00C501E3" w:rsidRDefault="003F42D3">
      <w:pPr>
        <w:keepNext/>
        <w:keepLines/>
        <w:rPr>
          <w:szCs w:val="22"/>
          <w:lang w:val="en-GB"/>
        </w:rPr>
      </w:pPr>
    </w:p>
    <w:p w14:paraId="7C33228D" w14:textId="77777777" w:rsidR="003F42D3" w:rsidRPr="00C501E3" w:rsidRDefault="00016F29" w:rsidP="00E06A78">
      <w:pPr>
        <w:keepNext/>
        <w:keepLines/>
        <w:rPr>
          <w:szCs w:val="22"/>
          <w:lang w:val="en-GB"/>
        </w:rPr>
      </w:pPr>
      <w:r w:rsidRPr="00C501E3">
        <w:rPr>
          <w:szCs w:val="22"/>
          <w:lang w:val="en-GB"/>
        </w:rPr>
        <w:t>Store in a refrigerator (2 °C – 8 °C). Keep the container in the outer carton in order to protect from light.</w:t>
      </w:r>
    </w:p>
    <w:p w14:paraId="7C33228E" w14:textId="77777777" w:rsidR="003F42D3" w:rsidRPr="00C501E3" w:rsidRDefault="00016F29" w:rsidP="00E06A78">
      <w:pPr>
        <w:keepNext/>
        <w:keepLines/>
        <w:rPr>
          <w:snapToGrid w:val="0"/>
          <w:szCs w:val="22"/>
          <w:lang w:val="en-GB" w:eastAsia="en-US"/>
        </w:rPr>
      </w:pPr>
      <w:r w:rsidRPr="00C501E3">
        <w:rPr>
          <w:snapToGrid w:val="0"/>
          <w:szCs w:val="22"/>
          <w:lang w:val="en-GB" w:eastAsia="en-US"/>
        </w:rPr>
        <w:t>For storage conditions after first opening see section 6.3.</w:t>
      </w:r>
    </w:p>
    <w:p w14:paraId="7C33228F" w14:textId="77777777" w:rsidR="003F42D3" w:rsidRPr="00C501E3" w:rsidRDefault="003F42D3" w:rsidP="003F42D3">
      <w:pPr>
        <w:rPr>
          <w:b/>
          <w:szCs w:val="22"/>
          <w:lang w:val="en-GB"/>
        </w:rPr>
      </w:pPr>
    </w:p>
    <w:p w14:paraId="7C332290" w14:textId="77777777" w:rsidR="003F42D3" w:rsidRPr="00C501E3" w:rsidRDefault="00016F29" w:rsidP="003F42D3">
      <w:pPr>
        <w:ind w:left="567" w:hanging="567"/>
        <w:outlineLvl w:val="0"/>
        <w:rPr>
          <w:szCs w:val="22"/>
          <w:lang w:val="en-GB"/>
        </w:rPr>
      </w:pPr>
      <w:r w:rsidRPr="00C501E3">
        <w:rPr>
          <w:b/>
          <w:szCs w:val="22"/>
          <w:lang w:val="en-GB"/>
        </w:rPr>
        <w:t>6.5</w:t>
      </w:r>
      <w:r w:rsidRPr="00C501E3">
        <w:rPr>
          <w:b/>
          <w:szCs w:val="22"/>
          <w:lang w:val="en-GB"/>
        </w:rPr>
        <w:tab/>
        <w:t>Nature and contents of container</w:t>
      </w:r>
    </w:p>
    <w:p w14:paraId="7C332291" w14:textId="77777777" w:rsidR="003F42D3" w:rsidRPr="00C501E3" w:rsidRDefault="003F42D3" w:rsidP="003F42D3">
      <w:pPr>
        <w:rPr>
          <w:b/>
          <w:szCs w:val="22"/>
          <w:lang w:val="en-GB"/>
        </w:rPr>
      </w:pPr>
    </w:p>
    <w:p w14:paraId="7C332292" w14:textId="77777777" w:rsidR="003F42D3" w:rsidRPr="00EB35B6" w:rsidRDefault="00016F29" w:rsidP="003F42D3">
      <w:pPr>
        <w:tabs>
          <w:tab w:val="left" w:pos="567"/>
        </w:tabs>
        <w:rPr>
          <w:szCs w:val="22"/>
          <w:lang w:val="en-GB" w:eastAsia="en-US"/>
        </w:rPr>
      </w:pPr>
      <w:r w:rsidRPr="00EB35B6">
        <w:rPr>
          <w:szCs w:val="22"/>
          <w:lang w:val="en-GB" w:eastAsia="en-US"/>
        </w:rPr>
        <w:t xml:space="preserve">Colourless type I glass vial with butyl rubber stopper with aluminium over seal and a </w:t>
      </w:r>
      <w:r w:rsidR="00A066C4" w:rsidRPr="00EB35B6">
        <w:rPr>
          <w:szCs w:val="22"/>
          <w:lang w:val="en-GB" w:eastAsia="en-US"/>
        </w:rPr>
        <w:t xml:space="preserve">blue </w:t>
      </w:r>
      <w:r w:rsidRPr="00EB35B6">
        <w:rPr>
          <w:szCs w:val="22"/>
          <w:lang w:val="en-GB" w:eastAsia="en-US"/>
        </w:rPr>
        <w:t>plastic flip</w:t>
      </w:r>
      <w:r w:rsidR="000A6DDA" w:rsidRPr="00EB35B6">
        <w:rPr>
          <w:szCs w:val="22"/>
          <w:lang w:val="en-GB" w:eastAsia="en-US"/>
        </w:rPr>
        <w:noBreakHyphen/>
      </w:r>
      <w:r w:rsidRPr="00EB35B6">
        <w:rPr>
          <w:szCs w:val="22"/>
          <w:lang w:val="en-GB" w:eastAsia="en-US"/>
        </w:rPr>
        <w:t xml:space="preserve">off disk, containing </w:t>
      </w:r>
      <w:r w:rsidR="00A066C4" w:rsidRPr="00EB35B6">
        <w:rPr>
          <w:szCs w:val="22"/>
          <w:lang w:val="en-GB" w:eastAsia="en-US"/>
        </w:rPr>
        <w:t>1600 </w:t>
      </w:r>
      <w:r w:rsidRPr="00EB35B6">
        <w:rPr>
          <w:szCs w:val="22"/>
          <w:lang w:val="en-GB" w:eastAsia="en-US"/>
        </w:rPr>
        <w:t>mg/</w:t>
      </w:r>
      <w:r w:rsidR="00A066C4" w:rsidRPr="00EB35B6">
        <w:rPr>
          <w:szCs w:val="22"/>
          <w:lang w:val="en-GB" w:eastAsia="en-US"/>
        </w:rPr>
        <w:t>13.4</w:t>
      </w:r>
      <w:r w:rsidRPr="00EB35B6">
        <w:rPr>
          <w:szCs w:val="22"/>
          <w:lang w:val="en-GB" w:eastAsia="en-US"/>
        </w:rPr>
        <w:t xml:space="preserve"> mL of rituximab.</w:t>
      </w:r>
    </w:p>
    <w:p w14:paraId="7C332293" w14:textId="77777777" w:rsidR="003F42D3" w:rsidRPr="00EB35B6" w:rsidRDefault="003F42D3" w:rsidP="003F42D3">
      <w:pPr>
        <w:tabs>
          <w:tab w:val="left" w:pos="567"/>
        </w:tabs>
        <w:rPr>
          <w:szCs w:val="22"/>
          <w:lang w:val="en-GB" w:eastAsia="en-US"/>
        </w:rPr>
      </w:pPr>
    </w:p>
    <w:p w14:paraId="7C332294" w14:textId="77777777" w:rsidR="003F42D3" w:rsidRPr="00EB35B6" w:rsidRDefault="00016F29" w:rsidP="003F42D3">
      <w:pPr>
        <w:rPr>
          <w:szCs w:val="22"/>
          <w:lang w:val="en-GB" w:eastAsia="en-US"/>
        </w:rPr>
      </w:pPr>
      <w:r w:rsidRPr="00EB35B6">
        <w:rPr>
          <w:szCs w:val="22"/>
          <w:lang w:val="en-GB" w:eastAsia="en-US"/>
        </w:rPr>
        <w:t>Each carton contains one vial.</w:t>
      </w:r>
    </w:p>
    <w:p w14:paraId="7C332295" w14:textId="77777777" w:rsidR="003F42D3" w:rsidRPr="001A72EB" w:rsidRDefault="003F42D3" w:rsidP="003F42D3">
      <w:pPr>
        <w:rPr>
          <w:szCs w:val="22"/>
          <w:lang w:val="en-GB"/>
        </w:rPr>
      </w:pPr>
    </w:p>
    <w:p w14:paraId="7C332296" w14:textId="77777777" w:rsidR="003F42D3" w:rsidRPr="001A72EB" w:rsidRDefault="00016F29" w:rsidP="007318E4">
      <w:pPr>
        <w:keepNext/>
        <w:keepLines/>
        <w:ind w:left="567" w:hanging="567"/>
        <w:outlineLvl w:val="0"/>
        <w:rPr>
          <w:szCs w:val="22"/>
          <w:lang w:val="en-GB"/>
        </w:rPr>
      </w:pPr>
      <w:r w:rsidRPr="001A72EB">
        <w:rPr>
          <w:b/>
          <w:szCs w:val="22"/>
          <w:lang w:val="en-GB"/>
        </w:rPr>
        <w:t>6.6</w:t>
      </w:r>
      <w:r w:rsidRPr="001A72EB">
        <w:rPr>
          <w:b/>
          <w:szCs w:val="22"/>
          <w:lang w:val="en-GB"/>
        </w:rPr>
        <w:tab/>
        <w:t>Special precautions for disposal and other handling</w:t>
      </w:r>
    </w:p>
    <w:p w14:paraId="7C332297" w14:textId="77777777" w:rsidR="003F42D3" w:rsidRPr="001A72EB" w:rsidRDefault="003F42D3" w:rsidP="007318E4">
      <w:pPr>
        <w:keepNext/>
        <w:keepLines/>
        <w:rPr>
          <w:szCs w:val="22"/>
          <w:lang w:val="en-GB"/>
        </w:rPr>
      </w:pPr>
    </w:p>
    <w:p w14:paraId="7C332298" w14:textId="08601601" w:rsidR="003F42D3" w:rsidRPr="00C12533" w:rsidRDefault="00016F29" w:rsidP="007318E4">
      <w:pPr>
        <w:keepNext/>
        <w:keepLines/>
        <w:outlineLvl w:val="0"/>
        <w:rPr>
          <w:rFonts w:eastAsia="SimSun"/>
          <w:szCs w:val="22"/>
          <w:lang w:val="en-GB" w:eastAsia="zh-CN"/>
        </w:rPr>
      </w:pPr>
      <w:r w:rsidRPr="00C12533">
        <w:rPr>
          <w:szCs w:val="22"/>
          <w:lang w:val="en-GB"/>
        </w:rPr>
        <w:t>MabThera is provided in sterile, preservative</w:t>
      </w:r>
      <w:r w:rsidR="000A6DDA" w:rsidRPr="00C12533">
        <w:rPr>
          <w:szCs w:val="22"/>
          <w:lang w:val="en-GB"/>
        </w:rPr>
        <w:noBreakHyphen/>
      </w:r>
      <w:r w:rsidRPr="00C12533">
        <w:rPr>
          <w:szCs w:val="22"/>
          <w:lang w:val="en-GB"/>
        </w:rPr>
        <w:t>free, non</w:t>
      </w:r>
      <w:r w:rsidR="000A6DDA" w:rsidRPr="00C12533">
        <w:rPr>
          <w:szCs w:val="22"/>
          <w:lang w:val="en-GB"/>
        </w:rPr>
        <w:noBreakHyphen/>
      </w:r>
      <w:r w:rsidRPr="00C12533">
        <w:rPr>
          <w:szCs w:val="22"/>
          <w:lang w:val="en-GB"/>
        </w:rPr>
        <w:t xml:space="preserve">pyrogenic, single use vials. </w:t>
      </w:r>
      <w:r w:rsidR="00845E2A" w:rsidRPr="00845E2A">
        <w:rPr>
          <w:szCs w:val="22"/>
          <w:lang w:val="en-GB"/>
        </w:rPr>
        <w:t>Use sterile needle and syringe to prepare MabThera</w:t>
      </w:r>
      <w:r w:rsidR="00845E2A">
        <w:rPr>
          <w:szCs w:val="22"/>
          <w:lang w:val="en-GB"/>
        </w:rPr>
        <w:t xml:space="preserve">. </w:t>
      </w:r>
      <w:r w:rsidR="006174ED" w:rsidRPr="00C12533">
        <w:rPr>
          <w:szCs w:val="22"/>
          <w:lang w:val="en-GB"/>
        </w:rPr>
        <w:t>A peel</w:t>
      </w:r>
      <w:r w:rsidR="000A6DDA" w:rsidRPr="00C12533">
        <w:rPr>
          <w:szCs w:val="22"/>
          <w:lang w:val="en-GB"/>
        </w:rPr>
        <w:noBreakHyphen/>
      </w:r>
      <w:r w:rsidR="006174ED" w:rsidRPr="00C12533">
        <w:rPr>
          <w:szCs w:val="22"/>
          <w:lang w:val="en-GB"/>
        </w:rPr>
        <w:t xml:space="preserve">off sticker is included on the vials which specifies the strength, route of administration and indication. This sticker should be removed from the vial and stuck onto the syringe prior to use. </w:t>
      </w:r>
      <w:r w:rsidRPr="00C12533">
        <w:rPr>
          <w:rFonts w:eastAsia="SimSun"/>
          <w:szCs w:val="22"/>
          <w:lang w:val="en-GB" w:eastAsia="zh-CN"/>
        </w:rPr>
        <w:t xml:space="preserve">The following points should be strictly adhered to regarding the use and disposal of syringes and other medicinal sharps: </w:t>
      </w:r>
    </w:p>
    <w:p w14:paraId="7C332299" w14:textId="77777777" w:rsidR="003F42D3" w:rsidRPr="00C12533" w:rsidRDefault="00016F29" w:rsidP="003F42D3">
      <w:pPr>
        <w:tabs>
          <w:tab w:val="left" w:pos="567"/>
        </w:tabs>
        <w:spacing w:line="260" w:lineRule="exact"/>
        <w:ind w:left="567" w:hanging="567"/>
        <w:rPr>
          <w:rFonts w:eastAsia="SimSun"/>
          <w:szCs w:val="22"/>
          <w:lang w:val="en-GB" w:eastAsia="zh-CN"/>
        </w:rPr>
      </w:pPr>
      <w:r w:rsidRPr="00E06A78">
        <w:rPr>
          <w:rFonts w:ascii="Symbol" w:hAnsi="Symbol"/>
          <w:lang w:val="en-GB"/>
        </w:rPr>
        <w:sym w:font="Symbol" w:char="F0B7"/>
      </w:r>
      <w:r w:rsidRPr="00C12533">
        <w:rPr>
          <w:szCs w:val="22"/>
          <w:lang w:val="en-GB"/>
        </w:rPr>
        <w:tab/>
      </w:r>
      <w:r w:rsidRPr="00C12533">
        <w:rPr>
          <w:rFonts w:eastAsia="SimSun"/>
          <w:szCs w:val="22"/>
          <w:lang w:val="en-GB" w:eastAsia="zh-CN"/>
        </w:rPr>
        <w:t>Needles and syringes should never be reused</w:t>
      </w:r>
    </w:p>
    <w:p w14:paraId="7C33229A" w14:textId="77777777" w:rsidR="003F42D3" w:rsidRPr="00C501E3" w:rsidRDefault="00016F29" w:rsidP="003F42D3">
      <w:pPr>
        <w:tabs>
          <w:tab w:val="left" w:pos="567"/>
        </w:tabs>
        <w:spacing w:line="260" w:lineRule="exact"/>
        <w:ind w:left="567" w:hanging="567"/>
        <w:rPr>
          <w:rFonts w:eastAsia="SimSun"/>
          <w:szCs w:val="22"/>
          <w:lang w:val="en-GB" w:eastAsia="zh-CN"/>
        </w:rPr>
      </w:pPr>
      <w:r w:rsidRPr="00E06A78">
        <w:rPr>
          <w:rFonts w:ascii="Symbol" w:hAnsi="Symbol"/>
          <w:lang w:val="en-GB"/>
        </w:rPr>
        <w:sym w:font="Symbol" w:char="F0B7"/>
      </w:r>
      <w:r w:rsidRPr="00C501E3">
        <w:rPr>
          <w:szCs w:val="22"/>
          <w:lang w:val="en-GB"/>
        </w:rPr>
        <w:tab/>
      </w:r>
      <w:r w:rsidRPr="00C501E3">
        <w:rPr>
          <w:rFonts w:eastAsia="SimSun"/>
          <w:szCs w:val="22"/>
          <w:lang w:val="en-GB" w:eastAsia="zh-CN"/>
        </w:rPr>
        <w:t xml:space="preserve">Place all used needles and syringes into a </w:t>
      </w:r>
      <w:r w:rsidR="00531238">
        <w:rPr>
          <w:rFonts w:eastAsia="SimSun"/>
          <w:szCs w:val="22"/>
          <w:lang w:val="en-GB" w:eastAsia="zh-CN"/>
        </w:rPr>
        <w:t>S</w:t>
      </w:r>
      <w:r w:rsidRPr="00C501E3">
        <w:rPr>
          <w:rFonts w:eastAsia="SimSun"/>
          <w:szCs w:val="22"/>
          <w:lang w:val="en-GB" w:eastAsia="zh-CN"/>
        </w:rPr>
        <w:t>harps container (puncture</w:t>
      </w:r>
      <w:r w:rsidR="000A6DDA">
        <w:rPr>
          <w:rFonts w:ascii="Cambria Math" w:eastAsia="SimSun" w:hAnsi="Cambria Math" w:cs="Cambria Math"/>
          <w:szCs w:val="22"/>
          <w:lang w:val="en-GB" w:eastAsia="zh-CN"/>
        </w:rPr>
        <w:noBreakHyphen/>
      </w:r>
      <w:r w:rsidRPr="00C501E3">
        <w:rPr>
          <w:rFonts w:eastAsia="SimSun"/>
          <w:szCs w:val="22"/>
          <w:lang w:val="en-GB" w:eastAsia="zh-CN"/>
        </w:rPr>
        <w:t xml:space="preserve">proof disposable container). </w:t>
      </w:r>
    </w:p>
    <w:p w14:paraId="7C33229B" w14:textId="77777777" w:rsidR="003F42D3" w:rsidRPr="00C501E3" w:rsidRDefault="003F42D3" w:rsidP="003F42D3">
      <w:pPr>
        <w:rPr>
          <w:szCs w:val="22"/>
          <w:lang w:val="en-GB"/>
        </w:rPr>
      </w:pPr>
    </w:p>
    <w:p w14:paraId="7C33229C" w14:textId="77777777" w:rsidR="003F42D3" w:rsidRPr="00C501E3" w:rsidRDefault="00016F29" w:rsidP="003F42D3">
      <w:pPr>
        <w:suppressLineNumbers/>
        <w:tabs>
          <w:tab w:val="left" w:pos="567"/>
        </w:tabs>
        <w:rPr>
          <w:szCs w:val="22"/>
          <w:lang w:val="en-GB"/>
        </w:rPr>
      </w:pPr>
      <w:r w:rsidRPr="00C501E3">
        <w:rPr>
          <w:szCs w:val="22"/>
          <w:lang w:val="en-GB"/>
        </w:rPr>
        <w:t>Any unused medicinal product or waste material should be disposed of in accordance with local requirements.</w:t>
      </w:r>
    </w:p>
    <w:p w14:paraId="7C33229D" w14:textId="77777777" w:rsidR="003F42D3" w:rsidRPr="00C501E3" w:rsidRDefault="003F42D3" w:rsidP="003F42D3">
      <w:pPr>
        <w:suppressLineNumbers/>
        <w:tabs>
          <w:tab w:val="left" w:pos="567"/>
        </w:tabs>
        <w:rPr>
          <w:szCs w:val="22"/>
          <w:lang w:val="en-GB"/>
        </w:rPr>
      </w:pPr>
    </w:p>
    <w:p w14:paraId="7C33229E" w14:textId="77777777" w:rsidR="003F42D3" w:rsidRPr="00C501E3" w:rsidRDefault="003F42D3" w:rsidP="003F42D3">
      <w:pPr>
        <w:suppressLineNumbers/>
        <w:tabs>
          <w:tab w:val="left" w:pos="567"/>
        </w:tabs>
        <w:rPr>
          <w:szCs w:val="22"/>
          <w:lang w:val="en-GB"/>
        </w:rPr>
      </w:pPr>
    </w:p>
    <w:p w14:paraId="7C33229F" w14:textId="77777777" w:rsidR="003F42D3" w:rsidRPr="00C501E3" w:rsidRDefault="00016F29" w:rsidP="003F42D3">
      <w:pPr>
        <w:suppressLineNumbers/>
        <w:tabs>
          <w:tab w:val="left" w:pos="567"/>
        </w:tabs>
        <w:rPr>
          <w:szCs w:val="22"/>
          <w:lang w:val="en-GB"/>
        </w:rPr>
      </w:pPr>
      <w:r w:rsidRPr="00C501E3">
        <w:rPr>
          <w:b/>
          <w:szCs w:val="22"/>
          <w:lang w:val="en-GB"/>
        </w:rPr>
        <w:t>7.</w:t>
      </w:r>
      <w:r w:rsidRPr="00C501E3">
        <w:rPr>
          <w:b/>
          <w:szCs w:val="22"/>
          <w:lang w:val="en-GB"/>
        </w:rPr>
        <w:tab/>
        <w:t>MARKETING AUTHORISATION HOLDER</w:t>
      </w:r>
    </w:p>
    <w:p w14:paraId="7C3322A0" w14:textId="77777777" w:rsidR="003F42D3" w:rsidRPr="00C501E3" w:rsidRDefault="003F42D3" w:rsidP="003F42D3">
      <w:pPr>
        <w:rPr>
          <w:b/>
          <w:szCs w:val="22"/>
          <w:lang w:val="en-GB"/>
        </w:rPr>
      </w:pPr>
    </w:p>
    <w:p w14:paraId="7C3322A1" w14:textId="77777777" w:rsidR="00B0361F" w:rsidRPr="00383DC8" w:rsidRDefault="00016F29" w:rsidP="00B0361F">
      <w:r w:rsidRPr="00383DC8">
        <w:t xml:space="preserve">Roche Registration GmbH </w:t>
      </w:r>
    </w:p>
    <w:p w14:paraId="7C3322A2" w14:textId="77777777" w:rsidR="00B0361F" w:rsidRPr="00383DC8" w:rsidRDefault="00016F29" w:rsidP="00B0361F">
      <w:r w:rsidRPr="00383DC8">
        <w:t>Emil-Barell-Strasse 1</w:t>
      </w:r>
    </w:p>
    <w:p w14:paraId="7C3322A3" w14:textId="77777777" w:rsidR="00B0361F" w:rsidRPr="00383DC8" w:rsidRDefault="00016F29" w:rsidP="00B0361F">
      <w:r w:rsidRPr="00383DC8">
        <w:t>79639 Grenzach-Wyhlen</w:t>
      </w:r>
    </w:p>
    <w:p w14:paraId="7C3322A4" w14:textId="77777777" w:rsidR="00B0361F" w:rsidRPr="00896D93" w:rsidRDefault="00016F29" w:rsidP="00B0361F">
      <w:r w:rsidRPr="00896D93">
        <w:t>Germany</w:t>
      </w:r>
    </w:p>
    <w:p w14:paraId="7C3322A5" w14:textId="77777777" w:rsidR="003F42D3" w:rsidRPr="00E06A78" w:rsidRDefault="003F42D3" w:rsidP="003F42D3"/>
    <w:p w14:paraId="7C3322A6" w14:textId="77777777" w:rsidR="003F42D3" w:rsidRPr="00E06A78" w:rsidRDefault="003F42D3" w:rsidP="003F42D3"/>
    <w:p w14:paraId="7C3322A7" w14:textId="77777777" w:rsidR="003F42D3" w:rsidRPr="00C501E3" w:rsidRDefault="00016F29" w:rsidP="003F42D3">
      <w:pPr>
        <w:ind w:left="567" w:hanging="567"/>
        <w:outlineLvl w:val="0"/>
        <w:rPr>
          <w:b/>
          <w:szCs w:val="22"/>
          <w:lang w:val="en-GB"/>
        </w:rPr>
      </w:pPr>
      <w:r w:rsidRPr="00C501E3">
        <w:rPr>
          <w:b/>
          <w:szCs w:val="22"/>
          <w:lang w:val="en-GB"/>
        </w:rPr>
        <w:t>8.</w:t>
      </w:r>
      <w:r w:rsidRPr="00C501E3">
        <w:rPr>
          <w:b/>
          <w:szCs w:val="22"/>
          <w:lang w:val="en-GB"/>
        </w:rPr>
        <w:tab/>
        <w:t xml:space="preserve">MARKETING AUTHORISATION NUMBER(S) </w:t>
      </w:r>
    </w:p>
    <w:p w14:paraId="7C3322A8" w14:textId="77777777" w:rsidR="003F42D3" w:rsidRPr="00C501E3" w:rsidRDefault="003F42D3" w:rsidP="003F42D3">
      <w:pPr>
        <w:rPr>
          <w:b/>
          <w:szCs w:val="22"/>
          <w:lang w:val="en-GB"/>
        </w:rPr>
      </w:pPr>
    </w:p>
    <w:p w14:paraId="7C3322A9" w14:textId="77777777" w:rsidR="003F42D3" w:rsidRDefault="00016F29" w:rsidP="003F42D3">
      <w:pPr>
        <w:rPr>
          <w:szCs w:val="22"/>
          <w:lang w:val="en-GB"/>
        </w:rPr>
      </w:pPr>
      <w:r w:rsidRPr="005822E6">
        <w:t>EU/1/98</w:t>
      </w:r>
      <w:r w:rsidRPr="001A72EB">
        <w:t>/067/</w:t>
      </w:r>
      <w:r w:rsidR="00A066C4" w:rsidRPr="001A72EB">
        <w:t>004</w:t>
      </w:r>
    </w:p>
    <w:p w14:paraId="7C3322AA" w14:textId="77777777" w:rsidR="003F42D3" w:rsidRDefault="003F42D3" w:rsidP="003F42D3">
      <w:pPr>
        <w:rPr>
          <w:szCs w:val="22"/>
          <w:lang w:val="en-GB"/>
        </w:rPr>
      </w:pPr>
    </w:p>
    <w:p w14:paraId="7C3322AB" w14:textId="77777777" w:rsidR="003F42D3" w:rsidRPr="00C501E3" w:rsidRDefault="003F42D3" w:rsidP="003F42D3">
      <w:pPr>
        <w:rPr>
          <w:szCs w:val="22"/>
          <w:lang w:val="en-GB"/>
        </w:rPr>
      </w:pPr>
    </w:p>
    <w:p w14:paraId="7C3322AC" w14:textId="77777777" w:rsidR="003F42D3" w:rsidRPr="00C501E3" w:rsidRDefault="00016F29" w:rsidP="003F42D3">
      <w:pPr>
        <w:ind w:left="567" w:hanging="567"/>
        <w:outlineLvl w:val="0"/>
        <w:rPr>
          <w:szCs w:val="22"/>
          <w:lang w:val="en-GB"/>
        </w:rPr>
      </w:pPr>
      <w:r w:rsidRPr="00C501E3">
        <w:rPr>
          <w:b/>
          <w:szCs w:val="22"/>
          <w:lang w:val="en-GB"/>
        </w:rPr>
        <w:t>9.</w:t>
      </w:r>
      <w:r w:rsidRPr="00C501E3">
        <w:rPr>
          <w:b/>
          <w:szCs w:val="22"/>
          <w:lang w:val="en-GB"/>
        </w:rPr>
        <w:tab/>
        <w:t>DATE OF FIRST AUTHORISATION/RENEWAL OF THE AUTHORISATION</w:t>
      </w:r>
    </w:p>
    <w:p w14:paraId="7C3322AD" w14:textId="77777777" w:rsidR="003F42D3" w:rsidRDefault="003F42D3" w:rsidP="003F42D3">
      <w:pPr>
        <w:rPr>
          <w:szCs w:val="22"/>
          <w:lang w:val="en-GB"/>
        </w:rPr>
      </w:pPr>
    </w:p>
    <w:p w14:paraId="7C3322AE" w14:textId="77777777" w:rsidR="003F42D3" w:rsidRDefault="00016F29" w:rsidP="003F42D3">
      <w:pPr>
        <w:rPr>
          <w:szCs w:val="22"/>
          <w:lang w:val="en-GB"/>
        </w:rPr>
      </w:pPr>
      <w:r>
        <w:rPr>
          <w:szCs w:val="22"/>
          <w:lang w:val="en-GB"/>
        </w:rPr>
        <w:t>Date of first authorisation: 2 June 1998</w:t>
      </w:r>
    </w:p>
    <w:p w14:paraId="7C3322AF" w14:textId="77777777" w:rsidR="003F42D3" w:rsidRPr="00C501E3" w:rsidRDefault="00016F29" w:rsidP="003F42D3">
      <w:pPr>
        <w:rPr>
          <w:szCs w:val="22"/>
          <w:lang w:val="en-GB"/>
        </w:rPr>
      </w:pPr>
      <w:r>
        <w:rPr>
          <w:szCs w:val="22"/>
          <w:lang w:val="en-GB"/>
        </w:rPr>
        <w:t xml:space="preserve">Date of latest </w:t>
      </w:r>
      <w:r w:rsidRPr="001A72EB">
        <w:rPr>
          <w:szCs w:val="22"/>
          <w:lang w:val="en-GB"/>
        </w:rPr>
        <w:t xml:space="preserve">renewal: </w:t>
      </w:r>
      <w:r w:rsidR="00C13FA2" w:rsidRPr="001A72EB">
        <w:rPr>
          <w:szCs w:val="22"/>
          <w:lang w:val="en-GB"/>
        </w:rPr>
        <w:t>2 June</w:t>
      </w:r>
      <w:r w:rsidR="006071D8" w:rsidRPr="001A72EB">
        <w:rPr>
          <w:szCs w:val="22"/>
          <w:lang w:val="en-GB"/>
        </w:rPr>
        <w:t xml:space="preserve"> </w:t>
      </w:r>
      <w:r w:rsidRPr="001A72EB">
        <w:rPr>
          <w:szCs w:val="22"/>
          <w:lang w:val="en-GB"/>
        </w:rPr>
        <w:t>2008</w:t>
      </w:r>
    </w:p>
    <w:p w14:paraId="7C3322B0" w14:textId="77777777" w:rsidR="003F42D3" w:rsidRDefault="003F42D3" w:rsidP="003F42D3">
      <w:pPr>
        <w:rPr>
          <w:szCs w:val="22"/>
          <w:lang w:val="en-GB"/>
        </w:rPr>
      </w:pPr>
    </w:p>
    <w:p w14:paraId="7C3322B1" w14:textId="77777777" w:rsidR="003F42D3" w:rsidRPr="00C501E3" w:rsidRDefault="003F42D3" w:rsidP="003F42D3">
      <w:pPr>
        <w:rPr>
          <w:szCs w:val="22"/>
          <w:lang w:val="en-GB"/>
        </w:rPr>
      </w:pPr>
    </w:p>
    <w:p w14:paraId="7C3322B2" w14:textId="77777777" w:rsidR="003F42D3" w:rsidRPr="00C501E3" w:rsidRDefault="00016F29" w:rsidP="003F42D3">
      <w:pPr>
        <w:keepNext/>
        <w:ind w:left="567" w:hanging="567"/>
        <w:outlineLvl w:val="0"/>
        <w:rPr>
          <w:b/>
          <w:szCs w:val="22"/>
          <w:lang w:val="en-GB"/>
        </w:rPr>
      </w:pPr>
      <w:r w:rsidRPr="00C501E3">
        <w:rPr>
          <w:b/>
          <w:szCs w:val="22"/>
          <w:lang w:val="en-GB"/>
        </w:rPr>
        <w:t>10.</w:t>
      </w:r>
      <w:r w:rsidRPr="00C501E3">
        <w:rPr>
          <w:b/>
          <w:szCs w:val="22"/>
          <w:lang w:val="en-GB"/>
        </w:rPr>
        <w:tab/>
        <w:t>DATE OF REVISION OF THE TEXT</w:t>
      </w:r>
    </w:p>
    <w:p w14:paraId="7C3322B3" w14:textId="77777777" w:rsidR="003F42D3" w:rsidRPr="00C501E3" w:rsidRDefault="003F42D3" w:rsidP="00DD36B7">
      <w:pPr>
        <w:rPr>
          <w:lang w:val="en-GB"/>
        </w:rPr>
      </w:pPr>
    </w:p>
    <w:p w14:paraId="7C3322B4" w14:textId="77777777" w:rsidR="001B0F0A" w:rsidRPr="00E06A78" w:rsidRDefault="00016F29" w:rsidP="003F42D3">
      <w:pPr>
        <w:rPr>
          <w:rFonts w:ascii="TimesNewRoman,Italic" w:hAnsi="TimesNewRoman,Italic"/>
          <w:lang w:val="en-GB"/>
        </w:rPr>
      </w:pPr>
      <w:r w:rsidRPr="00C501E3">
        <w:rPr>
          <w:rFonts w:ascii="TimesNewRoman,Italic" w:eastAsia="MS Mincho" w:hAnsi="TimesNewRoman,Italic" w:cs="TimesNewRoman,Italic"/>
          <w:iCs/>
          <w:szCs w:val="22"/>
          <w:lang w:val="en-GB" w:eastAsia="zh-CN"/>
        </w:rPr>
        <w:t xml:space="preserve">Detailed information on this medicinal product is available on the website of the European Medicines Agency (EMA) </w:t>
      </w:r>
      <w:hyperlink r:id="rId21" w:history="1">
        <w:r w:rsidR="007830E0" w:rsidRPr="00B45D40">
          <w:rPr>
            <w:rStyle w:val="Hyperlink"/>
            <w:rFonts w:ascii="TimesNewRoman,Italic" w:eastAsia="MS Mincho" w:hAnsi="TimesNewRoman,Italic" w:cs="TimesNewRoman,Italic"/>
            <w:iCs/>
            <w:szCs w:val="22"/>
            <w:lang w:val="en-GB" w:eastAsia="zh-CN"/>
          </w:rPr>
          <w:t>http://www.ema.europa.eu/</w:t>
        </w:r>
      </w:hyperlink>
    </w:p>
    <w:p w14:paraId="7C3322B5" w14:textId="77777777" w:rsidR="00943DED" w:rsidRDefault="00943DED" w:rsidP="003F42D3">
      <w:pPr>
        <w:rPr>
          <w:rFonts w:ascii="TimesNewRoman,Italic" w:eastAsia="MS Mincho" w:hAnsi="TimesNewRoman,Italic" w:cs="TimesNewRoman,Italic"/>
          <w:iCs/>
          <w:szCs w:val="22"/>
          <w:lang w:val="en-GB" w:eastAsia="zh-CN"/>
        </w:rPr>
      </w:pPr>
    </w:p>
    <w:p w14:paraId="7C3322B6" w14:textId="77777777" w:rsidR="001B0F0A" w:rsidRPr="004E1F46" w:rsidRDefault="00016F29" w:rsidP="003F42D3">
      <w:pPr>
        <w:rPr>
          <w:szCs w:val="22"/>
        </w:rPr>
      </w:pPr>
      <w:r w:rsidRPr="004E1F46">
        <w:rPr>
          <w:b/>
          <w:color w:val="0000FF"/>
          <w:szCs w:val="22"/>
        </w:rPr>
        <w:br w:type="page"/>
      </w:r>
    </w:p>
    <w:p w14:paraId="7C3322B7" w14:textId="77777777" w:rsidR="001B0F0A" w:rsidRPr="004E1F46" w:rsidRDefault="001B0F0A" w:rsidP="001B0F0A">
      <w:pPr>
        <w:ind w:left="1701" w:hanging="708"/>
        <w:jc w:val="center"/>
        <w:rPr>
          <w:szCs w:val="22"/>
        </w:rPr>
      </w:pPr>
    </w:p>
    <w:p w14:paraId="7C3322B8" w14:textId="77777777" w:rsidR="001B0F0A" w:rsidRPr="004E1F46" w:rsidRDefault="001B0F0A" w:rsidP="001B0F0A">
      <w:pPr>
        <w:ind w:left="1701" w:hanging="708"/>
        <w:jc w:val="center"/>
        <w:rPr>
          <w:szCs w:val="22"/>
        </w:rPr>
      </w:pPr>
    </w:p>
    <w:p w14:paraId="7C3322B9" w14:textId="77777777" w:rsidR="001B0F0A" w:rsidRPr="004E1F46" w:rsidRDefault="001B0F0A" w:rsidP="001B0F0A">
      <w:pPr>
        <w:ind w:left="1701" w:hanging="708"/>
        <w:jc w:val="center"/>
        <w:rPr>
          <w:szCs w:val="22"/>
        </w:rPr>
      </w:pPr>
    </w:p>
    <w:p w14:paraId="7C3322BA" w14:textId="77777777" w:rsidR="001B0F0A" w:rsidRPr="004E1F46" w:rsidRDefault="001B0F0A" w:rsidP="001B0F0A">
      <w:pPr>
        <w:ind w:left="1701" w:hanging="708"/>
        <w:jc w:val="center"/>
        <w:rPr>
          <w:szCs w:val="22"/>
        </w:rPr>
      </w:pPr>
    </w:p>
    <w:p w14:paraId="7C3322BB" w14:textId="77777777" w:rsidR="001B0F0A" w:rsidRPr="004E1F46" w:rsidRDefault="001B0F0A" w:rsidP="001B0F0A">
      <w:pPr>
        <w:ind w:left="1701" w:hanging="708"/>
        <w:jc w:val="center"/>
        <w:rPr>
          <w:szCs w:val="22"/>
        </w:rPr>
      </w:pPr>
    </w:p>
    <w:p w14:paraId="7C3322BC" w14:textId="77777777" w:rsidR="001B0F0A" w:rsidRPr="004E1F46" w:rsidRDefault="001B0F0A" w:rsidP="001B0F0A">
      <w:pPr>
        <w:ind w:left="1701" w:hanging="708"/>
        <w:jc w:val="center"/>
        <w:rPr>
          <w:szCs w:val="22"/>
        </w:rPr>
      </w:pPr>
    </w:p>
    <w:p w14:paraId="7C3322BD" w14:textId="77777777" w:rsidR="001B0F0A" w:rsidRPr="004E1F46" w:rsidRDefault="001B0F0A" w:rsidP="001B0F0A">
      <w:pPr>
        <w:ind w:left="1701" w:hanging="708"/>
        <w:jc w:val="center"/>
        <w:rPr>
          <w:szCs w:val="22"/>
        </w:rPr>
      </w:pPr>
    </w:p>
    <w:p w14:paraId="7C3322BE" w14:textId="77777777" w:rsidR="001B0F0A" w:rsidRPr="004E1F46" w:rsidRDefault="001B0F0A" w:rsidP="001B0F0A">
      <w:pPr>
        <w:ind w:left="1701" w:hanging="708"/>
        <w:jc w:val="center"/>
        <w:rPr>
          <w:szCs w:val="22"/>
        </w:rPr>
      </w:pPr>
    </w:p>
    <w:p w14:paraId="7C3322BF" w14:textId="77777777" w:rsidR="001B0F0A" w:rsidRPr="004E1F46" w:rsidRDefault="001B0F0A" w:rsidP="001B0F0A">
      <w:pPr>
        <w:ind w:left="1701" w:hanging="708"/>
        <w:jc w:val="center"/>
        <w:rPr>
          <w:szCs w:val="22"/>
        </w:rPr>
      </w:pPr>
    </w:p>
    <w:p w14:paraId="7C3322C0" w14:textId="77777777" w:rsidR="001B0F0A" w:rsidRPr="004E1F46" w:rsidRDefault="001B0F0A" w:rsidP="001B0F0A">
      <w:pPr>
        <w:ind w:left="1701" w:hanging="708"/>
        <w:jc w:val="center"/>
        <w:rPr>
          <w:szCs w:val="22"/>
        </w:rPr>
      </w:pPr>
    </w:p>
    <w:p w14:paraId="7C3322C1" w14:textId="77777777" w:rsidR="001B0F0A" w:rsidRPr="004E1F46" w:rsidRDefault="001B0F0A" w:rsidP="001B0F0A">
      <w:pPr>
        <w:ind w:left="1701" w:hanging="708"/>
        <w:jc w:val="center"/>
        <w:rPr>
          <w:szCs w:val="22"/>
        </w:rPr>
      </w:pPr>
    </w:p>
    <w:p w14:paraId="7C3322C2" w14:textId="77777777" w:rsidR="001B0F0A" w:rsidRPr="004E1F46" w:rsidRDefault="001B0F0A" w:rsidP="001B0F0A">
      <w:pPr>
        <w:ind w:left="1701" w:hanging="708"/>
        <w:jc w:val="center"/>
        <w:rPr>
          <w:szCs w:val="22"/>
        </w:rPr>
      </w:pPr>
    </w:p>
    <w:p w14:paraId="7C3322C3" w14:textId="77777777" w:rsidR="001B0F0A" w:rsidRPr="004E1F46" w:rsidRDefault="001B0F0A" w:rsidP="001B0F0A">
      <w:pPr>
        <w:ind w:left="1701" w:hanging="708"/>
        <w:jc w:val="center"/>
        <w:rPr>
          <w:szCs w:val="22"/>
        </w:rPr>
      </w:pPr>
    </w:p>
    <w:p w14:paraId="7C3322C4" w14:textId="77777777" w:rsidR="001B0F0A" w:rsidRPr="004E1F46" w:rsidRDefault="001B0F0A" w:rsidP="001B0F0A">
      <w:pPr>
        <w:ind w:left="1701" w:hanging="708"/>
        <w:jc w:val="center"/>
        <w:rPr>
          <w:szCs w:val="22"/>
        </w:rPr>
      </w:pPr>
    </w:p>
    <w:p w14:paraId="7C3322C5" w14:textId="77777777" w:rsidR="001B0F0A" w:rsidRPr="004E1F46" w:rsidRDefault="001B0F0A" w:rsidP="001B0F0A">
      <w:pPr>
        <w:ind w:left="1701" w:hanging="708"/>
        <w:jc w:val="center"/>
        <w:rPr>
          <w:szCs w:val="22"/>
        </w:rPr>
      </w:pPr>
    </w:p>
    <w:p w14:paraId="7C3322C6" w14:textId="77777777" w:rsidR="001B0F0A" w:rsidRPr="004E1F46" w:rsidRDefault="001B0F0A" w:rsidP="001B0F0A">
      <w:pPr>
        <w:ind w:left="1701" w:hanging="708"/>
        <w:jc w:val="center"/>
        <w:rPr>
          <w:szCs w:val="22"/>
        </w:rPr>
      </w:pPr>
    </w:p>
    <w:p w14:paraId="7C3322C7" w14:textId="77777777" w:rsidR="001B0F0A" w:rsidRPr="004E1F46" w:rsidRDefault="001B0F0A" w:rsidP="001B0F0A">
      <w:pPr>
        <w:ind w:left="1701" w:hanging="708"/>
        <w:jc w:val="center"/>
        <w:rPr>
          <w:szCs w:val="22"/>
        </w:rPr>
      </w:pPr>
    </w:p>
    <w:p w14:paraId="7C3322C8" w14:textId="77777777" w:rsidR="001B0F0A" w:rsidRPr="004E1F46" w:rsidRDefault="001B0F0A" w:rsidP="001B0F0A">
      <w:pPr>
        <w:ind w:left="1701" w:hanging="708"/>
        <w:jc w:val="center"/>
        <w:rPr>
          <w:szCs w:val="22"/>
        </w:rPr>
      </w:pPr>
    </w:p>
    <w:p w14:paraId="7C3322C9" w14:textId="77777777" w:rsidR="001B0F0A" w:rsidRPr="004E1F46" w:rsidRDefault="001B0F0A" w:rsidP="001B0F0A">
      <w:pPr>
        <w:ind w:left="1701" w:hanging="708"/>
        <w:jc w:val="center"/>
        <w:rPr>
          <w:szCs w:val="22"/>
        </w:rPr>
      </w:pPr>
    </w:p>
    <w:p w14:paraId="7C3322CA" w14:textId="77777777" w:rsidR="001B0F0A" w:rsidRPr="004E1F46" w:rsidRDefault="001B0F0A" w:rsidP="001B0F0A">
      <w:pPr>
        <w:ind w:left="1701" w:hanging="708"/>
        <w:jc w:val="center"/>
        <w:rPr>
          <w:szCs w:val="22"/>
        </w:rPr>
      </w:pPr>
    </w:p>
    <w:p w14:paraId="7C3322CB" w14:textId="77777777" w:rsidR="001B0F0A" w:rsidRPr="004E1F46" w:rsidRDefault="001B0F0A" w:rsidP="001B0F0A">
      <w:pPr>
        <w:ind w:left="1701" w:hanging="708"/>
        <w:jc w:val="center"/>
        <w:rPr>
          <w:szCs w:val="22"/>
        </w:rPr>
      </w:pPr>
    </w:p>
    <w:p w14:paraId="7C3322CC" w14:textId="77777777" w:rsidR="001B0F0A" w:rsidRPr="004E1F46" w:rsidRDefault="001B0F0A" w:rsidP="001B0F0A">
      <w:pPr>
        <w:ind w:left="1701" w:hanging="708"/>
        <w:jc w:val="center"/>
        <w:rPr>
          <w:szCs w:val="22"/>
        </w:rPr>
      </w:pPr>
    </w:p>
    <w:p w14:paraId="7C3322CD" w14:textId="77777777" w:rsidR="001B0F0A" w:rsidRDefault="001B0F0A" w:rsidP="001B0F0A">
      <w:pPr>
        <w:ind w:left="1701" w:hanging="708"/>
        <w:jc w:val="center"/>
        <w:rPr>
          <w:szCs w:val="22"/>
        </w:rPr>
      </w:pPr>
    </w:p>
    <w:p w14:paraId="7C3322CE" w14:textId="77777777" w:rsidR="001B0F0A" w:rsidRPr="004E1F46" w:rsidRDefault="00016F29" w:rsidP="001B0F0A">
      <w:pPr>
        <w:ind w:left="1701" w:hanging="708"/>
        <w:jc w:val="center"/>
        <w:rPr>
          <w:b/>
          <w:szCs w:val="22"/>
        </w:rPr>
      </w:pPr>
      <w:r w:rsidRPr="004E1F46">
        <w:rPr>
          <w:b/>
          <w:szCs w:val="22"/>
        </w:rPr>
        <w:t>ANNEX II</w:t>
      </w:r>
    </w:p>
    <w:p w14:paraId="7C3322CF" w14:textId="77777777" w:rsidR="001B0F0A" w:rsidRPr="004E1F46" w:rsidRDefault="001B0F0A" w:rsidP="001B0F0A">
      <w:pPr>
        <w:ind w:left="1701" w:hanging="708"/>
        <w:jc w:val="center"/>
        <w:rPr>
          <w:szCs w:val="22"/>
        </w:rPr>
      </w:pPr>
    </w:p>
    <w:p w14:paraId="7C3322D0" w14:textId="77777777" w:rsidR="001B0F0A" w:rsidRPr="004E1F46" w:rsidRDefault="00016F29" w:rsidP="001B0F0A">
      <w:pPr>
        <w:ind w:left="1701" w:hanging="708"/>
        <w:rPr>
          <w:b/>
          <w:szCs w:val="22"/>
        </w:rPr>
      </w:pPr>
      <w:r w:rsidRPr="004E1F46">
        <w:rPr>
          <w:b/>
          <w:szCs w:val="22"/>
        </w:rPr>
        <w:t>A.</w:t>
      </w:r>
      <w:r w:rsidRPr="004E1F46">
        <w:rPr>
          <w:b/>
          <w:szCs w:val="22"/>
        </w:rPr>
        <w:tab/>
        <w:t xml:space="preserve">MANUFACTURERS OF THE BIOLOGICAL ACTIVE SUBSTANCE AND </w:t>
      </w:r>
      <w:r>
        <w:rPr>
          <w:b/>
          <w:szCs w:val="22"/>
        </w:rPr>
        <w:t>MANUFACTURERS</w:t>
      </w:r>
      <w:r w:rsidRPr="004E1F46">
        <w:rPr>
          <w:b/>
          <w:szCs w:val="22"/>
        </w:rPr>
        <w:t xml:space="preserve"> RESPONSIBLE FOR BATCH RELEASE</w:t>
      </w:r>
    </w:p>
    <w:p w14:paraId="7C3322D1" w14:textId="77777777" w:rsidR="001B0F0A" w:rsidRPr="004E1F46" w:rsidRDefault="001B0F0A" w:rsidP="001B0F0A">
      <w:pPr>
        <w:ind w:left="1701" w:hanging="708"/>
        <w:jc w:val="both"/>
        <w:rPr>
          <w:szCs w:val="22"/>
        </w:rPr>
      </w:pPr>
    </w:p>
    <w:p w14:paraId="7C3322D2" w14:textId="77777777" w:rsidR="001B0F0A" w:rsidRDefault="00016F29" w:rsidP="001B0F0A">
      <w:pPr>
        <w:ind w:left="1701" w:hanging="708"/>
        <w:rPr>
          <w:b/>
          <w:szCs w:val="22"/>
        </w:rPr>
      </w:pPr>
      <w:r w:rsidRPr="004E1F46">
        <w:rPr>
          <w:b/>
          <w:szCs w:val="22"/>
        </w:rPr>
        <w:t>B.</w:t>
      </w:r>
      <w:r w:rsidRPr="004E1F46">
        <w:rPr>
          <w:b/>
          <w:szCs w:val="22"/>
        </w:rPr>
        <w:tab/>
        <w:t>CONDITIONS O</w:t>
      </w:r>
      <w:r>
        <w:rPr>
          <w:b/>
          <w:szCs w:val="22"/>
        </w:rPr>
        <w:t>R RESTRICTIONS REGARDING SUPPLY AND USE</w:t>
      </w:r>
    </w:p>
    <w:p w14:paraId="7C3322D3" w14:textId="77777777" w:rsidR="001B0F0A" w:rsidRDefault="001B0F0A" w:rsidP="001B0F0A">
      <w:pPr>
        <w:ind w:left="1701" w:hanging="708"/>
        <w:rPr>
          <w:b/>
          <w:szCs w:val="22"/>
        </w:rPr>
      </w:pPr>
    </w:p>
    <w:p w14:paraId="7C3322D4" w14:textId="77777777" w:rsidR="001B0F0A" w:rsidRDefault="00016F29" w:rsidP="001B0F0A">
      <w:pPr>
        <w:ind w:left="1701" w:hanging="708"/>
        <w:rPr>
          <w:b/>
          <w:szCs w:val="22"/>
        </w:rPr>
      </w:pPr>
      <w:r>
        <w:rPr>
          <w:b/>
          <w:szCs w:val="22"/>
        </w:rPr>
        <w:t>C.</w:t>
      </w:r>
      <w:r>
        <w:rPr>
          <w:b/>
          <w:szCs w:val="22"/>
        </w:rPr>
        <w:tab/>
        <w:t>OTHER CONDITIONS AND REQUIREMENTS OF THE MARKETING AUTHORISATION</w:t>
      </w:r>
    </w:p>
    <w:p w14:paraId="7C3322D5" w14:textId="77777777" w:rsidR="001B0F0A" w:rsidRDefault="001B0F0A" w:rsidP="001B0F0A">
      <w:pPr>
        <w:ind w:left="1701" w:hanging="708"/>
        <w:rPr>
          <w:b/>
          <w:szCs w:val="22"/>
        </w:rPr>
      </w:pPr>
    </w:p>
    <w:p w14:paraId="7C3322D6" w14:textId="77777777" w:rsidR="001B0F0A" w:rsidRPr="004E1F46" w:rsidRDefault="00016F29" w:rsidP="001B0F0A">
      <w:pPr>
        <w:ind w:left="1701" w:hanging="708"/>
        <w:rPr>
          <w:b/>
          <w:szCs w:val="22"/>
        </w:rPr>
      </w:pPr>
      <w:r w:rsidRPr="00E315ED">
        <w:rPr>
          <w:b/>
          <w:szCs w:val="22"/>
        </w:rPr>
        <w:t>D.</w:t>
      </w:r>
      <w:r w:rsidRPr="00E315ED">
        <w:rPr>
          <w:b/>
          <w:szCs w:val="22"/>
        </w:rPr>
        <w:tab/>
        <w:t>CONDITIONS OR RESTRICTIONS WITH REGARD TO THE SAFE AND EFFECTIVE USE OF THE MEDICINAL PRODUCT</w:t>
      </w:r>
    </w:p>
    <w:p w14:paraId="7C3322D8" w14:textId="77777777" w:rsidR="001B0F0A" w:rsidRPr="004E1F46" w:rsidRDefault="001B0F0A" w:rsidP="001B0F0A">
      <w:pPr>
        <w:ind w:left="1701" w:hanging="708"/>
        <w:jc w:val="center"/>
        <w:rPr>
          <w:b/>
          <w:szCs w:val="22"/>
        </w:rPr>
      </w:pPr>
    </w:p>
    <w:p w14:paraId="7C3322D9" w14:textId="77777777" w:rsidR="001B0F0A" w:rsidRPr="00BF74BB" w:rsidRDefault="00016F29" w:rsidP="001B0F0A">
      <w:pPr>
        <w:tabs>
          <w:tab w:val="left" w:pos="567"/>
        </w:tabs>
        <w:rPr>
          <w:lang w:val="en-GB" w:eastAsia="zh-TW"/>
        </w:rPr>
      </w:pPr>
      <w:r w:rsidRPr="00CA54CC">
        <w:rPr>
          <w:b/>
          <w:szCs w:val="22"/>
        </w:rPr>
        <w:br w:type="page"/>
      </w:r>
    </w:p>
    <w:p w14:paraId="7C3322DA" w14:textId="77777777" w:rsidR="001B0F0A" w:rsidRPr="00E66198" w:rsidRDefault="00016F29" w:rsidP="001B0F0A">
      <w:pPr>
        <w:pStyle w:val="AnnexHeading"/>
        <w:rPr>
          <w:lang w:val="en-GB"/>
        </w:rPr>
      </w:pPr>
      <w:r w:rsidRPr="002D6CFD">
        <w:rPr>
          <w:lang w:val="en-GB"/>
        </w:rPr>
        <w:t>A.</w:t>
      </w:r>
      <w:r w:rsidRPr="002D6CFD">
        <w:rPr>
          <w:lang w:val="en-GB"/>
        </w:rPr>
        <w:tab/>
      </w:r>
      <w:r w:rsidRPr="00A73C79">
        <w:rPr>
          <w:lang w:val="en-GB"/>
        </w:rPr>
        <w:t xml:space="preserve">MANUFACTURERS OF THE BIOLOGICAL ACTIVE SUBSTANCE AND </w:t>
      </w:r>
      <w:r w:rsidRPr="006A0D80">
        <w:rPr>
          <w:lang w:val="en-GB"/>
        </w:rPr>
        <w:t>MANUFACTUR</w:t>
      </w:r>
      <w:r w:rsidRPr="000B5F64">
        <w:rPr>
          <w:lang w:val="en-GB"/>
        </w:rPr>
        <w:t xml:space="preserve">ER </w:t>
      </w:r>
      <w:r w:rsidRPr="00E66198">
        <w:rPr>
          <w:lang w:val="en-GB"/>
        </w:rPr>
        <w:t>RESPONSIBLE FOR BATCH RELEASE</w:t>
      </w:r>
    </w:p>
    <w:p w14:paraId="7C3322DB" w14:textId="77777777" w:rsidR="001B0F0A" w:rsidRPr="00545B31" w:rsidRDefault="001B0F0A" w:rsidP="001B0F0A">
      <w:pPr>
        <w:rPr>
          <w:szCs w:val="22"/>
          <w:lang w:val="en-GB"/>
        </w:rPr>
      </w:pPr>
    </w:p>
    <w:p w14:paraId="7C3322DC" w14:textId="77777777" w:rsidR="001B0F0A" w:rsidRPr="008174B2" w:rsidRDefault="00016F29" w:rsidP="001B0F0A">
      <w:pPr>
        <w:outlineLvl w:val="0"/>
        <w:rPr>
          <w:szCs w:val="22"/>
          <w:u w:val="single"/>
          <w:lang w:val="en-GB"/>
        </w:rPr>
      </w:pPr>
      <w:r w:rsidRPr="008174B2">
        <w:rPr>
          <w:szCs w:val="22"/>
          <w:u w:val="single"/>
          <w:lang w:val="en-GB"/>
        </w:rPr>
        <w:t>Names and addresses of the manufacturers of the biological active substance</w:t>
      </w:r>
    </w:p>
    <w:p w14:paraId="7C3322DD" w14:textId="77777777" w:rsidR="001B0F0A" w:rsidRPr="008B0AC2" w:rsidRDefault="001B0F0A" w:rsidP="001B0F0A">
      <w:pPr>
        <w:rPr>
          <w:szCs w:val="22"/>
          <w:lang w:val="en-GB"/>
        </w:rPr>
      </w:pPr>
    </w:p>
    <w:p w14:paraId="7C3322DE" w14:textId="77777777" w:rsidR="001B0F0A" w:rsidRPr="004E4949" w:rsidRDefault="00016F29" w:rsidP="001B0F0A">
      <w:pPr>
        <w:tabs>
          <w:tab w:val="left" w:pos="567"/>
        </w:tabs>
        <w:rPr>
          <w:szCs w:val="22"/>
          <w:lang w:val="en-GB" w:eastAsia="en-US"/>
        </w:rPr>
      </w:pPr>
      <w:r w:rsidRPr="004E4949">
        <w:rPr>
          <w:szCs w:val="22"/>
          <w:lang w:val="en-GB" w:eastAsia="en-US"/>
        </w:rPr>
        <w:t>Genentech Inc.</w:t>
      </w:r>
    </w:p>
    <w:p w14:paraId="7C3322DF" w14:textId="77777777" w:rsidR="001B0F0A" w:rsidRPr="003B45D1" w:rsidRDefault="00016F29" w:rsidP="001B0F0A">
      <w:pPr>
        <w:tabs>
          <w:tab w:val="left" w:pos="567"/>
        </w:tabs>
        <w:rPr>
          <w:szCs w:val="22"/>
          <w:lang w:val="en-GB" w:eastAsia="en-US"/>
        </w:rPr>
      </w:pPr>
      <w:r w:rsidRPr="003B45D1">
        <w:rPr>
          <w:szCs w:val="22"/>
          <w:lang w:val="en-GB" w:eastAsia="en-US"/>
        </w:rPr>
        <w:t>1000 New Horizons Way</w:t>
      </w:r>
    </w:p>
    <w:p w14:paraId="7C3322E0" w14:textId="77777777" w:rsidR="001B0F0A" w:rsidRPr="00027991" w:rsidRDefault="00016F29" w:rsidP="001B0F0A">
      <w:pPr>
        <w:tabs>
          <w:tab w:val="left" w:pos="567"/>
        </w:tabs>
        <w:rPr>
          <w:szCs w:val="22"/>
          <w:lang w:val="en-GB" w:eastAsia="en-US"/>
        </w:rPr>
      </w:pPr>
      <w:r w:rsidRPr="00027991">
        <w:rPr>
          <w:szCs w:val="22"/>
          <w:lang w:val="en-GB" w:eastAsia="en-US"/>
        </w:rPr>
        <w:t>Vacaville, CA 95688</w:t>
      </w:r>
    </w:p>
    <w:p w14:paraId="7C3322E1" w14:textId="77777777" w:rsidR="001B0F0A" w:rsidRPr="00E029C4" w:rsidRDefault="00016F29" w:rsidP="001B0F0A">
      <w:pPr>
        <w:tabs>
          <w:tab w:val="left" w:pos="567"/>
        </w:tabs>
        <w:rPr>
          <w:szCs w:val="22"/>
          <w:lang w:val="en-GB" w:eastAsia="en-US"/>
        </w:rPr>
      </w:pPr>
      <w:r w:rsidRPr="009044B8">
        <w:rPr>
          <w:szCs w:val="22"/>
          <w:lang w:val="en-GB" w:eastAsia="en-US"/>
        </w:rPr>
        <w:t>USA</w:t>
      </w:r>
    </w:p>
    <w:p w14:paraId="7C3322E2" w14:textId="77777777" w:rsidR="001B0F0A" w:rsidRPr="005E6A92" w:rsidRDefault="001B0F0A" w:rsidP="001B0F0A">
      <w:pPr>
        <w:tabs>
          <w:tab w:val="left" w:pos="567"/>
        </w:tabs>
        <w:rPr>
          <w:lang w:val="en-GB" w:eastAsia="zh-TW"/>
        </w:rPr>
      </w:pPr>
    </w:p>
    <w:p w14:paraId="7C3322E3" w14:textId="77777777" w:rsidR="001B0F0A" w:rsidRPr="00E91D3B" w:rsidRDefault="00016F29" w:rsidP="001B0F0A">
      <w:pPr>
        <w:rPr>
          <w:szCs w:val="22"/>
          <w:lang w:val="en-GB"/>
        </w:rPr>
      </w:pPr>
      <w:r w:rsidRPr="00E91D3B">
        <w:rPr>
          <w:szCs w:val="22"/>
          <w:lang w:val="en-GB"/>
        </w:rPr>
        <w:t>Genentech, Inc.</w:t>
      </w:r>
    </w:p>
    <w:p w14:paraId="7C3322E4" w14:textId="77777777" w:rsidR="001B0F0A" w:rsidRPr="00E91D3B" w:rsidRDefault="00016F29" w:rsidP="001B0F0A">
      <w:pPr>
        <w:rPr>
          <w:szCs w:val="22"/>
          <w:lang w:val="en-GB"/>
        </w:rPr>
      </w:pPr>
      <w:r w:rsidRPr="00E91D3B">
        <w:rPr>
          <w:szCs w:val="22"/>
          <w:lang w:val="en-GB"/>
        </w:rPr>
        <w:t>1 Antibody Way</w:t>
      </w:r>
    </w:p>
    <w:p w14:paraId="7C3322E5" w14:textId="77777777" w:rsidR="001B0F0A" w:rsidRPr="00E91D3B" w:rsidRDefault="00016F29" w:rsidP="001B0F0A">
      <w:pPr>
        <w:rPr>
          <w:szCs w:val="22"/>
          <w:lang w:val="en-GB"/>
        </w:rPr>
      </w:pPr>
      <w:r w:rsidRPr="00E91D3B">
        <w:rPr>
          <w:szCs w:val="22"/>
          <w:lang w:val="en-GB"/>
        </w:rPr>
        <w:t>Oceanside, CA 92056 5802</w:t>
      </w:r>
    </w:p>
    <w:p w14:paraId="7C3322E6" w14:textId="77777777" w:rsidR="001B0F0A" w:rsidRDefault="00016F29" w:rsidP="001B0F0A">
      <w:pPr>
        <w:rPr>
          <w:szCs w:val="22"/>
          <w:lang w:val="en-GB"/>
        </w:rPr>
      </w:pPr>
      <w:r w:rsidRPr="00E91D3B">
        <w:rPr>
          <w:szCs w:val="22"/>
          <w:lang w:val="en-GB"/>
        </w:rPr>
        <w:t>USA</w:t>
      </w:r>
    </w:p>
    <w:p w14:paraId="7C3322E7" w14:textId="77777777" w:rsidR="003467B7" w:rsidRDefault="003467B7" w:rsidP="001B0F0A">
      <w:pPr>
        <w:rPr>
          <w:szCs w:val="22"/>
          <w:lang w:val="en-GB"/>
        </w:rPr>
      </w:pPr>
    </w:p>
    <w:p w14:paraId="7C3322E8" w14:textId="77777777" w:rsidR="003467B7" w:rsidRDefault="00016F29" w:rsidP="003467B7">
      <w:pPr>
        <w:rPr>
          <w:szCs w:val="22"/>
          <w:lang w:val="en-GB"/>
        </w:rPr>
      </w:pPr>
      <w:r>
        <w:rPr>
          <w:szCs w:val="22"/>
          <w:lang w:val="en-GB"/>
        </w:rPr>
        <w:t>Samsung BioLogics</w:t>
      </w:r>
    </w:p>
    <w:p w14:paraId="7C3322E9" w14:textId="77777777" w:rsidR="00350351" w:rsidRDefault="00016F29" w:rsidP="003467B7">
      <w:r>
        <w:t>300, Songdo Bio Way (Daero)</w:t>
      </w:r>
      <w:r>
        <w:br/>
        <w:t xml:space="preserve">Yeonsu-gu, Incheon 21987, </w:t>
      </w:r>
    </w:p>
    <w:p w14:paraId="7C3322EA" w14:textId="77777777" w:rsidR="001B0F0A" w:rsidRDefault="00016F29" w:rsidP="001B0F0A">
      <w:pPr>
        <w:rPr>
          <w:szCs w:val="22"/>
          <w:lang w:val="en-GB"/>
        </w:rPr>
      </w:pPr>
      <w:r>
        <w:t>Korea</w:t>
      </w:r>
      <w:r>
        <w:rPr>
          <w:szCs w:val="22"/>
          <w:lang w:val="en-GB"/>
        </w:rPr>
        <w:t xml:space="preserve"> </w:t>
      </w:r>
    </w:p>
    <w:p w14:paraId="7C3322EB" w14:textId="77777777" w:rsidR="00630020" w:rsidRPr="00705086" w:rsidRDefault="00630020" w:rsidP="001B0F0A">
      <w:pPr>
        <w:rPr>
          <w:szCs w:val="22"/>
          <w:lang w:val="en-GB"/>
        </w:rPr>
      </w:pPr>
    </w:p>
    <w:p w14:paraId="7C3322EC" w14:textId="77777777" w:rsidR="001B0F0A" w:rsidRPr="00705086" w:rsidRDefault="00016F29" w:rsidP="001B0F0A">
      <w:pPr>
        <w:outlineLvl w:val="0"/>
        <w:rPr>
          <w:szCs w:val="22"/>
          <w:u w:val="single"/>
          <w:lang w:val="en-GB"/>
        </w:rPr>
      </w:pPr>
      <w:r w:rsidRPr="00705086">
        <w:rPr>
          <w:szCs w:val="22"/>
          <w:u w:val="single"/>
          <w:lang w:val="en-GB"/>
        </w:rPr>
        <w:t>Name and address of the manufacturer responsible for batch release</w:t>
      </w:r>
    </w:p>
    <w:p w14:paraId="7C3322ED" w14:textId="77777777" w:rsidR="001B0F0A" w:rsidRPr="00705086" w:rsidRDefault="001B0F0A" w:rsidP="001B0F0A">
      <w:pPr>
        <w:rPr>
          <w:szCs w:val="22"/>
          <w:lang w:val="en-GB"/>
        </w:rPr>
      </w:pPr>
    </w:p>
    <w:p w14:paraId="7C3322EE" w14:textId="77777777" w:rsidR="001B0F0A" w:rsidRPr="00B42A51" w:rsidRDefault="00016F29" w:rsidP="001B0F0A">
      <w:pPr>
        <w:outlineLvl w:val="0"/>
        <w:rPr>
          <w:szCs w:val="22"/>
          <w:lang w:val="de-DE"/>
        </w:rPr>
      </w:pPr>
      <w:r w:rsidRPr="00B42A51">
        <w:rPr>
          <w:noProof/>
          <w:szCs w:val="22"/>
          <w:lang w:val="de-DE"/>
        </w:rPr>
        <w:t>Roche Pharma</w:t>
      </w:r>
      <w:r w:rsidRPr="00B42A51">
        <w:rPr>
          <w:lang w:val="de-DE"/>
        </w:rPr>
        <w:t xml:space="preserve"> </w:t>
      </w:r>
      <w:r w:rsidRPr="00B42A51">
        <w:rPr>
          <w:szCs w:val="22"/>
          <w:lang w:val="de-DE"/>
        </w:rPr>
        <w:t>AG</w:t>
      </w:r>
    </w:p>
    <w:p w14:paraId="7C3322EF" w14:textId="77777777" w:rsidR="001B0F0A" w:rsidRPr="00B42A51" w:rsidRDefault="00016F29" w:rsidP="001B0F0A">
      <w:pPr>
        <w:rPr>
          <w:szCs w:val="22"/>
          <w:lang w:val="de-CH"/>
        </w:rPr>
      </w:pPr>
      <w:r w:rsidRPr="00B42A51">
        <w:rPr>
          <w:szCs w:val="22"/>
          <w:lang w:val="de-DE"/>
        </w:rPr>
        <w:t>Emil</w:t>
      </w:r>
      <w:r w:rsidR="000A6DDA" w:rsidRPr="00B42A51">
        <w:rPr>
          <w:szCs w:val="22"/>
          <w:lang w:val="de-DE"/>
        </w:rPr>
        <w:noBreakHyphen/>
      </w:r>
      <w:r w:rsidRPr="00B42A51">
        <w:rPr>
          <w:szCs w:val="22"/>
          <w:lang w:val="de-DE"/>
        </w:rPr>
        <w:t>Barell</w:t>
      </w:r>
      <w:r w:rsidR="000A6DDA" w:rsidRPr="00B42A51">
        <w:rPr>
          <w:szCs w:val="22"/>
          <w:lang w:val="de-DE"/>
        </w:rPr>
        <w:noBreakHyphen/>
      </w:r>
      <w:r w:rsidRPr="00B42A51">
        <w:rPr>
          <w:szCs w:val="22"/>
          <w:lang w:val="de-DE"/>
        </w:rPr>
        <w:t xml:space="preserve">Str. </w:t>
      </w:r>
      <w:r w:rsidRPr="00B42A51">
        <w:rPr>
          <w:szCs w:val="22"/>
          <w:lang w:val="de-CH"/>
        </w:rPr>
        <w:t>1</w:t>
      </w:r>
    </w:p>
    <w:p w14:paraId="7C3322F0" w14:textId="77777777" w:rsidR="001B0F0A" w:rsidRPr="00B42A51" w:rsidRDefault="00016F29" w:rsidP="001B0F0A">
      <w:pPr>
        <w:rPr>
          <w:szCs w:val="22"/>
        </w:rPr>
      </w:pPr>
      <w:r w:rsidRPr="00B42A51">
        <w:rPr>
          <w:szCs w:val="22"/>
        </w:rPr>
        <w:t>D</w:t>
      </w:r>
      <w:r w:rsidR="000A6DDA" w:rsidRPr="00B42A51">
        <w:rPr>
          <w:szCs w:val="22"/>
        </w:rPr>
        <w:noBreakHyphen/>
      </w:r>
      <w:r w:rsidRPr="00B42A51">
        <w:rPr>
          <w:szCs w:val="22"/>
        </w:rPr>
        <w:t>79639 Grenzach</w:t>
      </w:r>
      <w:r w:rsidR="000A6DDA" w:rsidRPr="00B42A51">
        <w:rPr>
          <w:szCs w:val="22"/>
        </w:rPr>
        <w:noBreakHyphen/>
      </w:r>
      <w:r w:rsidRPr="00B42A51">
        <w:rPr>
          <w:szCs w:val="22"/>
        </w:rPr>
        <w:t>Wyhlen</w:t>
      </w:r>
    </w:p>
    <w:p w14:paraId="7C3322F1" w14:textId="77777777" w:rsidR="001B0F0A" w:rsidRPr="00B42A51" w:rsidRDefault="00016F29" w:rsidP="001B0F0A">
      <w:pPr>
        <w:rPr>
          <w:szCs w:val="22"/>
          <w:lang w:val="en-GB"/>
        </w:rPr>
      </w:pPr>
      <w:r w:rsidRPr="00B42A51">
        <w:rPr>
          <w:szCs w:val="22"/>
          <w:lang w:val="en-GB"/>
        </w:rPr>
        <w:t>Germany</w:t>
      </w:r>
    </w:p>
    <w:p w14:paraId="7C3322F2" w14:textId="77777777" w:rsidR="001B0F0A" w:rsidRPr="00705086" w:rsidRDefault="001B0F0A" w:rsidP="001B0F0A">
      <w:pPr>
        <w:rPr>
          <w:szCs w:val="22"/>
          <w:lang w:val="en-GB"/>
        </w:rPr>
      </w:pPr>
    </w:p>
    <w:p w14:paraId="7C3322F3" w14:textId="77777777" w:rsidR="001B0F0A" w:rsidRPr="00705086" w:rsidRDefault="001B0F0A" w:rsidP="001B0F0A">
      <w:pPr>
        <w:rPr>
          <w:szCs w:val="22"/>
          <w:lang w:val="en-GB"/>
        </w:rPr>
      </w:pPr>
    </w:p>
    <w:p w14:paraId="7C3322F4" w14:textId="77777777" w:rsidR="001B0F0A" w:rsidRPr="00942DB2" w:rsidRDefault="00016F29" w:rsidP="001B0F0A">
      <w:pPr>
        <w:pStyle w:val="AnnexHeading"/>
        <w:rPr>
          <w:lang w:val="en-GB"/>
        </w:rPr>
      </w:pPr>
      <w:r w:rsidRPr="00705086">
        <w:rPr>
          <w:lang w:val="en-GB"/>
        </w:rPr>
        <w:t>B.</w:t>
      </w:r>
      <w:r w:rsidRPr="00FD0733">
        <w:rPr>
          <w:lang w:val="en-GB"/>
        </w:rPr>
        <w:tab/>
        <w:t>CONDITIONS O</w:t>
      </w:r>
      <w:r w:rsidRPr="00942DB2">
        <w:rPr>
          <w:lang w:val="en-GB"/>
        </w:rPr>
        <w:t>R RESTRICTIONS REGARDING SUPPLY AND USE</w:t>
      </w:r>
    </w:p>
    <w:p w14:paraId="7C3322F5" w14:textId="77777777" w:rsidR="001B0F0A" w:rsidRPr="00AE1FBE" w:rsidRDefault="001B0F0A" w:rsidP="001B0F0A">
      <w:pPr>
        <w:rPr>
          <w:szCs w:val="22"/>
          <w:lang w:val="en-GB"/>
        </w:rPr>
      </w:pPr>
    </w:p>
    <w:p w14:paraId="7C3322F6" w14:textId="77777777" w:rsidR="001B0F0A" w:rsidRPr="00854947" w:rsidRDefault="00016F29" w:rsidP="001B0F0A">
      <w:pPr>
        <w:rPr>
          <w:szCs w:val="22"/>
          <w:lang w:val="en-GB"/>
        </w:rPr>
      </w:pPr>
      <w:r w:rsidRPr="00854947">
        <w:rPr>
          <w:szCs w:val="22"/>
          <w:lang w:val="en-GB"/>
        </w:rPr>
        <w:t>Medicinal product subject to restricted medical prescription (See Annex I: Summary of Product Characteristics, section 4.2).</w:t>
      </w:r>
    </w:p>
    <w:p w14:paraId="7C3322F7" w14:textId="77777777" w:rsidR="001B0F0A" w:rsidRPr="00D870F1" w:rsidRDefault="001B0F0A" w:rsidP="001B0F0A">
      <w:pPr>
        <w:rPr>
          <w:szCs w:val="22"/>
          <w:lang w:val="en-GB"/>
        </w:rPr>
      </w:pPr>
    </w:p>
    <w:p w14:paraId="7C3322F8" w14:textId="77777777" w:rsidR="001B0F0A" w:rsidRPr="0041291A" w:rsidRDefault="001B0F0A" w:rsidP="001B0F0A">
      <w:pPr>
        <w:rPr>
          <w:szCs w:val="22"/>
          <w:lang w:val="en-GB"/>
        </w:rPr>
      </w:pPr>
    </w:p>
    <w:p w14:paraId="7C3322F9" w14:textId="77777777" w:rsidR="001B0F0A" w:rsidRPr="005F2970" w:rsidRDefault="00016F29" w:rsidP="001B0F0A">
      <w:pPr>
        <w:pStyle w:val="AnnexHeading"/>
        <w:rPr>
          <w:lang w:val="en-GB"/>
        </w:rPr>
      </w:pPr>
      <w:r w:rsidRPr="0041291A">
        <w:rPr>
          <w:lang w:val="en-GB"/>
        </w:rPr>
        <w:t>C.</w:t>
      </w:r>
      <w:r w:rsidRPr="0088426A">
        <w:rPr>
          <w:lang w:val="en-GB"/>
        </w:rPr>
        <w:tab/>
      </w:r>
      <w:r w:rsidRPr="002B5D55">
        <w:rPr>
          <w:lang w:val="en-GB"/>
        </w:rPr>
        <w:t xml:space="preserve">OTHER </w:t>
      </w:r>
      <w:r w:rsidRPr="00381DCC">
        <w:rPr>
          <w:lang w:val="en-GB"/>
        </w:rPr>
        <w:t xml:space="preserve">CONDITIONS </w:t>
      </w:r>
      <w:r w:rsidRPr="00A43262">
        <w:rPr>
          <w:lang w:val="en-GB"/>
        </w:rPr>
        <w:t>AND REQUIREMEN</w:t>
      </w:r>
      <w:r w:rsidRPr="005F2970">
        <w:rPr>
          <w:lang w:val="en-GB"/>
        </w:rPr>
        <w:t>TS OF THE MARKETING AUTHORISATION</w:t>
      </w:r>
    </w:p>
    <w:p w14:paraId="7C3322FA" w14:textId="77777777" w:rsidR="001B0F0A" w:rsidRPr="006148A2" w:rsidRDefault="001B0F0A" w:rsidP="001B0F0A">
      <w:pPr>
        <w:tabs>
          <w:tab w:val="left" w:pos="567"/>
        </w:tabs>
        <w:spacing w:line="260" w:lineRule="exact"/>
        <w:rPr>
          <w:lang w:val="en-GB" w:eastAsia="en-US"/>
        </w:rPr>
      </w:pPr>
    </w:p>
    <w:p w14:paraId="7C3322FB" w14:textId="77777777" w:rsidR="001B0F0A" w:rsidRPr="00CF4C2C" w:rsidRDefault="00016F29" w:rsidP="001B0F0A">
      <w:pPr>
        <w:outlineLvl w:val="0"/>
        <w:rPr>
          <w:b/>
          <w:szCs w:val="22"/>
          <w:lang w:val="en-GB"/>
        </w:rPr>
      </w:pPr>
      <w:r w:rsidRPr="00E06A78">
        <w:rPr>
          <w:rFonts w:ascii="Symbol" w:hAnsi="Symbol"/>
        </w:rPr>
        <w:sym w:font="Symbol" w:char="F0B7"/>
      </w:r>
      <w:r w:rsidRPr="004E1F46">
        <w:rPr>
          <w:szCs w:val="22"/>
        </w:rPr>
        <w:tab/>
      </w:r>
      <w:r w:rsidRPr="00CF4C2C">
        <w:rPr>
          <w:b/>
          <w:bCs/>
          <w:szCs w:val="22"/>
          <w:lang w:val="en-GB"/>
        </w:rPr>
        <w:t xml:space="preserve">Periodic </w:t>
      </w:r>
      <w:r w:rsidR="00B61F30">
        <w:rPr>
          <w:b/>
          <w:bCs/>
          <w:szCs w:val="22"/>
          <w:lang w:val="en-GB"/>
        </w:rPr>
        <w:t>s</w:t>
      </w:r>
      <w:r w:rsidR="007830E0" w:rsidRPr="00153E10">
        <w:rPr>
          <w:b/>
          <w:bCs/>
          <w:szCs w:val="22"/>
          <w:lang w:val="en-GB"/>
        </w:rPr>
        <w:t xml:space="preserve">afety </w:t>
      </w:r>
      <w:r w:rsidR="00B61F30">
        <w:rPr>
          <w:b/>
          <w:bCs/>
          <w:szCs w:val="22"/>
          <w:lang w:val="en-GB"/>
        </w:rPr>
        <w:t>update reports</w:t>
      </w:r>
    </w:p>
    <w:p w14:paraId="7C3322FC" w14:textId="77777777" w:rsidR="001B0F0A" w:rsidRPr="00153E10" w:rsidRDefault="001B0F0A" w:rsidP="00DD36B7">
      <w:pPr>
        <w:rPr>
          <w:lang w:val="en-GB"/>
        </w:rPr>
      </w:pPr>
    </w:p>
    <w:p w14:paraId="7C3322FD" w14:textId="77777777" w:rsidR="001B0F0A" w:rsidRPr="00E06A78" w:rsidRDefault="00016F29" w:rsidP="00E06A78">
      <w:r w:rsidRPr="00153E10">
        <w:t>The requirements for submission of PSURs for this medicinal product are set out in the list of Union reference dates (EURD list) provided for under Article 107c(7) of Directive 2001/83/EC and any subsequent updates published on the European medicines web-portal</w:t>
      </w:r>
    </w:p>
    <w:p w14:paraId="7C3322FE" w14:textId="77777777" w:rsidR="00C414AE" w:rsidRDefault="00C414AE" w:rsidP="001B0F0A">
      <w:pPr>
        <w:tabs>
          <w:tab w:val="left" w:pos="567"/>
        </w:tabs>
        <w:spacing w:line="260" w:lineRule="exact"/>
        <w:rPr>
          <w:szCs w:val="22"/>
          <w:lang w:val="en-GB"/>
        </w:rPr>
      </w:pPr>
    </w:p>
    <w:p w14:paraId="7C3322FF" w14:textId="77777777" w:rsidR="001B0F0A" w:rsidRPr="00A74E91" w:rsidRDefault="001B0F0A" w:rsidP="001B0F0A">
      <w:pPr>
        <w:tabs>
          <w:tab w:val="left" w:pos="567"/>
        </w:tabs>
        <w:spacing w:line="260" w:lineRule="exact"/>
        <w:rPr>
          <w:b/>
          <w:bCs/>
          <w:noProof/>
          <w:lang w:val="en-GB" w:eastAsia="en-US"/>
        </w:rPr>
      </w:pPr>
    </w:p>
    <w:p w14:paraId="7C332300" w14:textId="77777777" w:rsidR="001B0F0A" w:rsidRPr="00EE51FD" w:rsidRDefault="00016F29" w:rsidP="001B0F0A">
      <w:pPr>
        <w:pStyle w:val="AnnexHeading"/>
        <w:rPr>
          <w:lang w:val="en-GB" w:eastAsia="en-US"/>
        </w:rPr>
      </w:pPr>
      <w:r w:rsidRPr="00EE51FD">
        <w:rPr>
          <w:lang w:val="en-GB" w:eastAsia="en-US"/>
        </w:rPr>
        <w:t>D.</w:t>
      </w:r>
      <w:r w:rsidRPr="00EE51FD">
        <w:rPr>
          <w:lang w:val="en-GB" w:eastAsia="en-US"/>
        </w:rPr>
        <w:tab/>
        <w:t xml:space="preserve">CONDITIONS OR RESTRICTIONS WITH REGARD TO THE SAFE AND EFFECTIVE USE OF THE MEDICINAL PRODUCT </w:t>
      </w:r>
    </w:p>
    <w:p w14:paraId="7C332301" w14:textId="77777777" w:rsidR="001B0F0A" w:rsidRPr="00AB7699" w:rsidRDefault="001B0F0A" w:rsidP="001B0F0A">
      <w:pPr>
        <w:tabs>
          <w:tab w:val="left" w:pos="567"/>
        </w:tabs>
        <w:spacing w:line="260" w:lineRule="exact"/>
        <w:rPr>
          <w:b/>
          <w:bCs/>
          <w:noProof/>
          <w:lang w:val="en-GB" w:eastAsia="en-US"/>
        </w:rPr>
      </w:pPr>
    </w:p>
    <w:p w14:paraId="7C332302" w14:textId="77777777" w:rsidR="001B0F0A" w:rsidRPr="00594B0F" w:rsidRDefault="00016F29" w:rsidP="001B0F0A">
      <w:pPr>
        <w:spacing w:line="260" w:lineRule="exact"/>
        <w:ind w:right="-1"/>
        <w:rPr>
          <w:b/>
          <w:lang w:val="en-GB"/>
        </w:rPr>
      </w:pPr>
      <w:r w:rsidRPr="00E06A78">
        <w:rPr>
          <w:rFonts w:ascii="Symbol" w:hAnsi="Symbol"/>
        </w:rPr>
        <w:sym w:font="Symbol" w:char="F0B7"/>
      </w:r>
      <w:r w:rsidRPr="004E1F46">
        <w:rPr>
          <w:szCs w:val="22"/>
        </w:rPr>
        <w:tab/>
      </w:r>
      <w:r w:rsidRPr="00594B0F">
        <w:rPr>
          <w:b/>
          <w:lang w:val="en-GB"/>
        </w:rPr>
        <w:t xml:space="preserve">Risk </w:t>
      </w:r>
      <w:r w:rsidR="00B61F30">
        <w:rPr>
          <w:b/>
          <w:lang w:val="en-GB"/>
        </w:rPr>
        <w:t>m</w:t>
      </w:r>
      <w:r w:rsidR="007830E0" w:rsidRPr="00153E10">
        <w:rPr>
          <w:b/>
          <w:lang w:val="en-GB"/>
        </w:rPr>
        <w:t xml:space="preserve">anagement </w:t>
      </w:r>
      <w:r w:rsidR="00B61F30">
        <w:rPr>
          <w:b/>
          <w:lang w:val="en-GB"/>
        </w:rPr>
        <w:t>p</w:t>
      </w:r>
      <w:r w:rsidR="007830E0" w:rsidRPr="00153E10">
        <w:rPr>
          <w:b/>
          <w:lang w:val="en-GB"/>
        </w:rPr>
        <w:t>lan</w:t>
      </w:r>
      <w:r w:rsidRPr="00594B0F">
        <w:rPr>
          <w:b/>
          <w:lang w:val="en-GB"/>
        </w:rPr>
        <w:t xml:space="preserve"> (RMP)</w:t>
      </w:r>
    </w:p>
    <w:p w14:paraId="7C332303" w14:textId="77777777" w:rsidR="001B0F0A" w:rsidRPr="00E70459" w:rsidRDefault="001B0F0A" w:rsidP="001B0F0A">
      <w:pPr>
        <w:rPr>
          <w:lang w:val="en-GB"/>
        </w:rPr>
      </w:pPr>
    </w:p>
    <w:p w14:paraId="7C332304" w14:textId="77777777" w:rsidR="001B0F0A" w:rsidRPr="00C4176A" w:rsidRDefault="00016F29" w:rsidP="001B0F0A">
      <w:pPr>
        <w:rPr>
          <w:lang w:val="en-GB"/>
        </w:rPr>
      </w:pPr>
      <w:r w:rsidRPr="00C63C8C">
        <w:rPr>
          <w:lang w:val="en-GB"/>
        </w:rPr>
        <w:t xml:space="preserve">The </w:t>
      </w:r>
      <w:r w:rsidR="00906133" w:rsidRPr="00153E10">
        <w:rPr>
          <w:lang w:val="en-GB"/>
        </w:rPr>
        <w:t>marketing authori</w:t>
      </w:r>
      <w:r w:rsidR="008F4479" w:rsidRPr="00E06A78">
        <w:rPr>
          <w:lang w:val="en-GB"/>
        </w:rPr>
        <w:t>s</w:t>
      </w:r>
      <w:r w:rsidR="00906133" w:rsidRPr="00153E10">
        <w:rPr>
          <w:lang w:val="en-GB"/>
        </w:rPr>
        <w:t>ation holder (</w:t>
      </w:r>
      <w:r w:rsidRPr="00C63C8C">
        <w:rPr>
          <w:lang w:val="en-GB"/>
        </w:rPr>
        <w:t>MAH</w:t>
      </w:r>
      <w:r w:rsidR="00906133" w:rsidRPr="00153E10">
        <w:rPr>
          <w:lang w:val="en-GB"/>
        </w:rPr>
        <w:t>)</w:t>
      </w:r>
      <w:r w:rsidRPr="00C63C8C">
        <w:rPr>
          <w:lang w:val="en-GB"/>
        </w:rPr>
        <w:t xml:space="preserve"> shall </w:t>
      </w:r>
      <w:r w:rsidRPr="00C4176A">
        <w:rPr>
          <w:lang w:val="en-GB"/>
        </w:rPr>
        <w:t>perform the pharmacovigilance activities and interventions detailed in the agreed RMP presented in Module 1.8.2. of the Marketing Authorisation and any agreed and subsequent updates of the RMP.</w:t>
      </w:r>
    </w:p>
    <w:p w14:paraId="7C332305" w14:textId="77777777" w:rsidR="001B0F0A" w:rsidRPr="004F404A" w:rsidRDefault="001B0F0A" w:rsidP="001B0F0A">
      <w:pPr>
        <w:rPr>
          <w:lang w:val="en-GB"/>
        </w:rPr>
      </w:pPr>
    </w:p>
    <w:p w14:paraId="7C332306" w14:textId="77777777" w:rsidR="001B0F0A" w:rsidRPr="004F404A" w:rsidRDefault="00016F29" w:rsidP="00E454FF">
      <w:pPr>
        <w:keepNext/>
        <w:keepLines/>
        <w:rPr>
          <w:lang w:val="en-GB"/>
        </w:rPr>
      </w:pPr>
      <w:r w:rsidRPr="004F404A">
        <w:rPr>
          <w:lang w:val="en-GB"/>
        </w:rPr>
        <w:t>An updated RMP should be submitted:</w:t>
      </w:r>
    </w:p>
    <w:p w14:paraId="7C332307" w14:textId="77777777" w:rsidR="001B0F0A" w:rsidRPr="006A0D46" w:rsidRDefault="00016F29" w:rsidP="00E454FF">
      <w:pPr>
        <w:keepNext/>
        <w:keepLines/>
        <w:ind w:left="851" w:hanging="425"/>
        <w:rPr>
          <w:b/>
          <w:szCs w:val="22"/>
          <w:lang w:val="en-GB"/>
        </w:rPr>
      </w:pPr>
      <w:r w:rsidRPr="00E06A78">
        <w:rPr>
          <w:rFonts w:ascii="Symbol" w:hAnsi="Symbol"/>
          <w:b/>
          <w:lang w:val="en-GB"/>
        </w:rPr>
        <w:sym w:font="Symbol" w:char="F0B7"/>
      </w:r>
      <w:r w:rsidRPr="006A0D46">
        <w:rPr>
          <w:b/>
          <w:szCs w:val="22"/>
          <w:lang w:val="en-GB"/>
        </w:rPr>
        <w:tab/>
        <w:t>At the request of the European Medicines Agency.</w:t>
      </w:r>
    </w:p>
    <w:p w14:paraId="7C332308" w14:textId="77777777" w:rsidR="001B0F0A" w:rsidRPr="00461F0A" w:rsidRDefault="00016F29" w:rsidP="00E454FF">
      <w:pPr>
        <w:keepNext/>
        <w:keepLines/>
        <w:ind w:left="851" w:hanging="425"/>
        <w:rPr>
          <w:lang w:val="en-GB"/>
        </w:rPr>
      </w:pPr>
      <w:r w:rsidRPr="00E06A78">
        <w:rPr>
          <w:rFonts w:ascii="Symbol" w:hAnsi="Symbol"/>
          <w:b/>
          <w:lang w:val="en-GB"/>
        </w:rPr>
        <w:sym w:font="Symbol" w:char="F0B7"/>
      </w:r>
      <w:r w:rsidRPr="00DA2EC8">
        <w:rPr>
          <w:b/>
          <w:szCs w:val="22"/>
          <w:lang w:val="en-GB"/>
        </w:rPr>
        <w:tab/>
      </w:r>
      <w:r w:rsidRPr="009805BD">
        <w:rPr>
          <w:lang w:val="en-GB"/>
        </w:rPr>
        <w:t>Whenever the risk management system is modified, espe</w:t>
      </w:r>
      <w:r w:rsidRPr="00D9076C">
        <w:rPr>
          <w:lang w:val="en-GB"/>
        </w:rPr>
        <w:t>cially as the result of new information being received that may lead to a significant change to the benefit/risk profile or as the result of an important (pharmac</w:t>
      </w:r>
      <w:r w:rsidRPr="00461F0A">
        <w:rPr>
          <w:lang w:val="en-GB"/>
        </w:rPr>
        <w:t>ovigilance or risk minimisation) milestone being reached</w:t>
      </w:r>
    </w:p>
    <w:p w14:paraId="7C332309" w14:textId="77777777" w:rsidR="001B0F0A" w:rsidRPr="00461F0A" w:rsidRDefault="001B0F0A" w:rsidP="001B0F0A">
      <w:pPr>
        <w:rPr>
          <w:szCs w:val="22"/>
          <w:lang w:val="en-GB"/>
        </w:rPr>
      </w:pPr>
    </w:p>
    <w:p w14:paraId="7C33230A" w14:textId="77777777" w:rsidR="001B0F0A" w:rsidRPr="0057392A" w:rsidRDefault="00016F29" w:rsidP="001B0F0A">
      <w:pPr>
        <w:rPr>
          <w:i/>
          <w:szCs w:val="22"/>
          <w:lang w:val="en-GB"/>
        </w:rPr>
      </w:pPr>
      <w:r w:rsidRPr="00127F83">
        <w:rPr>
          <w:szCs w:val="22"/>
          <w:lang w:val="en-GB"/>
        </w:rPr>
        <w:t xml:space="preserve">If the </w:t>
      </w:r>
      <w:r w:rsidRPr="001962AF">
        <w:rPr>
          <w:b/>
          <w:szCs w:val="22"/>
          <w:lang w:val="en-GB"/>
        </w:rPr>
        <w:t>dates for</w:t>
      </w:r>
      <w:r w:rsidRPr="00FF030E">
        <w:rPr>
          <w:szCs w:val="22"/>
          <w:lang w:val="en-GB"/>
        </w:rPr>
        <w:t xml:space="preserve"> </w:t>
      </w:r>
      <w:r w:rsidRPr="0057392A">
        <w:rPr>
          <w:szCs w:val="22"/>
          <w:lang w:val="en-GB"/>
        </w:rPr>
        <w:t>submission of a PSUR and the update of a RMP coincide, they can be submitted at the same time.</w:t>
      </w:r>
      <w:r w:rsidRPr="0057392A">
        <w:rPr>
          <w:i/>
          <w:szCs w:val="22"/>
          <w:lang w:val="en-GB"/>
        </w:rPr>
        <w:t xml:space="preserve"> </w:t>
      </w:r>
    </w:p>
    <w:p w14:paraId="7C33230B" w14:textId="77777777" w:rsidR="001B0F0A" w:rsidRPr="001B146C" w:rsidRDefault="001B0F0A" w:rsidP="001B0F0A">
      <w:pPr>
        <w:keepNext/>
        <w:keepLines/>
        <w:jc w:val="both"/>
        <w:rPr>
          <w:rFonts w:eastAsia="SimSun"/>
          <w:szCs w:val="22"/>
          <w:u w:val="single"/>
          <w:lang w:val="en-GB" w:eastAsia="zh-CN"/>
        </w:rPr>
      </w:pPr>
    </w:p>
    <w:p w14:paraId="7C33230C" w14:textId="77777777" w:rsidR="001B0F0A" w:rsidRPr="001B146C" w:rsidRDefault="00016F29" w:rsidP="006C5DBE">
      <w:pPr>
        <w:spacing w:line="260" w:lineRule="exact"/>
        <w:ind w:right="-1"/>
        <w:rPr>
          <w:iCs/>
          <w:noProof/>
          <w:szCs w:val="22"/>
          <w:lang w:val="en-GB"/>
        </w:rPr>
      </w:pPr>
      <w:r w:rsidRPr="00B61F30">
        <w:rPr>
          <w:rFonts w:ascii="Symbol" w:hAnsi="Symbol"/>
        </w:rPr>
        <w:sym w:font="Symbol" w:char="F0B7"/>
      </w:r>
      <w:r w:rsidRPr="004E1F46">
        <w:rPr>
          <w:szCs w:val="22"/>
        </w:rPr>
        <w:tab/>
      </w:r>
      <w:r w:rsidRPr="001B146C">
        <w:rPr>
          <w:b/>
          <w:szCs w:val="22"/>
          <w:lang w:val="en-GB"/>
        </w:rPr>
        <w:t xml:space="preserve">Additional risk minimisation measures </w:t>
      </w:r>
    </w:p>
    <w:p w14:paraId="7C33230D" w14:textId="77777777" w:rsidR="001B0F0A" w:rsidRPr="00693C07" w:rsidRDefault="001B0F0A" w:rsidP="001B0F0A">
      <w:pPr>
        <w:rPr>
          <w:szCs w:val="22"/>
          <w:lang w:val="en-GB"/>
        </w:rPr>
      </w:pPr>
    </w:p>
    <w:p w14:paraId="7C33230E" w14:textId="77777777" w:rsidR="001B0F0A" w:rsidRPr="00537C85" w:rsidRDefault="00016F29" w:rsidP="001B0F0A">
      <w:pPr>
        <w:rPr>
          <w:szCs w:val="22"/>
          <w:u w:val="single"/>
          <w:lang w:val="en-GB"/>
        </w:rPr>
      </w:pPr>
      <w:r>
        <w:rPr>
          <w:szCs w:val="22"/>
          <w:u w:val="single"/>
          <w:lang w:val="en-GB"/>
        </w:rPr>
        <w:t>Non</w:t>
      </w:r>
      <w:r>
        <w:rPr>
          <w:szCs w:val="22"/>
          <w:u w:val="single"/>
        </w:rPr>
        <w:t>-oncology indications:</w:t>
      </w:r>
    </w:p>
    <w:p w14:paraId="7C33230F" w14:textId="77777777" w:rsidR="001B0F0A" w:rsidRPr="00411732" w:rsidRDefault="001B0F0A" w:rsidP="001B0F0A">
      <w:pPr>
        <w:rPr>
          <w:szCs w:val="22"/>
          <w:lang w:val="en-GB"/>
        </w:rPr>
      </w:pPr>
    </w:p>
    <w:p w14:paraId="7C332310" w14:textId="77777777" w:rsidR="001B0F0A" w:rsidRPr="003F544E" w:rsidRDefault="00016F29" w:rsidP="001B0F0A">
      <w:pPr>
        <w:rPr>
          <w:szCs w:val="22"/>
          <w:lang w:val="en-GB"/>
        </w:rPr>
      </w:pPr>
      <w:r w:rsidRPr="00411732">
        <w:rPr>
          <w:szCs w:val="22"/>
          <w:lang w:val="en-GB"/>
        </w:rPr>
        <w:t>The MAH must ensure that all physicians who are expected to prescribe Ma</w:t>
      </w:r>
      <w:r w:rsidRPr="003F544E">
        <w:rPr>
          <w:szCs w:val="22"/>
          <w:lang w:val="en-GB"/>
        </w:rPr>
        <w:t>bThera are provided with the following:</w:t>
      </w:r>
    </w:p>
    <w:p w14:paraId="7C332311" w14:textId="77777777" w:rsidR="001B0F0A" w:rsidRPr="00EB7A37" w:rsidRDefault="001B0F0A" w:rsidP="001B0F0A">
      <w:pPr>
        <w:rPr>
          <w:szCs w:val="22"/>
          <w:lang w:val="en-GB"/>
        </w:rPr>
      </w:pPr>
    </w:p>
    <w:p w14:paraId="7C332312" w14:textId="77777777" w:rsidR="001B0F0A" w:rsidRPr="00F638AF" w:rsidRDefault="00016F29" w:rsidP="001B0F0A">
      <w:r w:rsidRPr="00F638AF">
        <w:t>Product information</w:t>
      </w:r>
      <w:r w:rsidRPr="00F638AF">
        <w:br/>
        <w:t>Physician information</w:t>
      </w:r>
      <w:r w:rsidRPr="00F638AF">
        <w:br/>
        <w:t>Patient information</w:t>
      </w:r>
      <w:r w:rsidRPr="00F638AF">
        <w:br/>
        <w:t>Patient Alert card</w:t>
      </w:r>
    </w:p>
    <w:p w14:paraId="7C332313" w14:textId="77777777" w:rsidR="001B0F0A" w:rsidRPr="00F638AF" w:rsidRDefault="001B0F0A" w:rsidP="001B0F0A"/>
    <w:p w14:paraId="7C332314" w14:textId="77777777" w:rsidR="001B0F0A" w:rsidRPr="003B126E" w:rsidRDefault="00016F29" w:rsidP="001B0F0A">
      <w:pPr>
        <w:rPr>
          <w:szCs w:val="22"/>
          <w:lang w:val="en-GB"/>
        </w:rPr>
      </w:pPr>
      <w:r w:rsidRPr="003B126E">
        <w:rPr>
          <w:szCs w:val="22"/>
          <w:lang w:val="en-GB"/>
        </w:rPr>
        <w:t>The Physician information about MabThera should contain the following key elements:</w:t>
      </w:r>
    </w:p>
    <w:p w14:paraId="7C332315" w14:textId="77777777" w:rsidR="001B0F0A" w:rsidRPr="006A0D46" w:rsidRDefault="00016F29" w:rsidP="001B0F0A">
      <w:pPr>
        <w:ind w:left="924" w:hanging="357"/>
        <w:rPr>
          <w:szCs w:val="22"/>
        </w:rPr>
      </w:pPr>
      <w:r w:rsidRPr="00B61F30">
        <w:rPr>
          <w:rFonts w:ascii="Symbol" w:hAnsi="Symbol"/>
        </w:rPr>
        <w:sym w:font="Symbol" w:char="F0B7"/>
      </w:r>
      <w:r w:rsidRPr="004E1F46">
        <w:rPr>
          <w:szCs w:val="22"/>
        </w:rPr>
        <w:tab/>
      </w:r>
      <w:r w:rsidRPr="006A0D46">
        <w:rPr>
          <w:szCs w:val="22"/>
        </w:rPr>
        <w:t>The need for close supervision during administration in an environment where full resuscitation facilities are immediately available</w:t>
      </w:r>
    </w:p>
    <w:p w14:paraId="7C332316" w14:textId="77777777" w:rsidR="001B0F0A" w:rsidRPr="006A0D46" w:rsidRDefault="00016F29" w:rsidP="001B0F0A">
      <w:pPr>
        <w:ind w:left="924" w:hanging="357"/>
        <w:rPr>
          <w:szCs w:val="22"/>
        </w:rPr>
      </w:pPr>
      <w:r w:rsidRPr="00B61F30">
        <w:rPr>
          <w:rFonts w:ascii="Symbol" w:hAnsi="Symbol"/>
        </w:rPr>
        <w:sym w:font="Symbol" w:char="F0B7"/>
      </w:r>
      <w:r w:rsidRPr="004E1F46">
        <w:rPr>
          <w:szCs w:val="22"/>
        </w:rPr>
        <w:tab/>
      </w:r>
      <w:r w:rsidRPr="006A0D46">
        <w:rPr>
          <w:szCs w:val="22"/>
        </w:rPr>
        <w:t>The need to check, prior to MabThera treatment, for infections, for immunosuppression, for prior/current medication affecting the immune system and recent history of, or planned, vaccination</w:t>
      </w:r>
    </w:p>
    <w:p w14:paraId="7C332317" w14:textId="77777777" w:rsidR="001B0F0A" w:rsidRPr="006A0D46" w:rsidRDefault="00016F29" w:rsidP="001B0F0A">
      <w:pPr>
        <w:ind w:left="924" w:hanging="357"/>
        <w:rPr>
          <w:szCs w:val="22"/>
        </w:rPr>
      </w:pPr>
      <w:r w:rsidRPr="00B61F30">
        <w:rPr>
          <w:rFonts w:ascii="Symbol" w:hAnsi="Symbol"/>
        </w:rPr>
        <w:sym w:font="Symbol" w:char="F0B7"/>
      </w:r>
      <w:r w:rsidRPr="004E1F46">
        <w:rPr>
          <w:szCs w:val="22"/>
        </w:rPr>
        <w:tab/>
      </w:r>
      <w:r w:rsidRPr="006A0D46">
        <w:rPr>
          <w:szCs w:val="22"/>
        </w:rPr>
        <w:t>The need to monitor patients for infections, especially PML, during and after MabThera treatment</w:t>
      </w:r>
    </w:p>
    <w:p w14:paraId="7C332318" w14:textId="77777777" w:rsidR="001B0F0A" w:rsidRPr="006A0D46" w:rsidRDefault="00016F29" w:rsidP="001B0F0A">
      <w:pPr>
        <w:ind w:left="924" w:hanging="357"/>
        <w:rPr>
          <w:szCs w:val="22"/>
        </w:rPr>
      </w:pPr>
      <w:r w:rsidRPr="00B61F30">
        <w:rPr>
          <w:rFonts w:ascii="Symbol" w:hAnsi="Symbol"/>
        </w:rPr>
        <w:sym w:font="Symbol" w:char="F0B7"/>
      </w:r>
      <w:r w:rsidRPr="004E1F46">
        <w:rPr>
          <w:szCs w:val="22"/>
        </w:rPr>
        <w:tab/>
      </w:r>
      <w:r w:rsidRPr="006A0D46">
        <w:rPr>
          <w:szCs w:val="22"/>
        </w:rPr>
        <w:t>Detailed information on the risk of PML, the need for timely diagnosis of PML and appropriate measures to diagnose PML</w:t>
      </w:r>
    </w:p>
    <w:p w14:paraId="7C332319" w14:textId="77777777" w:rsidR="001B0F0A" w:rsidRPr="006A0D46" w:rsidRDefault="00016F29" w:rsidP="001B0F0A">
      <w:pPr>
        <w:ind w:left="924" w:hanging="357"/>
        <w:rPr>
          <w:szCs w:val="22"/>
        </w:rPr>
      </w:pPr>
      <w:r w:rsidRPr="00B61F30">
        <w:rPr>
          <w:rFonts w:ascii="Symbol" w:hAnsi="Symbol"/>
        </w:rPr>
        <w:sym w:font="Symbol" w:char="F0B7"/>
      </w:r>
      <w:r w:rsidRPr="004E1F46">
        <w:rPr>
          <w:szCs w:val="22"/>
        </w:rPr>
        <w:tab/>
      </w:r>
      <w:r w:rsidRPr="006A0D46">
        <w:rPr>
          <w:szCs w:val="22"/>
        </w:rPr>
        <w:t>The need to advise patients on the risk of infections and PML, including the symptoms to be aware of and the need to contact their doctor immediately if they experience any.</w:t>
      </w:r>
    </w:p>
    <w:p w14:paraId="7C33231A" w14:textId="77777777" w:rsidR="001B0F0A" w:rsidRPr="006A0D46" w:rsidRDefault="00016F29" w:rsidP="001B0F0A">
      <w:pPr>
        <w:ind w:left="924" w:hanging="357"/>
        <w:rPr>
          <w:szCs w:val="22"/>
        </w:rPr>
      </w:pPr>
      <w:r w:rsidRPr="00B61F30">
        <w:rPr>
          <w:rFonts w:ascii="Symbol" w:hAnsi="Symbol"/>
        </w:rPr>
        <w:sym w:font="Symbol" w:char="F0B7"/>
      </w:r>
      <w:r w:rsidRPr="004E1F46">
        <w:rPr>
          <w:szCs w:val="22"/>
        </w:rPr>
        <w:tab/>
      </w:r>
      <w:r w:rsidRPr="006A0D46">
        <w:rPr>
          <w:szCs w:val="22"/>
        </w:rPr>
        <w:t>The need to provide patients with the Patient Alert Card with each infusion</w:t>
      </w:r>
    </w:p>
    <w:p w14:paraId="7C33231B" w14:textId="77777777" w:rsidR="001B0F0A" w:rsidRPr="00712085" w:rsidRDefault="001B0F0A" w:rsidP="001B0F0A">
      <w:pPr>
        <w:rPr>
          <w:szCs w:val="22"/>
          <w:lang w:val="en-GB"/>
        </w:rPr>
      </w:pPr>
    </w:p>
    <w:p w14:paraId="7C33231C" w14:textId="77777777" w:rsidR="001B0F0A" w:rsidRPr="00927191" w:rsidRDefault="00016F29" w:rsidP="001B0F0A">
      <w:pPr>
        <w:rPr>
          <w:szCs w:val="22"/>
          <w:lang w:val="en-GB"/>
        </w:rPr>
      </w:pPr>
      <w:r w:rsidRPr="006833B7">
        <w:rPr>
          <w:szCs w:val="22"/>
          <w:lang w:val="en-GB"/>
        </w:rPr>
        <w:t>The Patient information ab</w:t>
      </w:r>
      <w:r w:rsidRPr="00927191">
        <w:rPr>
          <w:szCs w:val="22"/>
          <w:lang w:val="en-GB"/>
        </w:rPr>
        <w:t>out MabThera should contain the following key elements:</w:t>
      </w:r>
    </w:p>
    <w:p w14:paraId="7C33231D" w14:textId="77777777" w:rsidR="001B0F0A" w:rsidRPr="006A0D46" w:rsidRDefault="00016F29" w:rsidP="001B0F0A">
      <w:pPr>
        <w:ind w:left="924" w:hanging="357"/>
        <w:rPr>
          <w:szCs w:val="22"/>
        </w:rPr>
      </w:pPr>
      <w:r w:rsidRPr="00B61F30">
        <w:rPr>
          <w:rFonts w:ascii="Symbol" w:hAnsi="Symbol"/>
        </w:rPr>
        <w:sym w:font="Symbol" w:char="F0B7"/>
      </w:r>
      <w:r w:rsidRPr="004E1F46">
        <w:rPr>
          <w:szCs w:val="22"/>
        </w:rPr>
        <w:tab/>
      </w:r>
      <w:r w:rsidRPr="006A0D46">
        <w:rPr>
          <w:szCs w:val="22"/>
        </w:rPr>
        <w:t>Detailed information on the risk of infections and PML</w:t>
      </w:r>
    </w:p>
    <w:p w14:paraId="7C33231E" w14:textId="77777777" w:rsidR="001B0F0A" w:rsidRPr="006A0D46" w:rsidRDefault="00016F29" w:rsidP="001B0F0A">
      <w:pPr>
        <w:ind w:left="924" w:hanging="357"/>
        <w:rPr>
          <w:szCs w:val="22"/>
        </w:rPr>
      </w:pPr>
      <w:r w:rsidRPr="00B61F30">
        <w:rPr>
          <w:rFonts w:ascii="Symbol" w:hAnsi="Symbol"/>
        </w:rPr>
        <w:sym w:font="Symbol" w:char="F0B7"/>
      </w:r>
      <w:r w:rsidRPr="004E1F46">
        <w:rPr>
          <w:szCs w:val="22"/>
        </w:rPr>
        <w:tab/>
      </w:r>
      <w:r w:rsidRPr="006A0D46">
        <w:rPr>
          <w:szCs w:val="22"/>
        </w:rPr>
        <w:t>Information on the signs and symptoms of infections, especially PML, and the need to contact their doctor immediately if they experience any</w:t>
      </w:r>
    </w:p>
    <w:p w14:paraId="7C33231F" w14:textId="77777777" w:rsidR="001B0F0A" w:rsidRPr="006A0D46" w:rsidRDefault="00016F29" w:rsidP="001B0F0A">
      <w:pPr>
        <w:ind w:left="924" w:hanging="357"/>
        <w:rPr>
          <w:szCs w:val="22"/>
        </w:rPr>
      </w:pPr>
      <w:r w:rsidRPr="00B61F30">
        <w:rPr>
          <w:rFonts w:ascii="Symbol" w:hAnsi="Symbol"/>
        </w:rPr>
        <w:sym w:font="Symbol" w:char="F0B7"/>
      </w:r>
      <w:r w:rsidRPr="004E1F46">
        <w:rPr>
          <w:szCs w:val="22"/>
        </w:rPr>
        <w:tab/>
      </w:r>
      <w:r w:rsidRPr="006A0D46">
        <w:rPr>
          <w:szCs w:val="22"/>
        </w:rPr>
        <w:t>The importance of sharing this information with their partner or caregiver</w:t>
      </w:r>
    </w:p>
    <w:p w14:paraId="7C332320" w14:textId="77777777" w:rsidR="001B0F0A" w:rsidRPr="006A0D46" w:rsidRDefault="00016F29" w:rsidP="001B0F0A">
      <w:pPr>
        <w:ind w:left="924" w:hanging="357"/>
        <w:rPr>
          <w:szCs w:val="22"/>
        </w:rPr>
      </w:pPr>
      <w:r w:rsidRPr="00B61F30">
        <w:rPr>
          <w:rFonts w:ascii="Symbol" w:hAnsi="Symbol"/>
        </w:rPr>
        <w:sym w:font="Symbol" w:char="F0B7"/>
      </w:r>
      <w:r w:rsidRPr="004E1F46">
        <w:rPr>
          <w:szCs w:val="22"/>
        </w:rPr>
        <w:tab/>
      </w:r>
      <w:r w:rsidRPr="006A0D46">
        <w:rPr>
          <w:szCs w:val="22"/>
        </w:rPr>
        <w:t>Information on the Patient Alert Card</w:t>
      </w:r>
    </w:p>
    <w:p w14:paraId="7C332321" w14:textId="77777777" w:rsidR="001B0F0A" w:rsidRPr="00C80B8D" w:rsidRDefault="001B0F0A" w:rsidP="001B0F0A">
      <w:pPr>
        <w:rPr>
          <w:szCs w:val="22"/>
          <w:lang w:val="en-GB"/>
        </w:rPr>
      </w:pPr>
    </w:p>
    <w:p w14:paraId="7C332322" w14:textId="77777777" w:rsidR="001B0F0A" w:rsidRPr="00C80B8D" w:rsidRDefault="00016F29" w:rsidP="001B0F0A">
      <w:pPr>
        <w:rPr>
          <w:szCs w:val="22"/>
          <w:lang w:val="en-GB"/>
        </w:rPr>
      </w:pPr>
      <w:r w:rsidRPr="00D557BF">
        <w:rPr>
          <w:szCs w:val="22"/>
          <w:lang w:val="en-GB"/>
        </w:rPr>
        <w:t>The Patient Alert Card for MabThera in non</w:t>
      </w:r>
      <w:r w:rsidR="000A6DDA" w:rsidRPr="00D557BF">
        <w:rPr>
          <w:szCs w:val="22"/>
          <w:lang w:val="en-GB"/>
        </w:rPr>
        <w:noBreakHyphen/>
      </w:r>
      <w:r w:rsidRPr="00D557BF">
        <w:rPr>
          <w:szCs w:val="22"/>
          <w:lang w:val="en-GB"/>
        </w:rPr>
        <w:t>oncology indications should contain the following key</w:t>
      </w:r>
      <w:r w:rsidRPr="00C80B8D">
        <w:rPr>
          <w:szCs w:val="22"/>
          <w:lang w:val="en-GB"/>
        </w:rPr>
        <w:t xml:space="preserve"> elements:</w:t>
      </w:r>
    </w:p>
    <w:p w14:paraId="7C332323" w14:textId="77777777" w:rsidR="001B0F0A" w:rsidRPr="00AF69AF" w:rsidRDefault="00016F29" w:rsidP="001B0F0A">
      <w:pPr>
        <w:ind w:left="924" w:hanging="357"/>
        <w:rPr>
          <w:szCs w:val="22"/>
          <w:lang w:val="en-GB"/>
        </w:rPr>
      </w:pPr>
      <w:r w:rsidRPr="00B61F30">
        <w:rPr>
          <w:rFonts w:ascii="Symbol" w:hAnsi="Symbol"/>
        </w:rPr>
        <w:sym w:font="Symbol" w:char="F0B7"/>
      </w:r>
      <w:r w:rsidRPr="004E1F46">
        <w:rPr>
          <w:szCs w:val="22"/>
        </w:rPr>
        <w:tab/>
      </w:r>
      <w:r w:rsidRPr="00C80B8D">
        <w:rPr>
          <w:szCs w:val="22"/>
          <w:lang w:val="en-GB"/>
        </w:rPr>
        <w:t>The need to carry the card at all times</w:t>
      </w:r>
      <w:r w:rsidRPr="00AF69AF">
        <w:rPr>
          <w:szCs w:val="22"/>
          <w:lang w:val="en-GB"/>
        </w:rPr>
        <w:t xml:space="preserve"> and to show the card to all treating health care professionals</w:t>
      </w:r>
    </w:p>
    <w:p w14:paraId="7C332324" w14:textId="77777777" w:rsidR="001B0F0A" w:rsidRPr="001971DD" w:rsidRDefault="00016F29" w:rsidP="001B0F0A">
      <w:pPr>
        <w:ind w:left="924" w:hanging="357"/>
        <w:rPr>
          <w:szCs w:val="22"/>
          <w:lang w:val="en-GB"/>
        </w:rPr>
      </w:pPr>
      <w:r w:rsidRPr="00B61F30">
        <w:rPr>
          <w:rFonts w:ascii="Symbol" w:hAnsi="Symbol"/>
        </w:rPr>
        <w:sym w:font="Symbol" w:char="F0B7"/>
      </w:r>
      <w:r w:rsidRPr="004E1F46">
        <w:rPr>
          <w:szCs w:val="22"/>
        </w:rPr>
        <w:tab/>
      </w:r>
      <w:r w:rsidRPr="001971DD">
        <w:rPr>
          <w:szCs w:val="22"/>
          <w:lang w:val="en-GB"/>
        </w:rPr>
        <w:t>Warning on the risk of infections and PML, including the symptoms</w:t>
      </w:r>
    </w:p>
    <w:p w14:paraId="7C332325" w14:textId="77777777" w:rsidR="001B0F0A" w:rsidRPr="00B00399" w:rsidRDefault="00016F29" w:rsidP="001B0F0A">
      <w:pPr>
        <w:ind w:left="924" w:hanging="357"/>
        <w:rPr>
          <w:szCs w:val="22"/>
          <w:lang w:val="en-GB"/>
        </w:rPr>
      </w:pPr>
      <w:r w:rsidRPr="00B61F30">
        <w:rPr>
          <w:rFonts w:ascii="Symbol" w:hAnsi="Symbol"/>
        </w:rPr>
        <w:sym w:font="Symbol" w:char="F0B7"/>
      </w:r>
      <w:r w:rsidRPr="004E1F46">
        <w:rPr>
          <w:szCs w:val="22"/>
        </w:rPr>
        <w:tab/>
      </w:r>
      <w:r w:rsidRPr="00B00399">
        <w:rPr>
          <w:szCs w:val="22"/>
          <w:lang w:val="en-GB"/>
        </w:rPr>
        <w:t>The need for patients to contact their health care professional if symptoms occur</w:t>
      </w:r>
    </w:p>
    <w:p w14:paraId="7C332326" w14:textId="77777777" w:rsidR="001B0F0A" w:rsidRPr="00B30F33" w:rsidRDefault="001B0F0A" w:rsidP="001B0F0A">
      <w:pPr>
        <w:rPr>
          <w:szCs w:val="22"/>
          <w:lang w:val="en-GB"/>
        </w:rPr>
      </w:pPr>
    </w:p>
    <w:p w14:paraId="7C332327" w14:textId="77777777" w:rsidR="001B0F0A" w:rsidRPr="00B30F33" w:rsidRDefault="00016F29" w:rsidP="001B0F0A">
      <w:pPr>
        <w:rPr>
          <w:szCs w:val="22"/>
          <w:lang w:val="en-GB"/>
        </w:rPr>
      </w:pPr>
      <w:r w:rsidRPr="00B30F33">
        <w:rPr>
          <w:szCs w:val="22"/>
          <w:lang w:val="en-GB"/>
        </w:rPr>
        <w:t>The Physician information, Patient information and Patient Alert Card must be agreed with the National Competent Authorities prior to distribution.</w:t>
      </w:r>
    </w:p>
    <w:p w14:paraId="7C332328" w14:textId="77777777" w:rsidR="001B0F0A" w:rsidRDefault="001B0F0A" w:rsidP="00B61F30">
      <w:pPr>
        <w:jc w:val="center"/>
        <w:rPr>
          <w:b/>
          <w:szCs w:val="22"/>
          <w:lang w:val="en-GB"/>
        </w:rPr>
      </w:pPr>
    </w:p>
    <w:p w14:paraId="7C332329" w14:textId="77777777" w:rsidR="001B0F0A" w:rsidRPr="00251348" w:rsidRDefault="00016F29" w:rsidP="00EB129D">
      <w:pPr>
        <w:keepNext/>
        <w:keepLines/>
        <w:rPr>
          <w:szCs w:val="22"/>
          <w:u w:val="single"/>
          <w:lang w:val="en-GB"/>
        </w:rPr>
      </w:pPr>
      <w:r w:rsidRPr="00251348">
        <w:rPr>
          <w:szCs w:val="22"/>
          <w:u w:val="single"/>
          <w:lang w:val="en-GB"/>
        </w:rPr>
        <w:t>Subcutaneous formulation</w:t>
      </w:r>
      <w:r>
        <w:rPr>
          <w:szCs w:val="22"/>
          <w:u w:val="single"/>
          <w:lang w:val="en-GB"/>
        </w:rPr>
        <w:t>:</w:t>
      </w:r>
    </w:p>
    <w:p w14:paraId="7C33232A" w14:textId="77777777" w:rsidR="001B0F0A" w:rsidRPr="00251348" w:rsidRDefault="001B0F0A" w:rsidP="00EB129D">
      <w:pPr>
        <w:keepNext/>
        <w:keepLines/>
        <w:rPr>
          <w:szCs w:val="22"/>
          <w:lang w:val="en-GB"/>
        </w:rPr>
      </w:pPr>
    </w:p>
    <w:p w14:paraId="7C33232B" w14:textId="77777777" w:rsidR="001B0F0A" w:rsidRPr="00251348" w:rsidRDefault="00016F29" w:rsidP="001B0F0A">
      <w:pPr>
        <w:rPr>
          <w:szCs w:val="22"/>
          <w:lang w:val="en-GB"/>
        </w:rPr>
      </w:pPr>
      <w:r w:rsidRPr="00251348">
        <w:rPr>
          <w:szCs w:val="22"/>
          <w:lang w:val="en-GB"/>
        </w:rPr>
        <w:t>All healthcare professionals administering MabThera subcutaneous formulation will be provided with an Educational Material (« step by step guide » and « comparison card ») to minimise the risk of off label use and administration route error.</w:t>
      </w:r>
    </w:p>
    <w:p w14:paraId="7C33232C" w14:textId="77777777" w:rsidR="001B0F0A" w:rsidRPr="00251348" w:rsidRDefault="001B0F0A" w:rsidP="001B0F0A">
      <w:pPr>
        <w:rPr>
          <w:szCs w:val="22"/>
          <w:lang w:val="en-GB"/>
        </w:rPr>
      </w:pPr>
    </w:p>
    <w:p w14:paraId="7C33232D" w14:textId="77777777" w:rsidR="004F06A5" w:rsidRPr="00C50A4F" w:rsidRDefault="00016F29" w:rsidP="006E0CFC">
      <w:pPr>
        <w:rPr>
          <w:szCs w:val="22"/>
          <w:lang w:val="en-GB"/>
        </w:rPr>
      </w:pPr>
      <w:r w:rsidRPr="00C50A4F">
        <w:rPr>
          <w:b/>
          <w:szCs w:val="22"/>
          <w:lang w:val="en-GB"/>
        </w:rPr>
        <w:br w:type="page"/>
      </w:r>
    </w:p>
    <w:p w14:paraId="7C33232E" w14:textId="77777777" w:rsidR="004F06A5" w:rsidRPr="00C50A4F" w:rsidRDefault="004F06A5" w:rsidP="00C80148">
      <w:pPr>
        <w:jc w:val="center"/>
        <w:rPr>
          <w:szCs w:val="22"/>
          <w:lang w:val="en-GB"/>
        </w:rPr>
      </w:pPr>
    </w:p>
    <w:p w14:paraId="7C33232F" w14:textId="77777777" w:rsidR="004F06A5" w:rsidRPr="00C50A4F" w:rsidRDefault="004F06A5" w:rsidP="00C80148">
      <w:pPr>
        <w:jc w:val="center"/>
        <w:rPr>
          <w:szCs w:val="22"/>
          <w:lang w:val="en-GB"/>
        </w:rPr>
      </w:pPr>
    </w:p>
    <w:p w14:paraId="7C332330" w14:textId="77777777" w:rsidR="004F06A5" w:rsidRPr="00C50A4F" w:rsidRDefault="004F06A5" w:rsidP="00C80148">
      <w:pPr>
        <w:jc w:val="center"/>
        <w:rPr>
          <w:szCs w:val="22"/>
          <w:lang w:val="en-GB"/>
        </w:rPr>
      </w:pPr>
    </w:p>
    <w:p w14:paraId="7C332331" w14:textId="77777777" w:rsidR="004F06A5" w:rsidRPr="00C50A4F" w:rsidRDefault="004F06A5" w:rsidP="00C80148">
      <w:pPr>
        <w:jc w:val="center"/>
        <w:rPr>
          <w:szCs w:val="22"/>
          <w:lang w:val="en-GB"/>
        </w:rPr>
      </w:pPr>
    </w:p>
    <w:p w14:paraId="7C332332" w14:textId="77777777" w:rsidR="004F06A5" w:rsidRPr="00C50A4F" w:rsidRDefault="004F06A5" w:rsidP="00C80148">
      <w:pPr>
        <w:jc w:val="center"/>
        <w:rPr>
          <w:szCs w:val="22"/>
          <w:lang w:val="en-GB"/>
        </w:rPr>
      </w:pPr>
    </w:p>
    <w:p w14:paraId="7C332333" w14:textId="77777777" w:rsidR="004F06A5" w:rsidRPr="00C50A4F" w:rsidRDefault="004F06A5" w:rsidP="00C80148">
      <w:pPr>
        <w:jc w:val="center"/>
        <w:rPr>
          <w:szCs w:val="22"/>
          <w:lang w:val="en-GB"/>
        </w:rPr>
      </w:pPr>
    </w:p>
    <w:p w14:paraId="7C332334" w14:textId="77777777" w:rsidR="004F06A5" w:rsidRPr="00C50A4F" w:rsidRDefault="004F06A5" w:rsidP="00C80148">
      <w:pPr>
        <w:jc w:val="center"/>
        <w:rPr>
          <w:szCs w:val="22"/>
          <w:lang w:val="en-GB"/>
        </w:rPr>
      </w:pPr>
    </w:p>
    <w:p w14:paraId="7C332335" w14:textId="77777777" w:rsidR="004F06A5" w:rsidRPr="00C50A4F" w:rsidRDefault="004F06A5" w:rsidP="00C80148">
      <w:pPr>
        <w:jc w:val="center"/>
        <w:rPr>
          <w:szCs w:val="22"/>
          <w:lang w:val="en-GB"/>
        </w:rPr>
      </w:pPr>
    </w:p>
    <w:p w14:paraId="7C332336" w14:textId="77777777" w:rsidR="004F06A5" w:rsidRPr="00C50A4F" w:rsidRDefault="004F06A5" w:rsidP="00C80148">
      <w:pPr>
        <w:jc w:val="center"/>
        <w:rPr>
          <w:szCs w:val="22"/>
          <w:lang w:val="en-GB"/>
        </w:rPr>
      </w:pPr>
    </w:p>
    <w:p w14:paraId="7C332337" w14:textId="77777777" w:rsidR="004F06A5" w:rsidRPr="00C50A4F" w:rsidRDefault="004F06A5" w:rsidP="00C80148">
      <w:pPr>
        <w:jc w:val="center"/>
        <w:rPr>
          <w:szCs w:val="22"/>
          <w:lang w:val="en-GB"/>
        </w:rPr>
      </w:pPr>
    </w:p>
    <w:p w14:paraId="7C332338" w14:textId="77777777" w:rsidR="004F06A5" w:rsidRPr="00C50A4F" w:rsidRDefault="004F06A5" w:rsidP="00C80148">
      <w:pPr>
        <w:jc w:val="center"/>
        <w:rPr>
          <w:szCs w:val="22"/>
          <w:lang w:val="en-GB"/>
        </w:rPr>
      </w:pPr>
    </w:p>
    <w:p w14:paraId="7C332339" w14:textId="77777777" w:rsidR="004F06A5" w:rsidRPr="00C50A4F" w:rsidRDefault="004F06A5" w:rsidP="00C80148">
      <w:pPr>
        <w:jc w:val="center"/>
        <w:rPr>
          <w:szCs w:val="22"/>
          <w:lang w:val="en-GB"/>
        </w:rPr>
      </w:pPr>
    </w:p>
    <w:p w14:paraId="7C33233A" w14:textId="77777777" w:rsidR="004F06A5" w:rsidRPr="00C50A4F" w:rsidRDefault="004F06A5" w:rsidP="00C80148">
      <w:pPr>
        <w:jc w:val="center"/>
        <w:rPr>
          <w:szCs w:val="22"/>
          <w:lang w:val="en-GB"/>
        </w:rPr>
      </w:pPr>
    </w:p>
    <w:p w14:paraId="7C33233B" w14:textId="77777777" w:rsidR="004F06A5" w:rsidRPr="00C50A4F" w:rsidRDefault="004F06A5" w:rsidP="00C80148">
      <w:pPr>
        <w:jc w:val="center"/>
        <w:rPr>
          <w:szCs w:val="22"/>
          <w:lang w:val="en-GB"/>
        </w:rPr>
      </w:pPr>
    </w:p>
    <w:p w14:paraId="7C33233C" w14:textId="77777777" w:rsidR="004F06A5" w:rsidRPr="00C50A4F" w:rsidRDefault="004F06A5" w:rsidP="00C80148">
      <w:pPr>
        <w:jc w:val="center"/>
        <w:rPr>
          <w:szCs w:val="22"/>
          <w:lang w:val="en-GB"/>
        </w:rPr>
      </w:pPr>
    </w:p>
    <w:p w14:paraId="7C33233D" w14:textId="77777777" w:rsidR="004F06A5" w:rsidRPr="00C50A4F" w:rsidRDefault="004F06A5" w:rsidP="00C80148">
      <w:pPr>
        <w:jc w:val="center"/>
        <w:rPr>
          <w:szCs w:val="22"/>
          <w:lang w:val="en-GB"/>
        </w:rPr>
      </w:pPr>
    </w:p>
    <w:p w14:paraId="7C33233E" w14:textId="77777777" w:rsidR="004F06A5" w:rsidRPr="00C50A4F" w:rsidRDefault="004F06A5" w:rsidP="00C80148">
      <w:pPr>
        <w:jc w:val="center"/>
        <w:rPr>
          <w:szCs w:val="22"/>
          <w:lang w:val="en-GB"/>
        </w:rPr>
      </w:pPr>
    </w:p>
    <w:p w14:paraId="7C33233F" w14:textId="77777777" w:rsidR="004F06A5" w:rsidRPr="00C50A4F" w:rsidRDefault="004F06A5" w:rsidP="00C80148">
      <w:pPr>
        <w:jc w:val="center"/>
        <w:rPr>
          <w:szCs w:val="22"/>
          <w:lang w:val="en-GB"/>
        </w:rPr>
      </w:pPr>
    </w:p>
    <w:p w14:paraId="7C332340" w14:textId="77777777" w:rsidR="004F06A5" w:rsidRPr="00C50A4F" w:rsidRDefault="004F06A5" w:rsidP="00C80148">
      <w:pPr>
        <w:jc w:val="center"/>
        <w:rPr>
          <w:szCs w:val="22"/>
          <w:lang w:val="en-GB"/>
        </w:rPr>
      </w:pPr>
    </w:p>
    <w:p w14:paraId="7C332341" w14:textId="77777777" w:rsidR="004F06A5" w:rsidRPr="00C50A4F" w:rsidRDefault="004F06A5" w:rsidP="00C80148">
      <w:pPr>
        <w:jc w:val="center"/>
        <w:rPr>
          <w:szCs w:val="22"/>
          <w:lang w:val="en-GB"/>
        </w:rPr>
      </w:pPr>
    </w:p>
    <w:p w14:paraId="7C332342" w14:textId="77777777" w:rsidR="004F06A5" w:rsidRPr="00C50A4F" w:rsidRDefault="004F06A5" w:rsidP="00C80148">
      <w:pPr>
        <w:jc w:val="center"/>
        <w:rPr>
          <w:szCs w:val="22"/>
          <w:lang w:val="en-GB"/>
        </w:rPr>
      </w:pPr>
    </w:p>
    <w:p w14:paraId="7C332343" w14:textId="77777777" w:rsidR="004F06A5" w:rsidRPr="00C50A4F" w:rsidRDefault="004F06A5" w:rsidP="00C80148">
      <w:pPr>
        <w:jc w:val="center"/>
        <w:rPr>
          <w:szCs w:val="22"/>
          <w:lang w:val="en-GB"/>
        </w:rPr>
      </w:pPr>
    </w:p>
    <w:p w14:paraId="7C332344" w14:textId="77777777" w:rsidR="00943DED" w:rsidRPr="00C50A4F" w:rsidRDefault="00943DED" w:rsidP="00C80148">
      <w:pPr>
        <w:jc w:val="center"/>
        <w:rPr>
          <w:szCs w:val="22"/>
          <w:lang w:val="en-GB"/>
        </w:rPr>
      </w:pPr>
    </w:p>
    <w:p w14:paraId="7C332345" w14:textId="77777777" w:rsidR="004F06A5" w:rsidRPr="00C50A4F" w:rsidRDefault="00016F29" w:rsidP="00C80148">
      <w:pPr>
        <w:jc w:val="center"/>
        <w:rPr>
          <w:b/>
          <w:szCs w:val="22"/>
          <w:lang w:val="en-GB"/>
        </w:rPr>
      </w:pPr>
      <w:r w:rsidRPr="00C50A4F">
        <w:rPr>
          <w:b/>
          <w:szCs w:val="22"/>
          <w:lang w:val="en-GB"/>
        </w:rPr>
        <w:t>ANNEX III</w:t>
      </w:r>
    </w:p>
    <w:p w14:paraId="7C332346" w14:textId="77777777" w:rsidR="004F06A5" w:rsidRPr="00C50A4F" w:rsidRDefault="004F06A5" w:rsidP="00C80148">
      <w:pPr>
        <w:jc w:val="center"/>
        <w:rPr>
          <w:b/>
          <w:szCs w:val="22"/>
          <w:lang w:val="en-GB"/>
        </w:rPr>
      </w:pPr>
    </w:p>
    <w:p w14:paraId="7C332347" w14:textId="77777777" w:rsidR="004F06A5" w:rsidRPr="00C50A4F" w:rsidRDefault="00016F29" w:rsidP="00C80148">
      <w:pPr>
        <w:jc w:val="center"/>
        <w:rPr>
          <w:b/>
          <w:szCs w:val="22"/>
          <w:lang w:val="en-GB"/>
        </w:rPr>
      </w:pPr>
      <w:r w:rsidRPr="00C50A4F">
        <w:rPr>
          <w:b/>
          <w:szCs w:val="22"/>
          <w:lang w:val="en-GB"/>
        </w:rPr>
        <w:t>LABELLING AND PACKAGE LEAFLET</w:t>
      </w:r>
    </w:p>
    <w:p w14:paraId="7C332348" w14:textId="77777777" w:rsidR="004F06A5" w:rsidRPr="00C50A4F" w:rsidRDefault="00016F29" w:rsidP="00C80148">
      <w:pPr>
        <w:jc w:val="center"/>
        <w:rPr>
          <w:szCs w:val="22"/>
          <w:lang w:val="en-GB"/>
        </w:rPr>
      </w:pPr>
      <w:r w:rsidRPr="00C50A4F">
        <w:rPr>
          <w:szCs w:val="22"/>
          <w:lang w:val="en-GB"/>
        </w:rPr>
        <w:br w:type="page"/>
      </w:r>
    </w:p>
    <w:p w14:paraId="7C332349" w14:textId="77777777" w:rsidR="004F06A5" w:rsidRPr="00C50A4F" w:rsidRDefault="004F06A5" w:rsidP="00C80148">
      <w:pPr>
        <w:jc w:val="center"/>
        <w:rPr>
          <w:szCs w:val="22"/>
          <w:lang w:val="en-GB"/>
        </w:rPr>
      </w:pPr>
    </w:p>
    <w:p w14:paraId="7C33234A" w14:textId="77777777" w:rsidR="004F06A5" w:rsidRPr="00C50A4F" w:rsidRDefault="004F06A5" w:rsidP="00C80148">
      <w:pPr>
        <w:jc w:val="center"/>
        <w:rPr>
          <w:szCs w:val="22"/>
          <w:lang w:val="en-GB"/>
        </w:rPr>
      </w:pPr>
    </w:p>
    <w:p w14:paraId="7C33234B" w14:textId="77777777" w:rsidR="004F06A5" w:rsidRPr="00C50A4F" w:rsidRDefault="004F06A5" w:rsidP="00C80148">
      <w:pPr>
        <w:jc w:val="center"/>
        <w:rPr>
          <w:szCs w:val="22"/>
          <w:lang w:val="en-GB"/>
        </w:rPr>
      </w:pPr>
    </w:p>
    <w:p w14:paraId="7C33234C" w14:textId="77777777" w:rsidR="004F06A5" w:rsidRPr="00C50A4F" w:rsidRDefault="004F06A5" w:rsidP="00C80148">
      <w:pPr>
        <w:jc w:val="center"/>
        <w:rPr>
          <w:szCs w:val="22"/>
          <w:lang w:val="en-GB"/>
        </w:rPr>
      </w:pPr>
    </w:p>
    <w:p w14:paraId="7C33234D" w14:textId="77777777" w:rsidR="004F06A5" w:rsidRPr="00C50A4F" w:rsidRDefault="004F06A5" w:rsidP="00C80148">
      <w:pPr>
        <w:jc w:val="center"/>
        <w:rPr>
          <w:szCs w:val="22"/>
          <w:lang w:val="en-GB"/>
        </w:rPr>
      </w:pPr>
    </w:p>
    <w:p w14:paraId="7C33234E" w14:textId="77777777" w:rsidR="004F06A5" w:rsidRPr="00C50A4F" w:rsidRDefault="004F06A5" w:rsidP="00C80148">
      <w:pPr>
        <w:jc w:val="center"/>
        <w:rPr>
          <w:szCs w:val="22"/>
          <w:lang w:val="en-GB"/>
        </w:rPr>
      </w:pPr>
    </w:p>
    <w:p w14:paraId="7C33234F" w14:textId="77777777" w:rsidR="004F06A5" w:rsidRPr="00C50A4F" w:rsidRDefault="004F06A5" w:rsidP="00C80148">
      <w:pPr>
        <w:jc w:val="center"/>
        <w:rPr>
          <w:szCs w:val="22"/>
          <w:lang w:val="en-GB"/>
        </w:rPr>
      </w:pPr>
    </w:p>
    <w:p w14:paraId="7C332350" w14:textId="77777777" w:rsidR="004F06A5" w:rsidRPr="00C50A4F" w:rsidRDefault="004F06A5" w:rsidP="00C80148">
      <w:pPr>
        <w:jc w:val="center"/>
        <w:rPr>
          <w:szCs w:val="22"/>
          <w:lang w:val="en-GB"/>
        </w:rPr>
      </w:pPr>
    </w:p>
    <w:p w14:paraId="7C332351" w14:textId="77777777" w:rsidR="004F06A5" w:rsidRPr="00C50A4F" w:rsidRDefault="004F06A5" w:rsidP="00C80148">
      <w:pPr>
        <w:jc w:val="center"/>
        <w:rPr>
          <w:szCs w:val="22"/>
          <w:lang w:val="en-GB"/>
        </w:rPr>
      </w:pPr>
    </w:p>
    <w:p w14:paraId="7C332352" w14:textId="77777777" w:rsidR="004F06A5" w:rsidRPr="00C50A4F" w:rsidRDefault="004F06A5" w:rsidP="00C80148">
      <w:pPr>
        <w:jc w:val="center"/>
        <w:rPr>
          <w:szCs w:val="22"/>
          <w:lang w:val="en-GB"/>
        </w:rPr>
      </w:pPr>
    </w:p>
    <w:p w14:paraId="7C332353" w14:textId="77777777" w:rsidR="004F06A5" w:rsidRPr="00C50A4F" w:rsidRDefault="004F06A5" w:rsidP="00C80148">
      <w:pPr>
        <w:jc w:val="center"/>
        <w:rPr>
          <w:szCs w:val="22"/>
          <w:lang w:val="en-GB"/>
        </w:rPr>
      </w:pPr>
    </w:p>
    <w:p w14:paraId="7C332354" w14:textId="77777777" w:rsidR="004F06A5" w:rsidRPr="00C50A4F" w:rsidRDefault="004F06A5" w:rsidP="00C80148">
      <w:pPr>
        <w:jc w:val="center"/>
        <w:rPr>
          <w:szCs w:val="22"/>
          <w:lang w:val="en-GB"/>
        </w:rPr>
      </w:pPr>
    </w:p>
    <w:p w14:paraId="7C332355" w14:textId="77777777" w:rsidR="004F06A5" w:rsidRPr="00C50A4F" w:rsidRDefault="004F06A5" w:rsidP="00C80148">
      <w:pPr>
        <w:jc w:val="center"/>
        <w:rPr>
          <w:szCs w:val="22"/>
          <w:lang w:val="en-GB"/>
        </w:rPr>
      </w:pPr>
    </w:p>
    <w:p w14:paraId="7C332356" w14:textId="77777777" w:rsidR="004F06A5" w:rsidRPr="00C50A4F" w:rsidRDefault="004F06A5" w:rsidP="00C80148">
      <w:pPr>
        <w:jc w:val="center"/>
        <w:rPr>
          <w:szCs w:val="22"/>
          <w:lang w:val="en-GB"/>
        </w:rPr>
      </w:pPr>
    </w:p>
    <w:p w14:paraId="7C332357" w14:textId="77777777" w:rsidR="004F06A5" w:rsidRPr="00C50A4F" w:rsidRDefault="004F06A5" w:rsidP="00C80148">
      <w:pPr>
        <w:jc w:val="center"/>
        <w:rPr>
          <w:szCs w:val="22"/>
          <w:lang w:val="en-GB"/>
        </w:rPr>
      </w:pPr>
    </w:p>
    <w:p w14:paraId="7C332358" w14:textId="77777777" w:rsidR="004F06A5" w:rsidRPr="00C50A4F" w:rsidRDefault="004F06A5" w:rsidP="00C80148">
      <w:pPr>
        <w:jc w:val="center"/>
        <w:rPr>
          <w:szCs w:val="22"/>
          <w:lang w:val="en-GB"/>
        </w:rPr>
      </w:pPr>
    </w:p>
    <w:p w14:paraId="7C332359" w14:textId="77777777" w:rsidR="004F06A5" w:rsidRPr="00C50A4F" w:rsidRDefault="004F06A5" w:rsidP="00C80148">
      <w:pPr>
        <w:jc w:val="center"/>
        <w:rPr>
          <w:szCs w:val="22"/>
          <w:lang w:val="en-GB"/>
        </w:rPr>
      </w:pPr>
    </w:p>
    <w:p w14:paraId="7C33235A" w14:textId="77777777" w:rsidR="004F06A5" w:rsidRDefault="004F06A5" w:rsidP="00C80148">
      <w:pPr>
        <w:jc w:val="center"/>
        <w:rPr>
          <w:szCs w:val="22"/>
          <w:lang w:val="en-GB"/>
        </w:rPr>
      </w:pPr>
    </w:p>
    <w:p w14:paraId="7C33235B" w14:textId="77777777" w:rsidR="00CF2C1D" w:rsidRPr="00C50A4F" w:rsidRDefault="00CF2C1D" w:rsidP="00C80148">
      <w:pPr>
        <w:jc w:val="center"/>
        <w:rPr>
          <w:szCs w:val="22"/>
          <w:lang w:val="en-GB"/>
        </w:rPr>
      </w:pPr>
    </w:p>
    <w:p w14:paraId="7C33235C" w14:textId="77777777" w:rsidR="004F06A5" w:rsidRPr="00C50A4F" w:rsidRDefault="004F06A5" w:rsidP="00C80148">
      <w:pPr>
        <w:jc w:val="center"/>
        <w:rPr>
          <w:szCs w:val="22"/>
          <w:lang w:val="en-GB"/>
        </w:rPr>
      </w:pPr>
    </w:p>
    <w:p w14:paraId="7C33235D" w14:textId="77777777" w:rsidR="004F06A5" w:rsidRPr="00C50A4F" w:rsidRDefault="004F06A5" w:rsidP="00C80148">
      <w:pPr>
        <w:jc w:val="center"/>
        <w:rPr>
          <w:szCs w:val="22"/>
          <w:lang w:val="en-GB"/>
        </w:rPr>
      </w:pPr>
    </w:p>
    <w:p w14:paraId="7C33235E" w14:textId="77777777" w:rsidR="004F06A5" w:rsidRPr="00C50A4F" w:rsidRDefault="004F06A5" w:rsidP="00C80148">
      <w:pPr>
        <w:jc w:val="center"/>
        <w:rPr>
          <w:szCs w:val="22"/>
          <w:lang w:val="en-GB"/>
        </w:rPr>
      </w:pPr>
    </w:p>
    <w:p w14:paraId="7C33235F" w14:textId="77777777" w:rsidR="004F06A5" w:rsidRPr="00C50A4F" w:rsidRDefault="004F06A5" w:rsidP="00C80148">
      <w:pPr>
        <w:jc w:val="center"/>
        <w:rPr>
          <w:szCs w:val="22"/>
          <w:lang w:val="en-GB"/>
        </w:rPr>
      </w:pPr>
    </w:p>
    <w:p w14:paraId="7C332360" w14:textId="77777777" w:rsidR="004F06A5" w:rsidRPr="00C50A4F" w:rsidRDefault="00016F29" w:rsidP="00C80148">
      <w:pPr>
        <w:pStyle w:val="Annex"/>
        <w:outlineLvl w:val="0"/>
        <w:rPr>
          <w:lang w:val="en-GB"/>
        </w:rPr>
      </w:pPr>
      <w:r w:rsidRPr="00C50A4F">
        <w:rPr>
          <w:lang w:val="en-GB"/>
        </w:rPr>
        <w:t>A. LABELLING</w:t>
      </w:r>
    </w:p>
    <w:p w14:paraId="7C332361" w14:textId="77777777" w:rsidR="004F06A5" w:rsidRPr="00C50A4F" w:rsidRDefault="004F06A5" w:rsidP="00C80148">
      <w:pPr>
        <w:ind w:left="360"/>
        <w:jc w:val="center"/>
        <w:rPr>
          <w:szCs w:val="22"/>
          <w:lang w:val="en-GB"/>
        </w:rPr>
      </w:pPr>
    </w:p>
    <w:p w14:paraId="7C332362" w14:textId="77777777" w:rsidR="00544815" w:rsidRPr="00C50A4F" w:rsidRDefault="00016F29" w:rsidP="00544815">
      <w:pPr>
        <w:rPr>
          <w:szCs w:val="22"/>
          <w:lang w:val="en-GB"/>
        </w:rPr>
      </w:pPr>
      <w:r w:rsidRPr="00C50A4F">
        <w:rPr>
          <w:szCs w:val="22"/>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366" w14:textId="77777777" w:rsidTr="008919D7">
        <w:trPr>
          <w:trHeight w:val="744"/>
        </w:trPr>
        <w:tc>
          <w:tcPr>
            <w:tcW w:w="9287" w:type="dxa"/>
            <w:tcBorders>
              <w:bottom w:val="single" w:sz="4" w:space="0" w:color="auto"/>
            </w:tcBorders>
          </w:tcPr>
          <w:p w14:paraId="7C332363" w14:textId="77777777" w:rsidR="00544815" w:rsidRPr="00F332AF" w:rsidRDefault="00016F29" w:rsidP="008919D7">
            <w:pPr>
              <w:rPr>
                <w:b/>
                <w:lang w:val="en-GB"/>
              </w:rPr>
            </w:pPr>
            <w:r w:rsidRPr="00F332AF">
              <w:rPr>
                <w:b/>
                <w:lang w:val="en-GB"/>
              </w:rPr>
              <w:t xml:space="preserve">PARTICULARS TO APPEAR ON THE OUTER PACKAGING </w:t>
            </w:r>
          </w:p>
          <w:p w14:paraId="7C332364" w14:textId="77777777" w:rsidR="00544815" w:rsidRPr="00F332AF" w:rsidRDefault="00544815" w:rsidP="008919D7">
            <w:pPr>
              <w:rPr>
                <w:b/>
                <w:lang w:val="en-GB"/>
              </w:rPr>
            </w:pPr>
          </w:p>
          <w:p w14:paraId="7C332365" w14:textId="77777777" w:rsidR="00544815" w:rsidRPr="00F332AF" w:rsidRDefault="00016F29" w:rsidP="008919D7">
            <w:pPr>
              <w:rPr>
                <w:b/>
                <w:lang w:val="en-GB"/>
              </w:rPr>
            </w:pPr>
            <w:r w:rsidRPr="00F332AF">
              <w:rPr>
                <w:b/>
                <w:lang w:val="en-GB"/>
              </w:rPr>
              <w:t>OUTER CARTON</w:t>
            </w:r>
          </w:p>
        </w:tc>
      </w:tr>
    </w:tbl>
    <w:p w14:paraId="7C332367" w14:textId="77777777" w:rsidR="00544815" w:rsidRPr="00C50A4F" w:rsidRDefault="00544815" w:rsidP="00544815">
      <w:pPr>
        <w:rPr>
          <w:szCs w:val="22"/>
          <w:lang w:val="en-GB"/>
        </w:rPr>
      </w:pPr>
    </w:p>
    <w:p w14:paraId="7C332368" w14:textId="77777777" w:rsidR="00544815" w:rsidRPr="00C50A4F"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36A" w14:textId="77777777" w:rsidTr="008919D7">
        <w:tc>
          <w:tcPr>
            <w:tcW w:w="9287" w:type="dxa"/>
          </w:tcPr>
          <w:p w14:paraId="7C332369" w14:textId="77777777" w:rsidR="00544815" w:rsidRPr="00C50A4F" w:rsidRDefault="00016F29" w:rsidP="008919D7">
            <w:pPr>
              <w:ind w:left="567" w:hanging="567"/>
              <w:rPr>
                <w:b/>
                <w:szCs w:val="22"/>
                <w:lang w:val="en-GB"/>
              </w:rPr>
            </w:pPr>
            <w:r w:rsidRPr="00C50A4F">
              <w:rPr>
                <w:b/>
                <w:szCs w:val="22"/>
                <w:lang w:val="en-GB"/>
              </w:rPr>
              <w:t>1.</w:t>
            </w:r>
            <w:r w:rsidRPr="00C50A4F">
              <w:rPr>
                <w:b/>
                <w:szCs w:val="22"/>
                <w:lang w:val="en-GB"/>
              </w:rPr>
              <w:tab/>
              <w:t>NAME OF THE MEDICINAL PRODUCT</w:t>
            </w:r>
          </w:p>
        </w:tc>
      </w:tr>
    </w:tbl>
    <w:p w14:paraId="7C33236B" w14:textId="77777777" w:rsidR="00544815" w:rsidRPr="00C50A4F" w:rsidRDefault="00544815" w:rsidP="00544815">
      <w:pPr>
        <w:rPr>
          <w:szCs w:val="22"/>
          <w:lang w:val="en-GB"/>
        </w:rPr>
      </w:pPr>
    </w:p>
    <w:p w14:paraId="7C33236C" w14:textId="77777777" w:rsidR="00544815" w:rsidRPr="00C50A4F" w:rsidRDefault="00016F29" w:rsidP="00544815">
      <w:pPr>
        <w:outlineLvl w:val="0"/>
        <w:rPr>
          <w:szCs w:val="22"/>
          <w:lang w:val="en-GB"/>
        </w:rPr>
      </w:pPr>
      <w:r w:rsidRPr="00C50A4F">
        <w:rPr>
          <w:szCs w:val="22"/>
          <w:lang w:val="en-GB"/>
        </w:rPr>
        <w:t>MabThera 100 mg concentrate for solution for infusion</w:t>
      </w:r>
    </w:p>
    <w:p w14:paraId="7C33236D" w14:textId="77777777" w:rsidR="00544815" w:rsidRPr="00C50A4F" w:rsidRDefault="00544815" w:rsidP="00544815">
      <w:pPr>
        <w:rPr>
          <w:szCs w:val="22"/>
          <w:lang w:val="en-GB"/>
        </w:rPr>
      </w:pPr>
    </w:p>
    <w:p w14:paraId="7C33236E" w14:textId="77777777" w:rsidR="00544815" w:rsidRPr="00153E10" w:rsidRDefault="00016F29" w:rsidP="00544815">
      <w:pPr>
        <w:outlineLvl w:val="0"/>
        <w:rPr>
          <w:szCs w:val="22"/>
          <w:lang w:val="en-GB"/>
        </w:rPr>
      </w:pPr>
      <w:r w:rsidRPr="00153E10">
        <w:rPr>
          <w:szCs w:val="22"/>
          <w:lang w:val="en-GB"/>
        </w:rPr>
        <w:t>r</w:t>
      </w:r>
      <w:r w:rsidR="007830E0" w:rsidRPr="00153E10">
        <w:rPr>
          <w:szCs w:val="22"/>
          <w:lang w:val="en-GB"/>
        </w:rPr>
        <w:t>ituximab</w:t>
      </w:r>
    </w:p>
    <w:p w14:paraId="7C33236F" w14:textId="77777777" w:rsidR="00544815" w:rsidRPr="00C50A4F" w:rsidRDefault="00544815" w:rsidP="00DD36B7">
      <w:pPr>
        <w:rPr>
          <w:lang w:val="en-GB"/>
        </w:rPr>
      </w:pPr>
    </w:p>
    <w:p w14:paraId="7C332370" w14:textId="77777777" w:rsidR="00544815" w:rsidRPr="00C50A4F"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372" w14:textId="77777777" w:rsidTr="008919D7">
        <w:tc>
          <w:tcPr>
            <w:tcW w:w="9287" w:type="dxa"/>
          </w:tcPr>
          <w:p w14:paraId="7C332371" w14:textId="77777777" w:rsidR="00544815" w:rsidRPr="00C50A4F" w:rsidRDefault="00016F29" w:rsidP="008919D7">
            <w:pPr>
              <w:rPr>
                <w:b/>
                <w:szCs w:val="22"/>
                <w:lang w:val="en-GB"/>
              </w:rPr>
            </w:pPr>
            <w:r w:rsidRPr="00C50A4F">
              <w:rPr>
                <w:b/>
                <w:szCs w:val="22"/>
                <w:lang w:val="en-GB"/>
              </w:rPr>
              <w:t>2.</w:t>
            </w:r>
            <w:r w:rsidRPr="00C50A4F">
              <w:rPr>
                <w:b/>
                <w:szCs w:val="22"/>
                <w:lang w:val="en-GB"/>
              </w:rPr>
              <w:tab/>
              <w:t>STATEMENT OF ACTIVE SUBSTANCE(S)</w:t>
            </w:r>
          </w:p>
        </w:tc>
      </w:tr>
    </w:tbl>
    <w:p w14:paraId="7C332373" w14:textId="77777777" w:rsidR="00544815" w:rsidRPr="00C50A4F" w:rsidRDefault="00544815" w:rsidP="00544815">
      <w:pPr>
        <w:rPr>
          <w:szCs w:val="22"/>
          <w:lang w:val="en-GB"/>
        </w:rPr>
      </w:pPr>
    </w:p>
    <w:p w14:paraId="7C332374" w14:textId="77777777" w:rsidR="00544815" w:rsidRPr="003D49A3" w:rsidRDefault="00016F29" w:rsidP="00544815">
      <w:pPr>
        <w:rPr>
          <w:szCs w:val="22"/>
          <w:lang w:val="fr-FR"/>
        </w:rPr>
      </w:pPr>
      <w:r w:rsidRPr="003D49A3">
        <w:rPr>
          <w:szCs w:val="22"/>
          <w:lang w:val="fr-FR"/>
        </w:rPr>
        <w:t>1 vial contains 10 mg/m</w:t>
      </w:r>
      <w:r>
        <w:rPr>
          <w:szCs w:val="22"/>
          <w:lang w:val="fr-FR"/>
        </w:rPr>
        <w:t>L</w:t>
      </w:r>
      <w:r w:rsidRPr="003D49A3">
        <w:rPr>
          <w:szCs w:val="22"/>
          <w:lang w:val="fr-FR"/>
        </w:rPr>
        <w:t xml:space="preserve"> rituximab.</w:t>
      </w:r>
    </w:p>
    <w:p w14:paraId="7C332375" w14:textId="77777777" w:rsidR="00544815" w:rsidRPr="003D49A3" w:rsidRDefault="00544815" w:rsidP="00544815">
      <w:pPr>
        <w:rPr>
          <w:szCs w:val="22"/>
          <w:lang w:val="fr-FR"/>
        </w:rPr>
      </w:pPr>
    </w:p>
    <w:p w14:paraId="7C332376" w14:textId="77777777" w:rsidR="00544815" w:rsidRPr="003D49A3" w:rsidRDefault="00544815" w:rsidP="00544815">
      <w:pPr>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378" w14:textId="77777777" w:rsidTr="008919D7">
        <w:tc>
          <w:tcPr>
            <w:tcW w:w="9287" w:type="dxa"/>
          </w:tcPr>
          <w:p w14:paraId="7C332377" w14:textId="77777777" w:rsidR="00544815" w:rsidRPr="00C50A4F" w:rsidRDefault="00016F29" w:rsidP="008919D7">
            <w:pPr>
              <w:rPr>
                <w:b/>
                <w:szCs w:val="22"/>
                <w:lang w:val="en-GB"/>
              </w:rPr>
            </w:pPr>
            <w:r w:rsidRPr="00C50A4F">
              <w:rPr>
                <w:b/>
                <w:szCs w:val="22"/>
                <w:lang w:val="en-GB"/>
              </w:rPr>
              <w:t>3.</w:t>
            </w:r>
            <w:r w:rsidRPr="00C50A4F">
              <w:rPr>
                <w:b/>
                <w:szCs w:val="22"/>
                <w:lang w:val="en-GB"/>
              </w:rPr>
              <w:tab/>
              <w:t>LIST OF EXCIPIENTS</w:t>
            </w:r>
          </w:p>
        </w:tc>
      </w:tr>
    </w:tbl>
    <w:p w14:paraId="7C332379" w14:textId="77777777" w:rsidR="00544815" w:rsidRPr="00C50A4F" w:rsidRDefault="00544815" w:rsidP="00544815">
      <w:pPr>
        <w:rPr>
          <w:szCs w:val="22"/>
          <w:lang w:val="en-GB"/>
        </w:rPr>
      </w:pPr>
    </w:p>
    <w:p w14:paraId="7C33237A" w14:textId="77777777" w:rsidR="003C46D3" w:rsidRDefault="00016F29" w:rsidP="003C46D3">
      <w:pPr>
        <w:rPr>
          <w:szCs w:val="22"/>
          <w:lang w:val="en-GB"/>
        </w:rPr>
      </w:pPr>
      <w:r w:rsidRPr="00C50A4F">
        <w:rPr>
          <w:szCs w:val="22"/>
          <w:lang w:val="en-GB"/>
        </w:rPr>
        <w:t>Sodium citrate, polysorbate 80, sodium chloride, sodium hydroxide, hydrochloric acid, water for injections.</w:t>
      </w:r>
      <w:r w:rsidRPr="003C46D3">
        <w:rPr>
          <w:szCs w:val="22"/>
          <w:lang w:val="en-GB"/>
        </w:rPr>
        <w:t xml:space="preserve"> </w:t>
      </w:r>
    </w:p>
    <w:p w14:paraId="7C33237B" w14:textId="77777777" w:rsidR="00544815" w:rsidRPr="00C50A4F" w:rsidRDefault="00016F29" w:rsidP="003C46D3">
      <w:pPr>
        <w:rPr>
          <w:szCs w:val="22"/>
          <w:lang w:val="en-GB"/>
        </w:rPr>
      </w:pPr>
      <w:r>
        <w:rPr>
          <w:szCs w:val="22"/>
          <w:lang w:val="en-GB"/>
        </w:rPr>
        <w:t>Read the leaflet for further information.</w:t>
      </w:r>
    </w:p>
    <w:p w14:paraId="7C33237C" w14:textId="77777777" w:rsidR="00544815" w:rsidRPr="00C50A4F" w:rsidRDefault="00544815" w:rsidP="00544815">
      <w:pPr>
        <w:rPr>
          <w:szCs w:val="22"/>
          <w:lang w:val="en-GB"/>
        </w:rPr>
      </w:pPr>
    </w:p>
    <w:p w14:paraId="7C33237D" w14:textId="77777777" w:rsidR="00544815" w:rsidRPr="00C50A4F"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37F" w14:textId="77777777" w:rsidTr="008919D7">
        <w:tc>
          <w:tcPr>
            <w:tcW w:w="9287" w:type="dxa"/>
          </w:tcPr>
          <w:p w14:paraId="7C33237E" w14:textId="77777777" w:rsidR="00544815" w:rsidRPr="00C50A4F" w:rsidRDefault="00016F29" w:rsidP="008919D7">
            <w:pPr>
              <w:rPr>
                <w:b/>
                <w:szCs w:val="22"/>
                <w:lang w:val="en-GB"/>
              </w:rPr>
            </w:pPr>
            <w:r w:rsidRPr="00C50A4F">
              <w:rPr>
                <w:b/>
                <w:szCs w:val="22"/>
                <w:lang w:val="en-GB"/>
              </w:rPr>
              <w:t>4.</w:t>
            </w:r>
            <w:r w:rsidRPr="00C50A4F">
              <w:rPr>
                <w:b/>
                <w:szCs w:val="22"/>
                <w:lang w:val="en-GB"/>
              </w:rPr>
              <w:tab/>
              <w:t>PHARMACEUTICAL FORM AND CONTENTS</w:t>
            </w:r>
          </w:p>
        </w:tc>
      </w:tr>
    </w:tbl>
    <w:p w14:paraId="7C332380" w14:textId="77777777" w:rsidR="00544815" w:rsidRPr="00C50A4F" w:rsidRDefault="00544815" w:rsidP="00544815">
      <w:pPr>
        <w:rPr>
          <w:szCs w:val="22"/>
          <w:lang w:val="en-GB"/>
        </w:rPr>
      </w:pPr>
    </w:p>
    <w:p w14:paraId="7C332381" w14:textId="77777777" w:rsidR="00544815" w:rsidRPr="00C50A4F" w:rsidRDefault="00016F29" w:rsidP="00544815">
      <w:pPr>
        <w:outlineLvl w:val="0"/>
        <w:rPr>
          <w:szCs w:val="22"/>
          <w:lang w:val="en-GB"/>
        </w:rPr>
      </w:pPr>
      <w:r w:rsidRPr="00C50A4F">
        <w:rPr>
          <w:szCs w:val="22"/>
          <w:lang w:val="en-GB"/>
        </w:rPr>
        <w:t>Concentrate for solution for infusion</w:t>
      </w:r>
    </w:p>
    <w:p w14:paraId="7C332382" w14:textId="77777777" w:rsidR="00544815" w:rsidRPr="00C50A4F" w:rsidRDefault="00016F29" w:rsidP="00544815">
      <w:pPr>
        <w:outlineLvl w:val="0"/>
        <w:rPr>
          <w:szCs w:val="22"/>
          <w:lang w:val="en-GB"/>
        </w:rPr>
      </w:pPr>
      <w:r w:rsidRPr="00C50A4F">
        <w:rPr>
          <w:szCs w:val="22"/>
          <w:lang w:val="en-GB"/>
        </w:rPr>
        <w:t>100 mg / 10 m</w:t>
      </w:r>
      <w:r>
        <w:rPr>
          <w:szCs w:val="22"/>
          <w:lang w:val="en-GB"/>
        </w:rPr>
        <w:t>L</w:t>
      </w:r>
    </w:p>
    <w:p w14:paraId="7C332383" w14:textId="77777777" w:rsidR="00544815" w:rsidRPr="00C50A4F" w:rsidRDefault="00016F29" w:rsidP="00544815">
      <w:pPr>
        <w:rPr>
          <w:szCs w:val="22"/>
          <w:lang w:val="en-GB"/>
        </w:rPr>
      </w:pPr>
      <w:r w:rsidRPr="00C50A4F">
        <w:rPr>
          <w:szCs w:val="22"/>
          <w:lang w:val="en-GB"/>
        </w:rPr>
        <w:t>2 vials of 10 m</w:t>
      </w:r>
      <w:r>
        <w:rPr>
          <w:szCs w:val="22"/>
          <w:lang w:val="en-GB"/>
        </w:rPr>
        <w:t>L</w:t>
      </w:r>
    </w:p>
    <w:p w14:paraId="7C332384" w14:textId="77777777" w:rsidR="00544815" w:rsidRPr="00C50A4F" w:rsidRDefault="00544815" w:rsidP="00544815">
      <w:pPr>
        <w:rPr>
          <w:szCs w:val="22"/>
          <w:lang w:val="en-GB"/>
        </w:rPr>
      </w:pPr>
    </w:p>
    <w:p w14:paraId="7C332385" w14:textId="77777777" w:rsidR="00544815" w:rsidRPr="00C50A4F"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387" w14:textId="77777777" w:rsidTr="008919D7">
        <w:tc>
          <w:tcPr>
            <w:tcW w:w="9287" w:type="dxa"/>
          </w:tcPr>
          <w:p w14:paraId="7C332386" w14:textId="77777777" w:rsidR="00544815" w:rsidRPr="00C50A4F" w:rsidRDefault="00016F29" w:rsidP="008919D7">
            <w:pPr>
              <w:ind w:left="567" w:hanging="567"/>
              <w:rPr>
                <w:b/>
                <w:szCs w:val="22"/>
                <w:lang w:val="en-GB"/>
              </w:rPr>
            </w:pPr>
            <w:r w:rsidRPr="00C50A4F">
              <w:rPr>
                <w:b/>
                <w:szCs w:val="22"/>
                <w:lang w:val="en-GB"/>
              </w:rPr>
              <w:t>5.</w:t>
            </w:r>
            <w:r w:rsidRPr="00C50A4F">
              <w:rPr>
                <w:b/>
                <w:szCs w:val="22"/>
                <w:lang w:val="en-GB"/>
              </w:rPr>
              <w:tab/>
              <w:t>METHOD AND ROUTE(S) OF ADMINISTRATION</w:t>
            </w:r>
          </w:p>
        </w:tc>
      </w:tr>
    </w:tbl>
    <w:p w14:paraId="7C332388" w14:textId="77777777" w:rsidR="00544815" w:rsidRPr="00C50A4F" w:rsidRDefault="00544815" w:rsidP="00544815">
      <w:pPr>
        <w:rPr>
          <w:szCs w:val="22"/>
          <w:lang w:val="en-GB"/>
        </w:rPr>
      </w:pPr>
    </w:p>
    <w:p w14:paraId="7C332389" w14:textId="77777777" w:rsidR="00544815" w:rsidRPr="00C50A4F" w:rsidRDefault="00016F29" w:rsidP="00544815">
      <w:pPr>
        <w:outlineLvl w:val="0"/>
        <w:rPr>
          <w:szCs w:val="22"/>
          <w:lang w:val="en-GB"/>
        </w:rPr>
      </w:pPr>
      <w:r w:rsidRPr="00C50A4F">
        <w:rPr>
          <w:szCs w:val="22"/>
          <w:lang w:val="en-GB"/>
        </w:rPr>
        <w:t>For intravenous use after dilution</w:t>
      </w:r>
    </w:p>
    <w:p w14:paraId="7C33238A" w14:textId="77777777" w:rsidR="00544815" w:rsidRPr="00C50A4F" w:rsidRDefault="00016F29" w:rsidP="00544815">
      <w:pPr>
        <w:rPr>
          <w:szCs w:val="22"/>
          <w:lang w:val="en-GB"/>
        </w:rPr>
      </w:pPr>
      <w:r w:rsidRPr="00C50A4F">
        <w:rPr>
          <w:szCs w:val="22"/>
          <w:lang w:val="en-GB"/>
        </w:rPr>
        <w:t>Read the package leaflet before use</w:t>
      </w:r>
    </w:p>
    <w:p w14:paraId="7C33238B" w14:textId="77777777" w:rsidR="00544815" w:rsidRPr="00C50A4F" w:rsidRDefault="00544815" w:rsidP="00544815">
      <w:pPr>
        <w:rPr>
          <w:szCs w:val="22"/>
          <w:lang w:val="en-GB"/>
        </w:rPr>
      </w:pPr>
    </w:p>
    <w:p w14:paraId="7C33238C" w14:textId="77777777" w:rsidR="00544815" w:rsidRPr="00C50A4F"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38E" w14:textId="77777777" w:rsidTr="008919D7">
        <w:trPr>
          <w:cantSplit/>
        </w:trPr>
        <w:tc>
          <w:tcPr>
            <w:tcW w:w="9287" w:type="dxa"/>
          </w:tcPr>
          <w:p w14:paraId="7C33238D" w14:textId="77777777" w:rsidR="00544815" w:rsidRPr="00C50A4F" w:rsidRDefault="00016F29" w:rsidP="008919D7">
            <w:pPr>
              <w:ind w:left="567" w:hanging="567"/>
              <w:rPr>
                <w:b/>
                <w:szCs w:val="22"/>
                <w:lang w:val="en-GB"/>
              </w:rPr>
            </w:pPr>
            <w:r w:rsidRPr="00C50A4F">
              <w:rPr>
                <w:b/>
                <w:szCs w:val="22"/>
                <w:lang w:val="en-GB"/>
              </w:rPr>
              <w:t>6.</w:t>
            </w:r>
            <w:r w:rsidRPr="00C50A4F">
              <w:rPr>
                <w:b/>
                <w:szCs w:val="22"/>
                <w:lang w:val="en-GB"/>
              </w:rPr>
              <w:tab/>
              <w:t>SPECIAL WARNING THAT THE MEDICINAL PRODUCT MUST BE STORED OUT OF THE SIGHT AND REACH OF CHILDREN</w:t>
            </w:r>
          </w:p>
        </w:tc>
      </w:tr>
    </w:tbl>
    <w:p w14:paraId="7C33238F" w14:textId="77777777" w:rsidR="00544815" w:rsidRPr="00C50A4F" w:rsidRDefault="00544815" w:rsidP="00544815">
      <w:pPr>
        <w:rPr>
          <w:szCs w:val="22"/>
          <w:lang w:val="en-GB"/>
        </w:rPr>
      </w:pPr>
    </w:p>
    <w:p w14:paraId="7C332390" w14:textId="77777777" w:rsidR="00544815" w:rsidRPr="00C50A4F" w:rsidRDefault="00016F29" w:rsidP="00544815">
      <w:pPr>
        <w:outlineLvl w:val="0"/>
        <w:rPr>
          <w:szCs w:val="22"/>
          <w:lang w:val="en-GB"/>
        </w:rPr>
      </w:pPr>
      <w:r w:rsidRPr="00C50A4F">
        <w:rPr>
          <w:szCs w:val="22"/>
          <w:lang w:val="en-GB"/>
        </w:rPr>
        <w:t>Keep out of the sight and reach of children</w:t>
      </w:r>
    </w:p>
    <w:p w14:paraId="7C332391" w14:textId="77777777" w:rsidR="00544815" w:rsidRPr="00C50A4F" w:rsidRDefault="00544815" w:rsidP="00544815">
      <w:pPr>
        <w:rPr>
          <w:szCs w:val="22"/>
          <w:lang w:val="en-GB"/>
        </w:rPr>
      </w:pPr>
    </w:p>
    <w:p w14:paraId="7C332392" w14:textId="77777777" w:rsidR="00544815" w:rsidRPr="00C50A4F"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394" w14:textId="77777777" w:rsidTr="008919D7">
        <w:tc>
          <w:tcPr>
            <w:tcW w:w="9287" w:type="dxa"/>
          </w:tcPr>
          <w:p w14:paraId="7C332393" w14:textId="77777777" w:rsidR="00544815" w:rsidRPr="00C50A4F" w:rsidRDefault="00016F29" w:rsidP="008919D7">
            <w:pPr>
              <w:rPr>
                <w:b/>
                <w:szCs w:val="22"/>
                <w:lang w:val="en-GB"/>
              </w:rPr>
            </w:pPr>
            <w:r w:rsidRPr="00C50A4F">
              <w:rPr>
                <w:b/>
                <w:szCs w:val="22"/>
                <w:lang w:val="en-GB"/>
              </w:rPr>
              <w:t>7.</w:t>
            </w:r>
            <w:r w:rsidRPr="00C50A4F">
              <w:rPr>
                <w:b/>
                <w:szCs w:val="22"/>
                <w:lang w:val="en-GB"/>
              </w:rPr>
              <w:tab/>
              <w:t>OTHER SPECIAL WARNING(S), IF NECESSARY</w:t>
            </w:r>
          </w:p>
        </w:tc>
      </w:tr>
    </w:tbl>
    <w:p w14:paraId="7C332395" w14:textId="77777777" w:rsidR="00544815" w:rsidRPr="00C50A4F" w:rsidRDefault="00544815" w:rsidP="00544815">
      <w:pPr>
        <w:rPr>
          <w:szCs w:val="22"/>
          <w:lang w:val="en-GB"/>
        </w:rPr>
      </w:pPr>
    </w:p>
    <w:p w14:paraId="7C332396" w14:textId="77777777" w:rsidR="00544815" w:rsidRPr="00C50A4F"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398" w14:textId="77777777" w:rsidTr="008919D7">
        <w:tc>
          <w:tcPr>
            <w:tcW w:w="9287" w:type="dxa"/>
          </w:tcPr>
          <w:p w14:paraId="7C332397" w14:textId="77777777" w:rsidR="00544815" w:rsidRPr="00C50A4F" w:rsidRDefault="00016F29" w:rsidP="008919D7">
            <w:pPr>
              <w:rPr>
                <w:b/>
                <w:szCs w:val="22"/>
                <w:lang w:val="en-GB"/>
              </w:rPr>
            </w:pPr>
            <w:r w:rsidRPr="00C50A4F">
              <w:rPr>
                <w:b/>
                <w:szCs w:val="22"/>
                <w:lang w:val="en-GB"/>
              </w:rPr>
              <w:t>8.</w:t>
            </w:r>
            <w:r w:rsidRPr="00C50A4F">
              <w:rPr>
                <w:b/>
                <w:szCs w:val="22"/>
                <w:lang w:val="en-GB"/>
              </w:rPr>
              <w:tab/>
              <w:t>EXPIRY DATE</w:t>
            </w:r>
          </w:p>
        </w:tc>
      </w:tr>
    </w:tbl>
    <w:p w14:paraId="7C332399" w14:textId="77777777" w:rsidR="00544815" w:rsidRPr="00C50A4F" w:rsidRDefault="00544815" w:rsidP="00544815">
      <w:pPr>
        <w:rPr>
          <w:szCs w:val="22"/>
          <w:lang w:val="en-GB"/>
        </w:rPr>
      </w:pPr>
    </w:p>
    <w:p w14:paraId="7C33239A" w14:textId="77777777" w:rsidR="00544815" w:rsidRPr="00C50A4F" w:rsidRDefault="00016F29" w:rsidP="00544815">
      <w:pPr>
        <w:outlineLvl w:val="0"/>
        <w:rPr>
          <w:szCs w:val="22"/>
          <w:lang w:val="en-GB"/>
        </w:rPr>
      </w:pPr>
      <w:r w:rsidRPr="00C50A4F">
        <w:rPr>
          <w:szCs w:val="22"/>
          <w:lang w:val="en-GB"/>
        </w:rPr>
        <w:t xml:space="preserve">EXP </w:t>
      </w:r>
    </w:p>
    <w:p w14:paraId="7C33239B" w14:textId="77777777" w:rsidR="00544815" w:rsidRPr="00C50A4F" w:rsidRDefault="00544815" w:rsidP="00544815">
      <w:pPr>
        <w:rPr>
          <w:szCs w:val="22"/>
          <w:lang w:val="en-GB"/>
        </w:rPr>
      </w:pPr>
    </w:p>
    <w:p w14:paraId="7C33239C" w14:textId="77777777" w:rsidR="00544815" w:rsidRPr="00C50A4F"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39E" w14:textId="77777777" w:rsidTr="008919D7">
        <w:tc>
          <w:tcPr>
            <w:tcW w:w="9287" w:type="dxa"/>
          </w:tcPr>
          <w:p w14:paraId="7C33239D" w14:textId="77777777" w:rsidR="00544815" w:rsidRPr="00C50A4F" w:rsidRDefault="00016F29" w:rsidP="008919D7">
            <w:pPr>
              <w:rPr>
                <w:szCs w:val="22"/>
                <w:lang w:val="en-GB"/>
              </w:rPr>
            </w:pPr>
            <w:r w:rsidRPr="00C50A4F">
              <w:rPr>
                <w:b/>
                <w:szCs w:val="22"/>
                <w:lang w:val="en-GB"/>
              </w:rPr>
              <w:t>9.</w:t>
            </w:r>
            <w:r w:rsidRPr="00C50A4F">
              <w:rPr>
                <w:b/>
                <w:szCs w:val="22"/>
                <w:lang w:val="en-GB"/>
              </w:rPr>
              <w:tab/>
              <w:t>SPECIAL STORAGE CONDITIONS</w:t>
            </w:r>
          </w:p>
        </w:tc>
      </w:tr>
    </w:tbl>
    <w:p w14:paraId="7C33239F" w14:textId="77777777" w:rsidR="00544815" w:rsidRPr="00C50A4F" w:rsidRDefault="00544815" w:rsidP="00544815">
      <w:pPr>
        <w:rPr>
          <w:szCs w:val="22"/>
          <w:lang w:val="en-GB"/>
        </w:rPr>
      </w:pPr>
    </w:p>
    <w:p w14:paraId="7C3323A0" w14:textId="77777777" w:rsidR="00544815" w:rsidRPr="00C50A4F" w:rsidRDefault="00016F29" w:rsidP="00544815">
      <w:pPr>
        <w:outlineLvl w:val="0"/>
        <w:rPr>
          <w:szCs w:val="22"/>
          <w:lang w:val="en-GB"/>
        </w:rPr>
      </w:pPr>
      <w:r w:rsidRPr="00C50A4F">
        <w:rPr>
          <w:szCs w:val="22"/>
          <w:lang w:val="en-GB"/>
        </w:rPr>
        <w:t>Store in a refrigerator. Keep the container in the outer carton, in order to protect from light</w:t>
      </w:r>
    </w:p>
    <w:p w14:paraId="7C3323A1" w14:textId="77777777" w:rsidR="00544815" w:rsidRPr="00C50A4F" w:rsidRDefault="00544815" w:rsidP="00544815">
      <w:pPr>
        <w:rPr>
          <w:szCs w:val="22"/>
          <w:lang w:val="en-GB"/>
        </w:rPr>
      </w:pPr>
    </w:p>
    <w:p w14:paraId="7C3323A2" w14:textId="77777777" w:rsidR="00544815" w:rsidRPr="00C50A4F"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3A4" w14:textId="77777777" w:rsidTr="008919D7">
        <w:trPr>
          <w:cantSplit/>
        </w:trPr>
        <w:tc>
          <w:tcPr>
            <w:tcW w:w="9287" w:type="dxa"/>
          </w:tcPr>
          <w:p w14:paraId="7C3323A3" w14:textId="77777777" w:rsidR="00544815" w:rsidRPr="00C50A4F" w:rsidRDefault="00016F29" w:rsidP="008919D7">
            <w:pPr>
              <w:ind w:left="567" w:hanging="567"/>
              <w:rPr>
                <w:b/>
                <w:szCs w:val="22"/>
                <w:lang w:val="en-GB"/>
              </w:rPr>
            </w:pPr>
            <w:r w:rsidRPr="00C50A4F">
              <w:rPr>
                <w:b/>
                <w:szCs w:val="22"/>
                <w:lang w:val="en-GB"/>
              </w:rPr>
              <w:t>10.</w:t>
            </w:r>
            <w:r w:rsidRPr="00C50A4F">
              <w:rPr>
                <w:b/>
                <w:szCs w:val="22"/>
                <w:lang w:val="en-GB"/>
              </w:rPr>
              <w:tab/>
              <w:t>SPECIAL PRECAUTIONS FOR DISPOSAL OF UNUSED MEDICINAL PRODUCTS OR WASTE MATERIALS DERIVED FROM SUCH MEDICINAL PRODUCTS, IF APPROPRIATE</w:t>
            </w:r>
          </w:p>
        </w:tc>
      </w:tr>
    </w:tbl>
    <w:p w14:paraId="7C3323A5" w14:textId="77777777" w:rsidR="00544815" w:rsidRPr="00C50A4F" w:rsidRDefault="00544815" w:rsidP="00544815">
      <w:pPr>
        <w:rPr>
          <w:szCs w:val="22"/>
          <w:lang w:val="en-GB"/>
        </w:rPr>
      </w:pPr>
    </w:p>
    <w:p w14:paraId="7C3323A6" w14:textId="77777777" w:rsidR="00544815" w:rsidRPr="00C50A4F"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3A8" w14:textId="77777777" w:rsidTr="008919D7">
        <w:tc>
          <w:tcPr>
            <w:tcW w:w="9287" w:type="dxa"/>
          </w:tcPr>
          <w:p w14:paraId="7C3323A7" w14:textId="77777777" w:rsidR="00544815" w:rsidRPr="00C50A4F" w:rsidRDefault="00016F29" w:rsidP="008919D7">
            <w:pPr>
              <w:rPr>
                <w:b/>
                <w:szCs w:val="22"/>
                <w:lang w:val="en-GB"/>
              </w:rPr>
            </w:pPr>
            <w:r w:rsidRPr="00C50A4F">
              <w:rPr>
                <w:b/>
                <w:szCs w:val="22"/>
                <w:lang w:val="en-GB"/>
              </w:rPr>
              <w:t>11.</w:t>
            </w:r>
            <w:r w:rsidRPr="00C50A4F">
              <w:rPr>
                <w:b/>
                <w:szCs w:val="22"/>
                <w:lang w:val="en-GB"/>
              </w:rPr>
              <w:tab/>
              <w:t>NAME AND ADDRESS OF THE MARKETING AUTHORISATION HOLDER</w:t>
            </w:r>
          </w:p>
        </w:tc>
      </w:tr>
    </w:tbl>
    <w:p w14:paraId="7C3323A9" w14:textId="77777777" w:rsidR="00544815" w:rsidRPr="00C50A4F" w:rsidRDefault="00544815" w:rsidP="00544815">
      <w:pPr>
        <w:rPr>
          <w:szCs w:val="22"/>
          <w:lang w:val="en-GB"/>
        </w:rPr>
      </w:pPr>
    </w:p>
    <w:p w14:paraId="7C3323AA" w14:textId="77777777" w:rsidR="00B0361F" w:rsidRPr="00B0361F" w:rsidRDefault="00016F29" w:rsidP="00B0361F">
      <w:pPr>
        <w:rPr>
          <w:lang w:val="de-CH"/>
        </w:rPr>
      </w:pPr>
      <w:r w:rsidRPr="00B0361F">
        <w:rPr>
          <w:lang w:val="de-CH"/>
        </w:rPr>
        <w:t xml:space="preserve">Roche Registration GmbH </w:t>
      </w:r>
    </w:p>
    <w:p w14:paraId="7C3323AB" w14:textId="77777777" w:rsidR="00B0361F" w:rsidRPr="00B0361F" w:rsidRDefault="00016F29" w:rsidP="00B0361F">
      <w:pPr>
        <w:rPr>
          <w:lang w:val="de-CH"/>
        </w:rPr>
      </w:pPr>
      <w:r w:rsidRPr="00B0361F">
        <w:rPr>
          <w:lang w:val="de-CH"/>
        </w:rPr>
        <w:t>Emil-Barell-Strasse 1</w:t>
      </w:r>
    </w:p>
    <w:p w14:paraId="7C3323AC" w14:textId="77777777" w:rsidR="00B0361F" w:rsidRPr="00B0361F" w:rsidRDefault="00016F29" w:rsidP="00B0361F">
      <w:pPr>
        <w:rPr>
          <w:lang w:val="de-CH"/>
        </w:rPr>
      </w:pPr>
      <w:r w:rsidRPr="00B0361F">
        <w:rPr>
          <w:lang w:val="de-CH"/>
        </w:rPr>
        <w:t>79639 Grenzach-Wyhlen</w:t>
      </w:r>
    </w:p>
    <w:p w14:paraId="7C3323AD" w14:textId="77777777" w:rsidR="00B0361F" w:rsidRPr="00896D93" w:rsidRDefault="00016F29" w:rsidP="00B0361F">
      <w:r w:rsidRPr="00896D93">
        <w:t>Germany</w:t>
      </w:r>
    </w:p>
    <w:p w14:paraId="7C3323AE" w14:textId="77777777" w:rsidR="00544815" w:rsidRPr="00C50A4F" w:rsidRDefault="00544815" w:rsidP="00544815">
      <w:pPr>
        <w:rPr>
          <w:szCs w:val="22"/>
          <w:lang w:val="en-GB"/>
        </w:rPr>
      </w:pPr>
    </w:p>
    <w:p w14:paraId="7C3323AF" w14:textId="77777777" w:rsidR="00544815" w:rsidRPr="00C50A4F"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3B1" w14:textId="77777777" w:rsidTr="008919D7">
        <w:tc>
          <w:tcPr>
            <w:tcW w:w="9287" w:type="dxa"/>
          </w:tcPr>
          <w:p w14:paraId="7C3323B0" w14:textId="77777777" w:rsidR="00544815" w:rsidRPr="00C50A4F" w:rsidRDefault="00016F29" w:rsidP="008919D7">
            <w:pPr>
              <w:rPr>
                <w:b/>
                <w:szCs w:val="22"/>
                <w:lang w:val="en-GB"/>
              </w:rPr>
            </w:pPr>
            <w:r w:rsidRPr="00C50A4F">
              <w:rPr>
                <w:b/>
                <w:szCs w:val="22"/>
                <w:lang w:val="en-GB"/>
              </w:rPr>
              <w:t>12.</w:t>
            </w:r>
            <w:r w:rsidRPr="00C50A4F">
              <w:rPr>
                <w:b/>
                <w:szCs w:val="22"/>
                <w:lang w:val="en-GB"/>
              </w:rPr>
              <w:tab/>
              <w:t>MARKETING AUTHORISATION NUMBER(S)</w:t>
            </w:r>
          </w:p>
        </w:tc>
      </w:tr>
    </w:tbl>
    <w:p w14:paraId="7C3323B2" w14:textId="77777777" w:rsidR="00544815" w:rsidRPr="00C50A4F" w:rsidRDefault="00544815" w:rsidP="00544815">
      <w:pPr>
        <w:rPr>
          <w:szCs w:val="22"/>
          <w:lang w:val="en-GB"/>
        </w:rPr>
      </w:pPr>
    </w:p>
    <w:p w14:paraId="7C3323B3" w14:textId="77777777" w:rsidR="00544815" w:rsidRPr="00C50A4F" w:rsidRDefault="00016F29" w:rsidP="00544815">
      <w:pPr>
        <w:outlineLvl w:val="0"/>
        <w:rPr>
          <w:szCs w:val="22"/>
          <w:lang w:val="en-GB"/>
        </w:rPr>
      </w:pPr>
      <w:r w:rsidRPr="00C50A4F">
        <w:rPr>
          <w:szCs w:val="22"/>
          <w:lang w:val="en-GB"/>
        </w:rPr>
        <w:t>EU/1/98/067/001</w:t>
      </w:r>
    </w:p>
    <w:p w14:paraId="7C3323B4" w14:textId="77777777" w:rsidR="00544815" w:rsidRPr="00C50A4F" w:rsidRDefault="00544815" w:rsidP="00544815">
      <w:pPr>
        <w:rPr>
          <w:szCs w:val="22"/>
          <w:lang w:val="en-GB"/>
        </w:rPr>
      </w:pPr>
    </w:p>
    <w:p w14:paraId="7C3323B5" w14:textId="77777777" w:rsidR="00544815" w:rsidRPr="00C50A4F"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3B7" w14:textId="77777777" w:rsidTr="008919D7">
        <w:tc>
          <w:tcPr>
            <w:tcW w:w="9287" w:type="dxa"/>
          </w:tcPr>
          <w:p w14:paraId="7C3323B6" w14:textId="77777777" w:rsidR="00544815" w:rsidRPr="00C50A4F" w:rsidRDefault="00016F29" w:rsidP="008919D7">
            <w:pPr>
              <w:rPr>
                <w:b/>
                <w:szCs w:val="22"/>
                <w:lang w:val="en-GB"/>
              </w:rPr>
            </w:pPr>
            <w:r w:rsidRPr="00C50A4F">
              <w:rPr>
                <w:b/>
                <w:szCs w:val="22"/>
                <w:lang w:val="en-GB"/>
              </w:rPr>
              <w:t>13.</w:t>
            </w:r>
            <w:r w:rsidRPr="00C50A4F">
              <w:rPr>
                <w:b/>
                <w:szCs w:val="22"/>
                <w:lang w:val="en-GB"/>
              </w:rPr>
              <w:tab/>
              <w:t>BATCH NUMBER</w:t>
            </w:r>
          </w:p>
        </w:tc>
      </w:tr>
    </w:tbl>
    <w:p w14:paraId="7C3323B8" w14:textId="77777777" w:rsidR="00544815" w:rsidRPr="00C50A4F" w:rsidRDefault="00544815" w:rsidP="00544815">
      <w:pPr>
        <w:rPr>
          <w:szCs w:val="22"/>
          <w:lang w:val="en-GB"/>
        </w:rPr>
      </w:pPr>
    </w:p>
    <w:p w14:paraId="7C3323B9" w14:textId="77777777" w:rsidR="00544815" w:rsidRPr="00C50A4F" w:rsidRDefault="00016F29" w:rsidP="00544815">
      <w:pPr>
        <w:outlineLvl w:val="0"/>
        <w:rPr>
          <w:szCs w:val="22"/>
          <w:lang w:val="en-GB"/>
        </w:rPr>
      </w:pPr>
      <w:r w:rsidRPr="00C50A4F">
        <w:rPr>
          <w:szCs w:val="22"/>
          <w:lang w:val="en-GB"/>
        </w:rPr>
        <w:t>Batch</w:t>
      </w:r>
    </w:p>
    <w:p w14:paraId="7C3323BA" w14:textId="77777777" w:rsidR="00544815" w:rsidRPr="00C50A4F" w:rsidRDefault="00544815" w:rsidP="00544815">
      <w:pPr>
        <w:rPr>
          <w:szCs w:val="22"/>
          <w:lang w:val="en-GB"/>
        </w:rPr>
      </w:pPr>
    </w:p>
    <w:p w14:paraId="7C3323BB" w14:textId="77777777" w:rsidR="00544815" w:rsidRPr="00C50A4F"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3BD" w14:textId="77777777" w:rsidTr="008919D7">
        <w:tc>
          <w:tcPr>
            <w:tcW w:w="9287" w:type="dxa"/>
          </w:tcPr>
          <w:p w14:paraId="7C3323BC" w14:textId="77777777" w:rsidR="00544815" w:rsidRPr="00C50A4F" w:rsidRDefault="00016F29" w:rsidP="008919D7">
            <w:pPr>
              <w:rPr>
                <w:b/>
                <w:szCs w:val="22"/>
                <w:lang w:val="en-GB"/>
              </w:rPr>
            </w:pPr>
            <w:r w:rsidRPr="00C50A4F">
              <w:rPr>
                <w:b/>
                <w:szCs w:val="22"/>
                <w:lang w:val="en-GB"/>
              </w:rPr>
              <w:t>14.</w:t>
            </w:r>
            <w:r w:rsidRPr="00C50A4F">
              <w:rPr>
                <w:b/>
                <w:szCs w:val="22"/>
                <w:lang w:val="en-GB"/>
              </w:rPr>
              <w:tab/>
              <w:t>GENERAL CLASSIFICATION FOR SUPPLY</w:t>
            </w:r>
          </w:p>
        </w:tc>
      </w:tr>
    </w:tbl>
    <w:p w14:paraId="7C3323BE" w14:textId="77777777" w:rsidR="00544815" w:rsidRPr="00C50A4F" w:rsidRDefault="00544815" w:rsidP="00544815">
      <w:pPr>
        <w:rPr>
          <w:szCs w:val="22"/>
          <w:lang w:val="en-GB"/>
        </w:rPr>
      </w:pPr>
    </w:p>
    <w:p w14:paraId="7C3323BF" w14:textId="77777777" w:rsidR="00544815" w:rsidRPr="00C50A4F"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3C1" w14:textId="77777777" w:rsidTr="008919D7">
        <w:tc>
          <w:tcPr>
            <w:tcW w:w="9287" w:type="dxa"/>
          </w:tcPr>
          <w:p w14:paraId="7C3323C0" w14:textId="77777777" w:rsidR="00544815" w:rsidRPr="00C50A4F" w:rsidRDefault="00016F29" w:rsidP="008919D7">
            <w:pPr>
              <w:rPr>
                <w:b/>
                <w:szCs w:val="22"/>
                <w:lang w:val="en-GB"/>
              </w:rPr>
            </w:pPr>
            <w:r w:rsidRPr="00C50A4F">
              <w:rPr>
                <w:b/>
                <w:szCs w:val="22"/>
                <w:lang w:val="en-GB"/>
              </w:rPr>
              <w:t>15.</w:t>
            </w:r>
            <w:r w:rsidRPr="00C50A4F">
              <w:rPr>
                <w:b/>
                <w:szCs w:val="22"/>
                <w:lang w:val="en-GB"/>
              </w:rPr>
              <w:tab/>
              <w:t>INSTRUCTIONS ON USE</w:t>
            </w:r>
          </w:p>
        </w:tc>
      </w:tr>
    </w:tbl>
    <w:p w14:paraId="7C3323C2" w14:textId="77777777" w:rsidR="00544815" w:rsidRPr="00C50A4F" w:rsidRDefault="00544815" w:rsidP="00544815">
      <w:pPr>
        <w:rPr>
          <w:szCs w:val="22"/>
          <w:lang w:val="en-GB"/>
        </w:rPr>
      </w:pPr>
    </w:p>
    <w:p w14:paraId="7C3323C3" w14:textId="77777777" w:rsidR="00544815" w:rsidRPr="00C50A4F"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3C5" w14:textId="77777777" w:rsidTr="008919D7">
        <w:tc>
          <w:tcPr>
            <w:tcW w:w="9287" w:type="dxa"/>
          </w:tcPr>
          <w:p w14:paraId="7C3323C4" w14:textId="77777777" w:rsidR="00544815" w:rsidRPr="00C50A4F" w:rsidRDefault="00016F29" w:rsidP="008919D7">
            <w:pPr>
              <w:rPr>
                <w:b/>
                <w:szCs w:val="22"/>
                <w:lang w:val="en-GB"/>
              </w:rPr>
            </w:pPr>
            <w:r w:rsidRPr="00C50A4F">
              <w:rPr>
                <w:b/>
                <w:szCs w:val="22"/>
                <w:lang w:val="en-GB"/>
              </w:rPr>
              <w:t>16.</w:t>
            </w:r>
            <w:r w:rsidRPr="00C50A4F">
              <w:rPr>
                <w:b/>
                <w:szCs w:val="22"/>
                <w:lang w:val="en-GB"/>
              </w:rPr>
              <w:tab/>
              <w:t>INFORMATION IN BRAILLE</w:t>
            </w:r>
          </w:p>
        </w:tc>
      </w:tr>
    </w:tbl>
    <w:p w14:paraId="7C3323C6" w14:textId="77777777" w:rsidR="00544815" w:rsidRPr="00C50A4F" w:rsidRDefault="00544815" w:rsidP="00544815">
      <w:pPr>
        <w:rPr>
          <w:szCs w:val="22"/>
          <w:lang w:val="en-GB"/>
        </w:rPr>
      </w:pPr>
    </w:p>
    <w:p w14:paraId="7C3323C7" w14:textId="77777777" w:rsidR="00544815" w:rsidRPr="00C50A4F" w:rsidRDefault="00016F29" w:rsidP="00E435E6">
      <w:pPr>
        <w:outlineLvl w:val="0"/>
        <w:rPr>
          <w:szCs w:val="22"/>
          <w:lang w:val="en-GB"/>
        </w:rPr>
      </w:pPr>
      <w:r w:rsidRPr="00C50A4F">
        <w:rPr>
          <w:szCs w:val="22"/>
          <w:lang w:val="en-GB"/>
        </w:rPr>
        <w:t>Justification for not including Braille accepted</w:t>
      </w:r>
    </w:p>
    <w:p w14:paraId="7C3323C8" w14:textId="77777777" w:rsidR="00E435E6" w:rsidRDefault="00E435E6" w:rsidP="00E435E6">
      <w:pPr>
        <w:rPr>
          <w:noProof/>
          <w:szCs w:val="22"/>
          <w:shd w:val="clear" w:color="auto" w:fill="CCCCCC"/>
        </w:rPr>
      </w:pPr>
    </w:p>
    <w:p w14:paraId="7C3323C9" w14:textId="77777777" w:rsidR="00CE5D57" w:rsidRDefault="00CE5D57" w:rsidP="00E435E6">
      <w:pPr>
        <w:rPr>
          <w:noProof/>
          <w:szCs w:val="22"/>
          <w:shd w:val="clear" w:color="auto" w:fill="CCCCCC"/>
        </w:rPr>
      </w:pPr>
    </w:p>
    <w:p w14:paraId="7C3323CA" w14:textId="77777777" w:rsidR="00E435E6" w:rsidRPr="006651D5" w:rsidRDefault="00016F29" w:rsidP="00E435E6">
      <w:pPr>
        <w:pBdr>
          <w:top w:val="single" w:sz="4" w:space="1" w:color="auto"/>
          <w:left w:val="single" w:sz="4" w:space="4" w:color="auto"/>
          <w:bottom w:val="single" w:sz="4" w:space="0" w:color="auto"/>
          <w:right w:val="single" w:sz="4" w:space="4" w:color="auto"/>
        </w:pBdr>
        <w:rPr>
          <w:i/>
          <w:noProof/>
        </w:rPr>
      </w:pPr>
      <w:r w:rsidRPr="006651D5">
        <w:rPr>
          <w:b/>
          <w:noProof/>
        </w:rPr>
        <w:t>17.</w:t>
      </w:r>
      <w:r w:rsidRPr="006651D5">
        <w:rPr>
          <w:b/>
          <w:noProof/>
        </w:rPr>
        <w:tab/>
        <w:t>UNIQUE IDENTIFIER – 2D BARCODE</w:t>
      </w:r>
    </w:p>
    <w:p w14:paraId="7C3323CB" w14:textId="77777777" w:rsidR="00E435E6" w:rsidRPr="00E06A78" w:rsidRDefault="00E435E6" w:rsidP="00E435E6"/>
    <w:p w14:paraId="7C3323CC" w14:textId="77777777" w:rsidR="00E435E6" w:rsidRPr="00E06A78" w:rsidRDefault="00016F29" w:rsidP="00E435E6">
      <w:pPr>
        <w:rPr>
          <w:shd w:val="clear" w:color="auto" w:fill="CCCCCC"/>
        </w:rPr>
      </w:pPr>
      <w:r w:rsidRPr="00E06A78">
        <w:t>2D barcode carrying the unique identifier included.</w:t>
      </w:r>
    </w:p>
    <w:p w14:paraId="7C3323CD" w14:textId="77777777" w:rsidR="00E435E6" w:rsidRPr="00E06A78" w:rsidRDefault="00E435E6" w:rsidP="00E435E6">
      <w:pPr>
        <w:rPr>
          <w:shd w:val="clear" w:color="auto" w:fill="CCCCCC"/>
        </w:rPr>
      </w:pPr>
    </w:p>
    <w:p w14:paraId="7C3323CE" w14:textId="77777777" w:rsidR="00E435E6" w:rsidRPr="006651D5" w:rsidRDefault="00E435E6" w:rsidP="00E435E6">
      <w:pPr>
        <w:rPr>
          <w:noProof/>
        </w:rPr>
      </w:pPr>
    </w:p>
    <w:p w14:paraId="7C3323CF" w14:textId="77777777" w:rsidR="00E435E6" w:rsidRPr="008518AD" w:rsidRDefault="00016F29" w:rsidP="00E435E6">
      <w:pPr>
        <w:pBdr>
          <w:top w:val="single" w:sz="4" w:space="1" w:color="auto"/>
          <w:left w:val="single" w:sz="4" w:space="4" w:color="auto"/>
          <w:bottom w:val="single" w:sz="4" w:space="0" w:color="auto"/>
          <w:right w:val="single" w:sz="4" w:space="4" w:color="auto"/>
        </w:pBdr>
        <w:rPr>
          <w:i/>
          <w:noProof/>
        </w:rPr>
      </w:pPr>
      <w:r w:rsidRPr="008518AD">
        <w:rPr>
          <w:b/>
          <w:noProof/>
        </w:rPr>
        <w:t>18.</w:t>
      </w:r>
      <w:r w:rsidRPr="008518AD">
        <w:rPr>
          <w:b/>
          <w:noProof/>
        </w:rPr>
        <w:tab/>
        <w:t xml:space="preserve">UNIQUE IDENTIFIER </w:t>
      </w:r>
      <w:r w:rsidR="000A6DDA" w:rsidRPr="008518AD">
        <w:rPr>
          <w:b/>
          <w:noProof/>
        </w:rPr>
        <w:noBreakHyphen/>
      </w:r>
      <w:r w:rsidR="000A6DDA" w:rsidRPr="008518AD">
        <w:rPr>
          <w:b/>
          <w:noProof/>
        </w:rPr>
        <w:noBreakHyphen/>
      </w:r>
      <w:r w:rsidRPr="008518AD">
        <w:rPr>
          <w:b/>
          <w:noProof/>
        </w:rPr>
        <w:t xml:space="preserve"> HUMAN READABLE DATA</w:t>
      </w:r>
    </w:p>
    <w:p w14:paraId="7C3323D0" w14:textId="77777777" w:rsidR="00E435E6" w:rsidRPr="001F63EB" w:rsidRDefault="00E435E6" w:rsidP="00E435E6">
      <w:pPr>
        <w:rPr>
          <w:noProof/>
        </w:rPr>
      </w:pPr>
    </w:p>
    <w:p w14:paraId="7C3323D1" w14:textId="77777777" w:rsidR="00E435E6" w:rsidRPr="005E4C1A" w:rsidRDefault="00016F29" w:rsidP="00E435E6">
      <w:pPr>
        <w:rPr>
          <w:szCs w:val="22"/>
        </w:rPr>
      </w:pPr>
      <w:r w:rsidRPr="005E4C1A">
        <w:rPr>
          <w:szCs w:val="22"/>
        </w:rPr>
        <w:t xml:space="preserve">PC </w:t>
      </w:r>
    </w:p>
    <w:p w14:paraId="7C3323D2" w14:textId="77777777" w:rsidR="00E435E6" w:rsidRPr="00A3054B" w:rsidRDefault="00016F29" w:rsidP="00E435E6">
      <w:pPr>
        <w:rPr>
          <w:szCs w:val="22"/>
        </w:rPr>
      </w:pPr>
      <w:r w:rsidRPr="00A3054B">
        <w:rPr>
          <w:szCs w:val="22"/>
        </w:rPr>
        <w:t xml:space="preserve">SN </w:t>
      </w:r>
    </w:p>
    <w:p w14:paraId="7C3323D3" w14:textId="77777777" w:rsidR="00E435E6" w:rsidRPr="00C937E7" w:rsidRDefault="00016F29" w:rsidP="00E435E6">
      <w:pPr>
        <w:rPr>
          <w:szCs w:val="22"/>
        </w:rPr>
      </w:pPr>
      <w:r w:rsidRPr="00CA2C05">
        <w:rPr>
          <w:szCs w:val="22"/>
        </w:rPr>
        <w:t>NN</w:t>
      </w:r>
      <w:r w:rsidRPr="00C51DEE">
        <w:rPr>
          <w:szCs w:val="22"/>
        </w:rPr>
        <w:t xml:space="preserve"> </w:t>
      </w:r>
    </w:p>
    <w:p w14:paraId="7C3323D4" w14:textId="77777777" w:rsidR="00943DED" w:rsidRPr="00C937E7" w:rsidRDefault="00943DED" w:rsidP="00E435E6">
      <w:pPr>
        <w:rPr>
          <w:szCs w:val="22"/>
        </w:rPr>
      </w:pPr>
    </w:p>
    <w:p w14:paraId="7C3323D5" w14:textId="77777777" w:rsidR="00544815" w:rsidRPr="00C50A4F" w:rsidRDefault="00016F29" w:rsidP="00544815">
      <w:pPr>
        <w:rPr>
          <w:szCs w:val="22"/>
          <w:lang w:val="en-GB"/>
        </w:rPr>
      </w:pPr>
      <w:r w:rsidRPr="00C50A4F">
        <w:rPr>
          <w:szCs w:val="22"/>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3D9" w14:textId="77777777" w:rsidTr="008919D7">
        <w:trPr>
          <w:trHeight w:val="744"/>
        </w:trPr>
        <w:tc>
          <w:tcPr>
            <w:tcW w:w="9287" w:type="dxa"/>
            <w:tcBorders>
              <w:bottom w:val="single" w:sz="4" w:space="0" w:color="auto"/>
            </w:tcBorders>
          </w:tcPr>
          <w:p w14:paraId="7C3323D6" w14:textId="77777777" w:rsidR="00544815" w:rsidRPr="00C50A4F" w:rsidRDefault="00016F29" w:rsidP="008919D7">
            <w:pPr>
              <w:rPr>
                <w:b/>
                <w:szCs w:val="22"/>
                <w:lang w:val="en-GB"/>
              </w:rPr>
            </w:pPr>
            <w:r w:rsidRPr="00C50A4F">
              <w:rPr>
                <w:b/>
                <w:szCs w:val="22"/>
                <w:lang w:val="en-GB"/>
              </w:rPr>
              <w:t>MINIMUM PARTICULARS TO APPEAR ON SMALL IMMEDIATE PACKAGING UNITS</w:t>
            </w:r>
          </w:p>
          <w:p w14:paraId="7C3323D7" w14:textId="77777777" w:rsidR="00544815" w:rsidRPr="00C50A4F" w:rsidRDefault="00544815" w:rsidP="008919D7">
            <w:pPr>
              <w:rPr>
                <w:b/>
                <w:szCs w:val="22"/>
                <w:lang w:val="en-GB"/>
              </w:rPr>
            </w:pPr>
          </w:p>
          <w:p w14:paraId="7C3323D8" w14:textId="77777777" w:rsidR="00544815" w:rsidRPr="00C50A4F" w:rsidRDefault="00016F29" w:rsidP="008919D7">
            <w:pPr>
              <w:rPr>
                <w:b/>
                <w:bCs/>
                <w:szCs w:val="22"/>
                <w:lang w:val="en-GB"/>
              </w:rPr>
            </w:pPr>
            <w:r w:rsidRPr="00C50A4F">
              <w:rPr>
                <w:b/>
                <w:bCs/>
                <w:szCs w:val="22"/>
                <w:lang w:val="en-GB"/>
              </w:rPr>
              <w:t>VIAL LABEL</w:t>
            </w:r>
          </w:p>
        </w:tc>
      </w:tr>
    </w:tbl>
    <w:p w14:paraId="7C3323DA" w14:textId="77777777" w:rsidR="00544815" w:rsidRPr="00C50A4F" w:rsidRDefault="00544815" w:rsidP="00544815">
      <w:pPr>
        <w:rPr>
          <w:szCs w:val="22"/>
          <w:lang w:val="en-GB"/>
        </w:rPr>
      </w:pPr>
    </w:p>
    <w:p w14:paraId="7C3323DB" w14:textId="77777777" w:rsidR="00544815" w:rsidRPr="00C50A4F"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3DD" w14:textId="77777777" w:rsidTr="008919D7">
        <w:tc>
          <w:tcPr>
            <w:tcW w:w="9287" w:type="dxa"/>
          </w:tcPr>
          <w:p w14:paraId="7C3323DC" w14:textId="77777777" w:rsidR="00544815" w:rsidRPr="00C50A4F" w:rsidRDefault="00016F29" w:rsidP="008919D7">
            <w:pPr>
              <w:rPr>
                <w:b/>
                <w:szCs w:val="22"/>
                <w:lang w:val="en-GB"/>
              </w:rPr>
            </w:pPr>
            <w:r w:rsidRPr="00C50A4F">
              <w:rPr>
                <w:b/>
                <w:szCs w:val="22"/>
                <w:lang w:val="en-GB"/>
              </w:rPr>
              <w:t>1.</w:t>
            </w:r>
            <w:r w:rsidRPr="00C50A4F">
              <w:rPr>
                <w:b/>
                <w:szCs w:val="22"/>
                <w:lang w:val="en-GB"/>
              </w:rPr>
              <w:tab/>
              <w:t>NAME OF THE MEDICINAL PRODUCT AND ROUTE(S) OF ADMINISTRATION</w:t>
            </w:r>
          </w:p>
        </w:tc>
      </w:tr>
    </w:tbl>
    <w:p w14:paraId="7C3323DE" w14:textId="77777777" w:rsidR="00544815" w:rsidRPr="00C50A4F" w:rsidRDefault="00544815" w:rsidP="00544815">
      <w:pPr>
        <w:rPr>
          <w:szCs w:val="22"/>
          <w:lang w:val="en-GB"/>
        </w:rPr>
      </w:pPr>
    </w:p>
    <w:p w14:paraId="7C3323DF" w14:textId="77777777" w:rsidR="00544815" w:rsidRPr="00C50A4F" w:rsidRDefault="00016F29" w:rsidP="00544815">
      <w:pPr>
        <w:outlineLvl w:val="0"/>
        <w:rPr>
          <w:szCs w:val="22"/>
          <w:lang w:val="en-GB"/>
        </w:rPr>
      </w:pPr>
      <w:r w:rsidRPr="00C50A4F">
        <w:rPr>
          <w:szCs w:val="22"/>
          <w:lang w:val="en-GB"/>
        </w:rPr>
        <w:t>MabThera 100 mg concentrate for solution for infusion</w:t>
      </w:r>
    </w:p>
    <w:p w14:paraId="7C3323E0" w14:textId="77777777" w:rsidR="00544815" w:rsidRPr="00C50A4F" w:rsidRDefault="00544815" w:rsidP="00544815">
      <w:pPr>
        <w:rPr>
          <w:szCs w:val="22"/>
          <w:lang w:val="en-GB"/>
        </w:rPr>
      </w:pPr>
    </w:p>
    <w:p w14:paraId="7C3323E1" w14:textId="77777777" w:rsidR="00544815" w:rsidRPr="00153E10" w:rsidRDefault="00016F29" w:rsidP="00544815">
      <w:pPr>
        <w:outlineLvl w:val="0"/>
        <w:rPr>
          <w:szCs w:val="22"/>
          <w:lang w:val="en-GB"/>
        </w:rPr>
      </w:pPr>
      <w:r w:rsidRPr="00153E10">
        <w:rPr>
          <w:szCs w:val="22"/>
          <w:lang w:val="en-GB"/>
        </w:rPr>
        <w:t>r</w:t>
      </w:r>
      <w:r w:rsidR="007830E0" w:rsidRPr="00153E10">
        <w:rPr>
          <w:szCs w:val="22"/>
          <w:lang w:val="en-GB"/>
        </w:rPr>
        <w:t>ituximab</w:t>
      </w:r>
    </w:p>
    <w:p w14:paraId="7C3323E2" w14:textId="77777777" w:rsidR="00544815" w:rsidRPr="00C50A4F" w:rsidRDefault="00544815" w:rsidP="00544815">
      <w:pPr>
        <w:outlineLvl w:val="0"/>
        <w:rPr>
          <w:szCs w:val="22"/>
          <w:lang w:val="en-GB"/>
        </w:rPr>
      </w:pPr>
    </w:p>
    <w:p w14:paraId="7C3323E3" w14:textId="77777777" w:rsidR="00544815" w:rsidRPr="00C50A4F" w:rsidRDefault="00016F29" w:rsidP="00544815">
      <w:pPr>
        <w:outlineLvl w:val="0"/>
        <w:rPr>
          <w:szCs w:val="22"/>
          <w:lang w:val="en-GB"/>
        </w:rPr>
      </w:pPr>
      <w:r w:rsidRPr="00C50A4F">
        <w:rPr>
          <w:szCs w:val="22"/>
          <w:lang w:val="en-GB"/>
        </w:rPr>
        <w:t>IV</w:t>
      </w:r>
    </w:p>
    <w:p w14:paraId="7C3323E4" w14:textId="77777777" w:rsidR="00544815" w:rsidRPr="00C50A4F" w:rsidRDefault="00544815" w:rsidP="00544815">
      <w:pPr>
        <w:rPr>
          <w:szCs w:val="22"/>
          <w:lang w:val="en-GB"/>
        </w:rPr>
      </w:pPr>
    </w:p>
    <w:p w14:paraId="7C3323E5" w14:textId="77777777" w:rsidR="00544815" w:rsidRPr="00C50A4F"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3E7" w14:textId="77777777" w:rsidTr="008919D7">
        <w:tc>
          <w:tcPr>
            <w:tcW w:w="9287" w:type="dxa"/>
          </w:tcPr>
          <w:p w14:paraId="7C3323E6" w14:textId="77777777" w:rsidR="00544815" w:rsidRPr="00C50A4F" w:rsidRDefault="00016F29" w:rsidP="008919D7">
            <w:pPr>
              <w:rPr>
                <w:b/>
                <w:szCs w:val="22"/>
                <w:lang w:val="en-GB"/>
              </w:rPr>
            </w:pPr>
            <w:r w:rsidRPr="00C50A4F">
              <w:rPr>
                <w:b/>
                <w:szCs w:val="22"/>
                <w:lang w:val="en-GB"/>
              </w:rPr>
              <w:t>2.</w:t>
            </w:r>
            <w:r w:rsidRPr="00C50A4F">
              <w:rPr>
                <w:b/>
                <w:szCs w:val="22"/>
                <w:lang w:val="en-GB"/>
              </w:rPr>
              <w:tab/>
              <w:t>METHOD OF ADMINISTRATION</w:t>
            </w:r>
          </w:p>
        </w:tc>
      </w:tr>
    </w:tbl>
    <w:p w14:paraId="7C3323E8" w14:textId="77777777" w:rsidR="00544815" w:rsidRPr="00C50A4F" w:rsidRDefault="00544815" w:rsidP="00544815">
      <w:pPr>
        <w:rPr>
          <w:szCs w:val="22"/>
          <w:lang w:val="en-GB"/>
        </w:rPr>
      </w:pPr>
    </w:p>
    <w:p w14:paraId="7C3323E9" w14:textId="77777777" w:rsidR="00544815" w:rsidRPr="00C50A4F" w:rsidRDefault="00016F29" w:rsidP="00544815">
      <w:pPr>
        <w:outlineLvl w:val="0"/>
        <w:rPr>
          <w:szCs w:val="22"/>
          <w:lang w:val="en-GB"/>
        </w:rPr>
      </w:pPr>
      <w:r w:rsidRPr="00C50A4F">
        <w:rPr>
          <w:szCs w:val="22"/>
          <w:lang w:val="en-GB"/>
        </w:rPr>
        <w:t>For intravenous use after dilution</w:t>
      </w:r>
    </w:p>
    <w:p w14:paraId="7C3323EA" w14:textId="77777777" w:rsidR="00544815" w:rsidRPr="00C50A4F" w:rsidRDefault="00544815" w:rsidP="00544815">
      <w:pPr>
        <w:rPr>
          <w:szCs w:val="22"/>
          <w:lang w:val="en-GB"/>
        </w:rPr>
      </w:pPr>
    </w:p>
    <w:p w14:paraId="7C3323EB" w14:textId="77777777" w:rsidR="00544815" w:rsidRPr="00C50A4F"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3ED" w14:textId="77777777" w:rsidTr="008919D7">
        <w:tc>
          <w:tcPr>
            <w:tcW w:w="9287" w:type="dxa"/>
          </w:tcPr>
          <w:p w14:paraId="7C3323EC" w14:textId="77777777" w:rsidR="00544815" w:rsidRPr="00C50A4F" w:rsidRDefault="00016F29" w:rsidP="008919D7">
            <w:pPr>
              <w:rPr>
                <w:b/>
                <w:szCs w:val="22"/>
                <w:lang w:val="en-GB"/>
              </w:rPr>
            </w:pPr>
            <w:r w:rsidRPr="00C50A4F">
              <w:rPr>
                <w:b/>
                <w:szCs w:val="22"/>
                <w:lang w:val="en-GB"/>
              </w:rPr>
              <w:t>3.</w:t>
            </w:r>
            <w:r w:rsidRPr="00C50A4F">
              <w:rPr>
                <w:b/>
                <w:szCs w:val="22"/>
                <w:lang w:val="en-GB"/>
              </w:rPr>
              <w:tab/>
              <w:t>EXPIRY DATE</w:t>
            </w:r>
          </w:p>
        </w:tc>
      </w:tr>
    </w:tbl>
    <w:p w14:paraId="7C3323EE" w14:textId="77777777" w:rsidR="00544815" w:rsidRPr="00C50A4F" w:rsidRDefault="00544815" w:rsidP="00544815">
      <w:pPr>
        <w:rPr>
          <w:szCs w:val="22"/>
          <w:lang w:val="en-GB"/>
        </w:rPr>
      </w:pPr>
    </w:p>
    <w:p w14:paraId="7C3323EF" w14:textId="77777777" w:rsidR="00544815" w:rsidRPr="00C50A4F" w:rsidRDefault="00016F29" w:rsidP="00544815">
      <w:pPr>
        <w:outlineLvl w:val="0"/>
        <w:rPr>
          <w:szCs w:val="22"/>
          <w:lang w:val="en-GB"/>
        </w:rPr>
      </w:pPr>
      <w:r w:rsidRPr="00C50A4F">
        <w:rPr>
          <w:szCs w:val="22"/>
          <w:lang w:val="en-GB"/>
        </w:rPr>
        <w:t>EXP</w:t>
      </w:r>
    </w:p>
    <w:p w14:paraId="7C3323F0" w14:textId="77777777" w:rsidR="00544815" w:rsidRPr="00C50A4F" w:rsidRDefault="00544815" w:rsidP="00544815">
      <w:pPr>
        <w:rPr>
          <w:szCs w:val="22"/>
          <w:lang w:val="en-GB"/>
        </w:rPr>
      </w:pPr>
    </w:p>
    <w:p w14:paraId="7C3323F1" w14:textId="77777777" w:rsidR="00544815" w:rsidRPr="00C50A4F"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3F3" w14:textId="77777777" w:rsidTr="008919D7">
        <w:tc>
          <w:tcPr>
            <w:tcW w:w="9287" w:type="dxa"/>
          </w:tcPr>
          <w:p w14:paraId="7C3323F2" w14:textId="77777777" w:rsidR="00544815" w:rsidRPr="00C50A4F" w:rsidRDefault="00016F29" w:rsidP="008919D7">
            <w:pPr>
              <w:rPr>
                <w:b/>
                <w:szCs w:val="22"/>
                <w:lang w:val="en-GB"/>
              </w:rPr>
            </w:pPr>
            <w:r w:rsidRPr="00C50A4F">
              <w:rPr>
                <w:b/>
                <w:szCs w:val="22"/>
                <w:lang w:val="en-GB"/>
              </w:rPr>
              <w:t>4.</w:t>
            </w:r>
            <w:r w:rsidRPr="00C50A4F">
              <w:rPr>
                <w:b/>
                <w:szCs w:val="22"/>
                <w:lang w:val="en-GB"/>
              </w:rPr>
              <w:tab/>
              <w:t>BATCH NUMBER</w:t>
            </w:r>
          </w:p>
        </w:tc>
      </w:tr>
    </w:tbl>
    <w:p w14:paraId="7C3323F4" w14:textId="77777777" w:rsidR="00544815" w:rsidRPr="00C50A4F" w:rsidRDefault="00544815" w:rsidP="00544815">
      <w:pPr>
        <w:rPr>
          <w:szCs w:val="22"/>
          <w:lang w:val="en-GB"/>
        </w:rPr>
      </w:pPr>
    </w:p>
    <w:p w14:paraId="7C3323F5" w14:textId="77777777" w:rsidR="00544815" w:rsidRPr="00C50A4F" w:rsidRDefault="00016F29" w:rsidP="00544815">
      <w:pPr>
        <w:rPr>
          <w:szCs w:val="22"/>
          <w:lang w:val="en-GB"/>
        </w:rPr>
      </w:pPr>
      <w:smartTag w:uri="urn:schemas-microsoft-com:office:smarttags" w:element="place">
        <w:r w:rsidRPr="00C50A4F">
          <w:rPr>
            <w:szCs w:val="22"/>
            <w:lang w:val="en-GB"/>
          </w:rPr>
          <w:t>Lot</w:t>
        </w:r>
      </w:smartTag>
    </w:p>
    <w:p w14:paraId="7C3323F6" w14:textId="77777777" w:rsidR="00544815" w:rsidRPr="00C50A4F" w:rsidRDefault="00544815" w:rsidP="00544815">
      <w:pPr>
        <w:rPr>
          <w:szCs w:val="22"/>
          <w:lang w:val="en-GB"/>
        </w:rPr>
      </w:pPr>
    </w:p>
    <w:p w14:paraId="7C3323F7" w14:textId="77777777" w:rsidR="00544815" w:rsidRPr="00C50A4F"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3F9" w14:textId="77777777" w:rsidTr="008919D7">
        <w:tc>
          <w:tcPr>
            <w:tcW w:w="9287" w:type="dxa"/>
          </w:tcPr>
          <w:p w14:paraId="7C3323F8" w14:textId="77777777" w:rsidR="00544815" w:rsidRPr="00C50A4F" w:rsidRDefault="00016F29" w:rsidP="008919D7">
            <w:pPr>
              <w:rPr>
                <w:b/>
                <w:szCs w:val="22"/>
                <w:lang w:val="en-GB"/>
              </w:rPr>
            </w:pPr>
            <w:r w:rsidRPr="00C50A4F">
              <w:rPr>
                <w:b/>
                <w:szCs w:val="22"/>
                <w:lang w:val="en-GB"/>
              </w:rPr>
              <w:t>5.</w:t>
            </w:r>
            <w:r w:rsidRPr="00C50A4F">
              <w:rPr>
                <w:b/>
                <w:szCs w:val="22"/>
                <w:lang w:val="en-GB"/>
              </w:rPr>
              <w:tab/>
              <w:t>CONTENTS BY WEIGHT, BY VOLUME OR BY UNIT</w:t>
            </w:r>
          </w:p>
        </w:tc>
      </w:tr>
    </w:tbl>
    <w:p w14:paraId="7C3323FA" w14:textId="77777777" w:rsidR="00544815" w:rsidRPr="00C50A4F" w:rsidRDefault="00544815" w:rsidP="00544815">
      <w:pPr>
        <w:rPr>
          <w:szCs w:val="22"/>
          <w:lang w:val="en-GB"/>
        </w:rPr>
      </w:pPr>
    </w:p>
    <w:p w14:paraId="7C3323FB" w14:textId="77777777" w:rsidR="00544815" w:rsidRPr="00C50A4F" w:rsidRDefault="00016F29" w:rsidP="00544815">
      <w:pPr>
        <w:outlineLvl w:val="0"/>
        <w:rPr>
          <w:szCs w:val="22"/>
          <w:lang w:val="en-GB"/>
        </w:rPr>
      </w:pPr>
      <w:r w:rsidRPr="00C50A4F">
        <w:rPr>
          <w:szCs w:val="22"/>
          <w:lang w:val="en-GB"/>
        </w:rPr>
        <w:t>Vial of 10 m</w:t>
      </w:r>
      <w:r>
        <w:rPr>
          <w:szCs w:val="22"/>
          <w:lang w:val="en-GB"/>
        </w:rPr>
        <w:t>L</w:t>
      </w:r>
      <w:r w:rsidRPr="00C50A4F">
        <w:rPr>
          <w:szCs w:val="22"/>
          <w:lang w:val="en-GB"/>
        </w:rPr>
        <w:t xml:space="preserve"> (10 mg/m</w:t>
      </w:r>
      <w:r>
        <w:rPr>
          <w:szCs w:val="22"/>
          <w:lang w:val="en-GB"/>
        </w:rPr>
        <w:t>L</w:t>
      </w:r>
      <w:r w:rsidRPr="00C50A4F">
        <w:rPr>
          <w:szCs w:val="22"/>
          <w:lang w:val="en-GB"/>
        </w:rPr>
        <w:t>)</w:t>
      </w:r>
    </w:p>
    <w:p w14:paraId="7C3323FC" w14:textId="77777777" w:rsidR="00544815" w:rsidRPr="00C50A4F" w:rsidRDefault="00016F29" w:rsidP="00544815">
      <w:pPr>
        <w:rPr>
          <w:szCs w:val="22"/>
          <w:lang w:val="en-GB"/>
        </w:rPr>
      </w:pPr>
      <w:r w:rsidRPr="00C50A4F">
        <w:rPr>
          <w:szCs w:val="22"/>
          <w:lang w:val="en-GB"/>
        </w:rPr>
        <w:t>100 mg / 10 m</w:t>
      </w:r>
      <w:r>
        <w:rPr>
          <w:szCs w:val="22"/>
          <w:lang w:val="en-GB"/>
        </w:rPr>
        <w:t>L</w:t>
      </w:r>
    </w:p>
    <w:p w14:paraId="7C3323FD" w14:textId="77777777" w:rsidR="00544815" w:rsidRPr="00C50A4F" w:rsidRDefault="00544815" w:rsidP="00544815">
      <w:pPr>
        <w:rPr>
          <w:szCs w:val="22"/>
          <w:lang w:val="en-GB"/>
        </w:rPr>
      </w:pPr>
    </w:p>
    <w:p w14:paraId="7C3323FE" w14:textId="77777777" w:rsidR="00544815" w:rsidRPr="00C50A4F"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400" w14:textId="77777777" w:rsidTr="008919D7">
        <w:tc>
          <w:tcPr>
            <w:tcW w:w="9287" w:type="dxa"/>
          </w:tcPr>
          <w:p w14:paraId="7C3323FF" w14:textId="77777777" w:rsidR="00544815" w:rsidRPr="00C50A4F" w:rsidRDefault="00016F29" w:rsidP="008919D7">
            <w:pPr>
              <w:rPr>
                <w:b/>
                <w:szCs w:val="22"/>
                <w:lang w:val="en-GB"/>
              </w:rPr>
            </w:pPr>
            <w:r w:rsidRPr="00C50A4F">
              <w:rPr>
                <w:b/>
                <w:szCs w:val="22"/>
                <w:lang w:val="en-GB"/>
              </w:rPr>
              <w:t>6.</w:t>
            </w:r>
            <w:r w:rsidRPr="00C50A4F">
              <w:rPr>
                <w:b/>
                <w:szCs w:val="22"/>
                <w:lang w:val="en-GB"/>
              </w:rPr>
              <w:tab/>
              <w:t>OTHER</w:t>
            </w:r>
          </w:p>
        </w:tc>
      </w:tr>
    </w:tbl>
    <w:p w14:paraId="7C332401" w14:textId="77777777" w:rsidR="00544815" w:rsidRPr="00C50A4F" w:rsidRDefault="00544815" w:rsidP="00544815">
      <w:pPr>
        <w:rPr>
          <w:szCs w:val="22"/>
          <w:lang w:val="en-GB"/>
        </w:rPr>
      </w:pPr>
    </w:p>
    <w:p w14:paraId="7C332402" w14:textId="77777777" w:rsidR="00544815" w:rsidRPr="00C50A4F" w:rsidRDefault="00016F29" w:rsidP="00544815">
      <w:pPr>
        <w:rPr>
          <w:szCs w:val="22"/>
          <w:lang w:val="en-GB"/>
        </w:rPr>
      </w:pPr>
      <w:r w:rsidRPr="00C50A4F">
        <w:rPr>
          <w:szCs w:val="22"/>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406" w14:textId="77777777" w:rsidTr="008919D7">
        <w:trPr>
          <w:trHeight w:val="744"/>
        </w:trPr>
        <w:tc>
          <w:tcPr>
            <w:tcW w:w="9287" w:type="dxa"/>
            <w:tcBorders>
              <w:bottom w:val="single" w:sz="4" w:space="0" w:color="auto"/>
            </w:tcBorders>
          </w:tcPr>
          <w:p w14:paraId="7C332403" w14:textId="77777777" w:rsidR="00544815" w:rsidRPr="00C50A4F" w:rsidRDefault="00016F29" w:rsidP="008919D7">
            <w:pPr>
              <w:rPr>
                <w:b/>
                <w:szCs w:val="22"/>
                <w:lang w:val="en-GB"/>
              </w:rPr>
            </w:pPr>
            <w:r w:rsidRPr="00C50A4F">
              <w:rPr>
                <w:b/>
                <w:szCs w:val="22"/>
                <w:lang w:val="en-GB"/>
              </w:rPr>
              <w:t xml:space="preserve">PARTICULARS TO APPEAR ON THE OUTER PACKAGING </w:t>
            </w:r>
          </w:p>
          <w:p w14:paraId="7C332404" w14:textId="77777777" w:rsidR="00544815" w:rsidRPr="00C50A4F" w:rsidRDefault="00544815" w:rsidP="008919D7">
            <w:pPr>
              <w:rPr>
                <w:b/>
                <w:szCs w:val="22"/>
                <w:lang w:val="en-GB"/>
              </w:rPr>
            </w:pPr>
          </w:p>
          <w:p w14:paraId="7C332405" w14:textId="77777777" w:rsidR="00544815" w:rsidRPr="00C50A4F" w:rsidRDefault="00016F29" w:rsidP="008919D7">
            <w:pPr>
              <w:rPr>
                <w:b/>
                <w:szCs w:val="22"/>
                <w:lang w:val="en-GB"/>
              </w:rPr>
            </w:pPr>
            <w:r w:rsidRPr="00C50A4F">
              <w:rPr>
                <w:b/>
                <w:szCs w:val="22"/>
                <w:lang w:val="en-GB"/>
              </w:rPr>
              <w:t>OUTER CARTON</w:t>
            </w:r>
          </w:p>
        </w:tc>
      </w:tr>
    </w:tbl>
    <w:p w14:paraId="7C332407" w14:textId="77777777" w:rsidR="00544815" w:rsidRPr="00C50A4F" w:rsidRDefault="00544815" w:rsidP="00544815">
      <w:pPr>
        <w:rPr>
          <w:szCs w:val="22"/>
          <w:lang w:val="en-GB"/>
        </w:rPr>
      </w:pPr>
    </w:p>
    <w:p w14:paraId="7C332408" w14:textId="77777777" w:rsidR="00544815" w:rsidRPr="00C50A4F"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40A" w14:textId="77777777" w:rsidTr="008919D7">
        <w:tc>
          <w:tcPr>
            <w:tcW w:w="9287" w:type="dxa"/>
          </w:tcPr>
          <w:p w14:paraId="7C332409" w14:textId="77777777" w:rsidR="00544815" w:rsidRPr="00C50A4F" w:rsidRDefault="00016F29" w:rsidP="008919D7">
            <w:pPr>
              <w:rPr>
                <w:b/>
                <w:szCs w:val="22"/>
                <w:lang w:val="en-GB"/>
              </w:rPr>
            </w:pPr>
            <w:r w:rsidRPr="00C50A4F">
              <w:rPr>
                <w:b/>
                <w:szCs w:val="22"/>
                <w:lang w:val="en-GB"/>
              </w:rPr>
              <w:t>1.</w:t>
            </w:r>
            <w:r w:rsidRPr="00C50A4F">
              <w:rPr>
                <w:b/>
                <w:szCs w:val="22"/>
                <w:lang w:val="en-GB"/>
              </w:rPr>
              <w:tab/>
              <w:t>NAME OF THE MEDICINAL PRODUCT</w:t>
            </w:r>
          </w:p>
        </w:tc>
      </w:tr>
    </w:tbl>
    <w:p w14:paraId="7C33240B" w14:textId="77777777" w:rsidR="00544815" w:rsidRPr="00C50A4F" w:rsidRDefault="00544815" w:rsidP="00544815">
      <w:pPr>
        <w:rPr>
          <w:szCs w:val="22"/>
          <w:lang w:val="en-GB"/>
        </w:rPr>
      </w:pPr>
    </w:p>
    <w:p w14:paraId="7C33240C" w14:textId="77777777" w:rsidR="00544815" w:rsidRPr="00C50A4F" w:rsidRDefault="00016F29" w:rsidP="00544815">
      <w:pPr>
        <w:outlineLvl w:val="0"/>
        <w:rPr>
          <w:szCs w:val="22"/>
          <w:lang w:val="en-GB"/>
        </w:rPr>
      </w:pPr>
      <w:r w:rsidRPr="00C50A4F">
        <w:rPr>
          <w:szCs w:val="22"/>
          <w:lang w:val="en-GB"/>
        </w:rPr>
        <w:t>MabThera 500 mg concentrate for solution for infusion</w:t>
      </w:r>
    </w:p>
    <w:p w14:paraId="7C33240D" w14:textId="77777777" w:rsidR="00544815" w:rsidRPr="00C50A4F" w:rsidRDefault="00544815" w:rsidP="00544815">
      <w:pPr>
        <w:rPr>
          <w:szCs w:val="22"/>
          <w:lang w:val="en-GB"/>
        </w:rPr>
      </w:pPr>
    </w:p>
    <w:p w14:paraId="7C33240E" w14:textId="77777777" w:rsidR="00544815" w:rsidRPr="00153E10" w:rsidRDefault="00016F29" w:rsidP="00544815">
      <w:pPr>
        <w:outlineLvl w:val="0"/>
        <w:rPr>
          <w:szCs w:val="22"/>
          <w:lang w:val="en-GB"/>
        </w:rPr>
      </w:pPr>
      <w:r w:rsidRPr="00153E10">
        <w:rPr>
          <w:szCs w:val="22"/>
          <w:lang w:val="en-GB"/>
        </w:rPr>
        <w:t>r</w:t>
      </w:r>
      <w:r w:rsidR="007830E0" w:rsidRPr="00153E10">
        <w:rPr>
          <w:szCs w:val="22"/>
          <w:lang w:val="en-GB"/>
        </w:rPr>
        <w:t>ituximab</w:t>
      </w:r>
    </w:p>
    <w:p w14:paraId="7C33240F" w14:textId="77777777" w:rsidR="00544815" w:rsidRPr="00C50A4F" w:rsidRDefault="00544815" w:rsidP="00544815">
      <w:pPr>
        <w:outlineLvl w:val="0"/>
        <w:rPr>
          <w:szCs w:val="22"/>
          <w:lang w:val="en-GB"/>
        </w:rPr>
      </w:pPr>
    </w:p>
    <w:p w14:paraId="7C332410" w14:textId="77777777" w:rsidR="00544815" w:rsidRPr="00C50A4F"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412" w14:textId="77777777" w:rsidTr="008919D7">
        <w:tc>
          <w:tcPr>
            <w:tcW w:w="9287" w:type="dxa"/>
          </w:tcPr>
          <w:p w14:paraId="7C332411" w14:textId="77777777" w:rsidR="00544815" w:rsidRPr="00C50A4F" w:rsidRDefault="00016F29" w:rsidP="008919D7">
            <w:pPr>
              <w:rPr>
                <w:b/>
                <w:szCs w:val="22"/>
                <w:lang w:val="en-GB"/>
              </w:rPr>
            </w:pPr>
            <w:r w:rsidRPr="00C50A4F">
              <w:rPr>
                <w:b/>
                <w:szCs w:val="22"/>
                <w:lang w:val="en-GB"/>
              </w:rPr>
              <w:t>2.</w:t>
            </w:r>
            <w:r w:rsidRPr="00C50A4F">
              <w:rPr>
                <w:b/>
                <w:szCs w:val="22"/>
                <w:lang w:val="en-GB"/>
              </w:rPr>
              <w:tab/>
              <w:t>STATEMENT OF ACTIVE SUBSTANCE(S)</w:t>
            </w:r>
          </w:p>
        </w:tc>
      </w:tr>
    </w:tbl>
    <w:p w14:paraId="7C332413" w14:textId="77777777" w:rsidR="00544815" w:rsidRPr="00C50A4F" w:rsidRDefault="00544815" w:rsidP="00544815">
      <w:pPr>
        <w:rPr>
          <w:szCs w:val="22"/>
          <w:lang w:val="en-GB"/>
        </w:rPr>
      </w:pPr>
    </w:p>
    <w:p w14:paraId="7C332414" w14:textId="77777777" w:rsidR="00544815" w:rsidRPr="008869F5" w:rsidRDefault="00016F29" w:rsidP="00544815">
      <w:pPr>
        <w:rPr>
          <w:szCs w:val="22"/>
          <w:lang w:val="fr-FR"/>
        </w:rPr>
      </w:pPr>
      <w:r w:rsidRPr="008869F5">
        <w:rPr>
          <w:szCs w:val="22"/>
          <w:lang w:val="fr-FR"/>
        </w:rPr>
        <w:t>1 vial contains 10 mg/mL rituximab.</w:t>
      </w:r>
    </w:p>
    <w:p w14:paraId="7C332415" w14:textId="77777777" w:rsidR="00544815" w:rsidRPr="008869F5" w:rsidRDefault="00544815" w:rsidP="00544815">
      <w:pPr>
        <w:rPr>
          <w:szCs w:val="22"/>
          <w:lang w:val="fr-FR"/>
        </w:rPr>
      </w:pPr>
    </w:p>
    <w:p w14:paraId="7C332416" w14:textId="77777777" w:rsidR="00544815" w:rsidRPr="008869F5" w:rsidRDefault="00544815" w:rsidP="00544815">
      <w:pPr>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418" w14:textId="77777777" w:rsidTr="008919D7">
        <w:tc>
          <w:tcPr>
            <w:tcW w:w="9287" w:type="dxa"/>
          </w:tcPr>
          <w:p w14:paraId="7C332417" w14:textId="77777777" w:rsidR="00544815" w:rsidRPr="00C50A4F" w:rsidRDefault="00016F29" w:rsidP="008919D7">
            <w:pPr>
              <w:rPr>
                <w:b/>
                <w:szCs w:val="22"/>
                <w:lang w:val="en-GB"/>
              </w:rPr>
            </w:pPr>
            <w:r w:rsidRPr="00C50A4F">
              <w:rPr>
                <w:b/>
                <w:szCs w:val="22"/>
                <w:lang w:val="en-GB"/>
              </w:rPr>
              <w:t>3.</w:t>
            </w:r>
            <w:r w:rsidRPr="00C50A4F">
              <w:rPr>
                <w:b/>
                <w:szCs w:val="22"/>
                <w:lang w:val="en-GB"/>
              </w:rPr>
              <w:tab/>
              <w:t>LIST OF EXCIPIENTS</w:t>
            </w:r>
          </w:p>
        </w:tc>
      </w:tr>
    </w:tbl>
    <w:p w14:paraId="7C332419" w14:textId="77777777" w:rsidR="00544815" w:rsidRPr="00C50A4F" w:rsidRDefault="00544815" w:rsidP="00544815">
      <w:pPr>
        <w:rPr>
          <w:szCs w:val="22"/>
          <w:lang w:val="en-GB"/>
        </w:rPr>
      </w:pPr>
    </w:p>
    <w:p w14:paraId="7C33241A" w14:textId="77777777" w:rsidR="003C46D3" w:rsidRDefault="00016F29" w:rsidP="003C46D3">
      <w:pPr>
        <w:rPr>
          <w:szCs w:val="22"/>
          <w:lang w:val="en-GB"/>
        </w:rPr>
      </w:pPr>
      <w:r w:rsidRPr="00C50A4F">
        <w:rPr>
          <w:szCs w:val="22"/>
          <w:lang w:val="en-GB"/>
        </w:rPr>
        <w:t>Sodium citrate, polysorbate 80, sodium chloride, sodium hydroxide, hydrochloric acid, water for injections.</w:t>
      </w:r>
      <w:r w:rsidRPr="003C46D3">
        <w:rPr>
          <w:szCs w:val="22"/>
          <w:lang w:val="en-GB"/>
        </w:rPr>
        <w:t xml:space="preserve"> </w:t>
      </w:r>
    </w:p>
    <w:p w14:paraId="7C33241B" w14:textId="77777777" w:rsidR="00544815" w:rsidRPr="00C50A4F" w:rsidRDefault="00016F29" w:rsidP="00544815">
      <w:pPr>
        <w:rPr>
          <w:szCs w:val="22"/>
          <w:lang w:val="en-GB"/>
        </w:rPr>
      </w:pPr>
      <w:r>
        <w:rPr>
          <w:szCs w:val="22"/>
          <w:lang w:val="en-GB"/>
        </w:rPr>
        <w:t xml:space="preserve">Read the leaflet for further information. </w:t>
      </w:r>
    </w:p>
    <w:p w14:paraId="7C33241C" w14:textId="77777777" w:rsidR="00544815" w:rsidRPr="00C50A4F" w:rsidRDefault="00544815" w:rsidP="00544815">
      <w:pPr>
        <w:rPr>
          <w:szCs w:val="22"/>
          <w:lang w:val="en-GB"/>
        </w:rPr>
      </w:pPr>
    </w:p>
    <w:p w14:paraId="7C33241D" w14:textId="77777777" w:rsidR="00544815" w:rsidRPr="00C50A4F"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41F" w14:textId="77777777" w:rsidTr="008919D7">
        <w:tc>
          <w:tcPr>
            <w:tcW w:w="9287" w:type="dxa"/>
          </w:tcPr>
          <w:p w14:paraId="7C33241E" w14:textId="77777777" w:rsidR="00544815" w:rsidRPr="00C50A4F" w:rsidRDefault="00016F29" w:rsidP="008919D7">
            <w:pPr>
              <w:rPr>
                <w:b/>
                <w:szCs w:val="22"/>
                <w:lang w:val="en-GB"/>
              </w:rPr>
            </w:pPr>
            <w:r w:rsidRPr="00C50A4F">
              <w:rPr>
                <w:b/>
                <w:szCs w:val="22"/>
                <w:lang w:val="en-GB"/>
              </w:rPr>
              <w:t>4.</w:t>
            </w:r>
            <w:r w:rsidRPr="00C50A4F">
              <w:rPr>
                <w:b/>
                <w:szCs w:val="22"/>
                <w:lang w:val="en-GB"/>
              </w:rPr>
              <w:tab/>
              <w:t>PHARMACEUTICAL FORM AND CONTENTS</w:t>
            </w:r>
          </w:p>
        </w:tc>
      </w:tr>
    </w:tbl>
    <w:p w14:paraId="7C332420" w14:textId="77777777" w:rsidR="00544815" w:rsidRPr="00C50A4F" w:rsidRDefault="00544815" w:rsidP="00544815">
      <w:pPr>
        <w:rPr>
          <w:szCs w:val="22"/>
          <w:lang w:val="en-GB"/>
        </w:rPr>
      </w:pPr>
    </w:p>
    <w:p w14:paraId="7C332421" w14:textId="77777777" w:rsidR="00544815" w:rsidRPr="00C50A4F" w:rsidRDefault="00016F29" w:rsidP="00544815">
      <w:pPr>
        <w:outlineLvl w:val="0"/>
        <w:rPr>
          <w:szCs w:val="22"/>
          <w:lang w:val="en-GB"/>
        </w:rPr>
      </w:pPr>
      <w:r w:rsidRPr="00C50A4F">
        <w:rPr>
          <w:szCs w:val="22"/>
          <w:lang w:val="en-GB"/>
        </w:rPr>
        <w:t>Concentrate for solution for infusion</w:t>
      </w:r>
    </w:p>
    <w:p w14:paraId="7C332422" w14:textId="77777777" w:rsidR="00544815" w:rsidRPr="00C50A4F" w:rsidRDefault="00016F29" w:rsidP="00544815">
      <w:pPr>
        <w:outlineLvl w:val="0"/>
        <w:rPr>
          <w:szCs w:val="22"/>
          <w:lang w:val="en-GB"/>
        </w:rPr>
      </w:pPr>
      <w:r w:rsidRPr="00C50A4F">
        <w:rPr>
          <w:szCs w:val="22"/>
          <w:lang w:val="en-GB"/>
        </w:rPr>
        <w:t>500 mg / 50 m</w:t>
      </w:r>
      <w:r>
        <w:rPr>
          <w:szCs w:val="22"/>
          <w:lang w:val="en-GB"/>
        </w:rPr>
        <w:t>L</w:t>
      </w:r>
    </w:p>
    <w:p w14:paraId="7C332423" w14:textId="77777777" w:rsidR="00544815" w:rsidRPr="00C50A4F" w:rsidRDefault="00016F29" w:rsidP="00544815">
      <w:pPr>
        <w:rPr>
          <w:szCs w:val="22"/>
          <w:lang w:val="en-GB"/>
        </w:rPr>
      </w:pPr>
      <w:r w:rsidRPr="00C50A4F">
        <w:rPr>
          <w:szCs w:val="22"/>
          <w:lang w:val="en-GB"/>
        </w:rPr>
        <w:t>1 vial of 50 m</w:t>
      </w:r>
      <w:r>
        <w:rPr>
          <w:szCs w:val="22"/>
          <w:lang w:val="en-GB"/>
        </w:rPr>
        <w:t>L</w:t>
      </w:r>
    </w:p>
    <w:p w14:paraId="7C332424" w14:textId="77777777" w:rsidR="00544815" w:rsidRPr="00C50A4F" w:rsidRDefault="00544815" w:rsidP="00544815">
      <w:pPr>
        <w:rPr>
          <w:szCs w:val="22"/>
          <w:lang w:val="en-GB"/>
        </w:rPr>
      </w:pPr>
    </w:p>
    <w:p w14:paraId="7C332425" w14:textId="77777777" w:rsidR="00544815" w:rsidRPr="00C50A4F"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427" w14:textId="77777777" w:rsidTr="008919D7">
        <w:tc>
          <w:tcPr>
            <w:tcW w:w="9287" w:type="dxa"/>
          </w:tcPr>
          <w:p w14:paraId="7C332426" w14:textId="77777777" w:rsidR="00544815" w:rsidRPr="00C50A4F" w:rsidRDefault="00016F29" w:rsidP="008919D7">
            <w:pPr>
              <w:rPr>
                <w:b/>
                <w:szCs w:val="22"/>
                <w:lang w:val="en-GB"/>
              </w:rPr>
            </w:pPr>
            <w:r w:rsidRPr="00C50A4F">
              <w:rPr>
                <w:b/>
                <w:szCs w:val="22"/>
                <w:lang w:val="en-GB"/>
              </w:rPr>
              <w:t>5.</w:t>
            </w:r>
            <w:r w:rsidRPr="00C50A4F">
              <w:rPr>
                <w:b/>
                <w:szCs w:val="22"/>
                <w:lang w:val="en-GB"/>
              </w:rPr>
              <w:tab/>
              <w:t>METHOD AND ROUTE(S) OF ADMINISTRATION</w:t>
            </w:r>
          </w:p>
        </w:tc>
      </w:tr>
    </w:tbl>
    <w:p w14:paraId="7C332428" w14:textId="77777777" w:rsidR="00544815" w:rsidRPr="00C50A4F" w:rsidRDefault="00544815" w:rsidP="00544815">
      <w:pPr>
        <w:rPr>
          <w:szCs w:val="22"/>
          <w:lang w:val="en-GB"/>
        </w:rPr>
      </w:pPr>
    </w:p>
    <w:p w14:paraId="7C332429" w14:textId="77777777" w:rsidR="00544815" w:rsidRPr="00C50A4F" w:rsidRDefault="00016F29" w:rsidP="00544815">
      <w:pPr>
        <w:outlineLvl w:val="0"/>
        <w:rPr>
          <w:szCs w:val="22"/>
          <w:lang w:val="en-GB"/>
        </w:rPr>
      </w:pPr>
      <w:r w:rsidRPr="00C50A4F">
        <w:rPr>
          <w:szCs w:val="22"/>
          <w:lang w:val="en-GB"/>
        </w:rPr>
        <w:t>For intravenous use after dilution</w:t>
      </w:r>
    </w:p>
    <w:p w14:paraId="7C33242A" w14:textId="77777777" w:rsidR="00544815" w:rsidRPr="00C50A4F" w:rsidRDefault="00016F29" w:rsidP="00544815">
      <w:pPr>
        <w:rPr>
          <w:szCs w:val="22"/>
          <w:lang w:val="en-GB"/>
        </w:rPr>
      </w:pPr>
      <w:r w:rsidRPr="00C50A4F">
        <w:rPr>
          <w:szCs w:val="22"/>
          <w:lang w:val="en-GB"/>
        </w:rPr>
        <w:t>Read the package leaflet before use</w:t>
      </w:r>
    </w:p>
    <w:p w14:paraId="7C33242B" w14:textId="77777777" w:rsidR="00544815" w:rsidRPr="00C50A4F" w:rsidRDefault="00544815" w:rsidP="00544815">
      <w:pPr>
        <w:rPr>
          <w:szCs w:val="22"/>
          <w:lang w:val="en-GB"/>
        </w:rPr>
      </w:pPr>
    </w:p>
    <w:p w14:paraId="7C33242C" w14:textId="77777777" w:rsidR="00544815" w:rsidRPr="00C50A4F"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42E" w14:textId="77777777" w:rsidTr="008919D7">
        <w:trPr>
          <w:cantSplit/>
        </w:trPr>
        <w:tc>
          <w:tcPr>
            <w:tcW w:w="9287" w:type="dxa"/>
          </w:tcPr>
          <w:p w14:paraId="7C33242D" w14:textId="77777777" w:rsidR="00544815" w:rsidRPr="00C50A4F" w:rsidRDefault="00016F29" w:rsidP="008919D7">
            <w:pPr>
              <w:ind w:left="567" w:hanging="567"/>
              <w:rPr>
                <w:b/>
                <w:szCs w:val="22"/>
                <w:lang w:val="en-GB"/>
              </w:rPr>
            </w:pPr>
            <w:r w:rsidRPr="00C50A4F">
              <w:rPr>
                <w:b/>
                <w:szCs w:val="22"/>
                <w:lang w:val="en-GB"/>
              </w:rPr>
              <w:t>6.</w:t>
            </w:r>
            <w:r w:rsidRPr="00C50A4F">
              <w:rPr>
                <w:b/>
                <w:szCs w:val="22"/>
                <w:lang w:val="en-GB"/>
              </w:rPr>
              <w:tab/>
              <w:t>SPECIAL WARNING THAT THE MEDICINAL PRODUCT MUST BE STORED OUT OF THE SIGHT AND REACH OF CHILDREN</w:t>
            </w:r>
          </w:p>
        </w:tc>
      </w:tr>
    </w:tbl>
    <w:p w14:paraId="7C33242F" w14:textId="77777777" w:rsidR="00544815" w:rsidRPr="00C50A4F" w:rsidRDefault="00544815" w:rsidP="00544815">
      <w:pPr>
        <w:rPr>
          <w:szCs w:val="22"/>
          <w:lang w:val="en-GB"/>
        </w:rPr>
      </w:pPr>
    </w:p>
    <w:p w14:paraId="7C332430" w14:textId="77777777" w:rsidR="00544815" w:rsidRPr="00C50A4F" w:rsidRDefault="00016F29" w:rsidP="00544815">
      <w:pPr>
        <w:outlineLvl w:val="0"/>
        <w:rPr>
          <w:szCs w:val="22"/>
          <w:lang w:val="en-GB"/>
        </w:rPr>
      </w:pPr>
      <w:r w:rsidRPr="00C50A4F">
        <w:rPr>
          <w:szCs w:val="22"/>
          <w:lang w:val="en-GB"/>
        </w:rPr>
        <w:t>Keep out of the sight and reach of children</w:t>
      </w:r>
    </w:p>
    <w:p w14:paraId="7C332431" w14:textId="77777777" w:rsidR="00544815" w:rsidRPr="00C50A4F" w:rsidRDefault="00544815" w:rsidP="00544815">
      <w:pPr>
        <w:rPr>
          <w:szCs w:val="22"/>
          <w:lang w:val="en-GB"/>
        </w:rPr>
      </w:pPr>
    </w:p>
    <w:p w14:paraId="7C332432" w14:textId="77777777" w:rsidR="00544815" w:rsidRPr="00C50A4F"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434" w14:textId="77777777" w:rsidTr="008919D7">
        <w:tc>
          <w:tcPr>
            <w:tcW w:w="9287" w:type="dxa"/>
          </w:tcPr>
          <w:p w14:paraId="7C332433" w14:textId="77777777" w:rsidR="00544815" w:rsidRPr="00C50A4F" w:rsidRDefault="00016F29" w:rsidP="008919D7">
            <w:pPr>
              <w:rPr>
                <w:b/>
                <w:szCs w:val="22"/>
                <w:lang w:val="en-GB"/>
              </w:rPr>
            </w:pPr>
            <w:r w:rsidRPr="00C50A4F">
              <w:rPr>
                <w:b/>
                <w:szCs w:val="22"/>
                <w:lang w:val="en-GB"/>
              </w:rPr>
              <w:t>7.</w:t>
            </w:r>
            <w:r w:rsidRPr="00C50A4F">
              <w:rPr>
                <w:b/>
                <w:szCs w:val="22"/>
                <w:lang w:val="en-GB"/>
              </w:rPr>
              <w:tab/>
              <w:t>OTHER SPECIAL WARNING(S), IF NECESSARY</w:t>
            </w:r>
          </w:p>
        </w:tc>
      </w:tr>
    </w:tbl>
    <w:p w14:paraId="7C332435" w14:textId="77777777" w:rsidR="00544815" w:rsidRPr="00C50A4F" w:rsidRDefault="00544815" w:rsidP="00544815">
      <w:pPr>
        <w:rPr>
          <w:szCs w:val="22"/>
          <w:lang w:val="en-GB"/>
        </w:rPr>
      </w:pPr>
    </w:p>
    <w:p w14:paraId="7C332436" w14:textId="77777777" w:rsidR="00544815" w:rsidRPr="00C50A4F"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438" w14:textId="77777777" w:rsidTr="008919D7">
        <w:tc>
          <w:tcPr>
            <w:tcW w:w="9287" w:type="dxa"/>
          </w:tcPr>
          <w:p w14:paraId="7C332437" w14:textId="77777777" w:rsidR="00544815" w:rsidRPr="00C50A4F" w:rsidRDefault="00016F29" w:rsidP="008919D7">
            <w:pPr>
              <w:rPr>
                <w:b/>
                <w:szCs w:val="22"/>
                <w:lang w:val="en-GB"/>
              </w:rPr>
            </w:pPr>
            <w:r w:rsidRPr="00C50A4F">
              <w:rPr>
                <w:b/>
                <w:szCs w:val="22"/>
                <w:lang w:val="en-GB"/>
              </w:rPr>
              <w:t>8.</w:t>
            </w:r>
            <w:r w:rsidRPr="00C50A4F">
              <w:rPr>
                <w:b/>
                <w:szCs w:val="22"/>
                <w:lang w:val="en-GB"/>
              </w:rPr>
              <w:tab/>
              <w:t>EXPIRY DATE</w:t>
            </w:r>
          </w:p>
        </w:tc>
      </w:tr>
    </w:tbl>
    <w:p w14:paraId="7C332439" w14:textId="77777777" w:rsidR="00544815" w:rsidRPr="00C50A4F" w:rsidRDefault="00544815" w:rsidP="00544815">
      <w:pPr>
        <w:rPr>
          <w:szCs w:val="22"/>
          <w:lang w:val="en-GB"/>
        </w:rPr>
      </w:pPr>
    </w:p>
    <w:p w14:paraId="7C33243A" w14:textId="77777777" w:rsidR="00544815" w:rsidRPr="00C50A4F" w:rsidRDefault="00016F29" w:rsidP="00544815">
      <w:pPr>
        <w:outlineLvl w:val="0"/>
        <w:rPr>
          <w:szCs w:val="22"/>
          <w:lang w:val="en-GB"/>
        </w:rPr>
      </w:pPr>
      <w:r w:rsidRPr="00C50A4F">
        <w:rPr>
          <w:szCs w:val="22"/>
          <w:lang w:val="en-GB"/>
        </w:rPr>
        <w:t xml:space="preserve">EXP </w:t>
      </w:r>
    </w:p>
    <w:p w14:paraId="7C33243B" w14:textId="77777777" w:rsidR="00544815" w:rsidRPr="00C50A4F" w:rsidRDefault="00544815" w:rsidP="00544815">
      <w:pPr>
        <w:rPr>
          <w:szCs w:val="22"/>
          <w:lang w:val="en-GB"/>
        </w:rPr>
      </w:pPr>
    </w:p>
    <w:p w14:paraId="7C33243C" w14:textId="77777777" w:rsidR="00544815" w:rsidRPr="00C50A4F"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43E" w14:textId="77777777" w:rsidTr="008919D7">
        <w:tc>
          <w:tcPr>
            <w:tcW w:w="9287" w:type="dxa"/>
          </w:tcPr>
          <w:p w14:paraId="7C33243D" w14:textId="77777777" w:rsidR="00544815" w:rsidRPr="00C50A4F" w:rsidRDefault="00016F29" w:rsidP="008919D7">
            <w:pPr>
              <w:rPr>
                <w:szCs w:val="22"/>
                <w:lang w:val="en-GB"/>
              </w:rPr>
            </w:pPr>
            <w:r w:rsidRPr="00C50A4F">
              <w:rPr>
                <w:b/>
                <w:szCs w:val="22"/>
                <w:lang w:val="en-GB"/>
              </w:rPr>
              <w:t>9.</w:t>
            </w:r>
            <w:r w:rsidRPr="00C50A4F">
              <w:rPr>
                <w:b/>
                <w:szCs w:val="22"/>
                <w:lang w:val="en-GB"/>
              </w:rPr>
              <w:tab/>
              <w:t>SPECIAL STORAGE CONDITIONS</w:t>
            </w:r>
          </w:p>
        </w:tc>
      </w:tr>
    </w:tbl>
    <w:p w14:paraId="7C33243F" w14:textId="77777777" w:rsidR="00544815" w:rsidRPr="00C50A4F" w:rsidRDefault="00544815" w:rsidP="00544815">
      <w:pPr>
        <w:rPr>
          <w:szCs w:val="22"/>
          <w:lang w:val="en-GB"/>
        </w:rPr>
      </w:pPr>
    </w:p>
    <w:p w14:paraId="7C332440" w14:textId="77777777" w:rsidR="00544815" w:rsidRPr="00C50A4F" w:rsidRDefault="00016F29" w:rsidP="00544815">
      <w:pPr>
        <w:outlineLvl w:val="0"/>
        <w:rPr>
          <w:szCs w:val="22"/>
          <w:lang w:val="en-GB"/>
        </w:rPr>
      </w:pPr>
      <w:r w:rsidRPr="00C50A4F">
        <w:rPr>
          <w:szCs w:val="22"/>
          <w:lang w:val="en-GB"/>
        </w:rPr>
        <w:t>Store in a refrigerator. Keep the container in the outer carton, in order to protect from light</w:t>
      </w:r>
    </w:p>
    <w:p w14:paraId="7C332441" w14:textId="77777777" w:rsidR="00544815" w:rsidRPr="00C50A4F" w:rsidRDefault="00544815" w:rsidP="00544815">
      <w:pPr>
        <w:rPr>
          <w:szCs w:val="22"/>
          <w:lang w:val="en-GB"/>
        </w:rPr>
      </w:pPr>
    </w:p>
    <w:p w14:paraId="7C332442" w14:textId="77777777" w:rsidR="00544815" w:rsidRPr="00C50A4F"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444" w14:textId="77777777" w:rsidTr="008919D7">
        <w:trPr>
          <w:cantSplit/>
        </w:trPr>
        <w:tc>
          <w:tcPr>
            <w:tcW w:w="9287" w:type="dxa"/>
          </w:tcPr>
          <w:p w14:paraId="7C332443" w14:textId="77777777" w:rsidR="00544815" w:rsidRPr="00C50A4F" w:rsidRDefault="00016F29" w:rsidP="008919D7">
            <w:pPr>
              <w:ind w:left="567" w:hanging="567"/>
              <w:rPr>
                <w:b/>
                <w:szCs w:val="22"/>
                <w:lang w:val="en-GB"/>
              </w:rPr>
            </w:pPr>
            <w:r w:rsidRPr="00C50A4F">
              <w:rPr>
                <w:b/>
                <w:szCs w:val="22"/>
                <w:lang w:val="en-GB"/>
              </w:rPr>
              <w:t>10.</w:t>
            </w:r>
            <w:r w:rsidRPr="00C50A4F">
              <w:rPr>
                <w:b/>
                <w:szCs w:val="22"/>
                <w:lang w:val="en-GB"/>
              </w:rPr>
              <w:tab/>
              <w:t>SPECIAL PRECAUTIONS FOR DISPOSAL OF UNUSED MEDICINAL PRODUCTS OR WASTE MATERIALS DERIVED FROM SUCH MEDICINAL PRODUCTS, IF APPROPRIATE</w:t>
            </w:r>
          </w:p>
        </w:tc>
      </w:tr>
    </w:tbl>
    <w:p w14:paraId="7C332445" w14:textId="77777777" w:rsidR="00544815" w:rsidRPr="00C50A4F" w:rsidRDefault="00544815" w:rsidP="00544815">
      <w:pPr>
        <w:rPr>
          <w:szCs w:val="22"/>
          <w:lang w:val="en-GB"/>
        </w:rPr>
      </w:pPr>
    </w:p>
    <w:p w14:paraId="7C332446" w14:textId="77777777" w:rsidR="00544815" w:rsidRPr="00C50A4F"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448" w14:textId="77777777" w:rsidTr="008919D7">
        <w:tc>
          <w:tcPr>
            <w:tcW w:w="9287" w:type="dxa"/>
          </w:tcPr>
          <w:p w14:paraId="7C332447" w14:textId="77777777" w:rsidR="00544815" w:rsidRPr="00C50A4F" w:rsidRDefault="00016F29" w:rsidP="008919D7">
            <w:pPr>
              <w:rPr>
                <w:b/>
                <w:szCs w:val="22"/>
                <w:lang w:val="en-GB"/>
              </w:rPr>
            </w:pPr>
            <w:r w:rsidRPr="00C50A4F">
              <w:rPr>
                <w:b/>
                <w:szCs w:val="22"/>
                <w:lang w:val="en-GB"/>
              </w:rPr>
              <w:t>11.</w:t>
            </w:r>
            <w:r w:rsidRPr="00C50A4F">
              <w:rPr>
                <w:b/>
                <w:szCs w:val="22"/>
                <w:lang w:val="en-GB"/>
              </w:rPr>
              <w:tab/>
              <w:t>NAME AND ADDRESS OF THE MARKETING AUTHORISATION HOLDER</w:t>
            </w:r>
          </w:p>
        </w:tc>
      </w:tr>
    </w:tbl>
    <w:p w14:paraId="7C332449" w14:textId="77777777" w:rsidR="00544815" w:rsidRPr="00C50A4F" w:rsidRDefault="00544815" w:rsidP="00544815">
      <w:pPr>
        <w:rPr>
          <w:szCs w:val="22"/>
          <w:lang w:val="en-GB"/>
        </w:rPr>
      </w:pPr>
    </w:p>
    <w:p w14:paraId="7C33244A" w14:textId="77777777" w:rsidR="00B0361F" w:rsidRPr="00B0361F" w:rsidRDefault="00016F29" w:rsidP="00B0361F">
      <w:pPr>
        <w:rPr>
          <w:lang w:val="de-CH"/>
        </w:rPr>
      </w:pPr>
      <w:r w:rsidRPr="00B0361F">
        <w:rPr>
          <w:lang w:val="de-CH"/>
        </w:rPr>
        <w:t xml:space="preserve">Roche Registration GmbH </w:t>
      </w:r>
    </w:p>
    <w:p w14:paraId="7C33244B" w14:textId="77777777" w:rsidR="00B0361F" w:rsidRPr="00B0361F" w:rsidRDefault="00016F29" w:rsidP="00B0361F">
      <w:pPr>
        <w:rPr>
          <w:lang w:val="de-CH"/>
        </w:rPr>
      </w:pPr>
      <w:r w:rsidRPr="00B0361F">
        <w:rPr>
          <w:lang w:val="de-CH"/>
        </w:rPr>
        <w:t>Emil-Barell-Strasse 1</w:t>
      </w:r>
    </w:p>
    <w:p w14:paraId="7C33244C" w14:textId="77777777" w:rsidR="00B0361F" w:rsidRPr="00B0361F" w:rsidRDefault="00016F29" w:rsidP="00B0361F">
      <w:pPr>
        <w:rPr>
          <w:lang w:val="de-CH"/>
        </w:rPr>
      </w:pPr>
      <w:r w:rsidRPr="00B0361F">
        <w:rPr>
          <w:lang w:val="de-CH"/>
        </w:rPr>
        <w:t>79639 Grenzach-Wyhlen</w:t>
      </w:r>
    </w:p>
    <w:p w14:paraId="7C33244D" w14:textId="77777777" w:rsidR="00B0361F" w:rsidRPr="00896D93" w:rsidRDefault="00016F29" w:rsidP="00B0361F">
      <w:r w:rsidRPr="00896D93">
        <w:t>Germany</w:t>
      </w:r>
    </w:p>
    <w:p w14:paraId="7C33244E" w14:textId="77777777" w:rsidR="00544815" w:rsidRPr="00C50A4F" w:rsidRDefault="00544815" w:rsidP="00544815">
      <w:pPr>
        <w:rPr>
          <w:szCs w:val="22"/>
          <w:lang w:val="en-GB"/>
        </w:rPr>
      </w:pPr>
    </w:p>
    <w:p w14:paraId="7C33244F" w14:textId="77777777" w:rsidR="00544815" w:rsidRPr="00C50A4F"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451" w14:textId="77777777" w:rsidTr="008919D7">
        <w:tc>
          <w:tcPr>
            <w:tcW w:w="9287" w:type="dxa"/>
          </w:tcPr>
          <w:p w14:paraId="7C332450" w14:textId="77777777" w:rsidR="00544815" w:rsidRPr="00C50A4F" w:rsidRDefault="00016F29" w:rsidP="008919D7">
            <w:pPr>
              <w:rPr>
                <w:b/>
                <w:szCs w:val="22"/>
                <w:lang w:val="en-GB"/>
              </w:rPr>
            </w:pPr>
            <w:r w:rsidRPr="00C50A4F">
              <w:rPr>
                <w:b/>
                <w:szCs w:val="22"/>
                <w:lang w:val="en-GB"/>
              </w:rPr>
              <w:t>12.</w:t>
            </w:r>
            <w:r w:rsidRPr="00C50A4F">
              <w:rPr>
                <w:b/>
                <w:szCs w:val="22"/>
                <w:lang w:val="en-GB"/>
              </w:rPr>
              <w:tab/>
              <w:t>MARKETING AUTHORISATION NUMBER(S)</w:t>
            </w:r>
          </w:p>
        </w:tc>
      </w:tr>
    </w:tbl>
    <w:p w14:paraId="7C332452" w14:textId="77777777" w:rsidR="00544815" w:rsidRPr="00C50A4F" w:rsidRDefault="00544815" w:rsidP="00544815">
      <w:pPr>
        <w:rPr>
          <w:szCs w:val="22"/>
          <w:lang w:val="en-GB"/>
        </w:rPr>
      </w:pPr>
    </w:p>
    <w:p w14:paraId="7C332453" w14:textId="77777777" w:rsidR="00544815" w:rsidRPr="00C50A4F" w:rsidRDefault="00016F29" w:rsidP="00544815">
      <w:pPr>
        <w:outlineLvl w:val="0"/>
        <w:rPr>
          <w:szCs w:val="22"/>
          <w:lang w:val="en-GB"/>
        </w:rPr>
      </w:pPr>
      <w:r w:rsidRPr="00C50A4F">
        <w:rPr>
          <w:szCs w:val="22"/>
          <w:lang w:val="en-GB"/>
        </w:rPr>
        <w:t>EU/1/98/067/002</w:t>
      </w:r>
    </w:p>
    <w:p w14:paraId="7C332454" w14:textId="77777777" w:rsidR="00544815" w:rsidRPr="00C50A4F" w:rsidRDefault="00544815" w:rsidP="00544815">
      <w:pPr>
        <w:rPr>
          <w:szCs w:val="22"/>
          <w:lang w:val="en-GB"/>
        </w:rPr>
      </w:pPr>
    </w:p>
    <w:p w14:paraId="7C332455" w14:textId="77777777" w:rsidR="00544815" w:rsidRPr="00C50A4F"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457" w14:textId="77777777" w:rsidTr="008919D7">
        <w:tc>
          <w:tcPr>
            <w:tcW w:w="9287" w:type="dxa"/>
          </w:tcPr>
          <w:p w14:paraId="7C332456" w14:textId="77777777" w:rsidR="00544815" w:rsidRPr="00C50A4F" w:rsidRDefault="00016F29" w:rsidP="008919D7">
            <w:pPr>
              <w:rPr>
                <w:b/>
                <w:szCs w:val="22"/>
                <w:lang w:val="en-GB"/>
              </w:rPr>
            </w:pPr>
            <w:r w:rsidRPr="00C50A4F">
              <w:rPr>
                <w:b/>
                <w:szCs w:val="22"/>
                <w:lang w:val="en-GB"/>
              </w:rPr>
              <w:t>13.</w:t>
            </w:r>
            <w:r w:rsidRPr="00C50A4F">
              <w:rPr>
                <w:b/>
                <w:szCs w:val="22"/>
                <w:lang w:val="en-GB"/>
              </w:rPr>
              <w:tab/>
              <w:t>BATCH NUMBER</w:t>
            </w:r>
          </w:p>
        </w:tc>
      </w:tr>
    </w:tbl>
    <w:p w14:paraId="7C332458" w14:textId="77777777" w:rsidR="00544815" w:rsidRPr="00C50A4F" w:rsidRDefault="00544815" w:rsidP="00544815">
      <w:pPr>
        <w:rPr>
          <w:szCs w:val="22"/>
          <w:lang w:val="en-GB"/>
        </w:rPr>
      </w:pPr>
    </w:p>
    <w:p w14:paraId="7C332459" w14:textId="77777777" w:rsidR="00544815" w:rsidRPr="00C50A4F" w:rsidRDefault="00016F29" w:rsidP="00544815">
      <w:pPr>
        <w:outlineLvl w:val="0"/>
        <w:rPr>
          <w:szCs w:val="22"/>
          <w:lang w:val="en-GB"/>
        </w:rPr>
      </w:pPr>
      <w:r w:rsidRPr="00C50A4F">
        <w:rPr>
          <w:szCs w:val="22"/>
          <w:lang w:val="en-GB"/>
        </w:rPr>
        <w:t>Batch</w:t>
      </w:r>
    </w:p>
    <w:p w14:paraId="7C33245A" w14:textId="77777777" w:rsidR="00544815" w:rsidRPr="00C50A4F" w:rsidRDefault="00544815" w:rsidP="00544815">
      <w:pPr>
        <w:rPr>
          <w:szCs w:val="22"/>
          <w:lang w:val="en-GB"/>
        </w:rPr>
      </w:pPr>
    </w:p>
    <w:p w14:paraId="7C33245B" w14:textId="77777777" w:rsidR="00544815" w:rsidRPr="00C50A4F"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45D" w14:textId="77777777" w:rsidTr="008919D7">
        <w:tc>
          <w:tcPr>
            <w:tcW w:w="9287" w:type="dxa"/>
          </w:tcPr>
          <w:p w14:paraId="7C33245C" w14:textId="77777777" w:rsidR="00544815" w:rsidRPr="00C50A4F" w:rsidRDefault="00016F29" w:rsidP="008919D7">
            <w:pPr>
              <w:rPr>
                <w:b/>
                <w:szCs w:val="22"/>
                <w:lang w:val="en-GB"/>
              </w:rPr>
            </w:pPr>
            <w:r w:rsidRPr="00C50A4F">
              <w:rPr>
                <w:b/>
                <w:szCs w:val="22"/>
                <w:lang w:val="en-GB"/>
              </w:rPr>
              <w:t>14.</w:t>
            </w:r>
            <w:r w:rsidRPr="00C50A4F">
              <w:rPr>
                <w:b/>
                <w:szCs w:val="22"/>
                <w:lang w:val="en-GB"/>
              </w:rPr>
              <w:tab/>
              <w:t>GENERAL CLASSIFICATION FOR SUPPLY</w:t>
            </w:r>
          </w:p>
        </w:tc>
      </w:tr>
    </w:tbl>
    <w:p w14:paraId="7C33245E" w14:textId="77777777" w:rsidR="00544815" w:rsidRPr="00C50A4F" w:rsidRDefault="00544815" w:rsidP="00544815">
      <w:pPr>
        <w:rPr>
          <w:szCs w:val="22"/>
          <w:lang w:val="en-GB"/>
        </w:rPr>
      </w:pPr>
    </w:p>
    <w:p w14:paraId="7C33245F" w14:textId="77777777" w:rsidR="00544815" w:rsidRPr="00C50A4F"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461" w14:textId="77777777" w:rsidTr="008919D7">
        <w:tc>
          <w:tcPr>
            <w:tcW w:w="9287" w:type="dxa"/>
          </w:tcPr>
          <w:p w14:paraId="7C332460" w14:textId="77777777" w:rsidR="00544815" w:rsidRPr="00C50A4F" w:rsidRDefault="00016F29" w:rsidP="008919D7">
            <w:pPr>
              <w:rPr>
                <w:b/>
                <w:szCs w:val="22"/>
                <w:lang w:val="en-GB"/>
              </w:rPr>
            </w:pPr>
            <w:r w:rsidRPr="00C50A4F">
              <w:rPr>
                <w:b/>
                <w:szCs w:val="22"/>
                <w:lang w:val="en-GB"/>
              </w:rPr>
              <w:t>15.</w:t>
            </w:r>
            <w:r w:rsidRPr="00C50A4F">
              <w:rPr>
                <w:b/>
                <w:szCs w:val="22"/>
                <w:lang w:val="en-GB"/>
              </w:rPr>
              <w:tab/>
              <w:t>INSTRUCTIONS ON USE</w:t>
            </w:r>
          </w:p>
        </w:tc>
      </w:tr>
    </w:tbl>
    <w:p w14:paraId="7C332462" w14:textId="77777777" w:rsidR="00544815" w:rsidRPr="00C50A4F" w:rsidRDefault="00544815" w:rsidP="00544815">
      <w:pPr>
        <w:rPr>
          <w:szCs w:val="22"/>
          <w:lang w:val="en-GB"/>
        </w:rPr>
      </w:pPr>
    </w:p>
    <w:p w14:paraId="7C332463" w14:textId="77777777" w:rsidR="00544815" w:rsidRPr="00C50A4F"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465" w14:textId="77777777" w:rsidTr="008919D7">
        <w:tc>
          <w:tcPr>
            <w:tcW w:w="9287" w:type="dxa"/>
          </w:tcPr>
          <w:p w14:paraId="7C332464" w14:textId="77777777" w:rsidR="00544815" w:rsidRPr="00C50A4F" w:rsidRDefault="00016F29" w:rsidP="008919D7">
            <w:pPr>
              <w:rPr>
                <w:b/>
                <w:szCs w:val="22"/>
                <w:lang w:val="en-GB"/>
              </w:rPr>
            </w:pPr>
            <w:r w:rsidRPr="00C50A4F">
              <w:rPr>
                <w:b/>
                <w:szCs w:val="22"/>
                <w:lang w:val="en-GB"/>
              </w:rPr>
              <w:t>16.</w:t>
            </w:r>
            <w:r w:rsidRPr="00C50A4F">
              <w:rPr>
                <w:b/>
                <w:szCs w:val="22"/>
                <w:lang w:val="en-GB"/>
              </w:rPr>
              <w:tab/>
              <w:t>INFORMATION IN BRAILLE</w:t>
            </w:r>
          </w:p>
        </w:tc>
      </w:tr>
    </w:tbl>
    <w:p w14:paraId="7C332466" w14:textId="77777777" w:rsidR="00544815" w:rsidRPr="00C50A4F" w:rsidRDefault="00544815" w:rsidP="00544815">
      <w:pPr>
        <w:rPr>
          <w:szCs w:val="22"/>
          <w:lang w:val="en-GB"/>
        </w:rPr>
      </w:pPr>
    </w:p>
    <w:p w14:paraId="7C332467" w14:textId="77777777" w:rsidR="00544815" w:rsidRPr="00C50A4F" w:rsidRDefault="00016F29" w:rsidP="00544815">
      <w:pPr>
        <w:outlineLvl w:val="0"/>
        <w:rPr>
          <w:szCs w:val="22"/>
          <w:lang w:val="en-GB"/>
        </w:rPr>
      </w:pPr>
      <w:r w:rsidRPr="00E06A78">
        <w:rPr>
          <w:lang w:val="en-GB"/>
        </w:rPr>
        <w:t>Justification for not including Braille accepted</w:t>
      </w:r>
    </w:p>
    <w:p w14:paraId="7C332468" w14:textId="77777777" w:rsidR="00E435E6" w:rsidRDefault="00E435E6" w:rsidP="00E435E6">
      <w:pPr>
        <w:rPr>
          <w:noProof/>
          <w:szCs w:val="22"/>
          <w:shd w:val="clear" w:color="auto" w:fill="CCCCCC"/>
        </w:rPr>
      </w:pPr>
    </w:p>
    <w:p w14:paraId="7C332469" w14:textId="77777777" w:rsidR="00CE5D57" w:rsidRDefault="00CE5D57" w:rsidP="00E435E6">
      <w:pPr>
        <w:rPr>
          <w:noProof/>
          <w:szCs w:val="22"/>
          <w:shd w:val="clear" w:color="auto" w:fill="CCCCCC"/>
        </w:rPr>
      </w:pPr>
    </w:p>
    <w:p w14:paraId="7C33246A" w14:textId="77777777" w:rsidR="00E435E6" w:rsidRPr="006651D5" w:rsidRDefault="00016F29" w:rsidP="00E435E6">
      <w:pPr>
        <w:pBdr>
          <w:top w:val="single" w:sz="4" w:space="1" w:color="auto"/>
          <w:left w:val="single" w:sz="4" w:space="4" w:color="auto"/>
          <w:bottom w:val="single" w:sz="4" w:space="0" w:color="auto"/>
          <w:right w:val="single" w:sz="4" w:space="4" w:color="auto"/>
        </w:pBdr>
        <w:rPr>
          <w:i/>
          <w:noProof/>
        </w:rPr>
      </w:pPr>
      <w:r w:rsidRPr="006651D5">
        <w:rPr>
          <w:b/>
          <w:noProof/>
        </w:rPr>
        <w:t>17.</w:t>
      </w:r>
      <w:r w:rsidRPr="006651D5">
        <w:rPr>
          <w:b/>
          <w:noProof/>
        </w:rPr>
        <w:tab/>
        <w:t>UNIQUE IDENTIFIER – 2D BARCODE</w:t>
      </w:r>
    </w:p>
    <w:p w14:paraId="7C33246B" w14:textId="77777777" w:rsidR="00E435E6" w:rsidRPr="00E06A78" w:rsidRDefault="00E435E6" w:rsidP="00E435E6"/>
    <w:p w14:paraId="7C33246C" w14:textId="77777777" w:rsidR="00E435E6" w:rsidRPr="00E06A78" w:rsidRDefault="00016F29" w:rsidP="00E435E6">
      <w:pPr>
        <w:rPr>
          <w:shd w:val="clear" w:color="auto" w:fill="CCCCCC"/>
        </w:rPr>
      </w:pPr>
      <w:r w:rsidRPr="00E06A78">
        <w:t>2D barcode carrying the unique identifier included.</w:t>
      </w:r>
    </w:p>
    <w:p w14:paraId="7C33246D" w14:textId="77777777" w:rsidR="00E435E6" w:rsidRPr="00E06A78" w:rsidRDefault="00E435E6" w:rsidP="00E435E6">
      <w:pPr>
        <w:rPr>
          <w:shd w:val="clear" w:color="auto" w:fill="CCCCCC"/>
        </w:rPr>
      </w:pPr>
    </w:p>
    <w:p w14:paraId="7C33246E" w14:textId="77777777" w:rsidR="00E435E6" w:rsidRPr="00E06A78" w:rsidRDefault="00E435E6" w:rsidP="00E435E6"/>
    <w:p w14:paraId="7C33246F" w14:textId="77777777" w:rsidR="00E435E6" w:rsidRPr="008518AD" w:rsidRDefault="00016F29" w:rsidP="00E435E6">
      <w:pPr>
        <w:pBdr>
          <w:top w:val="single" w:sz="4" w:space="1" w:color="auto"/>
          <w:left w:val="single" w:sz="4" w:space="4" w:color="auto"/>
          <w:bottom w:val="single" w:sz="4" w:space="0" w:color="auto"/>
          <w:right w:val="single" w:sz="4" w:space="4" w:color="auto"/>
        </w:pBdr>
        <w:rPr>
          <w:i/>
          <w:noProof/>
        </w:rPr>
      </w:pPr>
      <w:r w:rsidRPr="008518AD">
        <w:rPr>
          <w:b/>
          <w:noProof/>
        </w:rPr>
        <w:t>18.</w:t>
      </w:r>
      <w:r w:rsidRPr="008518AD">
        <w:rPr>
          <w:b/>
          <w:noProof/>
        </w:rPr>
        <w:tab/>
        <w:t xml:space="preserve">UNIQUE IDENTIFIER </w:t>
      </w:r>
      <w:r w:rsidR="000A6DDA" w:rsidRPr="008518AD">
        <w:rPr>
          <w:b/>
          <w:noProof/>
        </w:rPr>
        <w:noBreakHyphen/>
      </w:r>
      <w:r w:rsidR="000A6DDA" w:rsidRPr="008518AD">
        <w:rPr>
          <w:b/>
          <w:noProof/>
        </w:rPr>
        <w:noBreakHyphen/>
      </w:r>
      <w:r w:rsidRPr="008518AD">
        <w:rPr>
          <w:b/>
          <w:noProof/>
        </w:rPr>
        <w:t xml:space="preserve"> HUMAN READABLE DATA</w:t>
      </w:r>
    </w:p>
    <w:p w14:paraId="7C332470" w14:textId="77777777" w:rsidR="00E435E6" w:rsidRPr="001F63EB" w:rsidRDefault="00E435E6" w:rsidP="00E435E6">
      <w:pPr>
        <w:rPr>
          <w:noProof/>
        </w:rPr>
      </w:pPr>
    </w:p>
    <w:p w14:paraId="7C332471" w14:textId="77777777" w:rsidR="00E435E6" w:rsidRPr="005E4C1A" w:rsidRDefault="00016F29" w:rsidP="00E435E6">
      <w:pPr>
        <w:rPr>
          <w:szCs w:val="22"/>
        </w:rPr>
      </w:pPr>
      <w:r w:rsidRPr="005E4C1A">
        <w:rPr>
          <w:szCs w:val="22"/>
        </w:rPr>
        <w:t xml:space="preserve">PC </w:t>
      </w:r>
    </w:p>
    <w:p w14:paraId="7C332472" w14:textId="77777777" w:rsidR="00E435E6" w:rsidRPr="00A3054B" w:rsidRDefault="00016F29" w:rsidP="00E435E6">
      <w:pPr>
        <w:rPr>
          <w:szCs w:val="22"/>
        </w:rPr>
      </w:pPr>
      <w:r w:rsidRPr="00A3054B">
        <w:rPr>
          <w:szCs w:val="22"/>
        </w:rPr>
        <w:t xml:space="preserve">SN </w:t>
      </w:r>
    </w:p>
    <w:p w14:paraId="7C332473" w14:textId="77777777" w:rsidR="00E435E6" w:rsidRPr="00C937E7" w:rsidRDefault="00016F29" w:rsidP="00E435E6">
      <w:pPr>
        <w:rPr>
          <w:szCs w:val="22"/>
        </w:rPr>
      </w:pPr>
      <w:r w:rsidRPr="00CA2C05">
        <w:rPr>
          <w:szCs w:val="22"/>
        </w:rPr>
        <w:t>NN</w:t>
      </w:r>
      <w:r w:rsidRPr="00C51DEE">
        <w:rPr>
          <w:szCs w:val="22"/>
        </w:rPr>
        <w:t xml:space="preserve"> </w:t>
      </w:r>
    </w:p>
    <w:p w14:paraId="7C332474" w14:textId="77777777" w:rsidR="00943DED" w:rsidRPr="00C937E7" w:rsidRDefault="00943DED" w:rsidP="00E435E6">
      <w:pPr>
        <w:rPr>
          <w:szCs w:val="22"/>
        </w:rPr>
      </w:pPr>
    </w:p>
    <w:p w14:paraId="7C332475" w14:textId="77777777" w:rsidR="00544815" w:rsidRPr="00C50A4F" w:rsidRDefault="00016F29" w:rsidP="00544815">
      <w:pPr>
        <w:rPr>
          <w:szCs w:val="22"/>
          <w:lang w:val="en-GB"/>
        </w:rPr>
      </w:pPr>
      <w:r w:rsidRPr="00C50A4F">
        <w:rPr>
          <w:szCs w:val="22"/>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479" w14:textId="77777777" w:rsidTr="008919D7">
        <w:trPr>
          <w:trHeight w:val="785"/>
        </w:trPr>
        <w:tc>
          <w:tcPr>
            <w:tcW w:w="9287" w:type="dxa"/>
            <w:tcBorders>
              <w:bottom w:val="single" w:sz="4" w:space="0" w:color="auto"/>
            </w:tcBorders>
          </w:tcPr>
          <w:p w14:paraId="7C332476" w14:textId="77777777" w:rsidR="00544815" w:rsidRPr="00C50A4F" w:rsidRDefault="00016F29" w:rsidP="008919D7">
            <w:pPr>
              <w:rPr>
                <w:b/>
                <w:szCs w:val="22"/>
                <w:lang w:val="en-GB"/>
              </w:rPr>
            </w:pPr>
            <w:r w:rsidRPr="00C50A4F">
              <w:rPr>
                <w:b/>
                <w:szCs w:val="22"/>
                <w:lang w:val="en-GB"/>
              </w:rPr>
              <w:t>MINIMUM PARTICULARS TO APPEAR ON SMALL IMMEDIATE PACKAGING UNITS</w:t>
            </w:r>
          </w:p>
          <w:p w14:paraId="7C332477" w14:textId="77777777" w:rsidR="00544815" w:rsidRPr="00C50A4F" w:rsidRDefault="00544815" w:rsidP="008919D7">
            <w:pPr>
              <w:rPr>
                <w:b/>
                <w:szCs w:val="22"/>
                <w:lang w:val="en-GB"/>
              </w:rPr>
            </w:pPr>
          </w:p>
          <w:p w14:paraId="7C332478" w14:textId="77777777" w:rsidR="00544815" w:rsidRPr="00C50A4F" w:rsidRDefault="00016F29" w:rsidP="008919D7">
            <w:pPr>
              <w:rPr>
                <w:b/>
                <w:szCs w:val="22"/>
                <w:lang w:val="en-GB"/>
              </w:rPr>
            </w:pPr>
            <w:r w:rsidRPr="00C50A4F">
              <w:rPr>
                <w:b/>
                <w:szCs w:val="22"/>
                <w:lang w:val="en-GB"/>
              </w:rPr>
              <w:t>VIAL LABEL</w:t>
            </w:r>
          </w:p>
        </w:tc>
      </w:tr>
    </w:tbl>
    <w:p w14:paraId="7C33247A" w14:textId="77777777" w:rsidR="00544815" w:rsidRPr="00C50A4F" w:rsidRDefault="00544815" w:rsidP="00544815">
      <w:pPr>
        <w:rPr>
          <w:szCs w:val="22"/>
          <w:lang w:val="en-GB"/>
        </w:rPr>
      </w:pPr>
    </w:p>
    <w:p w14:paraId="7C33247B" w14:textId="77777777" w:rsidR="00544815" w:rsidRPr="00C50A4F"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47D" w14:textId="77777777" w:rsidTr="008919D7">
        <w:tc>
          <w:tcPr>
            <w:tcW w:w="9287" w:type="dxa"/>
          </w:tcPr>
          <w:p w14:paraId="7C33247C" w14:textId="77777777" w:rsidR="00544815" w:rsidRPr="00C50A4F" w:rsidRDefault="00016F29" w:rsidP="008919D7">
            <w:pPr>
              <w:rPr>
                <w:b/>
                <w:szCs w:val="22"/>
                <w:lang w:val="en-GB"/>
              </w:rPr>
            </w:pPr>
            <w:r w:rsidRPr="00C50A4F">
              <w:rPr>
                <w:b/>
                <w:szCs w:val="22"/>
                <w:lang w:val="en-GB"/>
              </w:rPr>
              <w:t>1.</w:t>
            </w:r>
            <w:r w:rsidRPr="00C50A4F">
              <w:rPr>
                <w:b/>
                <w:szCs w:val="22"/>
                <w:lang w:val="en-GB"/>
              </w:rPr>
              <w:tab/>
              <w:t>NAME OF THE MEDICINAL PRODUCT AND ROUTE(S) OF ADMINISTRATION</w:t>
            </w:r>
          </w:p>
        </w:tc>
      </w:tr>
    </w:tbl>
    <w:p w14:paraId="7C33247E" w14:textId="77777777" w:rsidR="00544815" w:rsidRPr="00C50A4F" w:rsidRDefault="00544815" w:rsidP="00544815">
      <w:pPr>
        <w:rPr>
          <w:szCs w:val="22"/>
          <w:lang w:val="en-GB"/>
        </w:rPr>
      </w:pPr>
    </w:p>
    <w:p w14:paraId="7C33247F" w14:textId="77777777" w:rsidR="00544815" w:rsidRPr="00C50A4F" w:rsidRDefault="00016F29" w:rsidP="00544815">
      <w:pPr>
        <w:outlineLvl w:val="0"/>
        <w:rPr>
          <w:szCs w:val="22"/>
          <w:lang w:val="en-GB"/>
        </w:rPr>
      </w:pPr>
      <w:r w:rsidRPr="00C50A4F">
        <w:rPr>
          <w:szCs w:val="22"/>
          <w:lang w:val="en-GB"/>
        </w:rPr>
        <w:t>MabThera 500 mg concentrate for solution for infusion</w:t>
      </w:r>
    </w:p>
    <w:p w14:paraId="7C332480" w14:textId="77777777" w:rsidR="00544815" w:rsidRPr="00C50A4F" w:rsidRDefault="00544815" w:rsidP="00544815">
      <w:pPr>
        <w:rPr>
          <w:szCs w:val="22"/>
          <w:lang w:val="en-GB"/>
        </w:rPr>
      </w:pPr>
    </w:p>
    <w:p w14:paraId="7C332481" w14:textId="77777777" w:rsidR="00544815" w:rsidRPr="00153E10" w:rsidRDefault="00016F29" w:rsidP="00544815">
      <w:pPr>
        <w:outlineLvl w:val="0"/>
        <w:rPr>
          <w:szCs w:val="22"/>
          <w:lang w:val="en-GB"/>
        </w:rPr>
      </w:pPr>
      <w:r w:rsidRPr="00153E10">
        <w:rPr>
          <w:szCs w:val="22"/>
          <w:lang w:val="en-GB"/>
        </w:rPr>
        <w:t>r</w:t>
      </w:r>
      <w:r w:rsidR="007830E0" w:rsidRPr="00153E10">
        <w:rPr>
          <w:szCs w:val="22"/>
          <w:lang w:val="en-GB"/>
        </w:rPr>
        <w:t>ituximab</w:t>
      </w:r>
    </w:p>
    <w:p w14:paraId="7C332482" w14:textId="77777777" w:rsidR="00544815" w:rsidRPr="00C50A4F" w:rsidRDefault="00544815" w:rsidP="00544815">
      <w:pPr>
        <w:outlineLvl w:val="0"/>
        <w:rPr>
          <w:szCs w:val="22"/>
          <w:lang w:val="en-GB"/>
        </w:rPr>
      </w:pPr>
    </w:p>
    <w:p w14:paraId="7C332483" w14:textId="77777777" w:rsidR="00544815" w:rsidRPr="00C50A4F" w:rsidRDefault="00016F29" w:rsidP="00544815">
      <w:pPr>
        <w:outlineLvl w:val="0"/>
        <w:rPr>
          <w:szCs w:val="22"/>
          <w:lang w:val="en-GB"/>
        </w:rPr>
      </w:pPr>
      <w:r w:rsidRPr="00C50A4F">
        <w:rPr>
          <w:szCs w:val="22"/>
          <w:lang w:val="en-GB"/>
        </w:rPr>
        <w:t>IV</w:t>
      </w:r>
    </w:p>
    <w:p w14:paraId="7C332484" w14:textId="77777777" w:rsidR="00544815" w:rsidRPr="00C50A4F" w:rsidRDefault="00544815" w:rsidP="00544815">
      <w:pPr>
        <w:rPr>
          <w:szCs w:val="22"/>
          <w:lang w:val="en-GB"/>
        </w:rPr>
      </w:pPr>
    </w:p>
    <w:p w14:paraId="7C332485" w14:textId="77777777" w:rsidR="00544815" w:rsidRPr="00C50A4F"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487" w14:textId="77777777" w:rsidTr="008919D7">
        <w:tc>
          <w:tcPr>
            <w:tcW w:w="9287" w:type="dxa"/>
          </w:tcPr>
          <w:p w14:paraId="7C332486" w14:textId="77777777" w:rsidR="00544815" w:rsidRPr="00C50A4F" w:rsidRDefault="00016F29" w:rsidP="008919D7">
            <w:pPr>
              <w:rPr>
                <w:b/>
                <w:szCs w:val="22"/>
                <w:lang w:val="en-GB"/>
              </w:rPr>
            </w:pPr>
            <w:r w:rsidRPr="00C50A4F">
              <w:rPr>
                <w:b/>
                <w:szCs w:val="22"/>
                <w:lang w:val="en-GB"/>
              </w:rPr>
              <w:t>2.</w:t>
            </w:r>
            <w:r w:rsidRPr="00C50A4F">
              <w:rPr>
                <w:b/>
                <w:szCs w:val="22"/>
                <w:lang w:val="en-GB"/>
              </w:rPr>
              <w:tab/>
              <w:t>METHOD OF ADMINISTRATION</w:t>
            </w:r>
          </w:p>
        </w:tc>
      </w:tr>
    </w:tbl>
    <w:p w14:paraId="7C332488" w14:textId="77777777" w:rsidR="00544815" w:rsidRPr="00C50A4F" w:rsidRDefault="00544815" w:rsidP="00544815">
      <w:pPr>
        <w:rPr>
          <w:szCs w:val="22"/>
          <w:lang w:val="en-GB"/>
        </w:rPr>
      </w:pPr>
    </w:p>
    <w:p w14:paraId="7C332489" w14:textId="77777777" w:rsidR="00544815" w:rsidRPr="00C50A4F" w:rsidRDefault="00016F29" w:rsidP="00544815">
      <w:pPr>
        <w:outlineLvl w:val="0"/>
        <w:rPr>
          <w:szCs w:val="22"/>
          <w:lang w:val="en-GB"/>
        </w:rPr>
      </w:pPr>
      <w:r w:rsidRPr="00C50A4F">
        <w:rPr>
          <w:szCs w:val="22"/>
          <w:lang w:val="en-GB"/>
        </w:rPr>
        <w:t>For intravenous use after dilution</w:t>
      </w:r>
    </w:p>
    <w:p w14:paraId="7C33248A" w14:textId="77777777" w:rsidR="00544815" w:rsidRPr="00C50A4F" w:rsidRDefault="00544815" w:rsidP="00544815">
      <w:pPr>
        <w:rPr>
          <w:szCs w:val="22"/>
          <w:lang w:val="en-GB"/>
        </w:rPr>
      </w:pPr>
    </w:p>
    <w:p w14:paraId="7C33248B" w14:textId="77777777" w:rsidR="00544815" w:rsidRPr="00C50A4F"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48D" w14:textId="77777777" w:rsidTr="008919D7">
        <w:tc>
          <w:tcPr>
            <w:tcW w:w="9287" w:type="dxa"/>
          </w:tcPr>
          <w:p w14:paraId="7C33248C" w14:textId="77777777" w:rsidR="00544815" w:rsidRPr="00C50A4F" w:rsidRDefault="00016F29" w:rsidP="008919D7">
            <w:pPr>
              <w:rPr>
                <w:b/>
                <w:szCs w:val="22"/>
                <w:lang w:val="en-GB"/>
              </w:rPr>
            </w:pPr>
            <w:r w:rsidRPr="00C50A4F">
              <w:rPr>
                <w:b/>
                <w:szCs w:val="22"/>
                <w:lang w:val="en-GB"/>
              </w:rPr>
              <w:t>3.</w:t>
            </w:r>
            <w:r w:rsidRPr="00C50A4F">
              <w:rPr>
                <w:b/>
                <w:szCs w:val="22"/>
                <w:lang w:val="en-GB"/>
              </w:rPr>
              <w:tab/>
              <w:t>EXPIRY DATE</w:t>
            </w:r>
          </w:p>
        </w:tc>
      </w:tr>
    </w:tbl>
    <w:p w14:paraId="7C33248E" w14:textId="77777777" w:rsidR="00544815" w:rsidRPr="00C50A4F" w:rsidRDefault="00544815" w:rsidP="00544815">
      <w:pPr>
        <w:rPr>
          <w:szCs w:val="22"/>
          <w:lang w:val="en-GB"/>
        </w:rPr>
      </w:pPr>
    </w:p>
    <w:p w14:paraId="7C33248F" w14:textId="77777777" w:rsidR="00544815" w:rsidRPr="00C50A4F" w:rsidRDefault="00016F29" w:rsidP="00544815">
      <w:pPr>
        <w:outlineLvl w:val="0"/>
        <w:rPr>
          <w:szCs w:val="22"/>
          <w:lang w:val="en-GB"/>
        </w:rPr>
      </w:pPr>
      <w:r w:rsidRPr="00C50A4F">
        <w:rPr>
          <w:szCs w:val="22"/>
          <w:lang w:val="en-GB"/>
        </w:rPr>
        <w:t>EXP</w:t>
      </w:r>
    </w:p>
    <w:p w14:paraId="7C332490" w14:textId="77777777" w:rsidR="00544815" w:rsidRPr="00C50A4F" w:rsidRDefault="00544815" w:rsidP="00544815">
      <w:pPr>
        <w:rPr>
          <w:szCs w:val="22"/>
          <w:lang w:val="en-GB"/>
        </w:rPr>
      </w:pPr>
    </w:p>
    <w:p w14:paraId="7C332491" w14:textId="77777777" w:rsidR="00544815" w:rsidRPr="00C50A4F"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493" w14:textId="77777777" w:rsidTr="008919D7">
        <w:tc>
          <w:tcPr>
            <w:tcW w:w="9287" w:type="dxa"/>
          </w:tcPr>
          <w:p w14:paraId="7C332492" w14:textId="77777777" w:rsidR="00544815" w:rsidRPr="00C50A4F" w:rsidRDefault="00016F29" w:rsidP="008919D7">
            <w:pPr>
              <w:rPr>
                <w:b/>
                <w:szCs w:val="22"/>
                <w:lang w:val="en-GB"/>
              </w:rPr>
            </w:pPr>
            <w:r w:rsidRPr="00C50A4F">
              <w:rPr>
                <w:b/>
                <w:szCs w:val="22"/>
                <w:lang w:val="en-GB"/>
              </w:rPr>
              <w:t>4.</w:t>
            </w:r>
            <w:r w:rsidRPr="00C50A4F">
              <w:rPr>
                <w:b/>
                <w:szCs w:val="22"/>
                <w:lang w:val="en-GB"/>
              </w:rPr>
              <w:tab/>
              <w:t>BATCH NUMBER</w:t>
            </w:r>
          </w:p>
        </w:tc>
      </w:tr>
    </w:tbl>
    <w:p w14:paraId="7C332494" w14:textId="77777777" w:rsidR="00544815" w:rsidRPr="00C50A4F" w:rsidRDefault="00544815" w:rsidP="00544815">
      <w:pPr>
        <w:rPr>
          <w:szCs w:val="22"/>
          <w:lang w:val="en-GB"/>
        </w:rPr>
      </w:pPr>
    </w:p>
    <w:p w14:paraId="7C332495" w14:textId="77777777" w:rsidR="00544815" w:rsidRPr="00C50A4F" w:rsidRDefault="00016F29" w:rsidP="00544815">
      <w:pPr>
        <w:rPr>
          <w:szCs w:val="22"/>
          <w:lang w:val="en-GB"/>
        </w:rPr>
      </w:pPr>
      <w:smartTag w:uri="urn:schemas-microsoft-com:office:smarttags" w:element="place">
        <w:r w:rsidRPr="00C50A4F">
          <w:rPr>
            <w:szCs w:val="22"/>
            <w:lang w:val="en-GB"/>
          </w:rPr>
          <w:t>Lot</w:t>
        </w:r>
      </w:smartTag>
    </w:p>
    <w:p w14:paraId="7C332496" w14:textId="77777777" w:rsidR="00544815" w:rsidRPr="00C50A4F" w:rsidRDefault="00544815" w:rsidP="00544815">
      <w:pPr>
        <w:rPr>
          <w:szCs w:val="22"/>
          <w:lang w:val="en-GB"/>
        </w:rPr>
      </w:pPr>
    </w:p>
    <w:p w14:paraId="7C332497" w14:textId="77777777" w:rsidR="00544815" w:rsidRPr="00C50A4F"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499" w14:textId="77777777" w:rsidTr="008919D7">
        <w:tc>
          <w:tcPr>
            <w:tcW w:w="9287" w:type="dxa"/>
          </w:tcPr>
          <w:p w14:paraId="7C332498" w14:textId="77777777" w:rsidR="00544815" w:rsidRPr="00C50A4F" w:rsidRDefault="00016F29" w:rsidP="008919D7">
            <w:pPr>
              <w:ind w:left="567" w:hanging="567"/>
              <w:rPr>
                <w:b/>
                <w:szCs w:val="22"/>
                <w:lang w:val="en-GB"/>
              </w:rPr>
            </w:pPr>
            <w:r w:rsidRPr="00C50A4F">
              <w:rPr>
                <w:b/>
                <w:szCs w:val="22"/>
                <w:lang w:val="en-GB"/>
              </w:rPr>
              <w:t>5.</w:t>
            </w:r>
            <w:r w:rsidRPr="00C50A4F">
              <w:rPr>
                <w:b/>
                <w:szCs w:val="22"/>
                <w:lang w:val="en-GB"/>
              </w:rPr>
              <w:tab/>
              <w:t>CONTENTS BY WEIGHT, BY VOLUME OR BY UNIT</w:t>
            </w:r>
          </w:p>
        </w:tc>
      </w:tr>
    </w:tbl>
    <w:p w14:paraId="7C33249A" w14:textId="77777777" w:rsidR="00544815" w:rsidRPr="00C50A4F" w:rsidRDefault="00544815" w:rsidP="00544815">
      <w:pPr>
        <w:rPr>
          <w:szCs w:val="22"/>
          <w:lang w:val="en-GB"/>
        </w:rPr>
      </w:pPr>
    </w:p>
    <w:p w14:paraId="7C33249B" w14:textId="77777777" w:rsidR="00544815" w:rsidRPr="00C50A4F" w:rsidRDefault="00016F29" w:rsidP="00544815">
      <w:pPr>
        <w:outlineLvl w:val="0"/>
        <w:rPr>
          <w:szCs w:val="22"/>
          <w:lang w:val="en-GB"/>
        </w:rPr>
      </w:pPr>
      <w:r w:rsidRPr="00C50A4F">
        <w:rPr>
          <w:szCs w:val="22"/>
          <w:lang w:val="en-GB"/>
        </w:rPr>
        <w:t>Vial of 50 m</w:t>
      </w:r>
      <w:r>
        <w:rPr>
          <w:szCs w:val="22"/>
          <w:lang w:val="en-GB"/>
        </w:rPr>
        <w:t>L</w:t>
      </w:r>
      <w:r w:rsidRPr="00C50A4F">
        <w:rPr>
          <w:szCs w:val="22"/>
          <w:lang w:val="en-GB"/>
        </w:rPr>
        <w:t xml:space="preserve"> (10 mg/m</w:t>
      </w:r>
      <w:r>
        <w:rPr>
          <w:szCs w:val="22"/>
          <w:lang w:val="en-GB"/>
        </w:rPr>
        <w:t>L</w:t>
      </w:r>
      <w:r w:rsidRPr="00C50A4F">
        <w:rPr>
          <w:szCs w:val="22"/>
          <w:lang w:val="en-GB"/>
        </w:rPr>
        <w:t>)</w:t>
      </w:r>
    </w:p>
    <w:p w14:paraId="7C33249C" w14:textId="77777777" w:rsidR="00544815" w:rsidRPr="00C50A4F" w:rsidRDefault="00016F29" w:rsidP="00544815">
      <w:pPr>
        <w:outlineLvl w:val="0"/>
        <w:rPr>
          <w:szCs w:val="22"/>
          <w:lang w:val="en-GB"/>
        </w:rPr>
      </w:pPr>
      <w:r w:rsidRPr="00C50A4F">
        <w:rPr>
          <w:szCs w:val="22"/>
          <w:lang w:val="en-GB"/>
        </w:rPr>
        <w:t>500 mg / 50 m</w:t>
      </w:r>
      <w:r>
        <w:rPr>
          <w:szCs w:val="22"/>
          <w:lang w:val="en-GB"/>
        </w:rPr>
        <w:t>L</w:t>
      </w:r>
    </w:p>
    <w:p w14:paraId="7C33249D" w14:textId="77777777" w:rsidR="00544815" w:rsidRPr="00C50A4F" w:rsidRDefault="00544815" w:rsidP="00544815">
      <w:pPr>
        <w:rPr>
          <w:szCs w:val="22"/>
          <w:lang w:val="en-GB"/>
        </w:rPr>
      </w:pPr>
    </w:p>
    <w:p w14:paraId="7C33249E" w14:textId="77777777" w:rsidR="00544815" w:rsidRPr="00C50A4F"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4A0" w14:textId="77777777" w:rsidTr="008919D7">
        <w:tc>
          <w:tcPr>
            <w:tcW w:w="9287" w:type="dxa"/>
          </w:tcPr>
          <w:p w14:paraId="7C33249F" w14:textId="77777777" w:rsidR="00544815" w:rsidRPr="00C50A4F" w:rsidRDefault="00016F29" w:rsidP="008919D7">
            <w:pPr>
              <w:rPr>
                <w:b/>
                <w:szCs w:val="22"/>
                <w:lang w:val="en-GB"/>
              </w:rPr>
            </w:pPr>
            <w:r w:rsidRPr="00C50A4F">
              <w:rPr>
                <w:b/>
                <w:szCs w:val="22"/>
                <w:lang w:val="en-GB"/>
              </w:rPr>
              <w:t>6.</w:t>
            </w:r>
            <w:r w:rsidRPr="00C50A4F">
              <w:rPr>
                <w:b/>
                <w:szCs w:val="22"/>
                <w:lang w:val="en-GB"/>
              </w:rPr>
              <w:tab/>
              <w:t>OTHER</w:t>
            </w:r>
          </w:p>
        </w:tc>
      </w:tr>
    </w:tbl>
    <w:p w14:paraId="7C3324A1" w14:textId="77777777" w:rsidR="00544815" w:rsidRPr="00C50A4F" w:rsidRDefault="00544815" w:rsidP="00544815">
      <w:pPr>
        <w:rPr>
          <w:szCs w:val="22"/>
          <w:lang w:val="en-GB"/>
        </w:rPr>
      </w:pPr>
    </w:p>
    <w:p w14:paraId="7C3324A2" w14:textId="77777777" w:rsidR="00544815" w:rsidRPr="00C50A4F" w:rsidRDefault="00016F29" w:rsidP="00544815">
      <w:pPr>
        <w:rPr>
          <w:szCs w:val="22"/>
          <w:lang w:val="en-GB"/>
        </w:rPr>
      </w:pPr>
      <w:r w:rsidRPr="00C50A4F">
        <w:rPr>
          <w:szCs w:val="22"/>
          <w:lang w:val="en-GB"/>
        </w:rPr>
        <w:br w:type="page"/>
      </w:r>
    </w:p>
    <w:p w14:paraId="7C3324A3" w14:textId="77777777" w:rsidR="00544815" w:rsidRPr="008518AD" w:rsidRDefault="00016F29" w:rsidP="00544815">
      <w:pPr>
        <w:jc w:val="center"/>
        <w:rPr>
          <w:b/>
          <w:szCs w:val="22"/>
          <w:lang w:val="en-GB"/>
        </w:rPr>
      </w:pPr>
      <w:r w:rsidRPr="008518AD">
        <w:rPr>
          <w:b/>
          <w:szCs w:val="22"/>
          <w:lang w:val="en-GB"/>
        </w:rPr>
        <w:t>PATIENT ALERT CARD TEXT FOR NON</w:t>
      </w:r>
      <w:r w:rsidR="000A6DDA" w:rsidRPr="008518AD">
        <w:rPr>
          <w:b/>
          <w:szCs w:val="22"/>
          <w:lang w:val="en-GB"/>
        </w:rPr>
        <w:noBreakHyphen/>
      </w:r>
      <w:r w:rsidRPr="008518AD">
        <w:rPr>
          <w:b/>
          <w:szCs w:val="22"/>
          <w:lang w:val="en-GB"/>
        </w:rPr>
        <w:t>ONCOLOGY INDICATIONS</w:t>
      </w:r>
    </w:p>
    <w:tbl>
      <w:tblPr>
        <w:tblW w:w="0" w:type="auto"/>
        <w:tblBorders>
          <w:top w:val="nil"/>
          <w:left w:val="nil"/>
          <w:bottom w:val="nil"/>
          <w:right w:val="nil"/>
        </w:tblBorders>
        <w:tblLook w:val="0000" w:firstRow="0" w:lastRow="0" w:firstColumn="0" w:lastColumn="0" w:noHBand="0" w:noVBand="0"/>
      </w:tblPr>
      <w:tblGrid>
        <w:gridCol w:w="4307"/>
        <w:gridCol w:w="4744"/>
      </w:tblGrid>
      <w:tr w:rsidR="003A788B" w14:paraId="7C3324D3" w14:textId="77777777" w:rsidTr="008919D7">
        <w:trPr>
          <w:trHeight w:val="879"/>
        </w:trPr>
        <w:tc>
          <w:tcPr>
            <w:tcW w:w="4307" w:type="dxa"/>
            <w:tcBorders>
              <w:top w:val="single" w:sz="8" w:space="0" w:color="000000"/>
              <w:left w:val="single" w:sz="8" w:space="0" w:color="000000"/>
              <w:bottom w:val="single" w:sz="8" w:space="0" w:color="000000"/>
              <w:right w:val="single" w:sz="8" w:space="0" w:color="000000"/>
            </w:tcBorders>
            <w:shd w:val="clear" w:color="auto" w:fill="auto"/>
          </w:tcPr>
          <w:p w14:paraId="7C3324A4" w14:textId="77777777" w:rsidR="00544815" w:rsidRPr="008518AD" w:rsidRDefault="00016F29" w:rsidP="008919D7">
            <w:pPr>
              <w:pStyle w:val="Default"/>
              <w:spacing w:after="120"/>
              <w:jc w:val="center"/>
              <w:rPr>
                <w:b/>
                <w:bCs/>
                <w:color w:val="auto"/>
                <w:sz w:val="22"/>
                <w:szCs w:val="22"/>
                <w:u w:val="single"/>
              </w:rPr>
            </w:pPr>
            <w:r w:rsidRPr="008518AD">
              <w:rPr>
                <w:b/>
                <w:bCs/>
                <w:color w:val="auto"/>
                <w:sz w:val="22"/>
                <w:szCs w:val="22"/>
                <w:u w:val="single"/>
              </w:rPr>
              <w:t>MabThera Alert Card for patients with non</w:t>
            </w:r>
            <w:r w:rsidR="000A6DDA" w:rsidRPr="008518AD">
              <w:rPr>
                <w:b/>
                <w:bCs/>
                <w:color w:val="auto"/>
                <w:sz w:val="22"/>
                <w:szCs w:val="22"/>
                <w:u w:val="single"/>
              </w:rPr>
              <w:noBreakHyphen/>
            </w:r>
            <w:r w:rsidRPr="008518AD">
              <w:rPr>
                <w:b/>
                <w:bCs/>
                <w:color w:val="auto"/>
                <w:sz w:val="22"/>
                <w:szCs w:val="22"/>
                <w:u w:val="single"/>
              </w:rPr>
              <w:t>oncology diseases</w:t>
            </w:r>
          </w:p>
          <w:p w14:paraId="7C3324A5" w14:textId="77777777" w:rsidR="00544815" w:rsidRPr="008518AD" w:rsidRDefault="00544815" w:rsidP="008919D7">
            <w:pPr>
              <w:pStyle w:val="Default"/>
              <w:spacing w:after="120"/>
              <w:jc w:val="center"/>
              <w:rPr>
                <w:b/>
                <w:bCs/>
                <w:color w:val="auto"/>
                <w:sz w:val="22"/>
                <w:szCs w:val="22"/>
                <w:u w:val="single"/>
              </w:rPr>
            </w:pPr>
          </w:p>
          <w:p w14:paraId="7C3324A6" w14:textId="77777777" w:rsidR="00544815" w:rsidRPr="008518AD" w:rsidRDefault="00016F29" w:rsidP="008919D7">
            <w:pPr>
              <w:pStyle w:val="Default"/>
              <w:spacing w:after="120"/>
              <w:jc w:val="center"/>
              <w:rPr>
                <w:b/>
                <w:bCs/>
                <w:color w:val="auto"/>
                <w:sz w:val="22"/>
                <w:szCs w:val="22"/>
              </w:rPr>
            </w:pPr>
            <w:r w:rsidRPr="008518AD">
              <w:rPr>
                <w:b/>
                <w:bCs/>
                <w:color w:val="auto"/>
                <w:sz w:val="22"/>
                <w:szCs w:val="22"/>
              </w:rPr>
              <w:t>Why have I been given this card?</w:t>
            </w:r>
          </w:p>
          <w:p w14:paraId="7C3324A7" w14:textId="77777777" w:rsidR="00544815" w:rsidRPr="008518AD" w:rsidRDefault="00016F29" w:rsidP="008919D7">
            <w:pPr>
              <w:pStyle w:val="LUTOnormaltext"/>
              <w:tabs>
                <w:tab w:val="left" w:pos="8080"/>
              </w:tabs>
              <w:ind w:left="426" w:right="70"/>
              <w:rPr>
                <w:rFonts w:cs="Times New Roman"/>
                <w:szCs w:val="22"/>
              </w:rPr>
            </w:pPr>
            <w:r w:rsidRPr="008518AD">
              <w:rPr>
                <w:rFonts w:cs="Times New Roman"/>
                <w:szCs w:val="22"/>
              </w:rPr>
              <w:t>This medicine may make you more likely to get infections. This card tells you:</w:t>
            </w:r>
          </w:p>
          <w:p w14:paraId="7C3324A8" w14:textId="77777777" w:rsidR="00544815" w:rsidRPr="008518AD" w:rsidRDefault="00016F29" w:rsidP="008919D7">
            <w:pPr>
              <w:pStyle w:val="LUTOnormaltext"/>
              <w:keepNext/>
              <w:keepLines/>
              <w:ind w:left="720" w:right="72" w:hanging="288"/>
              <w:rPr>
                <w:rFonts w:cs="Times New Roman"/>
                <w:szCs w:val="22"/>
              </w:rPr>
            </w:pPr>
            <w:r w:rsidRPr="00550F18">
              <w:rPr>
                <w:rFonts w:ascii="Symbol" w:hAnsi="Symbol"/>
              </w:rPr>
              <w:sym w:font="Symbol" w:char="F0B7"/>
            </w:r>
            <w:r w:rsidRPr="008518AD">
              <w:rPr>
                <w:rFonts w:cs="Times New Roman"/>
                <w:b/>
                <w:szCs w:val="22"/>
              </w:rPr>
              <w:tab/>
            </w:r>
            <w:r w:rsidRPr="008518AD">
              <w:rPr>
                <w:rFonts w:cs="Times New Roman"/>
                <w:szCs w:val="22"/>
              </w:rPr>
              <w:t>What you need to know before having MabThera</w:t>
            </w:r>
          </w:p>
          <w:p w14:paraId="7C3324A9" w14:textId="77777777" w:rsidR="00544815" w:rsidRPr="008518AD" w:rsidRDefault="00016F29" w:rsidP="008919D7">
            <w:pPr>
              <w:pStyle w:val="LUTOnormaltext"/>
              <w:keepNext/>
              <w:keepLines/>
              <w:ind w:left="720" w:right="72" w:hanging="288"/>
              <w:rPr>
                <w:rFonts w:cs="Times New Roman"/>
                <w:szCs w:val="22"/>
              </w:rPr>
            </w:pPr>
            <w:r w:rsidRPr="00550F18">
              <w:rPr>
                <w:rFonts w:ascii="Symbol" w:hAnsi="Symbol"/>
              </w:rPr>
              <w:sym w:font="Symbol" w:char="F0B7"/>
            </w:r>
            <w:r w:rsidRPr="008518AD">
              <w:rPr>
                <w:rFonts w:cs="Times New Roman"/>
                <w:b/>
                <w:szCs w:val="22"/>
              </w:rPr>
              <w:tab/>
            </w:r>
            <w:r w:rsidRPr="008518AD">
              <w:rPr>
                <w:rFonts w:cs="Times New Roman"/>
                <w:szCs w:val="22"/>
              </w:rPr>
              <w:t xml:space="preserve">What the signs of an infection are </w:t>
            </w:r>
          </w:p>
          <w:p w14:paraId="7C3324AA" w14:textId="77777777" w:rsidR="00544815" w:rsidRPr="008518AD" w:rsidRDefault="00016F29" w:rsidP="008919D7">
            <w:pPr>
              <w:pStyle w:val="LUTOnormaltext"/>
              <w:keepNext/>
              <w:keepLines/>
              <w:ind w:left="720" w:right="72" w:hanging="288"/>
              <w:rPr>
                <w:rFonts w:cs="Times New Roman"/>
                <w:szCs w:val="22"/>
              </w:rPr>
            </w:pPr>
            <w:r w:rsidRPr="00550F18">
              <w:rPr>
                <w:rFonts w:ascii="Symbol" w:hAnsi="Symbol"/>
              </w:rPr>
              <w:sym w:font="Symbol" w:char="F0B7"/>
            </w:r>
            <w:r w:rsidRPr="008518AD">
              <w:rPr>
                <w:rFonts w:cs="Times New Roman"/>
                <w:b/>
                <w:szCs w:val="22"/>
              </w:rPr>
              <w:tab/>
            </w:r>
            <w:r w:rsidRPr="008518AD">
              <w:rPr>
                <w:rFonts w:cs="Times New Roman"/>
                <w:szCs w:val="22"/>
              </w:rPr>
              <w:t>What to do if you think you might be getting an infection.</w:t>
            </w:r>
          </w:p>
          <w:p w14:paraId="7C3324AB" w14:textId="77777777" w:rsidR="00544815" w:rsidRPr="008518AD" w:rsidRDefault="00016F29" w:rsidP="008919D7">
            <w:pPr>
              <w:pStyle w:val="LUTOnormaltext"/>
              <w:tabs>
                <w:tab w:val="left" w:pos="8080"/>
              </w:tabs>
              <w:ind w:left="426" w:right="70"/>
              <w:rPr>
                <w:rFonts w:cs="Times New Roman"/>
                <w:szCs w:val="22"/>
              </w:rPr>
            </w:pPr>
            <w:r w:rsidRPr="008518AD">
              <w:rPr>
                <w:rFonts w:cs="Times New Roman"/>
                <w:szCs w:val="22"/>
              </w:rPr>
              <w:t>It also includes your name and doctor’s name and phone number on the back.</w:t>
            </w:r>
          </w:p>
          <w:p w14:paraId="7C3324AC" w14:textId="77777777" w:rsidR="00544815" w:rsidRPr="008518AD" w:rsidRDefault="00016F29" w:rsidP="008919D7">
            <w:pPr>
              <w:pStyle w:val="LUTOnormaltext"/>
              <w:spacing w:before="240"/>
              <w:ind w:left="0" w:right="68"/>
              <w:jc w:val="center"/>
              <w:rPr>
                <w:rFonts w:cs="Times New Roman"/>
                <w:b/>
                <w:szCs w:val="22"/>
              </w:rPr>
            </w:pPr>
            <w:r w:rsidRPr="008518AD">
              <w:rPr>
                <w:rFonts w:cs="Times New Roman"/>
                <w:b/>
                <w:szCs w:val="22"/>
              </w:rPr>
              <w:t>What should I do with this card?</w:t>
            </w:r>
          </w:p>
          <w:p w14:paraId="7C3324AD" w14:textId="77777777" w:rsidR="00544815" w:rsidRPr="008518AD" w:rsidRDefault="00016F29" w:rsidP="008919D7">
            <w:pPr>
              <w:pStyle w:val="LUTOnormaltext"/>
              <w:keepNext/>
              <w:keepLines/>
              <w:tabs>
                <w:tab w:val="left" w:pos="570"/>
              </w:tabs>
              <w:ind w:left="576" w:right="634" w:hanging="288"/>
              <w:rPr>
                <w:rFonts w:cs="Times New Roman"/>
                <w:szCs w:val="22"/>
              </w:rPr>
            </w:pPr>
            <w:r w:rsidRPr="00550F18">
              <w:rPr>
                <w:rFonts w:ascii="Symbol" w:hAnsi="Symbol"/>
              </w:rPr>
              <w:sym w:font="Symbol" w:char="F0B7"/>
            </w:r>
            <w:r w:rsidRPr="008518AD">
              <w:rPr>
                <w:rFonts w:cs="Times New Roman"/>
                <w:b/>
                <w:szCs w:val="22"/>
              </w:rPr>
              <w:tab/>
            </w:r>
            <w:r w:rsidRPr="008518AD">
              <w:rPr>
                <w:rFonts w:cs="Times New Roman"/>
                <w:szCs w:val="22"/>
              </w:rPr>
              <w:t>Keep this card with you all the time </w:t>
            </w:r>
            <w:r w:rsidR="000A6DDA" w:rsidRPr="008518AD">
              <w:rPr>
                <w:rFonts w:cs="Times New Roman"/>
                <w:szCs w:val="22"/>
              </w:rPr>
              <w:noBreakHyphen/>
            </w:r>
            <w:r w:rsidRPr="008518AD">
              <w:rPr>
                <w:rFonts w:cs="Times New Roman"/>
                <w:szCs w:val="22"/>
              </w:rPr>
              <w:t> such as in your wallet or purse.</w:t>
            </w:r>
          </w:p>
          <w:p w14:paraId="7C3324AE" w14:textId="77777777" w:rsidR="00544815" w:rsidRPr="008518AD" w:rsidRDefault="00016F29" w:rsidP="008919D7">
            <w:pPr>
              <w:pStyle w:val="LUTOnormaltext"/>
              <w:keepNext/>
              <w:keepLines/>
              <w:tabs>
                <w:tab w:val="left" w:pos="570"/>
              </w:tabs>
              <w:ind w:left="576" w:right="72" w:hanging="288"/>
              <w:rPr>
                <w:rFonts w:cs="Times New Roman"/>
                <w:szCs w:val="22"/>
              </w:rPr>
            </w:pPr>
            <w:r w:rsidRPr="00550F18">
              <w:rPr>
                <w:rFonts w:ascii="Symbol" w:hAnsi="Symbol"/>
              </w:rPr>
              <w:sym w:font="Symbol" w:char="F0B7"/>
            </w:r>
            <w:r w:rsidRPr="008518AD">
              <w:rPr>
                <w:rFonts w:cs="Times New Roman"/>
                <w:b/>
                <w:szCs w:val="22"/>
              </w:rPr>
              <w:tab/>
            </w:r>
            <w:r w:rsidRPr="008518AD">
              <w:rPr>
                <w:rFonts w:cs="Times New Roman"/>
                <w:szCs w:val="22"/>
              </w:rPr>
              <w:t xml:space="preserve">Show this card to any doctor, nurse or dentist you see </w:t>
            </w:r>
            <w:r w:rsidR="000A6DDA" w:rsidRPr="008518AD">
              <w:rPr>
                <w:rFonts w:cs="Times New Roman"/>
                <w:szCs w:val="22"/>
              </w:rPr>
              <w:noBreakHyphen/>
            </w:r>
            <w:r w:rsidRPr="008518AD">
              <w:rPr>
                <w:rFonts w:cs="Times New Roman"/>
                <w:szCs w:val="22"/>
              </w:rPr>
              <w:t xml:space="preserve"> not just the specialist who prescribes your MabThera.</w:t>
            </w:r>
          </w:p>
          <w:p w14:paraId="7C3324AF" w14:textId="77777777" w:rsidR="00544815" w:rsidRPr="008518AD" w:rsidRDefault="00016F29" w:rsidP="008919D7">
            <w:pPr>
              <w:pStyle w:val="LUTOnormaltext"/>
              <w:tabs>
                <w:tab w:val="left" w:pos="284"/>
                <w:tab w:val="left" w:pos="8080"/>
              </w:tabs>
              <w:ind w:left="284" w:right="212"/>
              <w:rPr>
                <w:rFonts w:cs="Times New Roman"/>
                <w:szCs w:val="22"/>
              </w:rPr>
            </w:pPr>
            <w:r w:rsidRPr="008518AD">
              <w:rPr>
                <w:rFonts w:cs="Times New Roman"/>
                <w:szCs w:val="22"/>
              </w:rPr>
              <w:t>Keep this card with you for 2 years after your last dose of MabThera. This is because side effects can develop several months after you have had treatment.</w:t>
            </w:r>
          </w:p>
          <w:p w14:paraId="7C3324B0" w14:textId="77777777" w:rsidR="00544815" w:rsidRPr="008518AD" w:rsidRDefault="00544815" w:rsidP="008919D7">
            <w:pPr>
              <w:pStyle w:val="Default"/>
              <w:spacing w:after="120"/>
              <w:jc w:val="center"/>
              <w:rPr>
                <w:b/>
                <w:bCs/>
                <w:color w:val="auto"/>
                <w:sz w:val="22"/>
                <w:szCs w:val="22"/>
                <w:u w:val="single"/>
              </w:rPr>
            </w:pPr>
          </w:p>
          <w:p w14:paraId="7C3324B1" w14:textId="77777777" w:rsidR="00544815" w:rsidRPr="008518AD" w:rsidRDefault="00016F29" w:rsidP="008919D7">
            <w:pPr>
              <w:pStyle w:val="Default"/>
              <w:spacing w:after="120"/>
              <w:jc w:val="center"/>
              <w:rPr>
                <w:b/>
                <w:color w:val="auto"/>
                <w:sz w:val="22"/>
                <w:szCs w:val="22"/>
              </w:rPr>
            </w:pPr>
            <w:r w:rsidRPr="008518AD">
              <w:rPr>
                <w:b/>
                <w:color w:val="auto"/>
                <w:sz w:val="22"/>
                <w:szCs w:val="22"/>
              </w:rPr>
              <w:t>When should I not have MabThera?</w:t>
            </w:r>
          </w:p>
          <w:p w14:paraId="7C3324B2" w14:textId="77777777" w:rsidR="00544815" w:rsidRPr="008518AD" w:rsidRDefault="00016F29" w:rsidP="008919D7">
            <w:pPr>
              <w:pStyle w:val="Default"/>
              <w:spacing w:after="120"/>
              <w:ind w:left="284"/>
              <w:rPr>
                <w:color w:val="auto"/>
                <w:sz w:val="22"/>
                <w:szCs w:val="22"/>
              </w:rPr>
            </w:pPr>
            <w:r w:rsidRPr="008518AD">
              <w:rPr>
                <w:color w:val="auto"/>
                <w:sz w:val="22"/>
                <w:szCs w:val="22"/>
              </w:rPr>
              <w:t>Do not have MabThera if you have an active infection or a serious problem with your immune system.</w:t>
            </w:r>
          </w:p>
          <w:p w14:paraId="7C3324B3" w14:textId="77777777" w:rsidR="00544815" w:rsidRPr="008518AD" w:rsidRDefault="00016F29" w:rsidP="008919D7">
            <w:pPr>
              <w:pStyle w:val="Default"/>
              <w:spacing w:after="120"/>
              <w:ind w:left="284"/>
              <w:rPr>
                <w:color w:val="auto"/>
                <w:sz w:val="22"/>
                <w:szCs w:val="22"/>
              </w:rPr>
            </w:pPr>
            <w:r w:rsidRPr="008518AD">
              <w:rPr>
                <w:color w:val="auto"/>
                <w:sz w:val="22"/>
                <w:szCs w:val="22"/>
              </w:rPr>
              <w:t>Tell your doctor or nurse if you are taking or have previously taken medicines which may affect your immune system this includes chemo</w:t>
            </w:r>
            <w:r w:rsidR="000A6DDA" w:rsidRPr="008518AD">
              <w:rPr>
                <w:color w:val="auto"/>
                <w:sz w:val="22"/>
                <w:szCs w:val="22"/>
              </w:rPr>
              <w:noBreakHyphen/>
            </w:r>
            <w:r w:rsidRPr="008518AD">
              <w:rPr>
                <w:color w:val="auto"/>
                <w:sz w:val="22"/>
                <w:szCs w:val="22"/>
              </w:rPr>
              <w:t>therapy.</w:t>
            </w:r>
          </w:p>
          <w:p w14:paraId="7C3324B4" w14:textId="77777777" w:rsidR="00544815" w:rsidRPr="008518AD" w:rsidRDefault="00544815" w:rsidP="008919D7">
            <w:pPr>
              <w:pStyle w:val="Default"/>
              <w:spacing w:after="120"/>
              <w:jc w:val="center"/>
              <w:rPr>
                <w:color w:val="auto"/>
                <w:sz w:val="22"/>
                <w:szCs w:val="22"/>
              </w:rPr>
            </w:pPr>
          </w:p>
          <w:p w14:paraId="7C3324B5" w14:textId="77777777" w:rsidR="00544815" w:rsidRPr="008518AD" w:rsidRDefault="00016F29" w:rsidP="008919D7">
            <w:pPr>
              <w:pStyle w:val="Default"/>
              <w:keepNext/>
              <w:keepLines/>
              <w:spacing w:after="120"/>
              <w:jc w:val="center"/>
              <w:rPr>
                <w:b/>
                <w:color w:val="auto"/>
                <w:sz w:val="22"/>
                <w:szCs w:val="22"/>
              </w:rPr>
            </w:pPr>
            <w:r w:rsidRPr="008518AD">
              <w:rPr>
                <w:b/>
                <w:color w:val="auto"/>
                <w:sz w:val="22"/>
                <w:szCs w:val="22"/>
              </w:rPr>
              <w:t>What are the signs of getting an infection?</w:t>
            </w:r>
          </w:p>
          <w:p w14:paraId="7C3324B6" w14:textId="77777777" w:rsidR="00544815" w:rsidRPr="008518AD" w:rsidRDefault="00016F29" w:rsidP="008919D7">
            <w:pPr>
              <w:pStyle w:val="LUTOnormaltext"/>
              <w:keepNext/>
              <w:keepLines/>
              <w:tabs>
                <w:tab w:val="left" w:pos="8080"/>
              </w:tabs>
              <w:spacing w:after="0"/>
              <w:ind w:left="425" w:right="68"/>
              <w:rPr>
                <w:rFonts w:cs="Times New Roman"/>
                <w:szCs w:val="22"/>
              </w:rPr>
            </w:pPr>
            <w:r w:rsidRPr="008518AD">
              <w:rPr>
                <w:rFonts w:cs="Times New Roman"/>
                <w:szCs w:val="22"/>
              </w:rPr>
              <w:t>Look out for the following possible signs of infection:</w:t>
            </w:r>
          </w:p>
          <w:p w14:paraId="7C3324B7" w14:textId="77777777" w:rsidR="00544815" w:rsidRPr="008518AD" w:rsidRDefault="00016F29" w:rsidP="008919D7">
            <w:pPr>
              <w:pStyle w:val="LUTOnormaltext"/>
              <w:keepNext/>
              <w:keepLines/>
              <w:spacing w:after="0"/>
              <w:ind w:left="720" w:right="72" w:hanging="288"/>
              <w:rPr>
                <w:rFonts w:cs="Times New Roman"/>
                <w:szCs w:val="22"/>
              </w:rPr>
            </w:pPr>
            <w:r w:rsidRPr="00550F18">
              <w:rPr>
                <w:rFonts w:ascii="Symbol" w:hAnsi="Symbol"/>
              </w:rPr>
              <w:sym w:font="Symbol" w:char="F0B7"/>
            </w:r>
            <w:r w:rsidRPr="008518AD">
              <w:rPr>
                <w:rFonts w:cs="Times New Roman"/>
                <w:b/>
                <w:szCs w:val="22"/>
              </w:rPr>
              <w:tab/>
            </w:r>
            <w:r w:rsidRPr="008518AD">
              <w:rPr>
                <w:rFonts w:cs="Times New Roman"/>
                <w:szCs w:val="22"/>
              </w:rPr>
              <w:t xml:space="preserve">Fever or cough all the time </w:t>
            </w:r>
          </w:p>
          <w:p w14:paraId="7C3324B8" w14:textId="77777777" w:rsidR="00544815" w:rsidRPr="008518AD" w:rsidRDefault="00016F29" w:rsidP="008919D7">
            <w:pPr>
              <w:pStyle w:val="LUTOnormaltext"/>
              <w:keepNext/>
              <w:keepLines/>
              <w:spacing w:after="0"/>
              <w:ind w:left="720" w:right="72" w:hanging="288"/>
              <w:rPr>
                <w:rFonts w:cs="Times New Roman"/>
                <w:szCs w:val="22"/>
              </w:rPr>
            </w:pPr>
            <w:r w:rsidRPr="00550F18">
              <w:rPr>
                <w:rFonts w:ascii="Symbol" w:hAnsi="Symbol"/>
              </w:rPr>
              <w:sym w:font="Symbol" w:char="F0B7"/>
            </w:r>
            <w:r w:rsidRPr="008518AD">
              <w:rPr>
                <w:rFonts w:cs="Times New Roman"/>
                <w:b/>
                <w:szCs w:val="22"/>
              </w:rPr>
              <w:tab/>
            </w:r>
            <w:r w:rsidRPr="008518AD">
              <w:rPr>
                <w:rFonts w:cs="Times New Roman"/>
                <w:szCs w:val="22"/>
              </w:rPr>
              <w:t>Weight loss</w:t>
            </w:r>
          </w:p>
          <w:p w14:paraId="7C3324B9" w14:textId="77777777" w:rsidR="00544815" w:rsidRPr="008518AD" w:rsidRDefault="00016F29" w:rsidP="008919D7">
            <w:pPr>
              <w:pStyle w:val="LUTOnormaltext"/>
              <w:keepNext/>
              <w:keepLines/>
              <w:spacing w:after="0"/>
              <w:ind w:left="720" w:right="72" w:hanging="288"/>
              <w:rPr>
                <w:rFonts w:cs="Times New Roman"/>
                <w:szCs w:val="22"/>
              </w:rPr>
            </w:pPr>
            <w:r w:rsidRPr="00550F18">
              <w:rPr>
                <w:rFonts w:ascii="Symbol" w:hAnsi="Symbol"/>
              </w:rPr>
              <w:sym w:font="Symbol" w:char="F0B7"/>
            </w:r>
            <w:r w:rsidRPr="008518AD">
              <w:rPr>
                <w:rFonts w:cs="Times New Roman"/>
                <w:b/>
                <w:szCs w:val="22"/>
              </w:rPr>
              <w:tab/>
            </w:r>
            <w:r w:rsidRPr="008518AD">
              <w:rPr>
                <w:rFonts w:cs="Times New Roman"/>
                <w:szCs w:val="22"/>
              </w:rPr>
              <w:t>Pain without injuring yourself</w:t>
            </w:r>
          </w:p>
          <w:p w14:paraId="7C3324BA" w14:textId="77777777" w:rsidR="00544815" w:rsidRPr="008518AD" w:rsidRDefault="00016F29" w:rsidP="008919D7">
            <w:pPr>
              <w:pStyle w:val="LUTOnormaltext"/>
              <w:keepNext/>
              <w:keepLines/>
              <w:spacing w:after="0"/>
              <w:ind w:left="720" w:right="72" w:hanging="288"/>
              <w:rPr>
                <w:rFonts w:cs="Times New Roman"/>
                <w:szCs w:val="22"/>
              </w:rPr>
            </w:pPr>
            <w:r w:rsidRPr="00550F18">
              <w:rPr>
                <w:rFonts w:ascii="Symbol" w:hAnsi="Symbol"/>
              </w:rPr>
              <w:sym w:font="Symbol" w:char="F0B7"/>
            </w:r>
            <w:r w:rsidRPr="008518AD">
              <w:rPr>
                <w:rFonts w:cs="Times New Roman"/>
                <w:b/>
                <w:szCs w:val="22"/>
              </w:rPr>
              <w:tab/>
            </w:r>
            <w:r w:rsidRPr="008518AD">
              <w:rPr>
                <w:rFonts w:cs="Times New Roman"/>
                <w:szCs w:val="22"/>
              </w:rPr>
              <w:t>Feeling generally unwell or listless.</w:t>
            </w:r>
          </w:p>
          <w:p w14:paraId="7C3324BB" w14:textId="77777777" w:rsidR="00544815" w:rsidRPr="008518AD" w:rsidRDefault="00016F29" w:rsidP="008919D7">
            <w:pPr>
              <w:pStyle w:val="LUTOnormaltext"/>
              <w:tabs>
                <w:tab w:val="left" w:pos="8080"/>
              </w:tabs>
              <w:spacing w:before="120" w:after="0"/>
              <w:ind w:left="425" w:right="68"/>
              <w:rPr>
                <w:rFonts w:cs="Times New Roman"/>
                <w:b/>
                <w:szCs w:val="22"/>
              </w:rPr>
            </w:pPr>
            <w:r w:rsidRPr="008518AD">
              <w:rPr>
                <w:rFonts w:cs="Times New Roman"/>
                <w:b/>
                <w:szCs w:val="22"/>
              </w:rPr>
              <w:t>If you get any of these, tell a doctor or nurse straight away.</w:t>
            </w:r>
          </w:p>
          <w:p w14:paraId="7C3324BC" w14:textId="77777777" w:rsidR="00544815" w:rsidRPr="008518AD" w:rsidRDefault="00016F29" w:rsidP="008919D7">
            <w:pPr>
              <w:pStyle w:val="Default"/>
              <w:spacing w:after="120"/>
              <w:jc w:val="center"/>
              <w:rPr>
                <w:b/>
                <w:bCs/>
                <w:color w:val="auto"/>
                <w:sz w:val="22"/>
                <w:szCs w:val="22"/>
                <w:u w:val="single"/>
              </w:rPr>
            </w:pPr>
            <w:r w:rsidRPr="008518AD">
              <w:rPr>
                <w:b/>
                <w:color w:val="auto"/>
                <w:sz w:val="22"/>
                <w:szCs w:val="22"/>
              </w:rPr>
              <w:t>You should also tell them about your MabThera treatment.</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14:paraId="7C3324BD" w14:textId="77777777" w:rsidR="00544815" w:rsidRPr="008518AD" w:rsidRDefault="00016F29" w:rsidP="008919D7">
            <w:pPr>
              <w:pStyle w:val="Default"/>
              <w:spacing w:after="120"/>
              <w:jc w:val="center"/>
              <w:rPr>
                <w:b/>
                <w:color w:val="auto"/>
                <w:sz w:val="22"/>
                <w:szCs w:val="22"/>
              </w:rPr>
            </w:pPr>
            <w:r w:rsidRPr="008518AD">
              <w:rPr>
                <w:b/>
                <w:color w:val="auto"/>
                <w:sz w:val="22"/>
                <w:szCs w:val="22"/>
              </w:rPr>
              <w:t>What else do I need to know?</w:t>
            </w:r>
          </w:p>
          <w:p w14:paraId="7C3324BE" w14:textId="77777777" w:rsidR="00544815" w:rsidRPr="008518AD" w:rsidRDefault="00016F29" w:rsidP="008919D7">
            <w:pPr>
              <w:pStyle w:val="LUTOnormaltext"/>
              <w:keepNext/>
              <w:keepLines/>
              <w:tabs>
                <w:tab w:val="left" w:pos="4624"/>
                <w:tab w:val="left" w:pos="8080"/>
              </w:tabs>
              <w:ind w:left="426" w:right="96"/>
              <w:rPr>
                <w:rFonts w:cs="Times New Roman"/>
                <w:szCs w:val="22"/>
              </w:rPr>
            </w:pPr>
            <w:r w:rsidRPr="008518AD">
              <w:rPr>
                <w:rFonts w:cs="Times New Roman"/>
                <w:szCs w:val="22"/>
              </w:rPr>
              <w:t xml:space="preserve">Rarely MabThera can cause a serious brain infection, called “Progressive Multifocal Leukoencephalopathy” or PML. This can be fatal. </w:t>
            </w:r>
          </w:p>
          <w:p w14:paraId="7C3324BF" w14:textId="77777777" w:rsidR="00544815" w:rsidRPr="008518AD" w:rsidRDefault="00016F29" w:rsidP="008919D7">
            <w:pPr>
              <w:pStyle w:val="LUTOnormaltext"/>
              <w:keepNext/>
              <w:keepLines/>
              <w:spacing w:after="0"/>
              <w:ind w:left="425" w:right="68"/>
              <w:rPr>
                <w:rFonts w:cs="Times New Roman"/>
                <w:szCs w:val="22"/>
              </w:rPr>
            </w:pPr>
            <w:r w:rsidRPr="00E06A78">
              <w:rPr>
                <w:rFonts w:ascii="Symbol" w:hAnsi="Symbol"/>
              </w:rPr>
              <w:sym w:font="Symbol" w:char="F0B7"/>
            </w:r>
            <w:r w:rsidRPr="008518AD">
              <w:rPr>
                <w:rFonts w:cs="Times New Roman"/>
                <w:b/>
                <w:szCs w:val="22"/>
              </w:rPr>
              <w:tab/>
            </w:r>
            <w:r w:rsidRPr="008518AD">
              <w:rPr>
                <w:rFonts w:cs="Times New Roman"/>
                <w:szCs w:val="22"/>
              </w:rPr>
              <w:t xml:space="preserve">Signs of PML include: </w:t>
            </w:r>
          </w:p>
          <w:p w14:paraId="7C3324C0" w14:textId="77777777" w:rsidR="00544815" w:rsidRPr="008518AD" w:rsidRDefault="00016F29" w:rsidP="008919D7">
            <w:pPr>
              <w:pStyle w:val="LUTOnormaltext"/>
              <w:keepNext/>
              <w:keepLines/>
              <w:tabs>
                <w:tab w:val="left" w:pos="851"/>
              </w:tabs>
              <w:spacing w:after="0"/>
              <w:ind w:left="1282" w:right="72" w:hanging="288"/>
              <w:rPr>
                <w:rFonts w:cs="Times New Roman"/>
                <w:szCs w:val="22"/>
              </w:rPr>
            </w:pPr>
            <w:r w:rsidRPr="008518AD">
              <w:rPr>
                <w:rFonts w:cs="Times New Roman"/>
                <w:szCs w:val="22"/>
              </w:rPr>
              <w:noBreakHyphen/>
            </w:r>
            <w:r w:rsidRPr="008518AD">
              <w:rPr>
                <w:rFonts w:cs="Times New Roman"/>
                <w:b/>
                <w:szCs w:val="22"/>
              </w:rPr>
              <w:tab/>
            </w:r>
            <w:r w:rsidRPr="008518AD">
              <w:rPr>
                <w:rFonts w:cs="Times New Roman"/>
                <w:szCs w:val="22"/>
              </w:rPr>
              <w:t>Confusion, memory loss or problems thinking</w:t>
            </w:r>
          </w:p>
          <w:p w14:paraId="7C3324C1" w14:textId="77777777" w:rsidR="00544815" w:rsidRPr="008518AD" w:rsidRDefault="00016F29" w:rsidP="008919D7">
            <w:pPr>
              <w:pStyle w:val="LUTOnormaltext"/>
              <w:keepNext/>
              <w:keepLines/>
              <w:tabs>
                <w:tab w:val="left" w:pos="851"/>
              </w:tabs>
              <w:spacing w:after="0"/>
              <w:ind w:left="1282" w:right="72" w:hanging="288"/>
              <w:rPr>
                <w:rFonts w:cs="Times New Roman"/>
                <w:szCs w:val="22"/>
              </w:rPr>
            </w:pPr>
            <w:r w:rsidRPr="008518AD">
              <w:rPr>
                <w:rFonts w:cs="Times New Roman"/>
                <w:szCs w:val="22"/>
              </w:rPr>
              <w:noBreakHyphen/>
            </w:r>
            <w:r w:rsidRPr="008518AD">
              <w:rPr>
                <w:rFonts w:cs="Times New Roman"/>
                <w:b/>
                <w:szCs w:val="22"/>
              </w:rPr>
              <w:tab/>
            </w:r>
            <w:r w:rsidRPr="008518AD">
              <w:rPr>
                <w:rFonts w:cs="Times New Roman"/>
                <w:szCs w:val="22"/>
              </w:rPr>
              <w:t>Loss of balance or a change in the way you walk or talk</w:t>
            </w:r>
          </w:p>
          <w:p w14:paraId="7C3324C2" w14:textId="77777777" w:rsidR="00544815" w:rsidRPr="008518AD" w:rsidRDefault="00016F29" w:rsidP="008919D7">
            <w:pPr>
              <w:pStyle w:val="LUTOnormaltext"/>
              <w:keepNext/>
              <w:keepLines/>
              <w:tabs>
                <w:tab w:val="left" w:pos="851"/>
              </w:tabs>
              <w:spacing w:after="0"/>
              <w:ind w:left="1282" w:right="72" w:hanging="288"/>
              <w:rPr>
                <w:rFonts w:cs="Times New Roman"/>
                <w:szCs w:val="22"/>
              </w:rPr>
            </w:pPr>
            <w:r w:rsidRPr="008518AD">
              <w:rPr>
                <w:rFonts w:cs="Times New Roman"/>
                <w:szCs w:val="22"/>
              </w:rPr>
              <w:noBreakHyphen/>
            </w:r>
            <w:r w:rsidRPr="008518AD">
              <w:rPr>
                <w:rFonts w:cs="Times New Roman"/>
                <w:b/>
                <w:szCs w:val="22"/>
              </w:rPr>
              <w:tab/>
            </w:r>
            <w:r w:rsidRPr="008518AD">
              <w:rPr>
                <w:rFonts w:cs="Times New Roman"/>
                <w:szCs w:val="22"/>
              </w:rPr>
              <w:t>Decreased strength or weakness on one side of your body</w:t>
            </w:r>
          </w:p>
          <w:p w14:paraId="7C3324C3" w14:textId="77777777" w:rsidR="00544815" w:rsidRPr="008518AD" w:rsidRDefault="00016F29" w:rsidP="008919D7">
            <w:pPr>
              <w:pStyle w:val="LUTOnormaltext"/>
              <w:keepNext/>
              <w:keepLines/>
              <w:tabs>
                <w:tab w:val="left" w:pos="851"/>
              </w:tabs>
              <w:spacing w:after="0"/>
              <w:ind w:left="1282" w:right="72" w:hanging="288"/>
              <w:rPr>
                <w:rFonts w:cs="Times New Roman"/>
                <w:szCs w:val="22"/>
              </w:rPr>
            </w:pPr>
            <w:r w:rsidRPr="008518AD">
              <w:rPr>
                <w:rFonts w:cs="Times New Roman"/>
                <w:szCs w:val="22"/>
              </w:rPr>
              <w:noBreakHyphen/>
            </w:r>
            <w:r w:rsidRPr="008518AD">
              <w:rPr>
                <w:rFonts w:cs="Times New Roman"/>
                <w:b/>
                <w:szCs w:val="22"/>
              </w:rPr>
              <w:tab/>
            </w:r>
            <w:r w:rsidRPr="008518AD">
              <w:rPr>
                <w:rFonts w:cs="Times New Roman"/>
                <w:szCs w:val="22"/>
              </w:rPr>
              <w:t>Blurred vision or loss of vision.</w:t>
            </w:r>
          </w:p>
          <w:p w14:paraId="7C3324C4" w14:textId="77777777" w:rsidR="00544815" w:rsidRPr="008518AD" w:rsidRDefault="00544815" w:rsidP="008919D7">
            <w:pPr>
              <w:pStyle w:val="LUTOnormaltext"/>
              <w:keepNext/>
              <w:keepLines/>
              <w:tabs>
                <w:tab w:val="left" w:pos="851"/>
              </w:tabs>
              <w:spacing w:after="0"/>
              <w:ind w:left="371" w:right="68" w:firstLine="905"/>
              <w:rPr>
                <w:rFonts w:cs="Times New Roman"/>
                <w:szCs w:val="22"/>
              </w:rPr>
            </w:pPr>
          </w:p>
          <w:p w14:paraId="7C3324C5" w14:textId="77777777" w:rsidR="00544815" w:rsidRPr="008518AD" w:rsidRDefault="00016F29" w:rsidP="008919D7">
            <w:pPr>
              <w:pStyle w:val="LUTOnormaltext"/>
              <w:keepNext/>
              <w:keepLines/>
              <w:tabs>
                <w:tab w:val="left" w:pos="851"/>
              </w:tabs>
              <w:spacing w:after="0"/>
              <w:ind w:left="371" w:right="68"/>
              <w:rPr>
                <w:rFonts w:cs="Times New Roman"/>
                <w:szCs w:val="22"/>
              </w:rPr>
            </w:pPr>
            <w:r w:rsidRPr="008518AD">
              <w:rPr>
                <w:rFonts w:cs="Times New Roman"/>
                <w:szCs w:val="22"/>
              </w:rPr>
              <w:t>If you get any of these, tell a doctor or nurse straight away. You should also tell them about your MabThera treatment.</w:t>
            </w:r>
          </w:p>
          <w:p w14:paraId="7C3324C6" w14:textId="77777777" w:rsidR="00544815" w:rsidRPr="008518AD" w:rsidRDefault="00544815" w:rsidP="008919D7">
            <w:pPr>
              <w:pStyle w:val="LUTOnormaltext"/>
              <w:keepNext/>
              <w:keepLines/>
              <w:tabs>
                <w:tab w:val="left" w:pos="851"/>
              </w:tabs>
              <w:spacing w:after="0"/>
              <w:ind w:left="371" w:right="68"/>
              <w:rPr>
                <w:rFonts w:cs="Times New Roman"/>
                <w:szCs w:val="22"/>
              </w:rPr>
            </w:pPr>
          </w:p>
          <w:p w14:paraId="7C3324C7" w14:textId="77777777" w:rsidR="00544815" w:rsidRPr="008518AD" w:rsidRDefault="00016F29" w:rsidP="008919D7">
            <w:pPr>
              <w:pStyle w:val="LUTOnormaltext"/>
              <w:keepNext/>
              <w:keepLines/>
              <w:ind w:left="371"/>
              <w:jc w:val="center"/>
              <w:rPr>
                <w:rFonts w:cs="Times New Roman"/>
                <w:b/>
                <w:szCs w:val="22"/>
              </w:rPr>
            </w:pPr>
            <w:r w:rsidRPr="008518AD">
              <w:rPr>
                <w:rFonts w:cs="Times New Roman"/>
                <w:b/>
                <w:szCs w:val="22"/>
              </w:rPr>
              <w:t>Where can I get more information?</w:t>
            </w:r>
          </w:p>
          <w:p w14:paraId="7C3324C8" w14:textId="77777777" w:rsidR="00544815" w:rsidRPr="008518AD" w:rsidRDefault="00016F29" w:rsidP="008919D7">
            <w:pPr>
              <w:pStyle w:val="LUTOnormaltext"/>
              <w:keepNext/>
              <w:keepLines/>
              <w:ind w:left="371"/>
              <w:rPr>
                <w:rFonts w:cs="Times New Roman"/>
                <w:b/>
                <w:szCs w:val="22"/>
              </w:rPr>
            </w:pPr>
            <w:r w:rsidRPr="008518AD">
              <w:rPr>
                <w:rFonts w:cs="Times New Roman"/>
                <w:szCs w:val="22"/>
              </w:rPr>
              <w:t>See the MabThera package leaflet for more information.</w:t>
            </w:r>
          </w:p>
          <w:p w14:paraId="7C3324C9" w14:textId="77777777" w:rsidR="00544815" w:rsidRPr="008518AD" w:rsidRDefault="00016F29" w:rsidP="008919D7">
            <w:pPr>
              <w:pStyle w:val="LUTOnormaltext"/>
              <w:keepNext/>
              <w:keepLines/>
              <w:ind w:left="371"/>
              <w:rPr>
                <w:rFonts w:cs="Times New Roman"/>
                <w:b/>
                <w:szCs w:val="22"/>
              </w:rPr>
            </w:pPr>
            <w:r w:rsidRPr="008518AD">
              <w:rPr>
                <w:rFonts w:cs="Times New Roman"/>
                <w:b/>
                <w:szCs w:val="22"/>
              </w:rPr>
              <w:t xml:space="preserve">Treatment start date and contact details </w:t>
            </w:r>
          </w:p>
          <w:p w14:paraId="7C3324CA" w14:textId="77777777" w:rsidR="00544815" w:rsidRPr="008518AD" w:rsidRDefault="00016F29" w:rsidP="008919D7">
            <w:pPr>
              <w:pStyle w:val="LUTOnormaltext"/>
              <w:keepNext/>
              <w:keepLines/>
              <w:tabs>
                <w:tab w:val="left" w:pos="851"/>
              </w:tabs>
              <w:spacing w:after="0"/>
              <w:ind w:left="371" w:right="68"/>
              <w:rPr>
                <w:rFonts w:cs="Times New Roman"/>
                <w:szCs w:val="22"/>
              </w:rPr>
            </w:pPr>
            <w:r w:rsidRPr="008518AD">
              <w:rPr>
                <w:rFonts w:cs="Times New Roman"/>
                <w:szCs w:val="22"/>
              </w:rPr>
              <w:t>Date of most recent infusion: ____________</w:t>
            </w:r>
          </w:p>
          <w:p w14:paraId="7C3324CB" w14:textId="77777777" w:rsidR="00544815" w:rsidRPr="008518AD" w:rsidRDefault="00016F29" w:rsidP="008919D7">
            <w:pPr>
              <w:pStyle w:val="LUTOnormaltext"/>
              <w:keepNext/>
              <w:keepLines/>
              <w:tabs>
                <w:tab w:val="left" w:pos="851"/>
              </w:tabs>
              <w:spacing w:after="0"/>
              <w:ind w:left="371" w:right="68"/>
              <w:rPr>
                <w:rFonts w:cs="Times New Roman"/>
                <w:szCs w:val="22"/>
              </w:rPr>
            </w:pPr>
            <w:r w:rsidRPr="008518AD">
              <w:rPr>
                <w:rFonts w:cs="Times New Roman"/>
                <w:szCs w:val="22"/>
              </w:rPr>
              <w:t>Date of first infusion: ___________________</w:t>
            </w:r>
          </w:p>
          <w:p w14:paraId="7C3324CC" w14:textId="77777777" w:rsidR="00544815" w:rsidRPr="008518AD" w:rsidRDefault="00016F29" w:rsidP="008919D7">
            <w:pPr>
              <w:pStyle w:val="LUTOnormaltext"/>
              <w:keepNext/>
              <w:keepLines/>
              <w:tabs>
                <w:tab w:val="left" w:pos="851"/>
              </w:tabs>
              <w:spacing w:after="0"/>
              <w:ind w:left="371" w:right="68"/>
              <w:rPr>
                <w:rFonts w:cs="Times New Roman"/>
                <w:szCs w:val="22"/>
              </w:rPr>
            </w:pPr>
            <w:r w:rsidRPr="008518AD">
              <w:rPr>
                <w:rFonts w:cs="Times New Roman"/>
                <w:szCs w:val="22"/>
              </w:rPr>
              <w:t>Patient’s Name:________________________</w:t>
            </w:r>
          </w:p>
          <w:p w14:paraId="7C3324CD" w14:textId="77777777" w:rsidR="00544815" w:rsidRPr="008518AD" w:rsidRDefault="00016F29" w:rsidP="008919D7">
            <w:pPr>
              <w:pStyle w:val="LUTOnormaltext"/>
              <w:keepNext/>
              <w:keepLines/>
              <w:tabs>
                <w:tab w:val="left" w:pos="851"/>
              </w:tabs>
              <w:spacing w:after="0"/>
              <w:ind w:left="371" w:right="68"/>
              <w:rPr>
                <w:rFonts w:cs="Times New Roman"/>
                <w:szCs w:val="22"/>
              </w:rPr>
            </w:pPr>
            <w:r w:rsidRPr="008518AD">
              <w:rPr>
                <w:rFonts w:cs="Times New Roman"/>
                <w:szCs w:val="22"/>
              </w:rPr>
              <w:t>Doctor’s Name:________________________</w:t>
            </w:r>
          </w:p>
          <w:p w14:paraId="7C3324CE" w14:textId="77777777" w:rsidR="00544815" w:rsidRPr="008518AD" w:rsidRDefault="00016F29" w:rsidP="008919D7">
            <w:pPr>
              <w:pStyle w:val="LUTOnormaltext"/>
              <w:keepNext/>
              <w:keepLines/>
              <w:tabs>
                <w:tab w:val="left" w:pos="851"/>
              </w:tabs>
              <w:spacing w:after="0"/>
              <w:ind w:left="371" w:right="68"/>
              <w:rPr>
                <w:rFonts w:cs="Times New Roman"/>
                <w:szCs w:val="22"/>
              </w:rPr>
            </w:pPr>
            <w:r w:rsidRPr="008518AD">
              <w:rPr>
                <w:rFonts w:cs="Times New Roman"/>
                <w:szCs w:val="22"/>
              </w:rPr>
              <w:t>Doctor’s contact details:_________________</w:t>
            </w:r>
          </w:p>
          <w:p w14:paraId="7C3324CF" w14:textId="77777777" w:rsidR="00544815" w:rsidRPr="008518AD" w:rsidRDefault="00544815" w:rsidP="008919D7">
            <w:pPr>
              <w:pStyle w:val="LUTOnormaltext"/>
              <w:keepNext/>
              <w:keepLines/>
              <w:tabs>
                <w:tab w:val="left" w:pos="851"/>
              </w:tabs>
              <w:spacing w:after="0"/>
              <w:ind w:left="371" w:right="68"/>
              <w:rPr>
                <w:rFonts w:cs="Times New Roman"/>
                <w:b/>
                <w:szCs w:val="22"/>
              </w:rPr>
            </w:pPr>
          </w:p>
          <w:p w14:paraId="7C3324D0" w14:textId="77777777" w:rsidR="00544815" w:rsidRPr="008518AD" w:rsidRDefault="00016F29" w:rsidP="008919D7">
            <w:pPr>
              <w:pStyle w:val="LUTOnormaltext"/>
              <w:keepNext/>
              <w:keepLines/>
              <w:tabs>
                <w:tab w:val="left" w:pos="5387"/>
              </w:tabs>
              <w:ind w:left="371" w:right="-1"/>
              <w:rPr>
                <w:rFonts w:cs="Times New Roman"/>
                <w:szCs w:val="22"/>
              </w:rPr>
            </w:pPr>
            <w:r w:rsidRPr="008518AD">
              <w:rPr>
                <w:rFonts w:cs="Times New Roman"/>
                <w:szCs w:val="22"/>
              </w:rPr>
              <w:t xml:space="preserve">Make sure you have a list of all your medicines when you see a health care professional. </w:t>
            </w:r>
          </w:p>
          <w:p w14:paraId="7C3324D1" w14:textId="77777777" w:rsidR="00544815" w:rsidRPr="008518AD" w:rsidRDefault="00016F29" w:rsidP="008919D7">
            <w:pPr>
              <w:ind w:left="371"/>
              <w:rPr>
                <w:szCs w:val="22"/>
                <w:lang w:val="en-GB"/>
              </w:rPr>
            </w:pPr>
            <w:r w:rsidRPr="008518AD">
              <w:rPr>
                <w:szCs w:val="22"/>
              </w:rPr>
              <w:t>Please talk to your doctor or nurse if you have any questions about the information in this card.</w:t>
            </w:r>
          </w:p>
          <w:p w14:paraId="7C3324D2" w14:textId="77777777" w:rsidR="00544815" w:rsidRPr="008518AD" w:rsidRDefault="00544815" w:rsidP="008919D7">
            <w:pPr>
              <w:pStyle w:val="LUTOnormaltext"/>
              <w:keepNext/>
              <w:keepLines/>
              <w:tabs>
                <w:tab w:val="left" w:pos="851"/>
              </w:tabs>
              <w:spacing w:after="0"/>
              <w:ind w:left="371" w:right="68"/>
              <w:rPr>
                <w:rFonts w:cs="Times New Roman"/>
                <w:szCs w:val="22"/>
              </w:rPr>
            </w:pPr>
          </w:p>
        </w:tc>
      </w:tr>
    </w:tbl>
    <w:p w14:paraId="7C3324D4" w14:textId="77777777" w:rsidR="00544815" w:rsidRDefault="00544815" w:rsidP="00544815">
      <w:pPr>
        <w:jc w:val="center"/>
        <w:rPr>
          <w:szCs w:val="22"/>
          <w:lang w:val="en-GB"/>
        </w:rPr>
      </w:pPr>
    </w:p>
    <w:p w14:paraId="7C3324D5" w14:textId="77777777" w:rsidR="00544815" w:rsidRPr="00251348" w:rsidRDefault="00016F29" w:rsidP="00544815">
      <w:pPr>
        <w:rPr>
          <w:szCs w:val="22"/>
          <w:lang w:val="en-GB"/>
        </w:rPr>
      </w:pPr>
      <w:r>
        <w:rPr>
          <w:szCs w:val="22"/>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4D9" w14:textId="77777777" w:rsidTr="008919D7">
        <w:trPr>
          <w:trHeight w:val="744"/>
        </w:trPr>
        <w:tc>
          <w:tcPr>
            <w:tcW w:w="9287" w:type="dxa"/>
            <w:tcBorders>
              <w:bottom w:val="single" w:sz="4" w:space="0" w:color="auto"/>
            </w:tcBorders>
          </w:tcPr>
          <w:p w14:paraId="7C3324D6" w14:textId="77777777" w:rsidR="00544815" w:rsidRPr="009A4E5A" w:rsidRDefault="00016F29" w:rsidP="008919D7">
            <w:pPr>
              <w:rPr>
                <w:b/>
                <w:lang w:val="en-GB"/>
              </w:rPr>
            </w:pPr>
            <w:r w:rsidRPr="009A4E5A">
              <w:rPr>
                <w:b/>
                <w:lang w:val="en-GB"/>
              </w:rPr>
              <w:t xml:space="preserve">PARTICULARS TO APPEAR ON THE OUTER PACKAGING </w:t>
            </w:r>
          </w:p>
          <w:p w14:paraId="7C3324D7" w14:textId="77777777" w:rsidR="00544815" w:rsidRPr="009A4E5A" w:rsidRDefault="00544815" w:rsidP="008919D7">
            <w:pPr>
              <w:rPr>
                <w:b/>
                <w:lang w:val="en-GB"/>
              </w:rPr>
            </w:pPr>
          </w:p>
          <w:p w14:paraId="7C3324D8" w14:textId="77777777" w:rsidR="00544815" w:rsidRPr="00ED3BF4" w:rsidRDefault="00016F29" w:rsidP="008919D7">
            <w:pPr>
              <w:rPr>
                <w:b/>
                <w:lang w:val="en-GB"/>
              </w:rPr>
            </w:pPr>
            <w:r w:rsidRPr="00ED3BF4">
              <w:rPr>
                <w:b/>
                <w:lang w:val="en-GB"/>
              </w:rPr>
              <w:t>OUTER CARTON</w:t>
            </w:r>
          </w:p>
        </w:tc>
      </w:tr>
    </w:tbl>
    <w:p w14:paraId="7C3324DA" w14:textId="77777777" w:rsidR="00544815" w:rsidRPr="00FC61B8" w:rsidRDefault="00544815" w:rsidP="00544815">
      <w:pPr>
        <w:rPr>
          <w:szCs w:val="22"/>
          <w:lang w:val="en-GB"/>
        </w:rPr>
      </w:pPr>
    </w:p>
    <w:p w14:paraId="7C3324DB" w14:textId="77777777" w:rsidR="00544815" w:rsidRPr="00FC61B8"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4DD" w14:textId="77777777" w:rsidTr="008919D7">
        <w:tc>
          <w:tcPr>
            <w:tcW w:w="9287" w:type="dxa"/>
          </w:tcPr>
          <w:p w14:paraId="7C3324DC" w14:textId="77777777" w:rsidR="00544815" w:rsidRPr="00CD7883" w:rsidRDefault="00016F29" w:rsidP="008919D7">
            <w:pPr>
              <w:ind w:left="567" w:hanging="567"/>
              <w:rPr>
                <w:b/>
                <w:szCs w:val="22"/>
                <w:lang w:val="en-GB"/>
              </w:rPr>
            </w:pPr>
            <w:r w:rsidRPr="00CD7883">
              <w:rPr>
                <w:b/>
                <w:szCs w:val="22"/>
                <w:lang w:val="en-GB"/>
              </w:rPr>
              <w:t>1.</w:t>
            </w:r>
            <w:r w:rsidRPr="00CD7883">
              <w:rPr>
                <w:b/>
                <w:szCs w:val="22"/>
                <w:lang w:val="en-GB"/>
              </w:rPr>
              <w:tab/>
              <w:t>NAME OF THE MEDICINAL PRODUCT</w:t>
            </w:r>
          </w:p>
        </w:tc>
      </w:tr>
    </w:tbl>
    <w:p w14:paraId="7C3324DE" w14:textId="77777777" w:rsidR="00544815" w:rsidRPr="00EA11D5" w:rsidRDefault="00544815" w:rsidP="00544815">
      <w:pPr>
        <w:rPr>
          <w:szCs w:val="22"/>
          <w:lang w:val="en-GB"/>
        </w:rPr>
      </w:pPr>
    </w:p>
    <w:p w14:paraId="7C3324DF" w14:textId="77777777" w:rsidR="00544815" w:rsidRPr="00251348" w:rsidRDefault="00016F29" w:rsidP="00544815">
      <w:pPr>
        <w:outlineLvl w:val="0"/>
        <w:rPr>
          <w:szCs w:val="22"/>
          <w:lang w:val="en-GB"/>
        </w:rPr>
      </w:pPr>
      <w:r w:rsidRPr="00251348">
        <w:rPr>
          <w:szCs w:val="22"/>
          <w:lang w:val="en-GB"/>
        </w:rPr>
        <w:t>MabThera 1400 mg solution for subcutaneous injection</w:t>
      </w:r>
    </w:p>
    <w:p w14:paraId="7C3324E0" w14:textId="77777777" w:rsidR="00544815" w:rsidRPr="00251348" w:rsidRDefault="00544815" w:rsidP="00544815">
      <w:pPr>
        <w:rPr>
          <w:szCs w:val="22"/>
          <w:lang w:val="en-GB"/>
        </w:rPr>
      </w:pPr>
    </w:p>
    <w:p w14:paraId="7C3324E1" w14:textId="77777777" w:rsidR="00544815" w:rsidRPr="00251348" w:rsidRDefault="00016F29" w:rsidP="00544815">
      <w:pPr>
        <w:outlineLvl w:val="0"/>
        <w:rPr>
          <w:szCs w:val="22"/>
          <w:lang w:val="en-GB"/>
        </w:rPr>
      </w:pPr>
      <w:r w:rsidRPr="00153E10">
        <w:rPr>
          <w:szCs w:val="22"/>
          <w:lang w:val="en-GB"/>
        </w:rPr>
        <w:t>r</w:t>
      </w:r>
      <w:r w:rsidRPr="00251348">
        <w:rPr>
          <w:szCs w:val="22"/>
          <w:lang w:val="en-GB"/>
        </w:rPr>
        <w:t>ituximab</w:t>
      </w:r>
    </w:p>
    <w:p w14:paraId="7C3324E2" w14:textId="77777777" w:rsidR="00544815" w:rsidRDefault="00544815" w:rsidP="00544815">
      <w:pPr>
        <w:rPr>
          <w:szCs w:val="22"/>
          <w:lang w:val="en-GB"/>
        </w:rPr>
      </w:pPr>
    </w:p>
    <w:p w14:paraId="7C3324E3" w14:textId="77777777" w:rsidR="007F1D74" w:rsidRPr="00251348" w:rsidRDefault="007F1D74"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4E5" w14:textId="77777777" w:rsidTr="008919D7">
        <w:tc>
          <w:tcPr>
            <w:tcW w:w="9287" w:type="dxa"/>
          </w:tcPr>
          <w:p w14:paraId="7C3324E4" w14:textId="77777777" w:rsidR="00544815" w:rsidRPr="00251348" w:rsidRDefault="00016F29" w:rsidP="008919D7">
            <w:pPr>
              <w:rPr>
                <w:b/>
                <w:szCs w:val="22"/>
                <w:lang w:val="en-GB"/>
              </w:rPr>
            </w:pPr>
            <w:r w:rsidRPr="00251348">
              <w:rPr>
                <w:b/>
                <w:szCs w:val="22"/>
                <w:lang w:val="en-GB"/>
              </w:rPr>
              <w:t>2.</w:t>
            </w:r>
            <w:r w:rsidRPr="00251348">
              <w:rPr>
                <w:b/>
                <w:szCs w:val="22"/>
                <w:lang w:val="en-GB"/>
              </w:rPr>
              <w:tab/>
              <w:t>STATEMENT OF ACTIVE SUBSTANCE(S)</w:t>
            </w:r>
          </w:p>
        </w:tc>
      </w:tr>
    </w:tbl>
    <w:p w14:paraId="7C3324E6" w14:textId="77777777" w:rsidR="00544815" w:rsidRPr="00251348" w:rsidRDefault="00544815" w:rsidP="00544815">
      <w:pPr>
        <w:rPr>
          <w:szCs w:val="22"/>
          <w:lang w:val="en-GB"/>
        </w:rPr>
      </w:pPr>
    </w:p>
    <w:p w14:paraId="7C3324E7" w14:textId="77777777" w:rsidR="00544815" w:rsidRPr="0053610E" w:rsidRDefault="00016F29" w:rsidP="00544815">
      <w:pPr>
        <w:tabs>
          <w:tab w:val="left" w:pos="567"/>
        </w:tabs>
        <w:spacing w:line="260" w:lineRule="exact"/>
        <w:rPr>
          <w:szCs w:val="22"/>
          <w:lang w:val="fr-FR" w:eastAsia="en-US"/>
        </w:rPr>
      </w:pPr>
      <w:r w:rsidRPr="0053610E">
        <w:rPr>
          <w:szCs w:val="22"/>
          <w:lang w:val="fr-FR" w:eastAsia="en-US"/>
        </w:rPr>
        <w:t>1 vial contains 1400 mg/11.7 mL rituximab.</w:t>
      </w:r>
    </w:p>
    <w:p w14:paraId="7C3324E8" w14:textId="77777777" w:rsidR="00544815" w:rsidRPr="0053610E" w:rsidRDefault="00544815" w:rsidP="00544815">
      <w:pPr>
        <w:rPr>
          <w:szCs w:val="22"/>
          <w:lang w:val="fr-FR"/>
        </w:rPr>
      </w:pPr>
    </w:p>
    <w:p w14:paraId="7C3324E9" w14:textId="77777777" w:rsidR="00544815" w:rsidRPr="0053610E" w:rsidRDefault="00544815" w:rsidP="00544815">
      <w:pPr>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4EB" w14:textId="77777777" w:rsidTr="008919D7">
        <w:tc>
          <w:tcPr>
            <w:tcW w:w="9287" w:type="dxa"/>
          </w:tcPr>
          <w:p w14:paraId="7C3324EA" w14:textId="77777777" w:rsidR="00544815" w:rsidRPr="00251348" w:rsidRDefault="00016F29" w:rsidP="008919D7">
            <w:pPr>
              <w:rPr>
                <w:b/>
                <w:szCs w:val="22"/>
                <w:lang w:val="en-GB"/>
              </w:rPr>
            </w:pPr>
            <w:r w:rsidRPr="00251348">
              <w:rPr>
                <w:b/>
                <w:szCs w:val="22"/>
                <w:lang w:val="en-GB"/>
              </w:rPr>
              <w:t>3.</w:t>
            </w:r>
            <w:r w:rsidRPr="00251348">
              <w:rPr>
                <w:b/>
                <w:szCs w:val="22"/>
                <w:lang w:val="en-GB"/>
              </w:rPr>
              <w:tab/>
              <w:t>LIST OF EXCIPIENTS</w:t>
            </w:r>
          </w:p>
        </w:tc>
      </w:tr>
    </w:tbl>
    <w:p w14:paraId="7C3324EC" w14:textId="77777777" w:rsidR="00544815" w:rsidRPr="00251348" w:rsidRDefault="00544815" w:rsidP="00544815">
      <w:pPr>
        <w:rPr>
          <w:szCs w:val="22"/>
          <w:lang w:val="en-GB"/>
        </w:rPr>
      </w:pPr>
    </w:p>
    <w:p w14:paraId="7C3324ED" w14:textId="77777777" w:rsidR="00544815" w:rsidRPr="008518AD" w:rsidRDefault="00016F29" w:rsidP="00544815">
      <w:pPr>
        <w:outlineLvl w:val="0"/>
        <w:rPr>
          <w:szCs w:val="22"/>
          <w:lang w:val="en-GB"/>
        </w:rPr>
      </w:pPr>
      <w:r w:rsidRPr="008518AD">
        <w:rPr>
          <w:szCs w:val="22"/>
          <w:lang w:val="en-GB"/>
        </w:rPr>
        <w:t>Recombinant human hyaluronidase (rHuPH20)</w:t>
      </w:r>
    </w:p>
    <w:p w14:paraId="7C3324EE" w14:textId="77777777" w:rsidR="00544815" w:rsidRPr="008518AD" w:rsidRDefault="00016F29" w:rsidP="00544815">
      <w:pPr>
        <w:outlineLvl w:val="0"/>
        <w:rPr>
          <w:lang w:val="en-GB"/>
        </w:rPr>
      </w:pPr>
      <w:r w:rsidRPr="008518AD">
        <w:rPr>
          <w:lang w:val="en-GB"/>
        </w:rPr>
        <w:t>L</w:t>
      </w:r>
      <w:r w:rsidR="000A6DDA" w:rsidRPr="008518AD">
        <w:rPr>
          <w:lang w:val="en-GB"/>
        </w:rPr>
        <w:noBreakHyphen/>
      </w:r>
      <w:r w:rsidRPr="008518AD">
        <w:rPr>
          <w:lang w:val="en-GB"/>
        </w:rPr>
        <w:t>histidine</w:t>
      </w:r>
    </w:p>
    <w:p w14:paraId="7C3324EF" w14:textId="77777777" w:rsidR="00544815" w:rsidRPr="008518AD" w:rsidRDefault="00016F29" w:rsidP="00544815">
      <w:pPr>
        <w:outlineLvl w:val="0"/>
        <w:rPr>
          <w:lang w:val="en-GB"/>
        </w:rPr>
      </w:pPr>
      <w:r w:rsidRPr="008518AD">
        <w:rPr>
          <w:lang w:val="en-GB"/>
        </w:rPr>
        <w:t>L</w:t>
      </w:r>
      <w:r w:rsidR="000A6DDA" w:rsidRPr="008518AD">
        <w:rPr>
          <w:lang w:val="en-GB"/>
        </w:rPr>
        <w:noBreakHyphen/>
      </w:r>
      <w:r w:rsidRPr="008518AD">
        <w:rPr>
          <w:lang w:val="en-GB"/>
        </w:rPr>
        <w:t>histidine hydrochloride monohydrate</w:t>
      </w:r>
    </w:p>
    <w:p w14:paraId="7C3324F0" w14:textId="77777777" w:rsidR="00544815" w:rsidRPr="008518AD" w:rsidRDefault="00016F29" w:rsidP="00544815">
      <w:pPr>
        <w:outlineLvl w:val="0"/>
        <w:rPr>
          <w:szCs w:val="22"/>
          <w:lang w:val="en-GB"/>
        </w:rPr>
      </w:pPr>
      <w:r w:rsidRPr="00153E10">
        <w:rPr>
          <w:rFonts w:ascii="Symbol" w:hAnsi="Symbol"/>
          <w:szCs w:val="22"/>
          <w:lang w:val="en-GB"/>
        </w:rPr>
        <w:sym w:font="Symbol" w:char="F061"/>
      </w:r>
      <w:r w:rsidRPr="00153E10">
        <w:rPr>
          <w:szCs w:val="22"/>
          <w:lang w:val="en-GB"/>
        </w:rPr>
        <w:t>,</w:t>
      </w:r>
      <w:r w:rsidRPr="00153E10">
        <w:rPr>
          <w:rFonts w:ascii="Symbol" w:hAnsi="Symbol"/>
          <w:szCs w:val="22"/>
          <w:lang w:val="en-GB"/>
        </w:rPr>
        <w:sym w:font="Symbol" w:char="F061"/>
      </w:r>
      <w:r w:rsidR="000A6DDA" w:rsidRPr="00153E10">
        <w:rPr>
          <w:szCs w:val="22"/>
          <w:lang w:val="en-GB"/>
        </w:rPr>
        <w:noBreakHyphen/>
      </w:r>
      <w:r w:rsidRPr="008518AD">
        <w:rPr>
          <w:szCs w:val="22"/>
          <w:lang w:val="en-GB"/>
        </w:rPr>
        <w:t>trehalose d</w:t>
      </w:r>
      <w:r w:rsidR="00D05CD8">
        <w:rPr>
          <w:szCs w:val="22"/>
          <w:lang w:val="en-GB"/>
        </w:rPr>
        <w:t>i</w:t>
      </w:r>
      <w:r w:rsidRPr="008518AD">
        <w:rPr>
          <w:szCs w:val="22"/>
          <w:lang w:val="en-GB"/>
        </w:rPr>
        <w:t>hydrate</w:t>
      </w:r>
    </w:p>
    <w:p w14:paraId="7C3324F1" w14:textId="77777777" w:rsidR="00544815" w:rsidRPr="008518AD" w:rsidRDefault="00016F29" w:rsidP="00544815">
      <w:pPr>
        <w:outlineLvl w:val="0"/>
        <w:rPr>
          <w:lang w:val="en-GB"/>
        </w:rPr>
      </w:pPr>
      <w:r w:rsidRPr="008518AD">
        <w:rPr>
          <w:lang w:val="en-GB"/>
        </w:rPr>
        <w:t>L</w:t>
      </w:r>
      <w:r w:rsidR="000A6DDA" w:rsidRPr="008518AD">
        <w:rPr>
          <w:lang w:val="en-GB"/>
        </w:rPr>
        <w:noBreakHyphen/>
      </w:r>
      <w:r w:rsidRPr="008518AD">
        <w:rPr>
          <w:lang w:val="en-GB"/>
        </w:rPr>
        <w:t>methionine</w:t>
      </w:r>
    </w:p>
    <w:p w14:paraId="7C3324F2" w14:textId="77777777" w:rsidR="00544815" w:rsidRPr="008518AD" w:rsidRDefault="00016F29" w:rsidP="00544815">
      <w:pPr>
        <w:outlineLvl w:val="0"/>
        <w:rPr>
          <w:szCs w:val="22"/>
          <w:lang w:val="en-GB"/>
        </w:rPr>
      </w:pPr>
      <w:r w:rsidRPr="008518AD">
        <w:rPr>
          <w:szCs w:val="22"/>
          <w:lang w:val="en-GB"/>
        </w:rPr>
        <w:t>Polysorbate 80</w:t>
      </w:r>
    </w:p>
    <w:p w14:paraId="7C3324F3" w14:textId="77777777" w:rsidR="00544815" w:rsidRPr="008518AD" w:rsidRDefault="00016F29" w:rsidP="00544815">
      <w:pPr>
        <w:outlineLvl w:val="0"/>
        <w:rPr>
          <w:szCs w:val="22"/>
          <w:lang w:val="en-GB"/>
        </w:rPr>
      </w:pPr>
      <w:r w:rsidRPr="008518AD">
        <w:rPr>
          <w:szCs w:val="22"/>
          <w:lang w:val="en-GB"/>
        </w:rPr>
        <w:t xml:space="preserve">Water for injections </w:t>
      </w:r>
    </w:p>
    <w:p w14:paraId="7C3324F4" w14:textId="77777777" w:rsidR="00544815" w:rsidRPr="008518AD" w:rsidRDefault="00544815" w:rsidP="00544815">
      <w:pPr>
        <w:rPr>
          <w:szCs w:val="22"/>
          <w:lang w:val="en-GB"/>
        </w:rPr>
      </w:pPr>
    </w:p>
    <w:p w14:paraId="7C3324F5" w14:textId="77777777" w:rsidR="00544815" w:rsidRPr="009F47AE"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4F7" w14:textId="77777777" w:rsidTr="008919D7">
        <w:tc>
          <w:tcPr>
            <w:tcW w:w="9287" w:type="dxa"/>
          </w:tcPr>
          <w:p w14:paraId="7C3324F6" w14:textId="77777777" w:rsidR="00544815" w:rsidRPr="00D50019" w:rsidRDefault="00016F29" w:rsidP="008919D7">
            <w:pPr>
              <w:rPr>
                <w:b/>
                <w:szCs w:val="22"/>
                <w:lang w:val="en-GB"/>
              </w:rPr>
            </w:pPr>
            <w:r w:rsidRPr="00D50019">
              <w:rPr>
                <w:b/>
                <w:szCs w:val="22"/>
                <w:lang w:val="en-GB"/>
              </w:rPr>
              <w:t>4.</w:t>
            </w:r>
            <w:r w:rsidRPr="00D50019">
              <w:rPr>
                <w:b/>
                <w:szCs w:val="22"/>
                <w:lang w:val="en-GB"/>
              </w:rPr>
              <w:tab/>
              <w:t>PHARMACEUTICAL FORM AND CONTENTS</w:t>
            </w:r>
          </w:p>
        </w:tc>
      </w:tr>
    </w:tbl>
    <w:p w14:paraId="7C3324F8" w14:textId="77777777" w:rsidR="00544815" w:rsidRPr="00251348" w:rsidRDefault="00544815" w:rsidP="00544815">
      <w:pPr>
        <w:rPr>
          <w:szCs w:val="22"/>
          <w:lang w:val="en-GB"/>
        </w:rPr>
      </w:pPr>
    </w:p>
    <w:p w14:paraId="7C3324F9" w14:textId="77777777" w:rsidR="00544815" w:rsidRPr="00251348" w:rsidRDefault="00016F29" w:rsidP="00544815">
      <w:pPr>
        <w:outlineLvl w:val="0"/>
        <w:rPr>
          <w:szCs w:val="22"/>
          <w:lang w:val="en-GB"/>
        </w:rPr>
      </w:pPr>
      <w:r w:rsidRPr="008919D7">
        <w:rPr>
          <w:szCs w:val="22"/>
          <w:shd w:val="clear" w:color="auto" w:fill="BFBFBF"/>
          <w:lang w:val="en-GB"/>
        </w:rPr>
        <w:t>Solution for injection</w:t>
      </w:r>
      <w:r w:rsidRPr="00251348">
        <w:rPr>
          <w:szCs w:val="22"/>
          <w:lang w:val="en-GB"/>
        </w:rPr>
        <w:t xml:space="preserve"> </w:t>
      </w:r>
    </w:p>
    <w:p w14:paraId="7C3324FA" w14:textId="77777777" w:rsidR="00544815" w:rsidRPr="00251348" w:rsidRDefault="00016F29" w:rsidP="00544815">
      <w:pPr>
        <w:outlineLvl w:val="0"/>
        <w:rPr>
          <w:szCs w:val="22"/>
          <w:lang w:val="en-GB"/>
        </w:rPr>
      </w:pPr>
      <w:r w:rsidRPr="00251348">
        <w:rPr>
          <w:szCs w:val="22"/>
          <w:lang w:val="en-GB"/>
        </w:rPr>
        <w:t>1</w:t>
      </w:r>
      <w:r w:rsidR="003C46D3">
        <w:rPr>
          <w:szCs w:val="22"/>
          <w:lang w:val="en-GB"/>
        </w:rPr>
        <w:t>,</w:t>
      </w:r>
      <w:r w:rsidRPr="00251348">
        <w:rPr>
          <w:szCs w:val="22"/>
          <w:lang w:val="en-GB"/>
        </w:rPr>
        <w:t>400 mg/11.7 mL</w:t>
      </w:r>
    </w:p>
    <w:p w14:paraId="7C3324FB" w14:textId="77777777" w:rsidR="00544815" w:rsidRPr="00251348" w:rsidRDefault="00016F29" w:rsidP="00544815">
      <w:pPr>
        <w:rPr>
          <w:szCs w:val="22"/>
          <w:lang w:val="en-GB"/>
        </w:rPr>
      </w:pPr>
      <w:r w:rsidRPr="00251348">
        <w:rPr>
          <w:szCs w:val="22"/>
          <w:lang w:val="en-GB"/>
        </w:rPr>
        <w:t xml:space="preserve">1 vial </w:t>
      </w:r>
    </w:p>
    <w:p w14:paraId="7C3324FC" w14:textId="77777777" w:rsidR="00544815" w:rsidRPr="00251348" w:rsidRDefault="00544815" w:rsidP="00544815">
      <w:pPr>
        <w:rPr>
          <w:szCs w:val="22"/>
          <w:lang w:val="en-GB"/>
        </w:rPr>
      </w:pPr>
    </w:p>
    <w:p w14:paraId="7C3324FD" w14:textId="77777777" w:rsidR="00544815" w:rsidRPr="00251348"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4FF" w14:textId="77777777" w:rsidTr="008919D7">
        <w:tc>
          <w:tcPr>
            <w:tcW w:w="9287" w:type="dxa"/>
          </w:tcPr>
          <w:p w14:paraId="7C3324FE" w14:textId="77777777" w:rsidR="00544815" w:rsidRPr="00251348" w:rsidRDefault="00016F29" w:rsidP="008919D7">
            <w:pPr>
              <w:ind w:left="567" w:hanging="567"/>
              <w:rPr>
                <w:b/>
                <w:szCs w:val="22"/>
                <w:lang w:val="en-GB"/>
              </w:rPr>
            </w:pPr>
            <w:r w:rsidRPr="00251348">
              <w:rPr>
                <w:b/>
                <w:szCs w:val="22"/>
                <w:lang w:val="en-GB"/>
              </w:rPr>
              <w:t>5.</w:t>
            </w:r>
            <w:r w:rsidRPr="00251348">
              <w:rPr>
                <w:b/>
                <w:szCs w:val="22"/>
                <w:lang w:val="en-GB"/>
              </w:rPr>
              <w:tab/>
              <w:t>METHOD AND ROUTE(S) OF ADMINISTRATION</w:t>
            </w:r>
          </w:p>
        </w:tc>
      </w:tr>
    </w:tbl>
    <w:p w14:paraId="7C332500" w14:textId="77777777" w:rsidR="00544815" w:rsidRPr="00251348" w:rsidRDefault="00544815" w:rsidP="00544815">
      <w:pPr>
        <w:rPr>
          <w:szCs w:val="22"/>
          <w:lang w:val="en-GB"/>
        </w:rPr>
      </w:pPr>
    </w:p>
    <w:p w14:paraId="7C332501" w14:textId="77777777" w:rsidR="004B2482" w:rsidRDefault="00016F29" w:rsidP="004B2482">
      <w:pPr>
        <w:outlineLvl w:val="0"/>
        <w:rPr>
          <w:szCs w:val="22"/>
          <w:lang w:val="en-GB"/>
        </w:rPr>
      </w:pPr>
      <w:r w:rsidRPr="004A0DDD">
        <w:rPr>
          <w:szCs w:val="22"/>
          <w:lang w:val="en-GB"/>
        </w:rPr>
        <w:t>For subcutaneous use only</w:t>
      </w:r>
      <w:r>
        <w:rPr>
          <w:szCs w:val="22"/>
          <w:lang w:val="en-GB"/>
        </w:rPr>
        <w:t xml:space="preserve"> </w:t>
      </w:r>
    </w:p>
    <w:p w14:paraId="7C332502" w14:textId="77777777" w:rsidR="00544815" w:rsidRPr="00251348" w:rsidRDefault="00544815" w:rsidP="00544815">
      <w:pPr>
        <w:outlineLvl w:val="0"/>
        <w:rPr>
          <w:szCs w:val="22"/>
          <w:lang w:val="en-GB"/>
        </w:rPr>
      </w:pPr>
    </w:p>
    <w:p w14:paraId="7C332503" w14:textId="77777777" w:rsidR="00544815" w:rsidRPr="00251348" w:rsidRDefault="00016F29" w:rsidP="00544815">
      <w:pPr>
        <w:rPr>
          <w:szCs w:val="22"/>
          <w:lang w:val="en-GB"/>
        </w:rPr>
      </w:pPr>
      <w:r w:rsidRPr="00251348">
        <w:rPr>
          <w:szCs w:val="22"/>
          <w:lang w:val="en-GB"/>
        </w:rPr>
        <w:t>Read the package leaflet before use.</w:t>
      </w:r>
    </w:p>
    <w:p w14:paraId="7C332504" w14:textId="77777777" w:rsidR="00544815" w:rsidRPr="00251348" w:rsidRDefault="00544815" w:rsidP="00544815">
      <w:pPr>
        <w:rPr>
          <w:szCs w:val="22"/>
          <w:lang w:val="en-GB"/>
        </w:rPr>
      </w:pPr>
    </w:p>
    <w:p w14:paraId="7C332505" w14:textId="77777777" w:rsidR="00544815" w:rsidRPr="00251348"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507" w14:textId="77777777" w:rsidTr="008919D7">
        <w:trPr>
          <w:cantSplit/>
        </w:trPr>
        <w:tc>
          <w:tcPr>
            <w:tcW w:w="9287" w:type="dxa"/>
          </w:tcPr>
          <w:p w14:paraId="7C332506" w14:textId="77777777" w:rsidR="00544815" w:rsidRPr="00251348" w:rsidRDefault="00016F29" w:rsidP="008919D7">
            <w:pPr>
              <w:ind w:left="567" w:hanging="567"/>
              <w:rPr>
                <w:b/>
                <w:szCs w:val="22"/>
                <w:lang w:val="en-GB"/>
              </w:rPr>
            </w:pPr>
            <w:r w:rsidRPr="00251348">
              <w:rPr>
                <w:b/>
                <w:szCs w:val="22"/>
                <w:lang w:val="en-GB"/>
              </w:rPr>
              <w:t>6.</w:t>
            </w:r>
            <w:r w:rsidRPr="00251348">
              <w:rPr>
                <w:b/>
                <w:szCs w:val="22"/>
                <w:lang w:val="en-GB"/>
              </w:rPr>
              <w:tab/>
              <w:t>SPECIAL WARNING THAT THE MEDICINAL PRODUCT MUST BE STORED OUT OF THE SIGHT AND REACH OF CHILDREN</w:t>
            </w:r>
          </w:p>
        </w:tc>
      </w:tr>
    </w:tbl>
    <w:p w14:paraId="7C332508" w14:textId="77777777" w:rsidR="00544815" w:rsidRPr="00251348" w:rsidRDefault="00544815" w:rsidP="00544815">
      <w:pPr>
        <w:rPr>
          <w:szCs w:val="22"/>
          <w:lang w:val="en-GB"/>
        </w:rPr>
      </w:pPr>
    </w:p>
    <w:p w14:paraId="7C332509" w14:textId="77777777" w:rsidR="00544815" w:rsidRPr="00251348" w:rsidRDefault="00016F29" w:rsidP="00544815">
      <w:pPr>
        <w:outlineLvl w:val="0"/>
        <w:rPr>
          <w:szCs w:val="22"/>
          <w:lang w:val="en-GB"/>
        </w:rPr>
      </w:pPr>
      <w:r w:rsidRPr="00251348">
        <w:rPr>
          <w:szCs w:val="22"/>
          <w:lang w:val="en-GB"/>
        </w:rPr>
        <w:t>Keep out of the sight and reach of children</w:t>
      </w:r>
    </w:p>
    <w:p w14:paraId="7C33250A" w14:textId="77777777" w:rsidR="00544815" w:rsidRPr="00251348" w:rsidRDefault="00544815" w:rsidP="00544815">
      <w:pPr>
        <w:rPr>
          <w:szCs w:val="22"/>
          <w:lang w:val="en-GB"/>
        </w:rPr>
      </w:pPr>
    </w:p>
    <w:p w14:paraId="7C33250B" w14:textId="77777777" w:rsidR="00544815" w:rsidRPr="00251348"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50D" w14:textId="77777777" w:rsidTr="008919D7">
        <w:tc>
          <w:tcPr>
            <w:tcW w:w="9287" w:type="dxa"/>
          </w:tcPr>
          <w:p w14:paraId="7C33250C" w14:textId="77777777" w:rsidR="00544815" w:rsidRPr="00251348" w:rsidRDefault="00016F29" w:rsidP="008919D7">
            <w:pPr>
              <w:rPr>
                <w:b/>
                <w:szCs w:val="22"/>
                <w:lang w:val="en-GB"/>
              </w:rPr>
            </w:pPr>
            <w:r w:rsidRPr="00251348">
              <w:rPr>
                <w:b/>
                <w:szCs w:val="22"/>
                <w:lang w:val="en-GB"/>
              </w:rPr>
              <w:t>7.</w:t>
            </w:r>
            <w:r w:rsidRPr="00251348">
              <w:rPr>
                <w:b/>
                <w:szCs w:val="22"/>
                <w:lang w:val="en-GB"/>
              </w:rPr>
              <w:tab/>
              <w:t>OTHER SPECIAL WARNING(S), IF NECESSARY</w:t>
            </w:r>
          </w:p>
        </w:tc>
      </w:tr>
    </w:tbl>
    <w:p w14:paraId="7C33250E" w14:textId="77777777" w:rsidR="005B761F" w:rsidRPr="009A4E5A" w:rsidRDefault="005B761F" w:rsidP="005B761F">
      <w:pPr>
        <w:rPr>
          <w:szCs w:val="22"/>
          <w:lang w:val="en-GB"/>
        </w:rPr>
      </w:pPr>
    </w:p>
    <w:p w14:paraId="7C33250F" w14:textId="77777777" w:rsidR="007F1D74" w:rsidRPr="00ED3BF4" w:rsidRDefault="007F1D74"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511" w14:textId="77777777" w:rsidTr="008919D7">
        <w:tc>
          <w:tcPr>
            <w:tcW w:w="9287" w:type="dxa"/>
          </w:tcPr>
          <w:p w14:paraId="7C332510" w14:textId="77777777" w:rsidR="00544815" w:rsidRPr="00FC61B8" w:rsidRDefault="00016F29" w:rsidP="00BB33F3">
            <w:pPr>
              <w:keepNext/>
              <w:keepLines/>
              <w:rPr>
                <w:b/>
                <w:szCs w:val="22"/>
                <w:lang w:val="en-GB"/>
              </w:rPr>
            </w:pPr>
            <w:r w:rsidRPr="00FC61B8">
              <w:rPr>
                <w:b/>
                <w:szCs w:val="22"/>
                <w:lang w:val="en-GB"/>
              </w:rPr>
              <w:t>8.</w:t>
            </w:r>
            <w:r w:rsidRPr="00FC61B8">
              <w:rPr>
                <w:b/>
                <w:szCs w:val="22"/>
                <w:lang w:val="en-GB"/>
              </w:rPr>
              <w:tab/>
              <w:t>EXPIRY DATE</w:t>
            </w:r>
          </w:p>
        </w:tc>
      </w:tr>
    </w:tbl>
    <w:p w14:paraId="7C332512" w14:textId="77777777" w:rsidR="00544815" w:rsidRPr="00251348" w:rsidRDefault="00544815" w:rsidP="00BB33F3">
      <w:pPr>
        <w:keepNext/>
        <w:keepLines/>
        <w:rPr>
          <w:szCs w:val="22"/>
          <w:lang w:val="en-GB"/>
        </w:rPr>
      </w:pPr>
    </w:p>
    <w:p w14:paraId="7C332513" w14:textId="77777777" w:rsidR="00544815" w:rsidRPr="00251348" w:rsidRDefault="00016F29" w:rsidP="00BB33F3">
      <w:pPr>
        <w:keepNext/>
        <w:keepLines/>
        <w:outlineLvl w:val="0"/>
        <w:rPr>
          <w:szCs w:val="22"/>
          <w:lang w:val="en-GB"/>
        </w:rPr>
      </w:pPr>
      <w:r w:rsidRPr="00251348">
        <w:rPr>
          <w:szCs w:val="22"/>
          <w:lang w:val="en-GB"/>
        </w:rPr>
        <w:t xml:space="preserve">EXP </w:t>
      </w:r>
    </w:p>
    <w:p w14:paraId="7C332514" w14:textId="77777777" w:rsidR="00544815" w:rsidRPr="00251348" w:rsidRDefault="00544815" w:rsidP="00544815">
      <w:pPr>
        <w:rPr>
          <w:szCs w:val="22"/>
          <w:lang w:val="en-GB"/>
        </w:rPr>
      </w:pPr>
    </w:p>
    <w:p w14:paraId="7C332515" w14:textId="77777777" w:rsidR="00544815" w:rsidRPr="00251348"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517" w14:textId="77777777" w:rsidTr="008919D7">
        <w:tc>
          <w:tcPr>
            <w:tcW w:w="9287" w:type="dxa"/>
          </w:tcPr>
          <w:p w14:paraId="7C332516" w14:textId="77777777" w:rsidR="00544815" w:rsidRPr="00FC61B8" w:rsidRDefault="00016F29" w:rsidP="008919D7">
            <w:pPr>
              <w:rPr>
                <w:szCs w:val="22"/>
                <w:lang w:val="en-GB"/>
              </w:rPr>
            </w:pPr>
            <w:r w:rsidRPr="00FC61B8">
              <w:rPr>
                <w:b/>
                <w:szCs w:val="22"/>
                <w:lang w:val="en-GB"/>
              </w:rPr>
              <w:t>9.</w:t>
            </w:r>
            <w:r w:rsidRPr="00FC61B8">
              <w:rPr>
                <w:b/>
                <w:szCs w:val="22"/>
                <w:lang w:val="en-GB"/>
              </w:rPr>
              <w:tab/>
              <w:t>SPECIAL STORAGE CONDITIONS</w:t>
            </w:r>
          </w:p>
        </w:tc>
      </w:tr>
    </w:tbl>
    <w:p w14:paraId="7C332518" w14:textId="77777777" w:rsidR="00544815" w:rsidRPr="00251348" w:rsidRDefault="00544815" w:rsidP="00544815">
      <w:pPr>
        <w:rPr>
          <w:szCs w:val="22"/>
          <w:lang w:val="en-GB"/>
        </w:rPr>
      </w:pPr>
    </w:p>
    <w:p w14:paraId="7C332519" w14:textId="77777777" w:rsidR="00544815" w:rsidRPr="00251348" w:rsidRDefault="00016F29" w:rsidP="00544815">
      <w:pPr>
        <w:rPr>
          <w:lang w:val="en-GB"/>
        </w:rPr>
      </w:pPr>
      <w:r w:rsidRPr="00251348">
        <w:rPr>
          <w:lang w:val="en-GB"/>
        </w:rPr>
        <w:t>Store in a refrigerator (2 °C – 8 °C). Do not freeze. </w:t>
      </w:r>
    </w:p>
    <w:p w14:paraId="7C33251A" w14:textId="77777777" w:rsidR="00544815" w:rsidRPr="00251348" w:rsidRDefault="00016F29" w:rsidP="00544815">
      <w:pPr>
        <w:outlineLvl w:val="0"/>
        <w:rPr>
          <w:szCs w:val="22"/>
          <w:lang w:val="en-GB"/>
        </w:rPr>
      </w:pPr>
      <w:r w:rsidRPr="00251348">
        <w:rPr>
          <w:szCs w:val="22"/>
          <w:lang w:val="en-GB"/>
        </w:rPr>
        <w:t>Keep the vial in the outer carton, in order to protect from light.</w:t>
      </w:r>
    </w:p>
    <w:p w14:paraId="7C33251B" w14:textId="77777777" w:rsidR="00544815" w:rsidRPr="00251348" w:rsidRDefault="00544815" w:rsidP="00544815">
      <w:pPr>
        <w:rPr>
          <w:szCs w:val="22"/>
          <w:lang w:val="en-GB"/>
        </w:rPr>
      </w:pPr>
    </w:p>
    <w:p w14:paraId="7C33251C" w14:textId="77777777" w:rsidR="00544815" w:rsidRPr="00251348"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51E" w14:textId="77777777" w:rsidTr="008919D7">
        <w:trPr>
          <w:cantSplit/>
        </w:trPr>
        <w:tc>
          <w:tcPr>
            <w:tcW w:w="9287" w:type="dxa"/>
          </w:tcPr>
          <w:p w14:paraId="7C33251D" w14:textId="77777777" w:rsidR="00544815" w:rsidRPr="00251348" w:rsidRDefault="00016F29" w:rsidP="008919D7">
            <w:pPr>
              <w:ind w:left="567" w:hanging="567"/>
              <w:rPr>
                <w:b/>
                <w:szCs w:val="22"/>
                <w:lang w:val="en-GB"/>
              </w:rPr>
            </w:pPr>
            <w:r w:rsidRPr="00251348">
              <w:rPr>
                <w:b/>
                <w:szCs w:val="22"/>
                <w:lang w:val="en-GB"/>
              </w:rPr>
              <w:t>10.</w:t>
            </w:r>
            <w:r w:rsidRPr="00251348">
              <w:rPr>
                <w:b/>
                <w:szCs w:val="22"/>
                <w:lang w:val="en-GB"/>
              </w:rPr>
              <w:tab/>
              <w:t>SPECIAL PRECAUTIONS FOR DISPOSAL OF UNUSED MEDICINAL PRODUCTS OR WASTE MATERIALS DERIVED FROM SUCH MEDICINAL PRODUCTS, IF APPROPRIATE</w:t>
            </w:r>
          </w:p>
        </w:tc>
      </w:tr>
    </w:tbl>
    <w:p w14:paraId="7C33251F" w14:textId="77777777" w:rsidR="00544815" w:rsidRPr="00251348" w:rsidRDefault="00544815" w:rsidP="00544815">
      <w:pPr>
        <w:rPr>
          <w:szCs w:val="22"/>
          <w:lang w:val="en-GB"/>
        </w:rPr>
      </w:pPr>
    </w:p>
    <w:p w14:paraId="7C332520" w14:textId="77777777" w:rsidR="00544815" w:rsidRPr="00251348"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522" w14:textId="77777777" w:rsidTr="008919D7">
        <w:tc>
          <w:tcPr>
            <w:tcW w:w="9287" w:type="dxa"/>
          </w:tcPr>
          <w:p w14:paraId="7C332521" w14:textId="77777777" w:rsidR="00544815" w:rsidRPr="00251348" w:rsidRDefault="00016F29" w:rsidP="008919D7">
            <w:pPr>
              <w:rPr>
                <w:b/>
                <w:szCs w:val="22"/>
                <w:lang w:val="en-GB"/>
              </w:rPr>
            </w:pPr>
            <w:r w:rsidRPr="00251348">
              <w:rPr>
                <w:b/>
                <w:szCs w:val="22"/>
                <w:lang w:val="en-GB"/>
              </w:rPr>
              <w:t>11.</w:t>
            </w:r>
            <w:r w:rsidRPr="00251348">
              <w:rPr>
                <w:b/>
                <w:szCs w:val="22"/>
                <w:lang w:val="en-GB"/>
              </w:rPr>
              <w:tab/>
              <w:t>NAME AND ADDRESS OF THE MARKETING AUTHORISATION HOLDER</w:t>
            </w:r>
          </w:p>
        </w:tc>
      </w:tr>
    </w:tbl>
    <w:p w14:paraId="7C332523" w14:textId="77777777" w:rsidR="00544815" w:rsidRPr="00251348" w:rsidRDefault="00544815" w:rsidP="00544815">
      <w:pPr>
        <w:rPr>
          <w:szCs w:val="22"/>
          <w:lang w:val="en-GB"/>
        </w:rPr>
      </w:pPr>
    </w:p>
    <w:p w14:paraId="7C332524" w14:textId="77777777" w:rsidR="00B0361F" w:rsidRPr="00B0361F" w:rsidRDefault="00016F29" w:rsidP="00B0361F">
      <w:pPr>
        <w:rPr>
          <w:lang w:val="de-CH"/>
        </w:rPr>
      </w:pPr>
      <w:r w:rsidRPr="00B0361F">
        <w:rPr>
          <w:lang w:val="de-CH"/>
        </w:rPr>
        <w:t xml:space="preserve">Roche Registration GmbH </w:t>
      </w:r>
    </w:p>
    <w:p w14:paraId="7C332525" w14:textId="77777777" w:rsidR="00B0361F" w:rsidRPr="00B0361F" w:rsidRDefault="00016F29" w:rsidP="00B0361F">
      <w:pPr>
        <w:rPr>
          <w:lang w:val="de-CH"/>
        </w:rPr>
      </w:pPr>
      <w:r w:rsidRPr="00B0361F">
        <w:rPr>
          <w:lang w:val="de-CH"/>
        </w:rPr>
        <w:t>Emil-Barell-Strasse 1</w:t>
      </w:r>
    </w:p>
    <w:p w14:paraId="7C332526" w14:textId="77777777" w:rsidR="00B0361F" w:rsidRPr="00B0361F" w:rsidRDefault="00016F29" w:rsidP="00B0361F">
      <w:pPr>
        <w:rPr>
          <w:lang w:val="de-CH"/>
        </w:rPr>
      </w:pPr>
      <w:r w:rsidRPr="00B0361F">
        <w:rPr>
          <w:lang w:val="de-CH"/>
        </w:rPr>
        <w:t>79639 Grenzach-Wyhlen</w:t>
      </w:r>
    </w:p>
    <w:p w14:paraId="7C332527" w14:textId="77777777" w:rsidR="00B0361F" w:rsidRPr="00896D93" w:rsidRDefault="00016F29" w:rsidP="00B0361F">
      <w:r w:rsidRPr="00896D93">
        <w:t>Germany</w:t>
      </w:r>
    </w:p>
    <w:p w14:paraId="7C332528" w14:textId="77777777" w:rsidR="00544815" w:rsidRPr="00251348" w:rsidRDefault="00544815" w:rsidP="00544815">
      <w:pPr>
        <w:rPr>
          <w:szCs w:val="22"/>
          <w:lang w:val="en-GB"/>
        </w:rPr>
      </w:pPr>
    </w:p>
    <w:p w14:paraId="7C332529" w14:textId="77777777" w:rsidR="00544815" w:rsidRPr="00251348"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52B" w14:textId="77777777" w:rsidTr="008919D7">
        <w:tc>
          <w:tcPr>
            <w:tcW w:w="9287" w:type="dxa"/>
          </w:tcPr>
          <w:p w14:paraId="7C33252A" w14:textId="77777777" w:rsidR="00544815" w:rsidRPr="00251348" w:rsidRDefault="00016F29" w:rsidP="008919D7">
            <w:pPr>
              <w:rPr>
                <w:b/>
                <w:szCs w:val="22"/>
                <w:lang w:val="en-GB"/>
              </w:rPr>
            </w:pPr>
            <w:r w:rsidRPr="00251348">
              <w:rPr>
                <w:b/>
                <w:szCs w:val="22"/>
                <w:lang w:val="en-GB"/>
              </w:rPr>
              <w:t>12.</w:t>
            </w:r>
            <w:r w:rsidRPr="00251348">
              <w:rPr>
                <w:b/>
                <w:szCs w:val="22"/>
                <w:lang w:val="en-GB"/>
              </w:rPr>
              <w:tab/>
              <w:t>MARKETING AUTHORISATION NUMBER(S)</w:t>
            </w:r>
          </w:p>
        </w:tc>
      </w:tr>
    </w:tbl>
    <w:p w14:paraId="7C33252C" w14:textId="77777777" w:rsidR="00544815" w:rsidRPr="00251348" w:rsidRDefault="00544815" w:rsidP="00544815">
      <w:pPr>
        <w:rPr>
          <w:szCs w:val="22"/>
          <w:lang w:val="en-GB"/>
        </w:rPr>
      </w:pPr>
    </w:p>
    <w:p w14:paraId="7C33252D" w14:textId="77777777" w:rsidR="00544815" w:rsidRDefault="00016F29" w:rsidP="00544815">
      <w:r w:rsidRPr="005822E6">
        <w:t>EU/1/98/067/003</w:t>
      </w:r>
    </w:p>
    <w:p w14:paraId="7C33252E" w14:textId="77777777" w:rsidR="00544815" w:rsidRPr="00251348" w:rsidRDefault="00544815" w:rsidP="00544815">
      <w:pPr>
        <w:rPr>
          <w:szCs w:val="22"/>
          <w:lang w:val="en-GB"/>
        </w:rPr>
      </w:pPr>
    </w:p>
    <w:p w14:paraId="7C33252F" w14:textId="77777777" w:rsidR="00544815" w:rsidRPr="00251348"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531" w14:textId="77777777" w:rsidTr="008919D7">
        <w:tc>
          <w:tcPr>
            <w:tcW w:w="9287" w:type="dxa"/>
          </w:tcPr>
          <w:p w14:paraId="7C332530" w14:textId="77777777" w:rsidR="00544815" w:rsidRPr="00251348" w:rsidRDefault="00016F29" w:rsidP="008919D7">
            <w:pPr>
              <w:rPr>
                <w:b/>
                <w:szCs w:val="22"/>
                <w:lang w:val="en-GB"/>
              </w:rPr>
            </w:pPr>
            <w:r w:rsidRPr="00251348">
              <w:rPr>
                <w:b/>
                <w:szCs w:val="22"/>
                <w:lang w:val="en-GB"/>
              </w:rPr>
              <w:t>13.</w:t>
            </w:r>
            <w:r w:rsidRPr="00251348">
              <w:rPr>
                <w:b/>
                <w:szCs w:val="22"/>
                <w:lang w:val="en-GB"/>
              </w:rPr>
              <w:tab/>
              <w:t>BATCH NUMBER</w:t>
            </w:r>
          </w:p>
        </w:tc>
      </w:tr>
    </w:tbl>
    <w:p w14:paraId="7C332532" w14:textId="77777777" w:rsidR="00544815" w:rsidRPr="00251348" w:rsidRDefault="00544815" w:rsidP="00544815">
      <w:pPr>
        <w:rPr>
          <w:szCs w:val="22"/>
          <w:lang w:val="en-GB"/>
        </w:rPr>
      </w:pPr>
    </w:p>
    <w:p w14:paraId="7C332533" w14:textId="77777777" w:rsidR="00544815" w:rsidRPr="00251348" w:rsidRDefault="00016F29" w:rsidP="00544815">
      <w:pPr>
        <w:outlineLvl w:val="0"/>
        <w:rPr>
          <w:szCs w:val="22"/>
          <w:lang w:val="en-GB"/>
        </w:rPr>
      </w:pPr>
      <w:r w:rsidRPr="00251348">
        <w:rPr>
          <w:szCs w:val="22"/>
          <w:lang w:val="en-GB"/>
        </w:rPr>
        <w:t>Batch</w:t>
      </w:r>
    </w:p>
    <w:p w14:paraId="7C332534" w14:textId="77777777" w:rsidR="00544815" w:rsidRPr="00251348" w:rsidRDefault="00544815" w:rsidP="00544815">
      <w:pPr>
        <w:rPr>
          <w:szCs w:val="22"/>
          <w:lang w:val="en-GB"/>
        </w:rPr>
      </w:pPr>
    </w:p>
    <w:p w14:paraId="7C332535" w14:textId="77777777" w:rsidR="00544815" w:rsidRPr="00251348"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537" w14:textId="77777777" w:rsidTr="008919D7">
        <w:tc>
          <w:tcPr>
            <w:tcW w:w="9287" w:type="dxa"/>
          </w:tcPr>
          <w:p w14:paraId="7C332536" w14:textId="77777777" w:rsidR="00544815" w:rsidRPr="00251348" w:rsidRDefault="00016F29" w:rsidP="008919D7">
            <w:pPr>
              <w:rPr>
                <w:b/>
                <w:szCs w:val="22"/>
                <w:lang w:val="en-GB"/>
              </w:rPr>
            </w:pPr>
            <w:r w:rsidRPr="00251348">
              <w:rPr>
                <w:b/>
                <w:szCs w:val="22"/>
                <w:lang w:val="en-GB"/>
              </w:rPr>
              <w:t>14.</w:t>
            </w:r>
            <w:r w:rsidRPr="00251348">
              <w:rPr>
                <w:b/>
                <w:szCs w:val="22"/>
                <w:lang w:val="en-GB"/>
              </w:rPr>
              <w:tab/>
              <w:t>GENERAL CLASSIFICATION FOR SUPPLY</w:t>
            </w:r>
          </w:p>
        </w:tc>
      </w:tr>
    </w:tbl>
    <w:p w14:paraId="7C332538" w14:textId="77777777" w:rsidR="00544815" w:rsidRPr="00251348" w:rsidRDefault="00544815" w:rsidP="00544815">
      <w:pPr>
        <w:rPr>
          <w:szCs w:val="22"/>
          <w:lang w:val="en-GB"/>
        </w:rPr>
      </w:pPr>
    </w:p>
    <w:p w14:paraId="7C332539" w14:textId="77777777" w:rsidR="00544815" w:rsidRPr="00251348"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53B" w14:textId="77777777" w:rsidTr="008919D7">
        <w:tc>
          <w:tcPr>
            <w:tcW w:w="9287" w:type="dxa"/>
          </w:tcPr>
          <w:p w14:paraId="7C33253A" w14:textId="77777777" w:rsidR="00544815" w:rsidRPr="00251348" w:rsidRDefault="00016F29" w:rsidP="008919D7">
            <w:pPr>
              <w:rPr>
                <w:b/>
                <w:szCs w:val="22"/>
                <w:lang w:val="en-GB"/>
              </w:rPr>
            </w:pPr>
            <w:r w:rsidRPr="00251348">
              <w:rPr>
                <w:b/>
                <w:szCs w:val="22"/>
                <w:lang w:val="en-GB"/>
              </w:rPr>
              <w:t>15.</w:t>
            </w:r>
            <w:r w:rsidRPr="00251348">
              <w:rPr>
                <w:b/>
                <w:szCs w:val="22"/>
                <w:lang w:val="en-GB"/>
              </w:rPr>
              <w:tab/>
              <w:t>INSTRUCTIONS ON USE</w:t>
            </w:r>
          </w:p>
        </w:tc>
      </w:tr>
    </w:tbl>
    <w:p w14:paraId="7C33253C" w14:textId="77777777" w:rsidR="00544815" w:rsidRDefault="00544815" w:rsidP="00544815">
      <w:pPr>
        <w:rPr>
          <w:szCs w:val="22"/>
          <w:lang w:val="en-GB"/>
        </w:rPr>
      </w:pPr>
    </w:p>
    <w:p w14:paraId="7C33253D" w14:textId="77777777" w:rsidR="00CE5D57" w:rsidRPr="00251348" w:rsidRDefault="00CE5D57"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53F" w14:textId="77777777" w:rsidTr="008919D7">
        <w:tc>
          <w:tcPr>
            <w:tcW w:w="9287" w:type="dxa"/>
          </w:tcPr>
          <w:p w14:paraId="7C33253E" w14:textId="77777777" w:rsidR="00544815" w:rsidRPr="00251348" w:rsidRDefault="00016F29" w:rsidP="008919D7">
            <w:pPr>
              <w:rPr>
                <w:b/>
                <w:szCs w:val="22"/>
                <w:lang w:val="en-GB"/>
              </w:rPr>
            </w:pPr>
            <w:r w:rsidRPr="00251348">
              <w:rPr>
                <w:b/>
                <w:szCs w:val="22"/>
                <w:lang w:val="en-GB"/>
              </w:rPr>
              <w:t>16.</w:t>
            </w:r>
            <w:r w:rsidRPr="00251348">
              <w:rPr>
                <w:b/>
                <w:szCs w:val="22"/>
                <w:lang w:val="en-GB"/>
              </w:rPr>
              <w:tab/>
              <w:t>INFORMATION IN BRAILLE</w:t>
            </w:r>
          </w:p>
        </w:tc>
      </w:tr>
    </w:tbl>
    <w:p w14:paraId="7C332540" w14:textId="77777777" w:rsidR="00544815" w:rsidRPr="00251348" w:rsidRDefault="00544815" w:rsidP="00544815">
      <w:pPr>
        <w:rPr>
          <w:szCs w:val="22"/>
          <w:lang w:val="en-GB"/>
        </w:rPr>
      </w:pPr>
    </w:p>
    <w:p w14:paraId="7C332541" w14:textId="77777777" w:rsidR="00544815" w:rsidRDefault="00016F29" w:rsidP="00544815">
      <w:pPr>
        <w:outlineLvl w:val="0"/>
        <w:rPr>
          <w:szCs w:val="22"/>
          <w:lang w:val="en-GB"/>
        </w:rPr>
      </w:pPr>
      <w:r w:rsidRPr="00E06A78">
        <w:rPr>
          <w:lang w:val="en-GB"/>
        </w:rPr>
        <w:t>Justification for not including Braille accepted</w:t>
      </w:r>
      <w:r w:rsidRPr="00137FEB">
        <w:rPr>
          <w:szCs w:val="22"/>
          <w:lang w:val="en-GB"/>
        </w:rPr>
        <w:t>.</w:t>
      </w:r>
    </w:p>
    <w:p w14:paraId="7C332542" w14:textId="77777777" w:rsidR="00E435E6" w:rsidRDefault="00E435E6" w:rsidP="00E435E6">
      <w:pPr>
        <w:rPr>
          <w:noProof/>
          <w:szCs w:val="22"/>
          <w:shd w:val="clear" w:color="auto" w:fill="CCCCCC"/>
        </w:rPr>
      </w:pPr>
    </w:p>
    <w:p w14:paraId="7C332543" w14:textId="77777777" w:rsidR="00CE5D57" w:rsidRDefault="00CE5D57" w:rsidP="00E435E6">
      <w:pPr>
        <w:rPr>
          <w:noProof/>
          <w:szCs w:val="22"/>
          <w:shd w:val="clear" w:color="auto" w:fill="CCCCCC"/>
        </w:rPr>
      </w:pPr>
    </w:p>
    <w:p w14:paraId="7C332544" w14:textId="77777777" w:rsidR="00E435E6" w:rsidRPr="006651D5" w:rsidRDefault="00016F29" w:rsidP="00E435E6">
      <w:pPr>
        <w:pBdr>
          <w:top w:val="single" w:sz="4" w:space="1" w:color="auto"/>
          <w:left w:val="single" w:sz="4" w:space="4" w:color="auto"/>
          <w:bottom w:val="single" w:sz="4" w:space="0" w:color="auto"/>
          <w:right w:val="single" w:sz="4" w:space="4" w:color="auto"/>
        </w:pBdr>
        <w:rPr>
          <w:i/>
          <w:noProof/>
        </w:rPr>
      </w:pPr>
      <w:r w:rsidRPr="006651D5">
        <w:rPr>
          <w:b/>
          <w:noProof/>
        </w:rPr>
        <w:t>17.</w:t>
      </w:r>
      <w:r w:rsidRPr="006651D5">
        <w:rPr>
          <w:b/>
          <w:noProof/>
        </w:rPr>
        <w:tab/>
        <w:t>UNIQUE IDENTIFIER – 2D BARCODE</w:t>
      </w:r>
    </w:p>
    <w:p w14:paraId="7C332545" w14:textId="77777777" w:rsidR="00E435E6" w:rsidRPr="00E06A78" w:rsidRDefault="00E435E6" w:rsidP="00E435E6"/>
    <w:p w14:paraId="7C332546" w14:textId="77777777" w:rsidR="00E435E6" w:rsidRPr="00E06A78" w:rsidRDefault="00016F29" w:rsidP="00E435E6">
      <w:pPr>
        <w:rPr>
          <w:shd w:val="clear" w:color="auto" w:fill="CCCCCC"/>
        </w:rPr>
      </w:pPr>
      <w:r w:rsidRPr="00E06A78">
        <w:t>2D barcode carrying the unique identifier included.</w:t>
      </w:r>
    </w:p>
    <w:p w14:paraId="7C332547" w14:textId="77777777" w:rsidR="00E435E6" w:rsidRPr="00E06A78" w:rsidRDefault="00E435E6" w:rsidP="00E435E6">
      <w:pPr>
        <w:rPr>
          <w:shd w:val="clear" w:color="auto" w:fill="CCCCCC"/>
        </w:rPr>
      </w:pPr>
    </w:p>
    <w:p w14:paraId="7C332548" w14:textId="77777777" w:rsidR="00E435E6" w:rsidRPr="00E06A78" w:rsidRDefault="00E435E6" w:rsidP="00E435E6"/>
    <w:p w14:paraId="7C332549" w14:textId="77777777" w:rsidR="00E435E6" w:rsidRPr="008518AD" w:rsidRDefault="00016F29" w:rsidP="00E435E6">
      <w:pPr>
        <w:pBdr>
          <w:top w:val="single" w:sz="4" w:space="1" w:color="auto"/>
          <w:left w:val="single" w:sz="4" w:space="4" w:color="auto"/>
          <w:bottom w:val="single" w:sz="4" w:space="0" w:color="auto"/>
          <w:right w:val="single" w:sz="4" w:space="4" w:color="auto"/>
        </w:pBdr>
        <w:rPr>
          <w:i/>
          <w:noProof/>
        </w:rPr>
      </w:pPr>
      <w:r w:rsidRPr="008518AD">
        <w:rPr>
          <w:b/>
          <w:noProof/>
        </w:rPr>
        <w:t>18.</w:t>
      </w:r>
      <w:r w:rsidRPr="008518AD">
        <w:rPr>
          <w:b/>
          <w:noProof/>
        </w:rPr>
        <w:tab/>
        <w:t xml:space="preserve">UNIQUE IDENTIFIER </w:t>
      </w:r>
      <w:r w:rsidR="000A6DDA" w:rsidRPr="008518AD">
        <w:rPr>
          <w:b/>
          <w:noProof/>
        </w:rPr>
        <w:noBreakHyphen/>
      </w:r>
      <w:r w:rsidR="000A6DDA" w:rsidRPr="008518AD">
        <w:rPr>
          <w:b/>
          <w:noProof/>
        </w:rPr>
        <w:noBreakHyphen/>
      </w:r>
      <w:r w:rsidRPr="008518AD">
        <w:rPr>
          <w:b/>
          <w:noProof/>
        </w:rPr>
        <w:t xml:space="preserve"> HUMAN READABLE DATA</w:t>
      </w:r>
    </w:p>
    <w:p w14:paraId="7C33254A" w14:textId="77777777" w:rsidR="00E435E6" w:rsidRPr="001F63EB" w:rsidRDefault="00E435E6" w:rsidP="00E435E6">
      <w:pPr>
        <w:rPr>
          <w:noProof/>
        </w:rPr>
      </w:pPr>
    </w:p>
    <w:p w14:paraId="7C33254B" w14:textId="77777777" w:rsidR="00E435E6" w:rsidRPr="005E4C1A" w:rsidRDefault="00016F29" w:rsidP="00E435E6">
      <w:pPr>
        <w:rPr>
          <w:szCs w:val="22"/>
        </w:rPr>
      </w:pPr>
      <w:r w:rsidRPr="005E4C1A">
        <w:rPr>
          <w:szCs w:val="22"/>
        </w:rPr>
        <w:t xml:space="preserve">PC </w:t>
      </w:r>
    </w:p>
    <w:p w14:paraId="7C33254C" w14:textId="77777777" w:rsidR="00E435E6" w:rsidRPr="00A3054B" w:rsidRDefault="00016F29" w:rsidP="00E435E6">
      <w:pPr>
        <w:rPr>
          <w:szCs w:val="22"/>
        </w:rPr>
      </w:pPr>
      <w:r w:rsidRPr="00A3054B">
        <w:rPr>
          <w:szCs w:val="22"/>
        </w:rPr>
        <w:t xml:space="preserve">SN </w:t>
      </w:r>
    </w:p>
    <w:p w14:paraId="7C33254D" w14:textId="77777777" w:rsidR="00E435E6" w:rsidRPr="00C937E7" w:rsidRDefault="00016F29" w:rsidP="00E435E6">
      <w:pPr>
        <w:rPr>
          <w:szCs w:val="22"/>
        </w:rPr>
      </w:pPr>
      <w:r w:rsidRPr="00A3054B">
        <w:rPr>
          <w:szCs w:val="22"/>
        </w:rPr>
        <w:t>NN</w:t>
      </w:r>
      <w:r w:rsidRPr="00C51DEE">
        <w:rPr>
          <w:szCs w:val="22"/>
        </w:rPr>
        <w:t xml:space="preserve"> </w:t>
      </w:r>
    </w:p>
    <w:p w14:paraId="7C33254E" w14:textId="77777777" w:rsidR="00544815" w:rsidRPr="00137FEB" w:rsidRDefault="00544815" w:rsidP="00544815">
      <w:pPr>
        <w:rPr>
          <w:szCs w:val="22"/>
          <w:lang w:val="en-GB"/>
        </w:rPr>
      </w:pPr>
    </w:p>
    <w:p w14:paraId="7C33254F" w14:textId="77777777" w:rsidR="00544815" w:rsidRPr="00D239C4" w:rsidRDefault="00016F29" w:rsidP="00544815">
      <w:pPr>
        <w:rPr>
          <w:szCs w:val="22"/>
          <w:lang w:val="en-GB"/>
        </w:rPr>
      </w:pPr>
      <w:r w:rsidRPr="00D239C4">
        <w:rPr>
          <w:szCs w:val="22"/>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553" w14:textId="77777777" w:rsidTr="008919D7">
        <w:trPr>
          <w:trHeight w:val="744"/>
        </w:trPr>
        <w:tc>
          <w:tcPr>
            <w:tcW w:w="9287" w:type="dxa"/>
            <w:tcBorders>
              <w:bottom w:val="single" w:sz="4" w:space="0" w:color="auto"/>
            </w:tcBorders>
          </w:tcPr>
          <w:p w14:paraId="7C332550" w14:textId="77777777" w:rsidR="00544815" w:rsidRPr="00D239C4" w:rsidRDefault="00016F29" w:rsidP="008919D7">
            <w:pPr>
              <w:rPr>
                <w:b/>
                <w:szCs w:val="22"/>
                <w:lang w:val="en-GB"/>
              </w:rPr>
            </w:pPr>
            <w:r w:rsidRPr="00D239C4">
              <w:rPr>
                <w:b/>
                <w:szCs w:val="22"/>
                <w:lang w:val="en-GB"/>
              </w:rPr>
              <w:t>MINIMUM PARTICULARS TO APPEAR ON SMALL IMMEDIATE PACKAGING UNITS</w:t>
            </w:r>
          </w:p>
          <w:p w14:paraId="7C332551" w14:textId="77777777" w:rsidR="00544815" w:rsidRPr="000400ED" w:rsidRDefault="00544815" w:rsidP="008919D7">
            <w:pPr>
              <w:rPr>
                <w:b/>
                <w:szCs w:val="22"/>
                <w:lang w:val="en-GB"/>
              </w:rPr>
            </w:pPr>
          </w:p>
          <w:p w14:paraId="7C332552" w14:textId="77777777" w:rsidR="00544815" w:rsidRPr="001976F0" w:rsidRDefault="00016F29" w:rsidP="008919D7">
            <w:pPr>
              <w:rPr>
                <w:b/>
                <w:bCs/>
                <w:szCs w:val="22"/>
                <w:lang w:val="en-GB"/>
              </w:rPr>
            </w:pPr>
            <w:r w:rsidRPr="001976F0">
              <w:rPr>
                <w:b/>
                <w:bCs/>
                <w:szCs w:val="22"/>
                <w:lang w:val="en-GB"/>
              </w:rPr>
              <w:t>VIAL LABEL</w:t>
            </w:r>
          </w:p>
        </w:tc>
      </w:tr>
    </w:tbl>
    <w:p w14:paraId="7C332554" w14:textId="77777777" w:rsidR="00544815" w:rsidRPr="00251348" w:rsidRDefault="00544815" w:rsidP="00544815">
      <w:pPr>
        <w:rPr>
          <w:szCs w:val="22"/>
          <w:lang w:val="en-GB"/>
        </w:rPr>
      </w:pPr>
    </w:p>
    <w:p w14:paraId="7C332555" w14:textId="77777777" w:rsidR="00544815" w:rsidRPr="00251348"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557" w14:textId="77777777" w:rsidTr="008919D7">
        <w:tc>
          <w:tcPr>
            <w:tcW w:w="9287" w:type="dxa"/>
          </w:tcPr>
          <w:p w14:paraId="7C332556" w14:textId="77777777" w:rsidR="00544815" w:rsidRPr="00251348" w:rsidRDefault="00016F29" w:rsidP="008919D7">
            <w:pPr>
              <w:rPr>
                <w:b/>
                <w:szCs w:val="22"/>
                <w:lang w:val="en-GB"/>
              </w:rPr>
            </w:pPr>
            <w:r w:rsidRPr="00251348">
              <w:rPr>
                <w:b/>
                <w:szCs w:val="22"/>
                <w:lang w:val="en-GB"/>
              </w:rPr>
              <w:t>1.</w:t>
            </w:r>
            <w:r w:rsidRPr="00251348">
              <w:rPr>
                <w:b/>
                <w:szCs w:val="22"/>
                <w:lang w:val="en-GB"/>
              </w:rPr>
              <w:tab/>
              <w:t>NAME OF THE MEDICINAL PRODUCT AND ROUTE(S) OF ADMINISTRATION</w:t>
            </w:r>
          </w:p>
        </w:tc>
      </w:tr>
    </w:tbl>
    <w:p w14:paraId="7C332558" w14:textId="77777777" w:rsidR="00544815" w:rsidRPr="00251348" w:rsidRDefault="00544815" w:rsidP="00544815">
      <w:pPr>
        <w:rPr>
          <w:szCs w:val="22"/>
          <w:lang w:val="en-GB"/>
        </w:rPr>
      </w:pPr>
    </w:p>
    <w:p w14:paraId="7C332559" w14:textId="77777777" w:rsidR="00544815" w:rsidRPr="00251348" w:rsidRDefault="00016F29" w:rsidP="00544815">
      <w:pPr>
        <w:tabs>
          <w:tab w:val="left" w:pos="567"/>
        </w:tabs>
        <w:spacing w:line="260" w:lineRule="exact"/>
        <w:outlineLvl w:val="0"/>
        <w:rPr>
          <w:szCs w:val="22"/>
          <w:lang w:val="en-GB" w:eastAsia="en-US"/>
        </w:rPr>
      </w:pPr>
      <w:r w:rsidRPr="00251348">
        <w:rPr>
          <w:szCs w:val="22"/>
          <w:lang w:val="en-GB" w:eastAsia="en-US"/>
        </w:rPr>
        <w:t>MabThera 1400 mg solution for subcutaneous injection</w:t>
      </w:r>
    </w:p>
    <w:p w14:paraId="7C33255A" w14:textId="77777777" w:rsidR="00544815" w:rsidRPr="00251348" w:rsidRDefault="00544815" w:rsidP="00544815">
      <w:pPr>
        <w:rPr>
          <w:szCs w:val="22"/>
          <w:lang w:val="en-GB"/>
        </w:rPr>
      </w:pPr>
    </w:p>
    <w:p w14:paraId="7C33255B" w14:textId="77777777" w:rsidR="00544815" w:rsidRPr="00153E10" w:rsidRDefault="00016F29" w:rsidP="00544815">
      <w:pPr>
        <w:outlineLvl w:val="0"/>
        <w:rPr>
          <w:szCs w:val="22"/>
          <w:lang w:val="en-GB"/>
        </w:rPr>
      </w:pPr>
      <w:r w:rsidRPr="00153E10">
        <w:rPr>
          <w:szCs w:val="22"/>
          <w:lang w:val="en-GB"/>
        </w:rPr>
        <w:t>r</w:t>
      </w:r>
      <w:r w:rsidR="0053310F" w:rsidRPr="00153E10">
        <w:rPr>
          <w:szCs w:val="22"/>
          <w:lang w:val="en-GB"/>
        </w:rPr>
        <w:t>ituximab</w:t>
      </w:r>
    </w:p>
    <w:p w14:paraId="7C33255C" w14:textId="77777777" w:rsidR="00544815" w:rsidRPr="00251348" w:rsidRDefault="00544815" w:rsidP="00544815">
      <w:pPr>
        <w:rPr>
          <w:szCs w:val="22"/>
          <w:lang w:val="en-GB"/>
        </w:rPr>
      </w:pPr>
    </w:p>
    <w:p w14:paraId="7C33255D" w14:textId="77777777" w:rsidR="00544815" w:rsidRPr="00251348" w:rsidRDefault="00016F29" w:rsidP="00544815">
      <w:pPr>
        <w:outlineLvl w:val="0"/>
        <w:rPr>
          <w:szCs w:val="22"/>
          <w:lang w:val="en-GB"/>
        </w:rPr>
      </w:pPr>
      <w:r w:rsidRPr="00E06A78">
        <w:rPr>
          <w:highlight w:val="darkGray"/>
          <w:lang w:val="en-GB"/>
        </w:rPr>
        <w:t>subcutaneous</w:t>
      </w:r>
    </w:p>
    <w:p w14:paraId="7C33255E" w14:textId="77777777" w:rsidR="00544815" w:rsidRPr="00251348" w:rsidRDefault="00544815" w:rsidP="00544815">
      <w:pPr>
        <w:rPr>
          <w:szCs w:val="22"/>
          <w:lang w:val="en-GB"/>
        </w:rPr>
      </w:pPr>
    </w:p>
    <w:p w14:paraId="7C33255F" w14:textId="77777777" w:rsidR="00544815" w:rsidRPr="00251348"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561" w14:textId="77777777" w:rsidTr="008919D7">
        <w:tc>
          <w:tcPr>
            <w:tcW w:w="9287" w:type="dxa"/>
          </w:tcPr>
          <w:p w14:paraId="7C332560" w14:textId="77777777" w:rsidR="00544815" w:rsidRPr="00251348" w:rsidRDefault="00016F29" w:rsidP="008919D7">
            <w:pPr>
              <w:rPr>
                <w:b/>
                <w:szCs w:val="22"/>
                <w:lang w:val="en-GB"/>
              </w:rPr>
            </w:pPr>
            <w:r w:rsidRPr="00251348">
              <w:rPr>
                <w:b/>
                <w:szCs w:val="22"/>
                <w:lang w:val="en-GB"/>
              </w:rPr>
              <w:t>2.</w:t>
            </w:r>
            <w:r w:rsidRPr="00251348">
              <w:rPr>
                <w:b/>
                <w:szCs w:val="22"/>
                <w:lang w:val="en-GB"/>
              </w:rPr>
              <w:tab/>
              <w:t>METHOD OF ADMINISTRATION</w:t>
            </w:r>
          </w:p>
        </w:tc>
      </w:tr>
    </w:tbl>
    <w:p w14:paraId="7C332562" w14:textId="77777777" w:rsidR="00544815" w:rsidRPr="00251348" w:rsidRDefault="00544815" w:rsidP="00544815">
      <w:pPr>
        <w:rPr>
          <w:szCs w:val="22"/>
          <w:lang w:val="en-GB"/>
        </w:rPr>
      </w:pPr>
    </w:p>
    <w:p w14:paraId="7C332563" w14:textId="77777777" w:rsidR="00544815" w:rsidRPr="00251348" w:rsidRDefault="00016F29" w:rsidP="00544815">
      <w:pPr>
        <w:tabs>
          <w:tab w:val="left" w:pos="567"/>
        </w:tabs>
        <w:spacing w:line="260" w:lineRule="exact"/>
        <w:outlineLvl w:val="0"/>
        <w:rPr>
          <w:szCs w:val="22"/>
          <w:lang w:val="en-GB" w:eastAsia="en-US"/>
        </w:rPr>
      </w:pPr>
      <w:r>
        <w:rPr>
          <w:szCs w:val="22"/>
          <w:lang w:val="en-GB" w:eastAsia="en-US"/>
        </w:rPr>
        <w:t>Only f</w:t>
      </w:r>
      <w:r w:rsidRPr="00251348">
        <w:rPr>
          <w:szCs w:val="22"/>
          <w:lang w:val="en-GB" w:eastAsia="en-US"/>
        </w:rPr>
        <w:t xml:space="preserve">or subcutaneous use </w:t>
      </w:r>
    </w:p>
    <w:p w14:paraId="7C332564" w14:textId="77777777" w:rsidR="00544815" w:rsidRPr="00251348" w:rsidRDefault="00544815" w:rsidP="00544815">
      <w:pPr>
        <w:rPr>
          <w:szCs w:val="22"/>
          <w:lang w:val="en-GB"/>
        </w:rPr>
      </w:pPr>
    </w:p>
    <w:p w14:paraId="7C332565" w14:textId="77777777" w:rsidR="00544815" w:rsidRPr="00251348"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567" w14:textId="77777777" w:rsidTr="008919D7">
        <w:tc>
          <w:tcPr>
            <w:tcW w:w="9287" w:type="dxa"/>
          </w:tcPr>
          <w:p w14:paraId="7C332566" w14:textId="77777777" w:rsidR="00544815" w:rsidRPr="00251348" w:rsidRDefault="00016F29" w:rsidP="008919D7">
            <w:pPr>
              <w:rPr>
                <w:b/>
                <w:szCs w:val="22"/>
                <w:lang w:val="en-GB"/>
              </w:rPr>
            </w:pPr>
            <w:r w:rsidRPr="00251348">
              <w:rPr>
                <w:b/>
                <w:szCs w:val="22"/>
                <w:lang w:val="en-GB"/>
              </w:rPr>
              <w:t>3.</w:t>
            </w:r>
            <w:r w:rsidRPr="00251348">
              <w:rPr>
                <w:b/>
                <w:szCs w:val="22"/>
                <w:lang w:val="en-GB"/>
              </w:rPr>
              <w:tab/>
              <w:t>EXPIRY DATE</w:t>
            </w:r>
          </w:p>
        </w:tc>
      </w:tr>
    </w:tbl>
    <w:p w14:paraId="7C332568" w14:textId="77777777" w:rsidR="00544815" w:rsidRPr="00251348" w:rsidRDefault="00544815" w:rsidP="00544815">
      <w:pPr>
        <w:rPr>
          <w:szCs w:val="22"/>
          <w:lang w:val="en-GB"/>
        </w:rPr>
      </w:pPr>
    </w:p>
    <w:p w14:paraId="7C332569" w14:textId="77777777" w:rsidR="00544815" w:rsidRPr="00251348" w:rsidRDefault="00016F29" w:rsidP="00544815">
      <w:pPr>
        <w:outlineLvl w:val="0"/>
        <w:rPr>
          <w:szCs w:val="22"/>
          <w:lang w:val="en-GB"/>
        </w:rPr>
      </w:pPr>
      <w:r w:rsidRPr="00251348">
        <w:rPr>
          <w:szCs w:val="22"/>
          <w:lang w:val="en-GB"/>
        </w:rPr>
        <w:t>EXP</w:t>
      </w:r>
    </w:p>
    <w:p w14:paraId="7C33256A" w14:textId="77777777" w:rsidR="00544815" w:rsidRPr="00251348" w:rsidRDefault="00544815" w:rsidP="00544815">
      <w:pPr>
        <w:rPr>
          <w:szCs w:val="22"/>
          <w:lang w:val="en-GB"/>
        </w:rPr>
      </w:pPr>
    </w:p>
    <w:p w14:paraId="7C33256B" w14:textId="77777777" w:rsidR="00544815" w:rsidRPr="00251348"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56D" w14:textId="77777777" w:rsidTr="008919D7">
        <w:tc>
          <w:tcPr>
            <w:tcW w:w="9287" w:type="dxa"/>
          </w:tcPr>
          <w:p w14:paraId="7C33256C" w14:textId="77777777" w:rsidR="00544815" w:rsidRPr="00251348" w:rsidRDefault="00016F29" w:rsidP="008919D7">
            <w:pPr>
              <w:rPr>
                <w:b/>
                <w:szCs w:val="22"/>
                <w:lang w:val="en-GB"/>
              </w:rPr>
            </w:pPr>
            <w:r w:rsidRPr="00251348">
              <w:rPr>
                <w:b/>
                <w:szCs w:val="22"/>
                <w:lang w:val="en-GB"/>
              </w:rPr>
              <w:t>4.</w:t>
            </w:r>
            <w:r w:rsidRPr="00251348">
              <w:rPr>
                <w:b/>
                <w:szCs w:val="22"/>
                <w:lang w:val="en-GB"/>
              </w:rPr>
              <w:tab/>
              <w:t>BATCH NUMBER</w:t>
            </w:r>
          </w:p>
        </w:tc>
      </w:tr>
    </w:tbl>
    <w:p w14:paraId="7C33256E" w14:textId="77777777" w:rsidR="00544815" w:rsidRPr="00251348" w:rsidRDefault="00544815" w:rsidP="00544815">
      <w:pPr>
        <w:rPr>
          <w:szCs w:val="22"/>
          <w:lang w:val="en-GB"/>
        </w:rPr>
      </w:pPr>
    </w:p>
    <w:p w14:paraId="7C33256F" w14:textId="77777777" w:rsidR="00544815" w:rsidRPr="00251348" w:rsidRDefault="00016F29" w:rsidP="00544815">
      <w:pPr>
        <w:rPr>
          <w:szCs w:val="22"/>
          <w:lang w:val="en-GB"/>
        </w:rPr>
      </w:pPr>
      <w:smartTag w:uri="urn:schemas-microsoft-com:office:smarttags" w:element="place">
        <w:r w:rsidRPr="00251348">
          <w:rPr>
            <w:szCs w:val="22"/>
            <w:lang w:val="en-GB"/>
          </w:rPr>
          <w:t>Lot</w:t>
        </w:r>
      </w:smartTag>
    </w:p>
    <w:p w14:paraId="7C332570" w14:textId="77777777" w:rsidR="00544815" w:rsidRPr="00251348" w:rsidRDefault="00544815" w:rsidP="00544815">
      <w:pPr>
        <w:rPr>
          <w:szCs w:val="22"/>
          <w:lang w:val="en-GB"/>
        </w:rPr>
      </w:pPr>
    </w:p>
    <w:p w14:paraId="7C332571" w14:textId="77777777" w:rsidR="00544815" w:rsidRPr="00251348"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573" w14:textId="77777777" w:rsidTr="008919D7">
        <w:tc>
          <w:tcPr>
            <w:tcW w:w="9287" w:type="dxa"/>
          </w:tcPr>
          <w:p w14:paraId="7C332572" w14:textId="77777777" w:rsidR="00544815" w:rsidRPr="00251348" w:rsidRDefault="00016F29" w:rsidP="008919D7">
            <w:pPr>
              <w:rPr>
                <w:b/>
                <w:szCs w:val="22"/>
                <w:lang w:val="en-GB"/>
              </w:rPr>
            </w:pPr>
            <w:r w:rsidRPr="00251348">
              <w:rPr>
                <w:b/>
                <w:szCs w:val="22"/>
                <w:lang w:val="en-GB"/>
              </w:rPr>
              <w:t>5.</w:t>
            </w:r>
            <w:r w:rsidRPr="00251348">
              <w:rPr>
                <w:b/>
                <w:szCs w:val="22"/>
                <w:lang w:val="en-GB"/>
              </w:rPr>
              <w:tab/>
              <w:t>CONTENTS BY WEIGHT, BY VOLUME OR BY UNIT</w:t>
            </w:r>
          </w:p>
        </w:tc>
      </w:tr>
    </w:tbl>
    <w:p w14:paraId="7C332574" w14:textId="77777777" w:rsidR="00544815" w:rsidRPr="00251348" w:rsidRDefault="00544815" w:rsidP="00544815">
      <w:pPr>
        <w:rPr>
          <w:szCs w:val="22"/>
          <w:lang w:val="en-GB"/>
        </w:rPr>
      </w:pPr>
    </w:p>
    <w:p w14:paraId="7C332575" w14:textId="77777777" w:rsidR="00544815" w:rsidRPr="00251348" w:rsidRDefault="00016F29" w:rsidP="00544815">
      <w:pPr>
        <w:tabs>
          <w:tab w:val="left" w:pos="567"/>
        </w:tabs>
        <w:spacing w:line="260" w:lineRule="exact"/>
        <w:rPr>
          <w:szCs w:val="22"/>
          <w:lang w:val="en-GB" w:eastAsia="en-US"/>
        </w:rPr>
      </w:pPr>
      <w:r w:rsidRPr="00251348">
        <w:rPr>
          <w:szCs w:val="22"/>
          <w:lang w:val="en-GB" w:eastAsia="en-US"/>
        </w:rPr>
        <w:t>1</w:t>
      </w:r>
      <w:r w:rsidR="003C46D3">
        <w:rPr>
          <w:szCs w:val="22"/>
          <w:lang w:val="en-GB" w:eastAsia="en-US"/>
        </w:rPr>
        <w:t>,</w:t>
      </w:r>
      <w:r w:rsidRPr="00251348">
        <w:rPr>
          <w:szCs w:val="22"/>
          <w:lang w:val="en-GB" w:eastAsia="en-US"/>
        </w:rPr>
        <w:t xml:space="preserve">400 mg/11.7 mL </w:t>
      </w:r>
    </w:p>
    <w:p w14:paraId="7C332576" w14:textId="77777777" w:rsidR="00544815" w:rsidRPr="00251348" w:rsidRDefault="00544815" w:rsidP="00544815">
      <w:pPr>
        <w:rPr>
          <w:szCs w:val="22"/>
          <w:lang w:val="en-GB"/>
        </w:rPr>
      </w:pPr>
    </w:p>
    <w:p w14:paraId="7C332577" w14:textId="77777777" w:rsidR="00544815" w:rsidRPr="00251348" w:rsidRDefault="00544815" w:rsidP="00544815">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579" w14:textId="77777777" w:rsidTr="008919D7">
        <w:tc>
          <w:tcPr>
            <w:tcW w:w="9287" w:type="dxa"/>
          </w:tcPr>
          <w:p w14:paraId="7C332578" w14:textId="77777777" w:rsidR="00544815" w:rsidRPr="00251348" w:rsidRDefault="00016F29" w:rsidP="008919D7">
            <w:pPr>
              <w:rPr>
                <w:b/>
                <w:szCs w:val="22"/>
                <w:lang w:val="en-GB"/>
              </w:rPr>
            </w:pPr>
            <w:r w:rsidRPr="00251348">
              <w:rPr>
                <w:b/>
                <w:szCs w:val="22"/>
                <w:lang w:val="en-GB"/>
              </w:rPr>
              <w:t>6.</w:t>
            </w:r>
            <w:r w:rsidRPr="00251348">
              <w:rPr>
                <w:b/>
                <w:szCs w:val="22"/>
                <w:lang w:val="en-GB"/>
              </w:rPr>
              <w:tab/>
              <w:t>OTHER</w:t>
            </w:r>
          </w:p>
        </w:tc>
      </w:tr>
    </w:tbl>
    <w:p w14:paraId="7C33257A" w14:textId="77777777" w:rsidR="00BD6117" w:rsidRPr="00E06A78" w:rsidRDefault="00BD6117" w:rsidP="007F0ECE">
      <w:pPr>
        <w:rPr>
          <w:lang w:val="en-GB"/>
        </w:rPr>
      </w:pPr>
    </w:p>
    <w:p w14:paraId="7C33257B" w14:textId="77777777" w:rsidR="005F368E" w:rsidRPr="00E06A78" w:rsidRDefault="00016F29" w:rsidP="005F368E">
      <w:pPr>
        <w:rPr>
          <w:b/>
          <w:u w:val="single"/>
          <w:lang w:val="en-GB"/>
        </w:rPr>
      </w:pPr>
      <w:r w:rsidRPr="00E06A78">
        <w:rPr>
          <w:b/>
        </w:rPr>
        <w:t xml:space="preserve">Information to appear on </w:t>
      </w:r>
      <w:r w:rsidRPr="00E06A78">
        <w:rPr>
          <w:b/>
          <w:u w:val="single"/>
        </w:rPr>
        <w:t>Peel</w:t>
      </w:r>
      <w:r w:rsidR="000A6DDA" w:rsidRPr="00E06A78">
        <w:rPr>
          <w:b/>
          <w:u w:val="single"/>
        </w:rPr>
        <w:noBreakHyphen/>
      </w:r>
      <w:r w:rsidRPr="00E06A78">
        <w:rPr>
          <w:b/>
          <w:u w:val="single"/>
        </w:rPr>
        <w:t>off sticker</w:t>
      </w:r>
    </w:p>
    <w:p w14:paraId="7C33257C" w14:textId="77777777" w:rsidR="005F368E" w:rsidRPr="001F63EB" w:rsidRDefault="005F368E" w:rsidP="005F368E">
      <w:pPr>
        <w:rPr>
          <w:szCs w:val="22"/>
          <w:u w:val="single"/>
          <w:lang w:val="en-GB"/>
        </w:rPr>
      </w:pPr>
    </w:p>
    <w:p w14:paraId="7C33257D" w14:textId="77777777" w:rsidR="003C46D3" w:rsidRDefault="00016F29" w:rsidP="005F368E">
      <w:pPr>
        <w:tabs>
          <w:tab w:val="left" w:pos="567"/>
        </w:tabs>
        <w:spacing w:line="260" w:lineRule="exact"/>
        <w:outlineLvl w:val="0"/>
        <w:rPr>
          <w:szCs w:val="22"/>
          <w:lang w:val="en-GB" w:eastAsia="en-US"/>
        </w:rPr>
      </w:pPr>
      <w:r>
        <w:rPr>
          <w:szCs w:val="22"/>
          <w:lang w:val="en-GB" w:eastAsia="en-US"/>
        </w:rPr>
        <w:t>Lot</w:t>
      </w:r>
    </w:p>
    <w:p w14:paraId="7C33257E" w14:textId="77777777" w:rsidR="005F368E" w:rsidRPr="001F63EB" w:rsidRDefault="00016F29" w:rsidP="005F368E">
      <w:pPr>
        <w:tabs>
          <w:tab w:val="left" w:pos="567"/>
        </w:tabs>
        <w:spacing w:line="260" w:lineRule="exact"/>
        <w:outlineLvl w:val="0"/>
        <w:rPr>
          <w:szCs w:val="22"/>
          <w:lang w:val="en-GB" w:eastAsia="en-US"/>
        </w:rPr>
      </w:pPr>
      <w:r w:rsidRPr="001F63EB">
        <w:rPr>
          <w:szCs w:val="22"/>
          <w:lang w:val="en-GB" w:eastAsia="en-US"/>
        </w:rPr>
        <w:t xml:space="preserve">MabThera 1400 mg </w:t>
      </w:r>
    </w:p>
    <w:p w14:paraId="7C33257F" w14:textId="77777777" w:rsidR="005F368E" w:rsidRPr="001F63EB" w:rsidRDefault="00016F29" w:rsidP="005F368E">
      <w:pPr>
        <w:outlineLvl w:val="0"/>
        <w:rPr>
          <w:szCs w:val="22"/>
          <w:lang w:val="en-GB"/>
        </w:rPr>
      </w:pPr>
      <w:r>
        <w:rPr>
          <w:szCs w:val="22"/>
          <w:lang w:val="en-GB"/>
        </w:rPr>
        <w:t>r</w:t>
      </w:r>
      <w:r w:rsidRPr="001F63EB">
        <w:rPr>
          <w:szCs w:val="22"/>
          <w:lang w:val="en-GB"/>
        </w:rPr>
        <w:t>ituximab</w:t>
      </w:r>
    </w:p>
    <w:p w14:paraId="7C332580" w14:textId="77777777" w:rsidR="005F368E" w:rsidRPr="001F63EB" w:rsidRDefault="005F368E" w:rsidP="005F368E">
      <w:pPr>
        <w:rPr>
          <w:szCs w:val="22"/>
          <w:lang w:val="en-GB"/>
        </w:rPr>
      </w:pPr>
    </w:p>
    <w:p w14:paraId="7C332581" w14:textId="77777777" w:rsidR="005F368E" w:rsidRPr="001F63EB" w:rsidRDefault="00016F29" w:rsidP="005F368E">
      <w:pPr>
        <w:outlineLvl w:val="0"/>
        <w:rPr>
          <w:szCs w:val="22"/>
          <w:lang w:val="en-GB"/>
        </w:rPr>
      </w:pPr>
      <w:r w:rsidRPr="001F63EB">
        <w:rPr>
          <w:szCs w:val="22"/>
          <w:lang w:val="en-GB"/>
        </w:rPr>
        <w:t>1</w:t>
      </w:r>
      <w:r w:rsidR="003C46D3">
        <w:rPr>
          <w:szCs w:val="22"/>
          <w:lang w:val="en-GB"/>
        </w:rPr>
        <w:t>,</w:t>
      </w:r>
      <w:r w:rsidRPr="001F63EB">
        <w:rPr>
          <w:szCs w:val="22"/>
          <w:lang w:val="en-GB"/>
        </w:rPr>
        <w:t>400 mg/11.7 mL</w:t>
      </w:r>
    </w:p>
    <w:p w14:paraId="7C332582" w14:textId="77777777" w:rsidR="005F368E" w:rsidRPr="001F63EB" w:rsidRDefault="005F368E" w:rsidP="00DD36B7">
      <w:pPr>
        <w:rPr>
          <w:lang w:val="en-GB"/>
        </w:rPr>
      </w:pPr>
    </w:p>
    <w:p w14:paraId="7C332583" w14:textId="77777777" w:rsidR="005F368E" w:rsidRPr="00A9421C" w:rsidRDefault="00016F29" w:rsidP="005F368E">
      <w:pPr>
        <w:outlineLvl w:val="0"/>
        <w:rPr>
          <w:szCs w:val="22"/>
          <w:lang w:val="en-GB"/>
        </w:rPr>
      </w:pPr>
      <w:r w:rsidRPr="001F63EB">
        <w:rPr>
          <w:szCs w:val="22"/>
          <w:lang w:val="en-GB"/>
        </w:rPr>
        <w:t>SC for N</w:t>
      </w:r>
      <w:r w:rsidR="00323018" w:rsidRPr="001F63EB">
        <w:rPr>
          <w:szCs w:val="22"/>
          <w:lang w:val="en-GB"/>
        </w:rPr>
        <w:t>on-</w:t>
      </w:r>
      <w:r w:rsidRPr="001F63EB">
        <w:rPr>
          <w:szCs w:val="22"/>
          <w:lang w:val="en-GB"/>
        </w:rPr>
        <w:t>H</w:t>
      </w:r>
      <w:r w:rsidR="00323018" w:rsidRPr="001F63EB">
        <w:rPr>
          <w:szCs w:val="22"/>
          <w:lang w:val="en-GB"/>
        </w:rPr>
        <w:t xml:space="preserve">odgkin’s </w:t>
      </w:r>
      <w:r w:rsidRPr="001F63EB">
        <w:rPr>
          <w:szCs w:val="22"/>
          <w:lang w:val="en-GB"/>
        </w:rPr>
        <w:t>L</w:t>
      </w:r>
      <w:r w:rsidR="00323018" w:rsidRPr="001F63EB">
        <w:rPr>
          <w:szCs w:val="22"/>
          <w:lang w:val="en-GB"/>
        </w:rPr>
        <w:t>ymphoma</w:t>
      </w:r>
    </w:p>
    <w:p w14:paraId="7C332584" w14:textId="77777777" w:rsidR="00DD7D3E" w:rsidRPr="00251348" w:rsidRDefault="00016F29" w:rsidP="00522AFD">
      <w:pPr>
        <w:rPr>
          <w:szCs w:val="22"/>
          <w:lang w:val="en-GB"/>
        </w:rPr>
      </w:pPr>
      <w:r>
        <w:rPr>
          <w:szCs w:val="22"/>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588" w14:textId="77777777" w:rsidTr="00E26B9B">
        <w:trPr>
          <w:trHeight w:val="744"/>
        </w:trPr>
        <w:tc>
          <w:tcPr>
            <w:tcW w:w="9287" w:type="dxa"/>
            <w:tcBorders>
              <w:bottom w:val="single" w:sz="4" w:space="0" w:color="auto"/>
            </w:tcBorders>
          </w:tcPr>
          <w:p w14:paraId="7C332585" w14:textId="77777777" w:rsidR="00DD7D3E" w:rsidRPr="009A4E5A" w:rsidRDefault="00016F29" w:rsidP="00E26B9B">
            <w:pPr>
              <w:rPr>
                <w:b/>
                <w:lang w:val="en-GB"/>
              </w:rPr>
            </w:pPr>
            <w:r w:rsidRPr="009A4E5A">
              <w:rPr>
                <w:b/>
                <w:lang w:val="en-GB"/>
              </w:rPr>
              <w:t xml:space="preserve">PARTICULARS TO APPEAR ON THE OUTER PACKAGING </w:t>
            </w:r>
          </w:p>
          <w:p w14:paraId="7C332586" w14:textId="77777777" w:rsidR="00DD7D3E" w:rsidRPr="009A4E5A" w:rsidRDefault="00DD7D3E" w:rsidP="00E26B9B">
            <w:pPr>
              <w:rPr>
                <w:b/>
                <w:lang w:val="en-GB"/>
              </w:rPr>
            </w:pPr>
          </w:p>
          <w:p w14:paraId="7C332587" w14:textId="77777777" w:rsidR="00DD7D3E" w:rsidRPr="00ED3BF4" w:rsidRDefault="00016F29" w:rsidP="00E26B9B">
            <w:pPr>
              <w:rPr>
                <w:b/>
                <w:lang w:val="en-GB"/>
              </w:rPr>
            </w:pPr>
            <w:r w:rsidRPr="00ED3BF4">
              <w:rPr>
                <w:b/>
                <w:lang w:val="en-GB"/>
              </w:rPr>
              <w:t>OUTER CARTON</w:t>
            </w:r>
          </w:p>
        </w:tc>
      </w:tr>
    </w:tbl>
    <w:p w14:paraId="7C332589" w14:textId="77777777" w:rsidR="00DD7D3E" w:rsidRPr="00FC61B8" w:rsidRDefault="00DD7D3E" w:rsidP="00DD7D3E">
      <w:pPr>
        <w:rPr>
          <w:szCs w:val="22"/>
          <w:lang w:val="en-GB"/>
        </w:rPr>
      </w:pPr>
    </w:p>
    <w:p w14:paraId="7C33258A" w14:textId="77777777" w:rsidR="00DD7D3E" w:rsidRPr="00FC61B8" w:rsidRDefault="00DD7D3E" w:rsidP="00DD7D3E">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58C" w14:textId="77777777" w:rsidTr="00E26B9B">
        <w:tc>
          <w:tcPr>
            <w:tcW w:w="9287" w:type="dxa"/>
          </w:tcPr>
          <w:p w14:paraId="7C33258B" w14:textId="77777777" w:rsidR="00DD7D3E" w:rsidRPr="00CD7883" w:rsidRDefault="00016F29" w:rsidP="00E26B9B">
            <w:pPr>
              <w:ind w:left="567" w:hanging="567"/>
              <w:rPr>
                <w:b/>
                <w:szCs w:val="22"/>
                <w:lang w:val="en-GB"/>
              </w:rPr>
            </w:pPr>
            <w:r w:rsidRPr="00CD7883">
              <w:rPr>
                <w:b/>
                <w:szCs w:val="22"/>
                <w:lang w:val="en-GB"/>
              </w:rPr>
              <w:t>1.</w:t>
            </w:r>
            <w:r w:rsidRPr="00CD7883">
              <w:rPr>
                <w:b/>
                <w:szCs w:val="22"/>
                <w:lang w:val="en-GB"/>
              </w:rPr>
              <w:tab/>
              <w:t>NAME OF THE MEDICINAL PRODUCT</w:t>
            </w:r>
          </w:p>
        </w:tc>
      </w:tr>
    </w:tbl>
    <w:p w14:paraId="7C33258D" w14:textId="77777777" w:rsidR="00DD7D3E" w:rsidRPr="00EA11D5" w:rsidRDefault="00DD7D3E" w:rsidP="00DD7D3E">
      <w:pPr>
        <w:rPr>
          <w:szCs w:val="22"/>
          <w:lang w:val="en-GB"/>
        </w:rPr>
      </w:pPr>
    </w:p>
    <w:p w14:paraId="7C33258E" w14:textId="77777777" w:rsidR="00DD7D3E" w:rsidRPr="00251348" w:rsidRDefault="00016F29" w:rsidP="00DD36B7">
      <w:pPr>
        <w:rPr>
          <w:lang w:val="en-GB"/>
        </w:rPr>
      </w:pPr>
      <w:r w:rsidRPr="001F63EB">
        <w:rPr>
          <w:lang w:val="en-GB"/>
        </w:rPr>
        <w:t xml:space="preserve">MabThera </w:t>
      </w:r>
      <w:r w:rsidR="00522AFD" w:rsidRPr="001F63EB">
        <w:rPr>
          <w:lang w:val="en-GB"/>
        </w:rPr>
        <w:t>1600 </w:t>
      </w:r>
      <w:r w:rsidRPr="001F63EB">
        <w:rPr>
          <w:lang w:val="en-GB"/>
        </w:rPr>
        <w:t>mg solution for subcutaneous injection</w:t>
      </w:r>
    </w:p>
    <w:p w14:paraId="7C33258F" w14:textId="77777777" w:rsidR="00DD7D3E" w:rsidRPr="00251348" w:rsidRDefault="00DD7D3E" w:rsidP="00DD7D3E">
      <w:pPr>
        <w:rPr>
          <w:szCs w:val="22"/>
          <w:lang w:val="en-GB"/>
        </w:rPr>
      </w:pPr>
    </w:p>
    <w:p w14:paraId="7C332590" w14:textId="77777777" w:rsidR="00DD7D3E" w:rsidRPr="00153E10" w:rsidRDefault="00016F29" w:rsidP="00DD36B7">
      <w:pPr>
        <w:rPr>
          <w:lang w:val="en-GB"/>
        </w:rPr>
      </w:pPr>
      <w:r w:rsidRPr="00153E10">
        <w:rPr>
          <w:lang w:val="en-GB"/>
        </w:rPr>
        <w:t>r</w:t>
      </w:r>
      <w:r w:rsidR="0053310F" w:rsidRPr="00153E10">
        <w:rPr>
          <w:lang w:val="en-GB"/>
        </w:rPr>
        <w:t>ituximab</w:t>
      </w:r>
    </w:p>
    <w:p w14:paraId="7C332591" w14:textId="77777777" w:rsidR="00DD7D3E" w:rsidRDefault="00DD7D3E" w:rsidP="00DD7D3E">
      <w:pPr>
        <w:rPr>
          <w:szCs w:val="22"/>
          <w:lang w:val="en-GB"/>
        </w:rPr>
      </w:pPr>
    </w:p>
    <w:p w14:paraId="7C332592" w14:textId="77777777" w:rsidR="007F1D74" w:rsidRPr="00251348" w:rsidRDefault="007F1D74" w:rsidP="00DD7D3E">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594" w14:textId="77777777" w:rsidTr="00E26B9B">
        <w:tc>
          <w:tcPr>
            <w:tcW w:w="9287" w:type="dxa"/>
          </w:tcPr>
          <w:p w14:paraId="7C332593" w14:textId="77777777" w:rsidR="00DD7D3E" w:rsidRPr="00251348" w:rsidRDefault="00016F29" w:rsidP="00E26B9B">
            <w:pPr>
              <w:rPr>
                <w:b/>
                <w:szCs w:val="22"/>
                <w:lang w:val="en-GB"/>
              </w:rPr>
            </w:pPr>
            <w:r w:rsidRPr="00251348">
              <w:rPr>
                <w:b/>
                <w:szCs w:val="22"/>
                <w:lang w:val="en-GB"/>
              </w:rPr>
              <w:t>2.</w:t>
            </w:r>
            <w:r w:rsidRPr="00251348">
              <w:rPr>
                <w:b/>
                <w:szCs w:val="22"/>
                <w:lang w:val="en-GB"/>
              </w:rPr>
              <w:tab/>
              <w:t>STATEMENT OF ACTIVE SUBSTANCE(S)</w:t>
            </w:r>
          </w:p>
        </w:tc>
      </w:tr>
    </w:tbl>
    <w:p w14:paraId="7C332595" w14:textId="77777777" w:rsidR="00DD7D3E" w:rsidRPr="00251348" w:rsidRDefault="00DD7D3E" w:rsidP="00DD7D3E">
      <w:pPr>
        <w:rPr>
          <w:szCs w:val="22"/>
          <w:lang w:val="en-GB"/>
        </w:rPr>
      </w:pPr>
    </w:p>
    <w:p w14:paraId="7C332596" w14:textId="77777777" w:rsidR="00DD7D3E" w:rsidRPr="0053610E" w:rsidRDefault="00016F29" w:rsidP="00DD7D3E">
      <w:pPr>
        <w:tabs>
          <w:tab w:val="left" w:pos="567"/>
        </w:tabs>
        <w:spacing w:line="260" w:lineRule="exact"/>
        <w:rPr>
          <w:szCs w:val="22"/>
          <w:lang w:val="fr-FR" w:eastAsia="en-US"/>
        </w:rPr>
      </w:pPr>
      <w:r w:rsidRPr="001F63EB">
        <w:rPr>
          <w:szCs w:val="22"/>
          <w:lang w:val="fr-FR" w:eastAsia="en-US"/>
        </w:rPr>
        <w:t xml:space="preserve">1 vial contains </w:t>
      </w:r>
      <w:r w:rsidR="00522AFD" w:rsidRPr="001F63EB">
        <w:rPr>
          <w:szCs w:val="22"/>
          <w:lang w:val="fr-FR" w:eastAsia="en-US"/>
        </w:rPr>
        <w:t>1600 </w:t>
      </w:r>
      <w:r w:rsidRPr="001F63EB">
        <w:rPr>
          <w:szCs w:val="22"/>
          <w:lang w:val="fr-FR" w:eastAsia="en-US"/>
        </w:rPr>
        <w:t>mg/</w:t>
      </w:r>
      <w:r w:rsidR="00522AFD" w:rsidRPr="001F63EB">
        <w:rPr>
          <w:szCs w:val="22"/>
          <w:lang w:val="fr-FR" w:eastAsia="en-US"/>
        </w:rPr>
        <w:t>13.4</w:t>
      </w:r>
      <w:r w:rsidRPr="001F63EB">
        <w:rPr>
          <w:szCs w:val="22"/>
          <w:lang w:val="fr-FR" w:eastAsia="en-US"/>
        </w:rPr>
        <w:t xml:space="preserve"> mL rituximab.</w:t>
      </w:r>
    </w:p>
    <w:p w14:paraId="7C332597" w14:textId="77777777" w:rsidR="00DD7D3E" w:rsidRPr="0053610E" w:rsidRDefault="00DD7D3E" w:rsidP="00DD7D3E">
      <w:pPr>
        <w:rPr>
          <w:szCs w:val="22"/>
          <w:lang w:val="fr-FR"/>
        </w:rPr>
      </w:pPr>
    </w:p>
    <w:p w14:paraId="7C332598" w14:textId="77777777" w:rsidR="00DD7D3E" w:rsidRPr="0053610E" w:rsidRDefault="00DD7D3E" w:rsidP="00DD7D3E">
      <w:pPr>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59A" w14:textId="77777777" w:rsidTr="00E26B9B">
        <w:tc>
          <w:tcPr>
            <w:tcW w:w="9287" w:type="dxa"/>
          </w:tcPr>
          <w:p w14:paraId="7C332599" w14:textId="77777777" w:rsidR="00DD7D3E" w:rsidRPr="00251348" w:rsidRDefault="00016F29" w:rsidP="00E26B9B">
            <w:pPr>
              <w:rPr>
                <w:b/>
                <w:szCs w:val="22"/>
                <w:lang w:val="en-GB"/>
              </w:rPr>
            </w:pPr>
            <w:r w:rsidRPr="00251348">
              <w:rPr>
                <w:b/>
                <w:szCs w:val="22"/>
                <w:lang w:val="en-GB"/>
              </w:rPr>
              <w:t>3.</w:t>
            </w:r>
            <w:r w:rsidRPr="00251348">
              <w:rPr>
                <w:b/>
                <w:szCs w:val="22"/>
                <w:lang w:val="en-GB"/>
              </w:rPr>
              <w:tab/>
              <w:t>LIST OF EXCIPIENTS</w:t>
            </w:r>
          </w:p>
        </w:tc>
      </w:tr>
    </w:tbl>
    <w:p w14:paraId="7C33259B" w14:textId="77777777" w:rsidR="00DD7D3E" w:rsidRPr="00251348" w:rsidRDefault="00DD7D3E" w:rsidP="00DD7D3E">
      <w:pPr>
        <w:rPr>
          <w:szCs w:val="22"/>
          <w:lang w:val="en-GB"/>
        </w:rPr>
      </w:pPr>
    </w:p>
    <w:p w14:paraId="7C33259C" w14:textId="77777777" w:rsidR="00DD7D3E" w:rsidRPr="004B52E5" w:rsidRDefault="00016F29" w:rsidP="00DD36B7">
      <w:pPr>
        <w:rPr>
          <w:lang w:val="en-GB"/>
        </w:rPr>
      </w:pPr>
      <w:r w:rsidRPr="004B52E5">
        <w:rPr>
          <w:lang w:val="en-GB"/>
        </w:rPr>
        <w:t>Recombinant human hyaluronidase (rHuPH20)</w:t>
      </w:r>
    </w:p>
    <w:p w14:paraId="7C33259D" w14:textId="77777777" w:rsidR="00DD7D3E" w:rsidRPr="004B52E5" w:rsidRDefault="00016F29" w:rsidP="00DD36B7">
      <w:pPr>
        <w:rPr>
          <w:lang w:val="en-GB"/>
        </w:rPr>
      </w:pPr>
      <w:r w:rsidRPr="004B52E5">
        <w:rPr>
          <w:lang w:val="en-GB"/>
        </w:rPr>
        <w:t>L</w:t>
      </w:r>
      <w:r w:rsidR="000A6DDA" w:rsidRPr="004B52E5">
        <w:rPr>
          <w:lang w:val="en-GB"/>
        </w:rPr>
        <w:noBreakHyphen/>
      </w:r>
      <w:r w:rsidRPr="004B52E5">
        <w:rPr>
          <w:lang w:val="en-GB"/>
        </w:rPr>
        <w:t>histidine</w:t>
      </w:r>
    </w:p>
    <w:p w14:paraId="7C33259E" w14:textId="77777777" w:rsidR="00DD7D3E" w:rsidRPr="004B52E5" w:rsidRDefault="00016F29" w:rsidP="00DD36B7">
      <w:pPr>
        <w:rPr>
          <w:lang w:val="en-GB"/>
        </w:rPr>
      </w:pPr>
      <w:r w:rsidRPr="004B52E5">
        <w:rPr>
          <w:lang w:val="en-GB"/>
        </w:rPr>
        <w:t>L</w:t>
      </w:r>
      <w:r w:rsidR="000A6DDA" w:rsidRPr="004B52E5">
        <w:rPr>
          <w:lang w:val="en-GB"/>
        </w:rPr>
        <w:noBreakHyphen/>
      </w:r>
      <w:r w:rsidRPr="004B52E5">
        <w:rPr>
          <w:lang w:val="en-GB"/>
        </w:rPr>
        <w:t>histidine hydrochloride monohydrate</w:t>
      </w:r>
    </w:p>
    <w:p w14:paraId="7C33259F" w14:textId="77777777" w:rsidR="00DD7D3E" w:rsidRPr="004B52E5" w:rsidRDefault="00016F29" w:rsidP="00DD36B7">
      <w:pPr>
        <w:rPr>
          <w:lang w:val="en-GB"/>
        </w:rPr>
      </w:pPr>
      <w:r w:rsidRPr="00153E10">
        <w:rPr>
          <w:rFonts w:ascii="Symbol" w:hAnsi="Symbol"/>
          <w:lang w:val="en-GB"/>
        </w:rPr>
        <w:sym w:font="Symbol" w:char="F061"/>
      </w:r>
      <w:r w:rsidRPr="00153E10">
        <w:rPr>
          <w:lang w:val="en-GB"/>
        </w:rPr>
        <w:t>,</w:t>
      </w:r>
      <w:r w:rsidRPr="00153E10">
        <w:rPr>
          <w:rFonts w:ascii="Symbol" w:hAnsi="Symbol"/>
          <w:lang w:val="en-GB"/>
        </w:rPr>
        <w:sym w:font="Symbol" w:char="F061"/>
      </w:r>
      <w:r w:rsidR="000A6DDA" w:rsidRPr="00153E10">
        <w:rPr>
          <w:lang w:val="en-GB"/>
        </w:rPr>
        <w:noBreakHyphen/>
      </w:r>
      <w:r w:rsidRPr="004B52E5">
        <w:rPr>
          <w:lang w:val="en-GB"/>
        </w:rPr>
        <w:t>trehalose d</w:t>
      </w:r>
      <w:r w:rsidR="00D05CD8">
        <w:rPr>
          <w:lang w:val="en-GB"/>
        </w:rPr>
        <w:t>i</w:t>
      </w:r>
      <w:r w:rsidRPr="004B52E5">
        <w:rPr>
          <w:lang w:val="en-GB"/>
        </w:rPr>
        <w:t>hydrate</w:t>
      </w:r>
    </w:p>
    <w:p w14:paraId="7C3325A0" w14:textId="77777777" w:rsidR="00DD7D3E" w:rsidRPr="004B52E5" w:rsidRDefault="00016F29" w:rsidP="00DD36B7">
      <w:pPr>
        <w:rPr>
          <w:lang w:val="en-GB"/>
        </w:rPr>
      </w:pPr>
      <w:r w:rsidRPr="004B52E5">
        <w:rPr>
          <w:lang w:val="en-GB"/>
        </w:rPr>
        <w:t>L</w:t>
      </w:r>
      <w:r w:rsidR="000A6DDA" w:rsidRPr="004B52E5">
        <w:rPr>
          <w:lang w:val="en-GB"/>
        </w:rPr>
        <w:noBreakHyphen/>
      </w:r>
      <w:r w:rsidRPr="004B52E5">
        <w:rPr>
          <w:lang w:val="en-GB"/>
        </w:rPr>
        <w:t>methionine</w:t>
      </w:r>
    </w:p>
    <w:p w14:paraId="7C3325A1" w14:textId="77777777" w:rsidR="00DD7D3E" w:rsidRPr="004B52E5" w:rsidRDefault="00016F29" w:rsidP="00DD7D3E">
      <w:pPr>
        <w:outlineLvl w:val="0"/>
        <w:rPr>
          <w:szCs w:val="22"/>
          <w:lang w:val="en-GB"/>
        </w:rPr>
      </w:pPr>
      <w:r w:rsidRPr="004B52E5">
        <w:rPr>
          <w:szCs w:val="22"/>
          <w:lang w:val="en-GB"/>
        </w:rPr>
        <w:t>Polysorbate 80</w:t>
      </w:r>
    </w:p>
    <w:p w14:paraId="7C3325A2" w14:textId="77777777" w:rsidR="00DD7D3E" w:rsidRPr="001976F0" w:rsidRDefault="00016F29" w:rsidP="00DD36B7">
      <w:pPr>
        <w:rPr>
          <w:lang w:val="en-GB"/>
        </w:rPr>
      </w:pPr>
      <w:r w:rsidRPr="00D239C4">
        <w:rPr>
          <w:lang w:val="en-GB"/>
        </w:rPr>
        <w:t>Water for injections</w:t>
      </w:r>
      <w:r w:rsidRPr="000400ED">
        <w:rPr>
          <w:lang w:val="en-GB"/>
        </w:rPr>
        <w:t xml:space="preserve"> </w:t>
      </w:r>
    </w:p>
    <w:p w14:paraId="7C3325A3" w14:textId="77777777" w:rsidR="00DD7D3E" w:rsidRPr="00D3771E" w:rsidRDefault="00DD7D3E" w:rsidP="00DD7D3E">
      <w:pPr>
        <w:rPr>
          <w:szCs w:val="22"/>
          <w:lang w:val="en-GB"/>
        </w:rPr>
      </w:pPr>
    </w:p>
    <w:p w14:paraId="7C3325A4" w14:textId="77777777" w:rsidR="00DD7D3E" w:rsidRPr="009F47AE" w:rsidRDefault="00DD7D3E" w:rsidP="00DD7D3E">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5A6" w14:textId="77777777" w:rsidTr="00E26B9B">
        <w:tc>
          <w:tcPr>
            <w:tcW w:w="9287" w:type="dxa"/>
          </w:tcPr>
          <w:p w14:paraId="7C3325A5" w14:textId="77777777" w:rsidR="00DD7D3E" w:rsidRPr="00D50019" w:rsidRDefault="00016F29" w:rsidP="00E26B9B">
            <w:pPr>
              <w:rPr>
                <w:b/>
                <w:szCs w:val="22"/>
                <w:lang w:val="en-GB"/>
              </w:rPr>
            </w:pPr>
            <w:r w:rsidRPr="00D50019">
              <w:rPr>
                <w:b/>
                <w:szCs w:val="22"/>
                <w:lang w:val="en-GB"/>
              </w:rPr>
              <w:t>4.</w:t>
            </w:r>
            <w:r w:rsidRPr="00D50019">
              <w:rPr>
                <w:b/>
                <w:szCs w:val="22"/>
                <w:lang w:val="en-GB"/>
              </w:rPr>
              <w:tab/>
              <w:t>PHARMACEUTICAL FORM AND CONTENTS</w:t>
            </w:r>
          </w:p>
        </w:tc>
      </w:tr>
    </w:tbl>
    <w:p w14:paraId="7C3325A7" w14:textId="77777777" w:rsidR="00DD7D3E" w:rsidRPr="00251348" w:rsidRDefault="00DD7D3E" w:rsidP="00DD7D3E">
      <w:pPr>
        <w:rPr>
          <w:szCs w:val="22"/>
          <w:lang w:val="en-GB"/>
        </w:rPr>
      </w:pPr>
    </w:p>
    <w:p w14:paraId="7C3325A8" w14:textId="77777777" w:rsidR="00DD7D3E" w:rsidRPr="00251348" w:rsidRDefault="00016F29" w:rsidP="00DD7D3E">
      <w:pPr>
        <w:outlineLvl w:val="0"/>
        <w:rPr>
          <w:szCs w:val="22"/>
          <w:lang w:val="en-GB"/>
        </w:rPr>
      </w:pPr>
      <w:r w:rsidRPr="00AC441E">
        <w:rPr>
          <w:szCs w:val="22"/>
          <w:shd w:val="clear" w:color="auto" w:fill="D9D9D9"/>
          <w:lang w:val="en-GB"/>
        </w:rPr>
        <w:t>Solution for injection</w:t>
      </w:r>
      <w:r w:rsidRPr="00251348">
        <w:rPr>
          <w:szCs w:val="22"/>
          <w:lang w:val="en-GB"/>
        </w:rPr>
        <w:t xml:space="preserve"> </w:t>
      </w:r>
    </w:p>
    <w:p w14:paraId="7C3325A9" w14:textId="77777777" w:rsidR="00DD7D3E" w:rsidRPr="00251348" w:rsidRDefault="00016F29" w:rsidP="00DD36B7">
      <w:pPr>
        <w:rPr>
          <w:lang w:val="en-GB"/>
        </w:rPr>
      </w:pPr>
      <w:r w:rsidRPr="001F63EB">
        <w:rPr>
          <w:lang w:val="en-GB"/>
        </w:rPr>
        <w:t>1</w:t>
      </w:r>
      <w:r w:rsidR="003C46D3">
        <w:rPr>
          <w:lang w:val="en-GB"/>
        </w:rPr>
        <w:t>,</w:t>
      </w:r>
      <w:r w:rsidRPr="001F63EB">
        <w:rPr>
          <w:lang w:val="en-GB"/>
        </w:rPr>
        <w:t>600 mg/13.4 mL</w:t>
      </w:r>
    </w:p>
    <w:p w14:paraId="7C3325AA" w14:textId="77777777" w:rsidR="00DD7D3E" w:rsidRPr="00251348" w:rsidRDefault="00016F29" w:rsidP="00DD7D3E">
      <w:pPr>
        <w:rPr>
          <w:szCs w:val="22"/>
          <w:lang w:val="en-GB"/>
        </w:rPr>
      </w:pPr>
      <w:r w:rsidRPr="00251348">
        <w:rPr>
          <w:szCs w:val="22"/>
          <w:lang w:val="en-GB"/>
        </w:rPr>
        <w:t xml:space="preserve">1 vial </w:t>
      </w:r>
    </w:p>
    <w:p w14:paraId="7C3325AB" w14:textId="77777777" w:rsidR="00DD7D3E" w:rsidRPr="00251348" w:rsidRDefault="00DD7D3E" w:rsidP="00DD7D3E">
      <w:pPr>
        <w:rPr>
          <w:szCs w:val="22"/>
          <w:lang w:val="en-GB"/>
        </w:rPr>
      </w:pPr>
    </w:p>
    <w:p w14:paraId="7C3325AC" w14:textId="77777777" w:rsidR="00DD7D3E" w:rsidRPr="00251348" w:rsidRDefault="00DD7D3E" w:rsidP="00DD7D3E">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5AE" w14:textId="77777777" w:rsidTr="00E26B9B">
        <w:tc>
          <w:tcPr>
            <w:tcW w:w="9287" w:type="dxa"/>
          </w:tcPr>
          <w:p w14:paraId="7C3325AD" w14:textId="77777777" w:rsidR="00DD7D3E" w:rsidRPr="00251348" w:rsidRDefault="00016F29" w:rsidP="00E26B9B">
            <w:pPr>
              <w:ind w:left="567" w:hanging="567"/>
              <w:rPr>
                <w:b/>
                <w:szCs w:val="22"/>
                <w:lang w:val="en-GB"/>
              </w:rPr>
            </w:pPr>
            <w:r w:rsidRPr="00251348">
              <w:rPr>
                <w:b/>
                <w:szCs w:val="22"/>
                <w:lang w:val="en-GB"/>
              </w:rPr>
              <w:t>5.</w:t>
            </w:r>
            <w:r w:rsidRPr="00251348">
              <w:rPr>
                <w:b/>
                <w:szCs w:val="22"/>
                <w:lang w:val="en-GB"/>
              </w:rPr>
              <w:tab/>
              <w:t>METHOD AND ROUTE(S) OF ADMINISTRATION</w:t>
            </w:r>
          </w:p>
        </w:tc>
      </w:tr>
    </w:tbl>
    <w:p w14:paraId="7C3325AF" w14:textId="77777777" w:rsidR="00DD7D3E" w:rsidRPr="00251348" w:rsidRDefault="00DD7D3E" w:rsidP="00DD7D3E">
      <w:pPr>
        <w:rPr>
          <w:szCs w:val="22"/>
          <w:lang w:val="en-GB"/>
        </w:rPr>
      </w:pPr>
    </w:p>
    <w:p w14:paraId="7C3325B0" w14:textId="77777777" w:rsidR="004B2482" w:rsidRDefault="00016F29" w:rsidP="00DD36B7">
      <w:pPr>
        <w:rPr>
          <w:lang w:val="en-GB"/>
        </w:rPr>
      </w:pPr>
      <w:r w:rsidRPr="004A0DDD">
        <w:rPr>
          <w:lang w:val="en-GB"/>
        </w:rPr>
        <w:t>For subcutaneous use only</w:t>
      </w:r>
      <w:r>
        <w:rPr>
          <w:lang w:val="en-GB"/>
        </w:rPr>
        <w:t xml:space="preserve"> </w:t>
      </w:r>
    </w:p>
    <w:p w14:paraId="7C3325B1" w14:textId="77777777" w:rsidR="00DD7D3E" w:rsidRPr="00251348" w:rsidRDefault="00DD7D3E" w:rsidP="00DD36B7">
      <w:pPr>
        <w:rPr>
          <w:lang w:val="en-GB"/>
        </w:rPr>
      </w:pPr>
    </w:p>
    <w:p w14:paraId="7C3325B2" w14:textId="77777777" w:rsidR="00DD7D3E" w:rsidRPr="00251348" w:rsidRDefault="00016F29" w:rsidP="00DD7D3E">
      <w:pPr>
        <w:rPr>
          <w:szCs w:val="22"/>
          <w:lang w:val="en-GB"/>
        </w:rPr>
      </w:pPr>
      <w:r w:rsidRPr="00251348">
        <w:rPr>
          <w:szCs w:val="22"/>
          <w:lang w:val="en-GB"/>
        </w:rPr>
        <w:t>Read the package leaflet before use.</w:t>
      </w:r>
    </w:p>
    <w:p w14:paraId="7C3325B3" w14:textId="77777777" w:rsidR="00DD7D3E" w:rsidRPr="00251348" w:rsidRDefault="00DD7D3E" w:rsidP="00DD7D3E">
      <w:pPr>
        <w:rPr>
          <w:szCs w:val="22"/>
          <w:lang w:val="en-GB"/>
        </w:rPr>
      </w:pPr>
    </w:p>
    <w:p w14:paraId="7C3325B4" w14:textId="77777777" w:rsidR="00DD7D3E" w:rsidRPr="00251348" w:rsidRDefault="00DD7D3E" w:rsidP="00DD7D3E">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5B6" w14:textId="77777777" w:rsidTr="00E26B9B">
        <w:trPr>
          <w:cantSplit/>
        </w:trPr>
        <w:tc>
          <w:tcPr>
            <w:tcW w:w="9287" w:type="dxa"/>
          </w:tcPr>
          <w:p w14:paraId="7C3325B5" w14:textId="77777777" w:rsidR="00DD7D3E" w:rsidRPr="00251348" w:rsidRDefault="00016F29" w:rsidP="00E26B9B">
            <w:pPr>
              <w:ind w:left="567" w:hanging="567"/>
              <w:rPr>
                <w:b/>
                <w:szCs w:val="22"/>
                <w:lang w:val="en-GB"/>
              </w:rPr>
            </w:pPr>
            <w:r w:rsidRPr="00251348">
              <w:rPr>
                <w:b/>
                <w:szCs w:val="22"/>
                <w:lang w:val="en-GB"/>
              </w:rPr>
              <w:t>6.</w:t>
            </w:r>
            <w:r w:rsidRPr="00251348">
              <w:rPr>
                <w:b/>
                <w:szCs w:val="22"/>
                <w:lang w:val="en-GB"/>
              </w:rPr>
              <w:tab/>
              <w:t>SPECIAL WARNING THAT THE MEDICINAL PRODUCT MUST BE STORED OUT OF THE SIGHT AND REACH OF CHILDREN</w:t>
            </w:r>
          </w:p>
        </w:tc>
      </w:tr>
    </w:tbl>
    <w:p w14:paraId="7C3325B7" w14:textId="77777777" w:rsidR="00DD7D3E" w:rsidRPr="00251348" w:rsidRDefault="00DD7D3E" w:rsidP="00DD7D3E">
      <w:pPr>
        <w:rPr>
          <w:szCs w:val="22"/>
          <w:lang w:val="en-GB"/>
        </w:rPr>
      </w:pPr>
    </w:p>
    <w:p w14:paraId="7C3325B8" w14:textId="77777777" w:rsidR="00DD7D3E" w:rsidRPr="00251348" w:rsidRDefault="00016F29" w:rsidP="00DD7D3E">
      <w:pPr>
        <w:outlineLvl w:val="0"/>
        <w:rPr>
          <w:szCs w:val="22"/>
          <w:lang w:val="en-GB"/>
        </w:rPr>
      </w:pPr>
      <w:r w:rsidRPr="00251348">
        <w:rPr>
          <w:szCs w:val="22"/>
          <w:lang w:val="en-GB"/>
        </w:rPr>
        <w:t>Keep out of the sight and reach of children</w:t>
      </w:r>
    </w:p>
    <w:p w14:paraId="7C3325B9" w14:textId="77777777" w:rsidR="00DD7D3E" w:rsidRPr="00251348" w:rsidRDefault="00DD7D3E" w:rsidP="00DD7D3E">
      <w:pPr>
        <w:rPr>
          <w:szCs w:val="22"/>
          <w:lang w:val="en-GB"/>
        </w:rPr>
      </w:pPr>
    </w:p>
    <w:p w14:paraId="7C3325BA" w14:textId="77777777" w:rsidR="00DD7D3E" w:rsidRPr="00251348" w:rsidRDefault="00DD7D3E" w:rsidP="00DD7D3E">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5BC" w14:textId="77777777" w:rsidTr="00E26B9B">
        <w:tc>
          <w:tcPr>
            <w:tcW w:w="9287" w:type="dxa"/>
          </w:tcPr>
          <w:p w14:paraId="7C3325BB" w14:textId="77777777" w:rsidR="00DD7D3E" w:rsidRPr="00251348" w:rsidRDefault="00016F29" w:rsidP="00E26B9B">
            <w:pPr>
              <w:rPr>
                <w:b/>
                <w:szCs w:val="22"/>
                <w:lang w:val="en-GB"/>
              </w:rPr>
            </w:pPr>
            <w:r w:rsidRPr="00251348">
              <w:rPr>
                <w:b/>
                <w:szCs w:val="22"/>
                <w:lang w:val="en-GB"/>
              </w:rPr>
              <w:t>7.</w:t>
            </w:r>
            <w:r w:rsidRPr="00251348">
              <w:rPr>
                <w:b/>
                <w:szCs w:val="22"/>
                <w:lang w:val="en-GB"/>
              </w:rPr>
              <w:tab/>
              <w:t>OTHER SPECIAL WARNING(S), IF NECESSARY</w:t>
            </w:r>
          </w:p>
        </w:tc>
      </w:tr>
    </w:tbl>
    <w:p w14:paraId="7C3325BD" w14:textId="77777777" w:rsidR="001604A3" w:rsidRDefault="001604A3" w:rsidP="00DD7D3E">
      <w:pPr>
        <w:rPr>
          <w:szCs w:val="22"/>
          <w:lang w:val="en-GB"/>
        </w:rPr>
      </w:pPr>
    </w:p>
    <w:p w14:paraId="7C3325BE" w14:textId="77777777" w:rsidR="007F1D74" w:rsidRPr="00ED3BF4" w:rsidRDefault="007F1D74" w:rsidP="00DD7D3E">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5C0" w14:textId="77777777" w:rsidTr="00E26B9B">
        <w:tc>
          <w:tcPr>
            <w:tcW w:w="9287" w:type="dxa"/>
          </w:tcPr>
          <w:p w14:paraId="7C3325BF" w14:textId="77777777" w:rsidR="00DD7D3E" w:rsidRPr="00FC61B8" w:rsidRDefault="00016F29" w:rsidP="00BB33F3">
            <w:pPr>
              <w:keepNext/>
              <w:keepLines/>
              <w:rPr>
                <w:b/>
                <w:szCs w:val="22"/>
                <w:lang w:val="en-GB"/>
              </w:rPr>
            </w:pPr>
            <w:r w:rsidRPr="00FC61B8">
              <w:rPr>
                <w:b/>
                <w:szCs w:val="22"/>
                <w:lang w:val="en-GB"/>
              </w:rPr>
              <w:t>8.</w:t>
            </w:r>
            <w:r w:rsidRPr="00FC61B8">
              <w:rPr>
                <w:b/>
                <w:szCs w:val="22"/>
                <w:lang w:val="en-GB"/>
              </w:rPr>
              <w:tab/>
              <w:t>EXPIRY DATE</w:t>
            </w:r>
          </w:p>
        </w:tc>
      </w:tr>
    </w:tbl>
    <w:p w14:paraId="7C3325C1" w14:textId="77777777" w:rsidR="00DD7D3E" w:rsidRPr="00251348" w:rsidRDefault="00DD7D3E" w:rsidP="00BB33F3">
      <w:pPr>
        <w:keepNext/>
        <w:keepLines/>
        <w:rPr>
          <w:szCs w:val="22"/>
          <w:lang w:val="en-GB"/>
        </w:rPr>
      </w:pPr>
    </w:p>
    <w:p w14:paraId="7C3325C2" w14:textId="77777777" w:rsidR="00DD7D3E" w:rsidRPr="00251348" w:rsidRDefault="00016F29" w:rsidP="00DD36B7">
      <w:pPr>
        <w:rPr>
          <w:lang w:val="en-GB"/>
        </w:rPr>
      </w:pPr>
      <w:r w:rsidRPr="00251348">
        <w:rPr>
          <w:lang w:val="en-GB"/>
        </w:rPr>
        <w:t xml:space="preserve">EXP </w:t>
      </w:r>
    </w:p>
    <w:p w14:paraId="7C3325C3" w14:textId="77777777" w:rsidR="00DD7D3E" w:rsidRPr="00251348" w:rsidRDefault="00DD7D3E" w:rsidP="00DD7D3E">
      <w:pPr>
        <w:rPr>
          <w:szCs w:val="22"/>
          <w:lang w:val="en-GB"/>
        </w:rPr>
      </w:pPr>
    </w:p>
    <w:p w14:paraId="7C3325C4" w14:textId="77777777" w:rsidR="00DD7D3E" w:rsidRPr="00251348" w:rsidRDefault="00DD7D3E" w:rsidP="00DD7D3E">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5C6" w14:textId="77777777" w:rsidTr="00E26B9B">
        <w:tc>
          <w:tcPr>
            <w:tcW w:w="9287" w:type="dxa"/>
          </w:tcPr>
          <w:p w14:paraId="7C3325C5" w14:textId="77777777" w:rsidR="00DD7D3E" w:rsidRPr="00FC61B8" w:rsidRDefault="00016F29" w:rsidP="00E26B9B">
            <w:pPr>
              <w:rPr>
                <w:szCs w:val="22"/>
                <w:lang w:val="en-GB"/>
              </w:rPr>
            </w:pPr>
            <w:r w:rsidRPr="00FC61B8">
              <w:rPr>
                <w:b/>
                <w:szCs w:val="22"/>
                <w:lang w:val="en-GB"/>
              </w:rPr>
              <w:t>9.</w:t>
            </w:r>
            <w:r w:rsidRPr="00FC61B8">
              <w:rPr>
                <w:b/>
                <w:szCs w:val="22"/>
                <w:lang w:val="en-GB"/>
              </w:rPr>
              <w:tab/>
              <w:t>SPECIAL STORAGE CONDITIONS</w:t>
            </w:r>
          </w:p>
        </w:tc>
      </w:tr>
    </w:tbl>
    <w:p w14:paraId="7C3325C7" w14:textId="77777777" w:rsidR="00DD7D3E" w:rsidRPr="00251348" w:rsidRDefault="00DD7D3E" w:rsidP="00DD7D3E">
      <w:pPr>
        <w:rPr>
          <w:szCs w:val="22"/>
          <w:lang w:val="en-GB"/>
        </w:rPr>
      </w:pPr>
    </w:p>
    <w:p w14:paraId="7C3325C8" w14:textId="77777777" w:rsidR="00DD7D3E" w:rsidRPr="00251348" w:rsidRDefault="00016F29" w:rsidP="00DD7D3E">
      <w:pPr>
        <w:rPr>
          <w:lang w:val="en-GB"/>
        </w:rPr>
      </w:pPr>
      <w:r w:rsidRPr="00251348">
        <w:rPr>
          <w:lang w:val="en-GB"/>
        </w:rPr>
        <w:t>Store in a refrigerator (2 °C – 8 °C). Do not freeze. </w:t>
      </w:r>
    </w:p>
    <w:p w14:paraId="7C3325C9" w14:textId="77777777" w:rsidR="00DD7D3E" w:rsidRPr="00251348" w:rsidRDefault="00016F29" w:rsidP="00DD7D3E">
      <w:pPr>
        <w:outlineLvl w:val="0"/>
        <w:rPr>
          <w:szCs w:val="22"/>
          <w:lang w:val="en-GB"/>
        </w:rPr>
      </w:pPr>
      <w:r w:rsidRPr="00251348">
        <w:rPr>
          <w:szCs w:val="22"/>
          <w:lang w:val="en-GB"/>
        </w:rPr>
        <w:t>Keep the vial in the outer carton, in order to protect from light.</w:t>
      </w:r>
    </w:p>
    <w:p w14:paraId="7C3325CA" w14:textId="77777777" w:rsidR="00DD7D3E" w:rsidRPr="00251348" w:rsidRDefault="00DD7D3E" w:rsidP="00DD7D3E">
      <w:pPr>
        <w:rPr>
          <w:szCs w:val="22"/>
          <w:lang w:val="en-GB"/>
        </w:rPr>
      </w:pPr>
    </w:p>
    <w:p w14:paraId="7C3325CB" w14:textId="77777777" w:rsidR="00DD7D3E" w:rsidRPr="00251348" w:rsidRDefault="00DD7D3E" w:rsidP="00DD7D3E">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5CD" w14:textId="77777777" w:rsidTr="00E26B9B">
        <w:trPr>
          <w:cantSplit/>
        </w:trPr>
        <w:tc>
          <w:tcPr>
            <w:tcW w:w="9287" w:type="dxa"/>
          </w:tcPr>
          <w:p w14:paraId="7C3325CC" w14:textId="77777777" w:rsidR="00DD7D3E" w:rsidRPr="00251348" w:rsidRDefault="00016F29" w:rsidP="00E26B9B">
            <w:pPr>
              <w:ind w:left="567" w:hanging="567"/>
              <w:rPr>
                <w:b/>
                <w:szCs w:val="22"/>
                <w:lang w:val="en-GB"/>
              </w:rPr>
            </w:pPr>
            <w:r w:rsidRPr="00251348">
              <w:rPr>
                <w:b/>
                <w:szCs w:val="22"/>
                <w:lang w:val="en-GB"/>
              </w:rPr>
              <w:t>10.</w:t>
            </w:r>
            <w:r w:rsidRPr="00251348">
              <w:rPr>
                <w:b/>
                <w:szCs w:val="22"/>
                <w:lang w:val="en-GB"/>
              </w:rPr>
              <w:tab/>
              <w:t>SPECIAL PRECAUTIONS FOR DISPOSAL OF UNUSED MEDICINAL PRODUCTS OR WASTE MATERIALS DERIVED FROM SUCH MEDICINAL PRODUCTS, IF APPROPRIATE</w:t>
            </w:r>
          </w:p>
        </w:tc>
      </w:tr>
    </w:tbl>
    <w:p w14:paraId="7C3325CE" w14:textId="77777777" w:rsidR="00DD7D3E" w:rsidRPr="00251348" w:rsidRDefault="00DD7D3E" w:rsidP="00DD7D3E">
      <w:pPr>
        <w:rPr>
          <w:szCs w:val="22"/>
          <w:lang w:val="en-GB"/>
        </w:rPr>
      </w:pPr>
    </w:p>
    <w:p w14:paraId="7C3325CF" w14:textId="77777777" w:rsidR="00DD7D3E" w:rsidRPr="00251348" w:rsidRDefault="00DD7D3E" w:rsidP="00DD7D3E">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5D1" w14:textId="77777777" w:rsidTr="00E26B9B">
        <w:tc>
          <w:tcPr>
            <w:tcW w:w="9287" w:type="dxa"/>
          </w:tcPr>
          <w:p w14:paraId="7C3325D0" w14:textId="77777777" w:rsidR="00DD7D3E" w:rsidRPr="00251348" w:rsidRDefault="00016F29" w:rsidP="00E26B9B">
            <w:pPr>
              <w:rPr>
                <w:b/>
                <w:szCs w:val="22"/>
                <w:lang w:val="en-GB"/>
              </w:rPr>
            </w:pPr>
            <w:r w:rsidRPr="00251348">
              <w:rPr>
                <w:b/>
                <w:szCs w:val="22"/>
                <w:lang w:val="en-GB"/>
              </w:rPr>
              <w:t>11.</w:t>
            </w:r>
            <w:r w:rsidRPr="00251348">
              <w:rPr>
                <w:b/>
                <w:szCs w:val="22"/>
                <w:lang w:val="en-GB"/>
              </w:rPr>
              <w:tab/>
              <w:t>NAME AND ADDRESS OF THE MARKETING AUTHORISATION HOLDER</w:t>
            </w:r>
          </w:p>
        </w:tc>
      </w:tr>
    </w:tbl>
    <w:p w14:paraId="7C3325D2" w14:textId="77777777" w:rsidR="00DD7D3E" w:rsidRPr="00251348" w:rsidRDefault="00DD7D3E" w:rsidP="00DD7D3E">
      <w:pPr>
        <w:rPr>
          <w:szCs w:val="22"/>
          <w:lang w:val="en-GB"/>
        </w:rPr>
      </w:pPr>
    </w:p>
    <w:p w14:paraId="7C3325D3" w14:textId="77777777" w:rsidR="00B0361F" w:rsidRPr="00B0361F" w:rsidRDefault="00016F29" w:rsidP="00B0361F">
      <w:pPr>
        <w:rPr>
          <w:lang w:val="de-CH"/>
        </w:rPr>
      </w:pPr>
      <w:r w:rsidRPr="00B0361F">
        <w:rPr>
          <w:lang w:val="de-CH"/>
        </w:rPr>
        <w:t xml:space="preserve">Roche Registration GmbH </w:t>
      </w:r>
    </w:p>
    <w:p w14:paraId="7C3325D4" w14:textId="77777777" w:rsidR="00B0361F" w:rsidRPr="00B0361F" w:rsidRDefault="00016F29" w:rsidP="00B0361F">
      <w:pPr>
        <w:rPr>
          <w:lang w:val="de-CH"/>
        </w:rPr>
      </w:pPr>
      <w:r w:rsidRPr="00B0361F">
        <w:rPr>
          <w:lang w:val="de-CH"/>
        </w:rPr>
        <w:t>Emil-Barell-Strasse 1</w:t>
      </w:r>
    </w:p>
    <w:p w14:paraId="7C3325D5" w14:textId="77777777" w:rsidR="00B0361F" w:rsidRPr="00B0361F" w:rsidRDefault="00016F29" w:rsidP="00B0361F">
      <w:pPr>
        <w:rPr>
          <w:lang w:val="de-CH"/>
        </w:rPr>
      </w:pPr>
      <w:r w:rsidRPr="00B0361F">
        <w:rPr>
          <w:lang w:val="de-CH"/>
        </w:rPr>
        <w:t>79639 Grenzach-Wyhlen</w:t>
      </w:r>
    </w:p>
    <w:p w14:paraId="7C3325D6" w14:textId="77777777" w:rsidR="00B0361F" w:rsidRPr="00896D93" w:rsidRDefault="00016F29" w:rsidP="00B0361F">
      <w:r w:rsidRPr="00896D93">
        <w:t>Germany</w:t>
      </w:r>
    </w:p>
    <w:p w14:paraId="7C3325D7" w14:textId="77777777" w:rsidR="00DD7D3E" w:rsidRPr="00251348" w:rsidRDefault="00DD7D3E" w:rsidP="00DD7D3E">
      <w:pPr>
        <w:rPr>
          <w:szCs w:val="22"/>
          <w:lang w:val="en-GB"/>
        </w:rPr>
      </w:pPr>
    </w:p>
    <w:p w14:paraId="7C3325D8" w14:textId="77777777" w:rsidR="00DD7D3E" w:rsidRPr="00251348" w:rsidRDefault="00DD7D3E" w:rsidP="00DD7D3E">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5DA" w14:textId="77777777" w:rsidTr="00E26B9B">
        <w:tc>
          <w:tcPr>
            <w:tcW w:w="9287" w:type="dxa"/>
          </w:tcPr>
          <w:p w14:paraId="7C3325D9" w14:textId="77777777" w:rsidR="00DD7D3E" w:rsidRPr="00251348" w:rsidRDefault="00016F29" w:rsidP="00E26B9B">
            <w:pPr>
              <w:rPr>
                <w:b/>
                <w:szCs w:val="22"/>
                <w:lang w:val="en-GB"/>
              </w:rPr>
            </w:pPr>
            <w:r w:rsidRPr="00251348">
              <w:rPr>
                <w:b/>
                <w:szCs w:val="22"/>
                <w:lang w:val="en-GB"/>
              </w:rPr>
              <w:t>12.</w:t>
            </w:r>
            <w:r w:rsidRPr="00251348">
              <w:rPr>
                <w:b/>
                <w:szCs w:val="22"/>
                <w:lang w:val="en-GB"/>
              </w:rPr>
              <w:tab/>
              <w:t>MARKETING AUTHORISATION NUMBER(S)</w:t>
            </w:r>
          </w:p>
        </w:tc>
      </w:tr>
    </w:tbl>
    <w:p w14:paraId="7C3325DB" w14:textId="77777777" w:rsidR="00DD7D3E" w:rsidRPr="00251348" w:rsidRDefault="00DD7D3E" w:rsidP="00DD7D3E">
      <w:pPr>
        <w:rPr>
          <w:szCs w:val="22"/>
          <w:lang w:val="en-GB"/>
        </w:rPr>
      </w:pPr>
    </w:p>
    <w:p w14:paraId="7C3325DC" w14:textId="77777777" w:rsidR="00DD7D3E" w:rsidRDefault="00016F29" w:rsidP="00DD7D3E">
      <w:r w:rsidRPr="005822E6">
        <w:t>EU/1/98/</w:t>
      </w:r>
      <w:r w:rsidRPr="001F63EB">
        <w:t>067/</w:t>
      </w:r>
      <w:r w:rsidR="00522AFD" w:rsidRPr="001F63EB">
        <w:t>004</w:t>
      </w:r>
    </w:p>
    <w:p w14:paraId="7C3325DD" w14:textId="77777777" w:rsidR="00DD7D3E" w:rsidRPr="00251348" w:rsidRDefault="00DD7D3E" w:rsidP="00DD7D3E">
      <w:pPr>
        <w:rPr>
          <w:szCs w:val="22"/>
          <w:lang w:val="en-GB"/>
        </w:rPr>
      </w:pPr>
    </w:p>
    <w:p w14:paraId="7C3325DE" w14:textId="77777777" w:rsidR="00DD7D3E" w:rsidRPr="00251348" w:rsidRDefault="00DD7D3E" w:rsidP="00DD7D3E">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5E0" w14:textId="77777777" w:rsidTr="00E26B9B">
        <w:tc>
          <w:tcPr>
            <w:tcW w:w="9287" w:type="dxa"/>
          </w:tcPr>
          <w:p w14:paraId="7C3325DF" w14:textId="77777777" w:rsidR="00DD7D3E" w:rsidRPr="00251348" w:rsidRDefault="00016F29" w:rsidP="00E26B9B">
            <w:pPr>
              <w:rPr>
                <w:b/>
                <w:szCs w:val="22"/>
                <w:lang w:val="en-GB"/>
              </w:rPr>
            </w:pPr>
            <w:r w:rsidRPr="00251348">
              <w:rPr>
                <w:b/>
                <w:szCs w:val="22"/>
                <w:lang w:val="en-GB"/>
              </w:rPr>
              <w:t>13.</w:t>
            </w:r>
            <w:r w:rsidRPr="00251348">
              <w:rPr>
                <w:b/>
                <w:szCs w:val="22"/>
                <w:lang w:val="en-GB"/>
              </w:rPr>
              <w:tab/>
              <w:t>BATCH NUMBER</w:t>
            </w:r>
          </w:p>
        </w:tc>
      </w:tr>
    </w:tbl>
    <w:p w14:paraId="7C3325E1" w14:textId="77777777" w:rsidR="00DD7D3E" w:rsidRPr="00251348" w:rsidRDefault="00DD7D3E" w:rsidP="00DD7D3E">
      <w:pPr>
        <w:rPr>
          <w:szCs w:val="22"/>
          <w:lang w:val="en-GB"/>
        </w:rPr>
      </w:pPr>
    </w:p>
    <w:p w14:paraId="7C3325E2" w14:textId="77777777" w:rsidR="00DD7D3E" w:rsidRPr="00251348" w:rsidRDefault="00016F29" w:rsidP="00DD36B7">
      <w:pPr>
        <w:rPr>
          <w:lang w:val="en-GB"/>
        </w:rPr>
      </w:pPr>
      <w:r w:rsidRPr="00251348">
        <w:rPr>
          <w:lang w:val="en-GB"/>
        </w:rPr>
        <w:t>Batch</w:t>
      </w:r>
    </w:p>
    <w:p w14:paraId="7C3325E3" w14:textId="77777777" w:rsidR="00DD7D3E" w:rsidRPr="00251348" w:rsidRDefault="00DD7D3E" w:rsidP="00DD7D3E">
      <w:pPr>
        <w:rPr>
          <w:szCs w:val="22"/>
          <w:lang w:val="en-GB"/>
        </w:rPr>
      </w:pPr>
    </w:p>
    <w:p w14:paraId="7C3325E4" w14:textId="77777777" w:rsidR="00DD7D3E" w:rsidRPr="00251348" w:rsidRDefault="00DD7D3E" w:rsidP="00DD7D3E">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5E6" w14:textId="77777777" w:rsidTr="00E26B9B">
        <w:tc>
          <w:tcPr>
            <w:tcW w:w="9287" w:type="dxa"/>
          </w:tcPr>
          <w:p w14:paraId="7C3325E5" w14:textId="77777777" w:rsidR="00DD7D3E" w:rsidRPr="00251348" w:rsidRDefault="00016F29" w:rsidP="00E26B9B">
            <w:pPr>
              <w:rPr>
                <w:b/>
                <w:szCs w:val="22"/>
                <w:lang w:val="en-GB"/>
              </w:rPr>
            </w:pPr>
            <w:r w:rsidRPr="00251348">
              <w:rPr>
                <w:b/>
                <w:szCs w:val="22"/>
                <w:lang w:val="en-GB"/>
              </w:rPr>
              <w:t>14.</w:t>
            </w:r>
            <w:r w:rsidRPr="00251348">
              <w:rPr>
                <w:b/>
                <w:szCs w:val="22"/>
                <w:lang w:val="en-GB"/>
              </w:rPr>
              <w:tab/>
              <w:t>GENERAL CLASSIFICATION FOR SUPPLY</w:t>
            </w:r>
          </w:p>
        </w:tc>
      </w:tr>
    </w:tbl>
    <w:p w14:paraId="7C3325E7" w14:textId="77777777" w:rsidR="00DD7D3E" w:rsidRPr="00251348" w:rsidRDefault="00DD7D3E" w:rsidP="00DD7D3E">
      <w:pPr>
        <w:rPr>
          <w:szCs w:val="22"/>
          <w:lang w:val="en-GB"/>
        </w:rPr>
      </w:pPr>
    </w:p>
    <w:p w14:paraId="7C3325E8" w14:textId="77777777" w:rsidR="00DD7D3E" w:rsidRPr="00251348" w:rsidRDefault="00DD7D3E" w:rsidP="00DD7D3E">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5EA" w14:textId="77777777" w:rsidTr="00E26B9B">
        <w:tc>
          <w:tcPr>
            <w:tcW w:w="9287" w:type="dxa"/>
          </w:tcPr>
          <w:p w14:paraId="7C3325E9" w14:textId="77777777" w:rsidR="00DD7D3E" w:rsidRPr="00251348" w:rsidRDefault="00016F29" w:rsidP="00E26B9B">
            <w:pPr>
              <w:rPr>
                <w:b/>
                <w:szCs w:val="22"/>
                <w:lang w:val="en-GB"/>
              </w:rPr>
            </w:pPr>
            <w:r w:rsidRPr="00251348">
              <w:rPr>
                <w:b/>
                <w:szCs w:val="22"/>
                <w:lang w:val="en-GB"/>
              </w:rPr>
              <w:t>15.</w:t>
            </w:r>
            <w:r w:rsidRPr="00251348">
              <w:rPr>
                <w:b/>
                <w:szCs w:val="22"/>
                <w:lang w:val="en-GB"/>
              </w:rPr>
              <w:tab/>
              <w:t>INSTRUCTIONS ON USE</w:t>
            </w:r>
          </w:p>
        </w:tc>
      </w:tr>
    </w:tbl>
    <w:p w14:paraId="7C3325EB" w14:textId="77777777" w:rsidR="00DD7D3E" w:rsidRPr="00251348" w:rsidRDefault="00DD7D3E" w:rsidP="00DD7D3E">
      <w:pPr>
        <w:rPr>
          <w:szCs w:val="22"/>
          <w:lang w:val="en-GB"/>
        </w:rPr>
      </w:pPr>
    </w:p>
    <w:p w14:paraId="7C3325EC" w14:textId="77777777" w:rsidR="00DD7D3E" w:rsidRPr="00251348" w:rsidRDefault="00DD7D3E" w:rsidP="00DD7D3E">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5EE" w14:textId="77777777" w:rsidTr="00E26B9B">
        <w:tc>
          <w:tcPr>
            <w:tcW w:w="9287" w:type="dxa"/>
          </w:tcPr>
          <w:p w14:paraId="7C3325ED" w14:textId="77777777" w:rsidR="00DD7D3E" w:rsidRPr="00251348" w:rsidRDefault="00016F29" w:rsidP="00E26B9B">
            <w:pPr>
              <w:rPr>
                <w:b/>
                <w:szCs w:val="22"/>
                <w:lang w:val="en-GB"/>
              </w:rPr>
            </w:pPr>
            <w:r w:rsidRPr="00251348">
              <w:rPr>
                <w:b/>
                <w:szCs w:val="22"/>
                <w:lang w:val="en-GB"/>
              </w:rPr>
              <w:t>16.</w:t>
            </w:r>
            <w:r w:rsidRPr="00251348">
              <w:rPr>
                <w:b/>
                <w:szCs w:val="22"/>
                <w:lang w:val="en-GB"/>
              </w:rPr>
              <w:tab/>
              <w:t>INFORMATION IN BRAILLE</w:t>
            </w:r>
          </w:p>
        </w:tc>
      </w:tr>
    </w:tbl>
    <w:p w14:paraId="7C3325EF" w14:textId="77777777" w:rsidR="00DD7D3E" w:rsidRPr="00251348" w:rsidRDefault="00DD7D3E" w:rsidP="00DD7D3E">
      <w:pPr>
        <w:rPr>
          <w:szCs w:val="22"/>
          <w:lang w:val="en-GB"/>
        </w:rPr>
      </w:pPr>
    </w:p>
    <w:p w14:paraId="7C3325F0" w14:textId="77777777" w:rsidR="00DD7D3E" w:rsidRDefault="00016F29" w:rsidP="00DD36B7">
      <w:pPr>
        <w:rPr>
          <w:lang w:val="en-GB"/>
        </w:rPr>
      </w:pPr>
      <w:r w:rsidRPr="00E06A78">
        <w:rPr>
          <w:lang w:val="en-GB"/>
        </w:rPr>
        <w:t>Justification for not including Braille accepted.</w:t>
      </w:r>
    </w:p>
    <w:p w14:paraId="7C3325F1" w14:textId="77777777" w:rsidR="00E435E6" w:rsidRDefault="00E435E6" w:rsidP="00E435E6">
      <w:pPr>
        <w:rPr>
          <w:noProof/>
          <w:szCs w:val="22"/>
          <w:shd w:val="clear" w:color="auto" w:fill="CCCCCC"/>
        </w:rPr>
      </w:pPr>
    </w:p>
    <w:p w14:paraId="7C3325F2" w14:textId="77777777" w:rsidR="00CE5D57" w:rsidRDefault="00CE5D57" w:rsidP="00E435E6">
      <w:pPr>
        <w:rPr>
          <w:noProof/>
          <w:szCs w:val="22"/>
          <w:shd w:val="clear" w:color="auto" w:fill="CCCCCC"/>
        </w:rPr>
      </w:pPr>
    </w:p>
    <w:p w14:paraId="7C3325F3" w14:textId="77777777" w:rsidR="00E435E6" w:rsidRPr="006651D5" w:rsidRDefault="00016F29" w:rsidP="00E435E6">
      <w:pPr>
        <w:pBdr>
          <w:top w:val="single" w:sz="4" w:space="1" w:color="auto"/>
          <w:left w:val="single" w:sz="4" w:space="4" w:color="auto"/>
          <w:bottom w:val="single" w:sz="4" w:space="0" w:color="auto"/>
          <w:right w:val="single" w:sz="4" w:space="4" w:color="auto"/>
        </w:pBdr>
        <w:rPr>
          <w:i/>
          <w:noProof/>
        </w:rPr>
      </w:pPr>
      <w:r w:rsidRPr="006651D5">
        <w:rPr>
          <w:b/>
          <w:noProof/>
        </w:rPr>
        <w:t>17.</w:t>
      </w:r>
      <w:r w:rsidRPr="006651D5">
        <w:rPr>
          <w:b/>
          <w:noProof/>
        </w:rPr>
        <w:tab/>
        <w:t>UNIQUE IDENTIFIER – 2D BARCODE</w:t>
      </w:r>
    </w:p>
    <w:p w14:paraId="7C3325F4" w14:textId="77777777" w:rsidR="00E435E6" w:rsidRPr="00E06A78" w:rsidRDefault="00E435E6" w:rsidP="00E435E6"/>
    <w:p w14:paraId="7C3325F5" w14:textId="77777777" w:rsidR="00E435E6" w:rsidRPr="00E06A78" w:rsidRDefault="00016F29" w:rsidP="00E435E6">
      <w:pPr>
        <w:rPr>
          <w:shd w:val="clear" w:color="auto" w:fill="CCCCCC"/>
        </w:rPr>
      </w:pPr>
      <w:r w:rsidRPr="00E06A78">
        <w:t>2D barcode carrying the unique identifier included.</w:t>
      </w:r>
    </w:p>
    <w:p w14:paraId="7C3325F6" w14:textId="77777777" w:rsidR="00E435E6" w:rsidRPr="00E06A78" w:rsidRDefault="00E435E6" w:rsidP="00E435E6">
      <w:pPr>
        <w:rPr>
          <w:shd w:val="clear" w:color="auto" w:fill="CCCCCC"/>
        </w:rPr>
      </w:pPr>
    </w:p>
    <w:p w14:paraId="7C3325F7" w14:textId="77777777" w:rsidR="00E435E6" w:rsidRPr="00E06A78" w:rsidRDefault="00E435E6" w:rsidP="00E435E6"/>
    <w:p w14:paraId="7C3325F8" w14:textId="77777777" w:rsidR="00E435E6" w:rsidRPr="004B52E5" w:rsidRDefault="00016F29" w:rsidP="00E435E6">
      <w:pPr>
        <w:pBdr>
          <w:top w:val="single" w:sz="4" w:space="1" w:color="auto"/>
          <w:left w:val="single" w:sz="4" w:space="4" w:color="auto"/>
          <w:bottom w:val="single" w:sz="4" w:space="0" w:color="auto"/>
          <w:right w:val="single" w:sz="4" w:space="4" w:color="auto"/>
        </w:pBdr>
        <w:rPr>
          <w:i/>
          <w:noProof/>
        </w:rPr>
      </w:pPr>
      <w:r w:rsidRPr="004B52E5">
        <w:rPr>
          <w:b/>
          <w:noProof/>
        </w:rPr>
        <w:t>18.</w:t>
      </w:r>
      <w:r w:rsidRPr="004B52E5">
        <w:rPr>
          <w:b/>
          <w:noProof/>
        </w:rPr>
        <w:tab/>
        <w:t xml:space="preserve">UNIQUE IDENTIFIER </w:t>
      </w:r>
      <w:r w:rsidR="000A6DDA" w:rsidRPr="004B52E5">
        <w:rPr>
          <w:b/>
          <w:noProof/>
        </w:rPr>
        <w:noBreakHyphen/>
      </w:r>
      <w:r w:rsidR="000A6DDA" w:rsidRPr="004B52E5">
        <w:rPr>
          <w:b/>
          <w:noProof/>
        </w:rPr>
        <w:noBreakHyphen/>
      </w:r>
      <w:r w:rsidRPr="004B52E5">
        <w:rPr>
          <w:b/>
          <w:noProof/>
        </w:rPr>
        <w:t xml:space="preserve"> HUMAN READABLE DATA</w:t>
      </w:r>
    </w:p>
    <w:p w14:paraId="7C3325F9" w14:textId="77777777" w:rsidR="00E435E6" w:rsidRPr="001F63EB" w:rsidRDefault="00E435E6" w:rsidP="00E435E6">
      <w:pPr>
        <w:rPr>
          <w:noProof/>
        </w:rPr>
      </w:pPr>
    </w:p>
    <w:p w14:paraId="7C3325FA" w14:textId="77777777" w:rsidR="00E435E6" w:rsidRPr="005E4C1A" w:rsidRDefault="00016F29" w:rsidP="00E435E6">
      <w:pPr>
        <w:rPr>
          <w:szCs w:val="22"/>
        </w:rPr>
      </w:pPr>
      <w:r w:rsidRPr="005E4C1A">
        <w:rPr>
          <w:szCs w:val="22"/>
        </w:rPr>
        <w:t xml:space="preserve">PC </w:t>
      </w:r>
    </w:p>
    <w:p w14:paraId="7C3325FB" w14:textId="77777777" w:rsidR="00E435E6" w:rsidRPr="005E4C1A" w:rsidRDefault="00016F29" w:rsidP="00E435E6">
      <w:pPr>
        <w:rPr>
          <w:szCs w:val="22"/>
        </w:rPr>
      </w:pPr>
      <w:r w:rsidRPr="005E4C1A">
        <w:rPr>
          <w:szCs w:val="22"/>
        </w:rPr>
        <w:t xml:space="preserve">SN </w:t>
      </w:r>
    </w:p>
    <w:p w14:paraId="7C3325FC" w14:textId="77777777" w:rsidR="00E435E6" w:rsidRPr="00C937E7" w:rsidRDefault="00016F29" w:rsidP="00E435E6">
      <w:pPr>
        <w:rPr>
          <w:szCs w:val="22"/>
        </w:rPr>
      </w:pPr>
      <w:r w:rsidRPr="00A3054B">
        <w:rPr>
          <w:szCs w:val="22"/>
        </w:rPr>
        <w:t>NN</w:t>
      </w:r>
      <w:r w:rsidRPr="00C51DEE">
        <w:rPr>
          <w:szCs w:val="22"/>
        </w:rPr>
        <w:t xml:space="preserve"> </w:t>
      </w:r>
    </w:p>
    <w:p w14:paraId="7C3325FD" w14:textId="77777777" w:rsidR="00BD6117" w:rsidRDefault="00BD6117" w:rsidP="00DD36B7">
      <w:pPr>
        <w:rPr>
          <w:lang w:val="en-GB"/>
        </w:rPr>
      </w:pPr>
    </w:p>
    <w:p w14:paraId="7C3325FE" w14:textId="77777777" w:rsidR="00DD7D3E" w:rsidRPr="00D239C4" w:rsidRDefault="00016F29" w:rsidP="00DD7D3E">
      <w:pPr>
        <w:rPr>
          <w:szCs w:val="22"/>
          <w:lang w:val="en-GB"/>
        </w:rPr>
      </w:pPr>
      <w:r w:rsidRPr="00D239C4">
        <w:rPr>
          <w:szCs w:val="22"/>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602" w14:textId="77777777" w:rsidTr="00E26B9B">
        <w:trPr>
          <w:trHeight w:val="744"/>
        </w:trPr>
        <w:tc>
          <w:tcPr>
            <w:tcW w:w="9287" w:type="dxa"/>
            <w:tcBorders>
              <w:bottom w:val="single" w:sz="4" w:space="0" w:color="auto"/>
            </w:tcBorders>
          </w:tcPr>
          <w:p w14:paraId="7C3325FF" w14:textId="77777777" w:rsidR="00DD7D3E" w:rsidRPr="00D239C4" w:rsidRDefault="00016F29" w:rsidP="00E26B9B">
            <w:pPr>
              <w:rPr>
                <w:b/>
                <w:szCs w:val="22"/>
                <w:lang w:val="en-GB"/>
              </w:rPr>
            </w:pPr>
            <w:r w:rsidRPr="00D239C4">
              <w:rPr>
                <w:b/>
                <w:szCs w:val="22"/>
                <w:lang w:val="en-GB"/>
              </w:rPr>
              <w:t>MINIMUM PARTICULARS TO APPEAR ON SMALL IMMEDIATE PACKAGING UNITS</w:t>
            </w:r>
          </w:p>
          <w:p w14:paraId="7C332600" w14:textId="77777777" w:rsidR="00DD7D3E" w:rsidRPr="000400ED" w:rsidRDefault="00DD7D3E" w:rsidP="00E26B9B">
            <w:pPr>
              <w:rPr>
                <w:b/>
                <w:szCs w:val="22"/>
                <w:lang w:val="en-GB"/>
              </w:rPr>
            </w:pPr>
          </w:p>
          <w:p w14:paraId="7C332601" w14:textId="77777777" w:rsidR="00DD7D3E" w:rsidRPr="001976F0" w:rsidRDefault="00016F29" w:rsidP="00E26B9B">
            <w:pPr>
              <w:rPr>
                <w:b/>
                <w:bCs/>
                <w:szCs w:val="22"/>
                <w:lang w:val="en-GB"/>
              </w:rPr>
            </w:pPr>
            <w:r w:rsidRPr="001976F0">
              <w:rPr>
                <w:b/>
                <w:bCs/>
                <w:szCs w:val="22"/>
                <w:lang w:val="en-GB"/>
              </w:rPr>
              <w:t>VIAL LABEL</w:t>
            </w:r>
          </w:p>
        </w:tc>
      </w:tr>
    </w:tbl>
    <w:p w14:paraId="7C332603" w14:textId="77777777" w:rsidR="00DD7D3E" w:rsidRPr="00251348" w:rsidRDefault="00DD7D3E" w:rsidP="00DD7D3E">
      <w:pPr>
        <w:rPr>
          <w:szCs w:val="22"/>
          <w:lang w:val="en-GB"/>
        </w:rPr>
      </w:pPr>
    </w:p>
    <w:p w14:paraId="7C332604" w14:textId="77777777" w:rsidR="00DD7D3E" w:rsidRPr="00251348" w:rsidRDefault="00DD7D3E" w:rsidP="00DD7D3E">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606" w14:textId="77777777" w:rsidTr="00E26B9B">
        <w:tc>
          <w:tcPr>
            <w:tcW w:w="9287" w:type="dxa"/>
          </w:tcPr>
          <w:p w14:paraId="7C332605" w14:textId="77777777" w:rsidR="00DD7D3E" w:rsidRPr="00251348" w:rsidRDefault="00016F29" w:rsidP="00E26B9B">
            <w:pPr>
              <w:rPr>
                <w:b/>
                <w:szCs w:val="22"/>
                <w:lang w:val="en-GB"/>
              </w:rPr>
            </w:pPr>
            <w:r w:rsidRPr="00251348">
              <w:rPr>
                <w:b/>
                <w:szCs w:val="22"/>
                <w:lang w:val="en-GB"/>
              </w:rPr>
              <w:t>1.</w:t>
            </w:r>
            <w:r w:rsidRPr="00251348">
              <w:rPr>
                <w:b/>
                <w:szCs w:val="22"/>
                <w:lang w:val="en-GB"/>
              </w:rPr>
              <w:tab/>
              <w:t>NAME OF THE MEDICINAL PRODUCT AND ROUTE(S) OF ADMINISTRATION</w:t>
            </w:r>
          </w:p>
        </w:tc>
      </w:tr>
    </w:tbl>
    <w:p w14:paraId="7C332607" w14:textId="77777777" w:rsidR="00DD7D3E" w:rsidRPr="00251348" w:rsidRDefault="00DD7D3E" w:rsidP="00DD7D3E">
      <w:pPr>
        <w:rPr>
          <w:szCs w:val="22"/>
          <w:lang w:val="en-GB"/>
        </w:rPr>
      </w:pPr>
    </w:p>
    <w:p w14:paraId="7C332608" w14:textId="77777777" w:rsidR="00DD7D3E" w:rsidRPr="00251348" w:rsidRDefault="00016F29" w:rsidP="00DD36B7">
      <w:pPr>
        <w:rPr>
          <w:lang w:val="en-GB" w:eastAsia="en-US"/>
        </w:rPr>
      </w:pPr>
      <w:r w:rsidRPr="001F63EB">
        <w:rPr>
          <w:lang w:val="en-GB" w:eastAsia="en-US"/>
        </w:rPr>
        <w:t xml:space="preserve">MabThera </w:t>
      </w:r>
      <w:r w:rsidR="00522AFD" w:rsidRPr="001F63EB">
        <w:rPr>
          <w:lang w:val="en-GB" w:eastAsia="en-US"/>
        </w:rPr>
        <w:t>1600 </w:t>
      </w:r>
      <w:r w:rsidRPr="001F63EB">
        <w:rPr>
          <w:lang w:val="en-GB" w:eastAsia="en-US"/>
        </w:rPr>
        <w:t>mg solution for subcutaneous injection</w:t>
      </w:r>
    </w:p>
    <w:p w14:paraId="7C332609" w14:textId="77777777" w:rsidR="00DD7D3E" w:rsidRPr="00251348" w:rsidRDefault="00DD7D3E" w:rsidP="00DD7D3E">
      <w:pPr>
        <w:rPr>
          <w:szCs w:val="22"/>
          <w:lang w:val="en-GB"/>
        </w:rPr>
      </w:pPr>
    </w:p>
    <w:p w14:paraId="7C33260A" w14:textId="77777777" w:rsidR="00DD7D3E" w:rsidRPr="00153E10" w:rsidRDefault="00016F29" w:rsidP="00DD36B7">
      <w:pPr>
        <w:rPr>
          <w:lang w:val="en-GB"/>
        </w:rPr>
      </w:pPr>
      <w:r w:rsidRPr="00153E10">
        <w:rPr>
          <w:lang w:val="en-GB"/>
        </w:rPr>
        <w:t>r</w:t>
      </w:r>
      <w:r w:rsidR="0053310F" w:rsidRPr="00153E10">
        <w:rPr>
          <w:lang w:val="en-GB"/>
        </w:rPr>
        <w:t>ituximab</w:t>
      </w:r>
    </w:p>
    <w:p w14:paraId="7C33260B" w14:textId="77777777" w:rsidR="00DD7D3E" w:rsidRPr="00251348" w:rsidRDefault="00DD7D3E" w:rsidP="00DD7D3E">
      <w:pPr>
        <w:rPr>
          <w:szCs w:val="22"/>
          <w:lang w:val="en-GB"/>
        </w:rPr>
      </w:pPr>
    </w:p>
    <w:p w14:paraId="7C33260C" w14:textId="77777777" w:rsidR="00DD7D3E" w:rsidRPr="00251348" w:rsidRDefault="00016F29" w:rsidP="00DD36B7">
      <w:pPr>
        <w:rPr>
          <w:lang w:val="en-GB"/>
        </w:rPr>
      </w:pPr>
      <w:r w:rsidRPr="00E06A78">
        <w:rPr>
          <w:highlight w:val="darkGray"/>
          <w:lang w:val="en-GB"/>
        </w:rPr>
        <w:t>subcutaneous</w:t>
      </w:r>
    </w:p>
    <w:p w14:paraId="7C33260D" w14:textId="77777777" w:rsidR="00DD7D3E" w:rsidRPr="00251348" w:rsidRDefault="00DD7D3E" w:rsidP="00DD7D3E">
      <w:pPr>
        <w:rPr>
          <w:szCs w:val="22"/>
          <w:lang w:val="en-GB"/>
        </w:rPr>
      </w:pPr>
    </w:p>
    <w:p w14:paraId="7C33260E" w14:textId="77777777" w:rsidR="00DD7D3E" w:rsidRPr="00251348" w:rsidRDefault="00DD7D3E" w:rsidP="00DD7D3E">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610" w14:textId="77777777" w:rsidTr="00E26B9B">
        <w:tc>
          <w:tcPr>
            <w:tcW w:w="9287" w:type="dxa"/>
          </w:tcPr>
          <w:p w14:paraId="7C33260F" w14:textId="77777777" w:rsidR="00DD7D3E" w:rsidRPr="00251348" w:rsidRDefault="00016F29" w:rsidP="00E26B9B">
            <w:pPr>
              <w:rPr>
                <w:b/>
                <w:szCs w:val="22"/>
                <w:lang w:val="en-GB"/>
              </w:rPr>
            </w:pPr>
            <w:r w:rsidRPr="00251348">
              <w:rPr>
                <w:b/>
                <w:szCs w:val="22"/>
                <w:lang w:val="en-GB"/>
              </w:rPr>
              <w:t>2.</w:t>
            </w:r>
            <w:r w:rsidRPr="00251348">
              <w:rPr>
                <w:b/>
                <w:szCs w:val="22"/>
                <w:lang w:val="en-GB"/>
              </w:rPr>
              <w:tab/>
              <w:t>METHOD OF ADMINISTRATION</w:t>
            </w:r>
          </w:p>
        </w:tc>
      </w:tr>
    </w:tbl>
    <w:p w14:paraId="7C332611" w14:textId="77777777" w:rsidR="00DD7D3E" w:rsidRPr="00251348" w:rsidRDefault="00DD7D3E" w:rsidP="00DD7D3E">
      <w:pPr>
        <w:rPr>
          <w:szCs w:val="22"/>
          <w:lang w:val="en-GB"/>
        </w:rPr>
      </w:pPr>
    </w:p>
    <w:p w14:paraId="7C332612" w14:textId="77777777" w:rsidR="004B2482" w:rsidRDefault="00016F29" w:rsidP="00DD36B7">
      <w:pPr>
        <w:rPr>
          <w:lang w:val="en-GB"/>
        </w:rPr>
      </w:pPr>
      <w:r>
        <w:rPr>
          <w:lang w:val="en-GB"/>
        </w:rPr>
        <w:t>Only f</w:t>
      </w:r>
      <w:r w:rsidRPr="004A0DDD">
        <w:rPr>
          <w:lang w:val="en-GB"/>
        </w:rPr>
        <w:t xml:space="preserve">or subcutaneous use </w:t>
      </w:r>
    </w:p>
    <w:p w14:paraId="7C332613" w14:textId="77777777" w:rsidR="00DD7D3E" w:rsidRPr="00251348" w:rsidRDefault="00DD7D3E" w:rsidP="00DD36B7">
      <w:pPr>
        <w:rPr>
          <w:lang w:val="en-GB" w:eastAsia="en-US"/>
        </w:rPr>
      </w:pPr>
    </w:p>
    <w:p w14:paraId="7C332614" w14:textId="77777777" w:rsidR="00DD7D3E" w:rsidRPr="00251348" w:rsidRDefault="00DD7D3E" w:rsidP="00DD7D3E">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616" w14:textId="77777777" w:rsidTr="00E26B9B">
        <w:tc>
          <w:tcPr>
            <w:tcW w:w="9287" w:type="dxa"/>
          </w:tcPr>
          <w:p w14:paraId="7C332615" w14:textId="77777777" w:rsidR="00DD7D3E" w:rsidRPr="00251348" w:rsidRDefault="00016F29" w:rsidP="00E26B9B">
            <w:pPr>
              <w:rPr>
                <w:b/>
                <w:szCs w:val="22"/>
                <w:lang w:val="en-GB"/>
              </w:rPr>
            </w:pPr>
            <w:r w:rsidRPr="00251348">
              <w:rPr>
                <w:b/>
                <w:szCs w:val="22"/>
                <w:lang w:val="en-GB"/>
              </w:rPr>
              <w:t>3.</w:t>
            </w:r>
            <w:r w:rsidRPr="00251348">
              <w:rPr>
                <w:b/>
                <w:szCs w:val="22"/>
                <w:lang w:val="en-GB"/>
              </w:rPr>
              <w:tab/>
              <w:t>EXPIRY DATE</w:t>
            </w:r>
          </w:p>
        </w:tc>
      </w:tr>
    </w:tbl>
    <w:p w14:paraId="7C332617" w14:textId="77777777" w:rsidR="00DD7D3E" w:rsidRPr="00251348" w:rsidRDefault="00DD7D3E" w:rsidP="00DD7D3E">
      <w:pPr>
        <w:rPr>
          <w:szCs w:val="22"/>
          <w:lang w:val="en-GB"/>
        </w:rPr>
      </w:pPr>
    </w:p>
    <w:p w14:paraId="7C332618" w14:textId="77777777" w:rsidR="00DD7D3E" w:rsidRPr="00251348" w:rsidRDefault="00016F29" w:rsidP="00DD36B7">
      <w:pPr>
        <w:rPr>
          <w:lang w:val="en-GB"/>
        </w:rPr>
      </w:pPr>
      <w:r w:rsidRPr="00251348">
        <w:rPr>
          <w:lang w:val="en-GB"/>
        </w:rPr>
        <w:t>EXP</w:t>
      </w:r>
    </w:p>
    <w:p w14:paraId="7C332619" w14:textId="77777777" w:rsidR="00DD7D3E" w:rsidRPr="00251348" w:rsidRDefault="00DD7D3E" w:rsidP="00DD7D3E">
      <w:pPr>
        <w:rPr>
          <w:szCs w:val="22"/>
          <w:lang w:val="en-GB"/>
        </w:rPr>
      </w:pPr>
    </w:p>
    <w:p w14:paraId="7C33261A" w14:textId="77777777" w:rsidR="00DD7D3E" w:rsidRPr="00251348" w:rsidRDefault="00DD7D3E" w:rsidP="00DD7D3E">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61C" w14:textId="77777777" w:rsidTr="00E26B9B">
        <w:tc>
          <w:tcPr>
            <w:tcW w:w="9287" w:type="dxa"/>
          </w:tcPr>
          <w:p w14:paraId="7C33261B" w14:textId="77777777" w:rsidR="00DD7D3E" w:rsidRPr="00251348" w:rsidRDefault="00016F29" w:rsidP="00E26B9B">
            <w:pPr>
              <w:rPr>
                <w:b/>
                <w:szCs w:val="22"/>
                <w:lang w:val="en-GB"/>
              </w:rPr>
            </w:pPr>
            <w:r w:rsidRPr="00251348">
              <w:rPr>
                <w:b/>
                <w:szCs w:val="22"/>
                <w:lang w:val="en-GB"/>
              </w:rPr>
              <w:t>4.</w:t>
            </w:r>
            <w:r w:rsidRPr="00251348">
              <w:rPr>
                <w:b/>
                <w:szCs w:val="22"/>
                <w:lang w:val="en-GB"/>
              </w:rPr>
              <w:tab/>
              <w:t>BATCH NUMBER</w:t>
            </w:r>
          </w:p>
        </w:tc>
      </w:tr>
    </w:tbl>
    <w:p w14:paraId="7C33261D" w14:textId="77777777" w:rsidR="00DD7D3E" w:rsidRPr="00251348" w:rsidRDefault="00DD7D3E" w:rsidP="00DD7D3E">
      <w:pPr>
        <w:rPr>
          <w:szCs w:val="22"/>
          <w:lang w:val="en-GB"/>
        </w:rPr>
      </w:pPr>
    </w:p>
    <w:p w14:paraId="7C33261E" w14:textId="77777777" w:rsidR="00DD7D3E" w:rsidRPr="00251348" w:rsidRDefault="00016F29" w:rsidP="00DD7D3E">
      <w:pPr>
        <w:rPr>
          <w:szCs w:val="22"/>
          <w:lang w:val="en-GB"/>
        </w:rPr>
      </w:pPr>
      <w:smartTag w:uri="urn:schemas-microsoft-com:office:smarttags" w:element="place">
        <w:r w:rsidRPr="00251348">
          <w:rPr>
            <w:szCs w:val="22"/>
            <w:lang w:val="en-GB"/>
          </w:rPr>
          <w:t>Lot</w:t>
        </w:r>
      </w:smartTag>
    </w:p>
    <w:p w14:paraId="7C33261F" w14:textId="77777777" w:rsidR="00DD7D3E" w:rsidRPr="00251348" w:rsidRDefault="00DD7D3E" w:rsidP="00DD7D3E">
      <w:pPr>
        <w:rPr>
          <w:szCs w:val="22"/>
          <w:lang w:val="en-GB"/>
        </w:rPr>
      </w:pPr>
    </w:p>
    <w:p w14:paraId="7C332620" w14:textId="77777777" w:rsidR="00DD7D3E" w:rsidRPr="00251348" w:rsidRDefault="00DD7D3E" w:rsidP="00DD7D3E">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622" w14:textId="77777777" w:rsidTr="00E26B9B">
        <w:tc>
          <w:tcPr>
            <w:tcW w:w="9287" w:type="dxa"/>
          </w:tcPr>
          <w:p w14:paraId="7C332621" w14:textId="77777777" w:rsidR="00DD7D3E" w:rsidRPr="00251348" w:rsidRDefault="00016F29" w:rsidP="00E26B9B">
            <w:pPr>
              <w:rPr>
                <w:b/>
                <w:szCs w:val="22"/>
                <w:lang w:val="en-GB"/>
              </w:rPr>
            </w:pPr>
            <w:r w:rsidRPr="00251348">
              <w:rPr>
                <w:b/>
                <w:szCs w:val="22"/>
                <w:lang w:val="en-GB"/>
              </w:rPr>
              <w:t>5.</w:t>
            </w:r>
            <w:r w:rsidRPr="00251348">
              <w:rPr>
                <w:b/>
                <w:szCs w:val="22"/>
                <w:lang w:val="en-GB"/>
              </w:rPr>
              <w:tab/>
              <w:t>CONTENTS BY WEIGHT, BY VOLUME OR BY UNIT</w:t>
            </w:r>
          </w:p>
        </w:tc>
      </w:tr>
    </w:tbl>
    <w:p w14:paraId="7C332623" w14:textId="77777777" w:rsidR="00DD7D3E" w:rsidRPr="00251348" w:rsidRDefault="00DD7D3E" w:rsidP="00DD7D3E">
      <w:pPr>
        <w:rPr>
          <w:szCs w:val="22"/>
          <w:lang w:val="en-GB"/>
        </w:rPr>
      </w:pPr>
    </w:p>
    <w:p w14:paraId="7C332624" w14:textId="77777777" w:rsidR="00DD7D3E" w:rsidRPr="00251348" w:rsidRDefault="00016F29" w:rsidP="00DD7D3E">
      <w:pPr>
        <w:tabs>
          <w:tab w:val="left" w:pos="567"/>
        </w:tabs>
        <w:spacing w:line="260" w:lineRule="exact"/>
        <w:rPr>
          <w:szCs w:val="22"/>
          <w:lang w:val="en-GB" w:eastAsia="en-US"/>
        </w:rPr>
      </w:pPr>
      <w:r w:rsidRPr="001F63EB">
        <w:rPr>
          <w:szCs w:val="22"/>
          <w:lang w:val="en-GB" w:eastAsia="en-US"/>
        </w:rPr>
        <w:t>1</w:t>
      </w:r>
      <w:r w:rsidR="003C46D3">
        <w:rPr>
          <w:szCs w:val="22"/>
          <w:lang w:val="en-GB" w:eastAsia="en-US"/>
        </w:rPr>
        <w:t>,</w:t>
      </w:r>
      <w:r w:rsidRPr="001F63EB">
        <w:rPr>
          <w:szCs w:val="22"/>
          <w:lang w:val="en-GB" w:eastAsia="en-US"/>
        </w:rPr>
        <w:t>600 mg/13.4 mL</w:t>
      </w:r>
      <w:r w:rsidRPr="00251348">
        <w:rPr>
          <w:szCs w:val="22"/>
          <w:lang w:val="en-GB" w:eastAsia="en-US"/>
        </w:rPr>
        <w:t xml:space="preserve"> </w:t>
      </w:r>
    </w:p>
    <w:p w14:paraId="7C332625" w14:textId="77777777" w:rsidR="00DD7D3E" w:rsidRPr="00251348" w:rsidRDefault="00DD7D3E" w:rsidP="00DD7D3E">
      <w:pPr>
        <w:rPr>
          <w:szCs w:val="22"/>
          <w:lang w:val="en-GB"/>
        </w:rPr>
      </w:pPr>
    </w:p>
    <w:p w14:paraId="7C332626" w14:textId="77777777" w:rsidR="00DD7D3E" w:rsidRPr="00251348" w:rsidRDefault="00DD7D3E" w:rsidP="00DD7D3E">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788B" w14:paraId="7C332628" w14:textId="77777777" w:rsidTr="00E26B9B">
        <w:tc>
          <w:tcPr>
            <w:tcW w:w="9287" w:type="dxa"/>
          </w:tcPr>
          <w:p w14:paraId="7C332627" w14:textId="77777777" w:rsidR="00DD7D3E" w:rsidRPr="00251348" w:rsidRDefault="00016F29" w:rsidP="00E26B9B">
            <w:pPr>
              <w:rPr>
                <w:b/>
                <w:szCs w:val="22"/>
                <w:lang w:val="en-GB"/>
              </w:rPr>
            </w:pPr>
            <w:r w:rsidRPr="00251348">
              <w:rPr>
                <w:b/>
                <w:szCs w:val="22"/>
                <w:lang w:val="en-GB"/>
              </w:rPr>
              <w:t>6.</w:t>
            </w:r>
            <w:r w:rsidRPr="00251348">
              <w:rPr>
                <w:b/>
                <w:szCs w:val="22"/>
                <w:lang w:val="en-GB"/>
              </w:rPr>
              <w:tab/>
              <w:t>OTHER</w:t>
            </w:r>
          </w:p>
        </w:tc>
      </w:tr>
    </w:tbl>
    <w:p w14:paraId="7C332629" w14:textId="77777777" w:rsidR="001604A3" w:rsidRDefault="001604A3" w:rsidP="00C80148">
      <w:pPr>
        <w:jc w:val="center"/>
        <w:rPr>
          <w:szCs w:val="22"/>
          <w:lang w:val="en-GB"/>
        </w:rPr>
      </w:pPr>
    </w:p>
    <w:p w14:paraId="7C33262A" w14:textId="77777777" w:rsidR="005F368E" w:rsidRPr="00E06A78" w:rsidRDefault="00016F29" w:rsidP="005F368E">
      <w:pPr>
        <w:rPr>
          <w:b/>
          <w:u w:val="single"/>
          <w:lang w:val="en-GB"/>
        </w:rPr>
      </w:pPr>
      <w:r w:rsidRPr="00E06A78">
        <w:rPr>
          <w:b/>
        </w:rPr>
        <w:t xml:space="preserve">Information to appear on </w:t>
      </w:r>
      <w:r w:rsidRPr="00E06A78">
        <w:rPr>
          <w:b/>
          <w:u w:val="single"/>
        </w:rPr>
        <w:t>Peel</w:t>
      </w:r>
      <w:r w:rsidR="000A6DDA" w:rsidRPr="00E06A78">
        <w:rPr>
          <w:b/>
          <w:u w:val="single"/>
        </w:rPr>
        <w:noBreakHyphen/>
      </w:r>
      <w:r w:rsidRPr="00E06A78">
        <w:rPr>
          <w:b/>
          <w:u w:val="single"/>
        </w:rPr>
        <w:t>off sticker</w:t>
      </w:r>
    </w:p>
    <w:p w14:paraId="7C33262B" w14:textId="77777777" w:rsidR="005F368E" w:rsidRPr="00E06A78" w:rsidRDefault="005F368E" w:rsidP="005F368E">
      <w:pPr>
        <w:rPr>
          <w:u w:val="single"/>
          <w:lang w:val="en-GB"/>
        </w:rPr>
      </w:pPr>
    </w:p>
    <w:p w14:paraId="7C33262C" w14:textId="77777777" w:rsidR="003C46D3" w:rsidRDefault="00016F29" w:rsidP="00DD36B7">
      <w:pPr>
        <w:rPr>
          <w:lang w:val="en-GB" w:eastAsia="en-US"/>
        </w:rPr>
      </w:pPr>
      <w:r>
        <w:rPr>
          <w:lang w:val="en-GB" w:eastAsia="en-US"/>
        </w:rPr>
        <w:t>Lot</w:t>
      </w:r>
    </w:p>
    <w:p w14:paraId="7C33262D" w14:textId="77777777" w:rsidR="005F368E" w:rsidRPr="001F63EB" w:rsidRDefault="00016F29" w:rsidP="00DD36B7">
      <w:pPr>
        <w:rPr>
          <w:lang w:val="en-GB" w:eastAsia="en-US"/>
        </w:rPr>
      </w:pPr>
      <w:r w:rsidRPr="001F63EB">
        <w:rPr>
          <w:lang w:val="en-GB" w:eastAsia="en-US"/>
        </w:rPr>
        <w:t xml:space="preserve">MabThera 1600 mg </w:t>
      </w:r>
    </w:p>
    <w:p w14:paraId="7C33262E" w14:textId="77777777" w:rsidR="005F368E" w:rsidRPr="001F63EB" w:rsidRDefault="00016F29" w:rsidP="00DD36B7">
      <w:pPr>
        <w:rPr>
          <w:lang w:val="en-GB"/>
        </w:rPr>
      </w:pPr>
      <w:r>
        <w:rPr>
          <w:lang w:val="en-GB"/>
        </w:rPr>
        <w:t>r</w:t>
      </w:r>
      <w:r w:rsidRPr="001F63EB">
        <w:rPr>
          <w:lang w:val="en-GB"/>
        </w:rPr>
        <w:t>ituximab</w:t>
      </w:r>
    </w:p>
    <w:p w14:paraId="7C33262F" w14:textId="77777777" w:rsidR="005F368E" w:rsidRPr="001F63EB" w:rsidRDefault="005F368E" w:rsidP="005F368E">
      <w:pPr>
        <w:rPr>
          <w:szCs w:val="22"/>
          <w:lang w:val="en-GB"/>
        </w:rPr>
      </w:pPr>
    </w:p>
    <w:p w14:paraId="7C332630" w14:textId="77777777" w:rsidR="005F368E" w:rsidRPr="001F63EB" w:rsidRDefault="00016F29" w:rsidP="00DD36B7">
      <w:pPr>
        <w:rPr>
          <w:lang w:val="en-GB"/>
        </w:rPr>
      </w:pPr>
      <w:r w:rsidRPr="001F63EB">
        <w:rPr>
          <w:lang w:val="en-GB"/>
        </w:rPr>
        <w:t>1</w:t>
      </w:r>
      <w:r w:rsidR="003C46D3">
        <w:rPr>
          <w:lang w:val="en-GB"/>
        </w:rPr>
        <w:t>,</w:t>
      </w:r>
      <w:r w:rsidRPr="001F63EB">
        <w:rPr>
          <w:lang w:val="en-GB"/>
        </w:rPr>
        <w:t>600 mg/13.4 mL</w:t>
      </w:r>
    </w:p>
    <w:p w14:paraId="7C332631" w14:textId="77777777" w:rsidR="005F368E" w:rsidRPr="001F63EB" w:rsidRDefault="005F368E" w:rsidP="00DD36B7">
      <w:pPr>
        <w:rPr>
          <w:lang w:val="en-GB"/>
        </w:rPr>
      </w:pPr>
    </w:p>
    <w:p w14:paraId="7C332632" w14:textId="77777777" w:rsidR="005F368E" w:rsidRPr="003B7B6F" w:rsidRDefault="00016F29" w:rsidP="00DD36B7">
      <w:pPr>
        <w:rPr>
          <w:lang w:val="en-GB"/>
        </w:rPr>
      </w:pPr>
      <w:r w:rsidRPr="001F63EB">
        <w:rPr>
          <w:lang w:val="en-GB"/>
        </w:rPr>
        <w:t>SC for C</w:t>
      </w:r>
      <w:r w:rsidR="00323018" w:rsidRPr="001F63EB">
        <w:rPr>
          <w:lang w:val="en-GB"/>
        </w:rPr>
        <w:t xml:space="preserve">hronic </w:t>
      </w:r>
      <w:r w:rsidRPr="001F63EB">
        <w:rPr>
          <w:lang w:val="en-GB"/>
        </w:rPr>
        <w:t>L</w:t>
      </w:r>
      <w:r w:rsidR="00323018" w:rsidRPr="001F63EB">
        <w:rPr>
          <w:lang w:val="en-GB"/>
        </w:rPr>
        <w:t xml:space="preserve">ymphocytic </w:t>
      </w:r>
      <w:r w:rsidRPr="001F63EB">
        <w:rPr>
          <w:lang w:val="en-GB"/>
        </w:rPr>
        <w:t>L</w:t>
      </w:r>
      <w:r w:rsidR="00323018" w:rsidRPr="001F63EB">
        <w:rPr>
          <w:lang w:val="en-GB"/>
        </w:rPr>
        <w:t>eukaemia</w:t>
      </w:r>
    </w:p>
    <w:p w14:paraId="7C332633" w14:textId="77777777" w:rsidR="005F368E" w:rsidRDefault="005F368E" w:rsidP="001604A3">
      <w:pPr>
        <w:rPr>
          <w:szCs w:val="22"/>
          <w:lang w:val="en-GB"/>
        </w:rPr>
      </w:pPr>
    </w:p>
    <w:p w14:paraId="7C332634" w14:textId="77777777" w:rsidR="004F06A5" w:rsidRPr="00C50A4F" w:rsidRDefault="00016F29" w:rsidP="001604A3">
      <w:pPr>
        <w:rPr>
          <w:szCs w:val="22"/>
          <w:lang w:val="en-GB"/>
        </w:rPr>
      </w:pPr>
      <w:r w:rsidRPr="00C50A4F">
        <w:rPr>
          <w:szCs w:val="22"/>
          <w:lang w:val="en-GB"/>
        </w:rPr>
        <w:br w:type="page"/>
      </w:r>
    </w:p>
    <w:p w14:paraId="7C332635" w14:textId="77777777" w:rsidR="004F06A5" w:rsidRPr="00C50A4F" w:rsidRDefault="004F06A5" w:rsidP="00C80148">
      <w:pPr>
        <w:jc w:val="center"/>
        <w:rPr>
          <w:szCs w:val="22"/>
          <w:lang w:val="en-GB"/>
        </w:rPr>
      </w:pPr>
    </w:p>
    <w:p w14:paraId="7C332636" w14:textId="77777777" w:rsidR="004F06A5" w:rsidRPr="00C50A4F" w:rsidRDefault="004F06A5" w:rsidP="00C80148">
      <w:pPr>
        <w:jc w:val="center"/>
        <w:rPr>
          <w:szCs w:val="22"/>
          <w:lang w:val="en-GB"/>
        </w:rPr>
      </w:pPr>
    </w:p>
    <w:p w14:paraId="7C332637" w14:textId="77777777" w:rsidR="004F06A5" w:rsidRPr="00C50A4F" w:rsidRDefault="004F06A5" w:rsidP="00C80148">
      <w:pPr>
        <w:jc w:val="center"/>
        <w:rPr>
          <w:szCs w:val="22"/>
          <w:lang w:val="en-GB"/>
        </w:rPr>
      </w:pPr>
    </w:p>
    <w:p w14:paraId="7C332638" w14:textId="77777777" w:rsidR="004F06A5" w:rsidRPr="00C50A4F" w:rsidRDefault="004F06A5" w:rsidP="00C80148">
      <w:pPr>
        <w:jc w:val="center"/>
        <w:rPr>
          <w:szCs w:val="22"/>
          <w:lang w:val="en-GB"/>
        </w:rPr>
      </w:pPr>
    </w:p>
    <w:p w14:paraId="7C332639" w14:textId="77777777" w:rsidR="004F06A5" w:rsidRPr="00C50A4F" w:rsidRDefault="004F06A5" w:rsidP="00C80148">
      <w:pPr>
        <w:jc w:val="center"/>
        <w:rPr>
          <w:szCs w:val="22"/>
          <w:lang w:val="en-GB"/>
        </w:rPr>
      </w:pPr>
    </w:p>
    <w:p w14:paraId="7C33263A" w14:textId="77777777" w:rsidR="004F06A5" w:rsidRPr="00C50A4F" w:rsidRDefault="004F06A5" w:rsidP="00C80148">
      <w:pPr>
        <w:jc w:val="center"/>
        <w:rPr>
          <w:szCs w:val="22"/>
          <w:lang w:val="en-GB"/>
        </w:rPr>
      </w:pPr>
    </w:p>
    <w:p w14:paraId="7C33263B" w14:textId="77777777" w:rsidR="004F06A5" w:rsidRPr="00C50A4F" w:rsidRDefault="004F06A5" w:rsidP="00C80148">
      <w:pPr>
        <w:jc w:val="center"/>
        <w:rPr>
          <w:szCs w:val="22"/>
          <w:lang w:val="en-GB"/>
        </w:rPr>
      </w:pPr>
    </w:p>
    <w:p w14:paraId="7C33263C" w14:textId="77777777" w:rsidR="004F06A5" w:rsidRPr="00C50A4F" w:rsidRDefault="004F06A5" w:rsidP="00C80148">
      <w:pPr>
        <w:jc w:val="center"/>
        <w:rPr>
          <w:szCs w:val="22"/>
          <w:lang w:val="en-GB"/>
        </w:rPr>
      </w:pPr>
    </w:p>
    <w:p w14:paraId="7C33263D" w14:textId="77777777" w:rsidR="004F06A5" w:rsidRPr="00C50A4F" w:rsidRDefault="004F06A5" w:rsidP="00C80148">
      <w:pPr>
        <w:jc w:val="center"/>
        <w:rPr>
          <w:szCs w:val="22"/>
          <w:lang w:val="en-GB"/>
        </w:rPr>
      </w:pPr>
    </w:p>
    <w:p w14:paraId="7C33263E" w14:textId="77777777" w:rsidR="004F06A5" w:rsidRPr="00C50A4F" w:rsidRDefault="004F06A5" w:rsidP="00C80148">
      <w:pPr>
        <w:jc w:val="center"/>
        <w:rPr>
          <w:szCs w:val="22"/>
          <w:lang w:val="en-GB"/>
        </w:rPr>
      </w:pPr>
    </w:p>
    <w:p w14:paraId="7C33263F" w14:textId="77777777" w:rsidR="004F06A5" w:rsidRPr="00C50A4F" w:rsidRDefault="004F06A5" w:rsidP="00C80148">
      <w:pPr>
        <w:jc w:val="center"/>
        <w:rPr>
          <w:szCs w:val="22"/>
          <w:lang w:val="en-GB"/>
        </w:rPr>
      </w:pPr>
    </w:p>
    <w:p w14:paraId="7C332640" w14:textId="77777777" w:rsidR="004F06A5" w:rsidRPr="00F332AF" w:rsidRDefault="004F06A5" w:rsidP="00C80148">
      <w:pPr>
        <w:jc w:val="center"/>
        <w:rPr>
          <w:szCs w:val="22"/>
          <w:lang w:val="en-GB"/>
        </w:rPr>
      </w:pPr>
    </w:p>
    <w:p w14:paraId="7C332641" w14:textId="77777777" w:rsidR="004F06A5" w:rsidRPr="00C50A4F" w:rsidRDefault="004F06A5" w:rsidP="00C80148">
      <w:pPr>
        <w:jc w:val="center"/>
        <w:rPr>
          <w:szCs w:val="22"/>
          <w:lang w:val="en-GB"/>
        </w:rPr>
      </w:pPr>
    </w:p>
    <w:p w14:paraId="7C332642" w14:textId="77777777" w:rsidR="004F06A5" w:rsidRPr="00C50A4F" w:rsidRDefault="004F06A5" w:rsidP="00C80148">
      <w:pPr>
        <w:jc w:val="center"/>
        <w:rPr>
          <w:szCs w:val="22"/>
          <w:lang w:val="en-GB"/>
        </w:rPr>
      </w:pPr>
    </w:p>
    <w:p w14:paraId="7C332643" w14:textId="77777777" w:rsidR="004F06A5" w:rsidRPr="00C50A4F" w:rsidRDefault="004F06A5" w:rsidP="00C80148">
      <w:pPr>
        <w:jc w:val="center"/>
        <w:rPr>
          <w:szCs w:val="22"/>
          <w:lang w:val="en-GB"/>
        </w:rPr>
      </w:pPr>
    </w:p>
    <w:p w14:paraId="7C332644" w14:textId="77777777" w:rsidR="004F06A5" w:rsidRPr="00C50A4F" w:rsidRDefault="004F06A5" w:rsidP="00C80148">
      <w:pPr>
        <w:jc w:val="center"/>
        <w:rPr>
          <w:szCs w:val="22"/>
          <w:lang w:val="en-GB"/>
        </w:rPr>
      </w:pPr>
    </w:p>
    <w:p w14:paraId="7C332645" w14:textId="77777777" w:rsidR="004F06A5" w:rsidRPr="00C50A4F" w:rsidRDefault="004F06A5" w:rsidP="00C80148">
      <w:pPr>
        <w:jc w:val="center"/>
        <w:rPr>
          <w:szCs w:val="22"/>
          <w:lang w:val="en-GB"/>
        </w:rPr>
      </w:pPr>
    </w:p>
    <w:p w14:paraId="7C332646" w14:textId="77777777" w:rsidR="004F06A5" w:rsidRPr="00C50A4F" w:rsidRDefault="004F06A5" w:rsidP="00C80148">
      <w:pPr>
        <w:jc w:val="center"/>
        <w:rPr>
          <w:szCs w:val="22"/>
          <w:lang w:val="en-GB"/>
        </w:rPr>
      </w:pPr>
    </w:p>
    <w:p w14:paraId="7C332647" w14:textId="77777777" w:rsidR="004F06A5" w:rsidRPr="00C50A4F" w:rsidRDefault="004F06A5" w:rsidP="00C80148">
      <w:pPr>
        <w:jc w:val="center"/>
        <w:rPr>
          <w:szCs w:val="22"/>
          <w:lang w:val="en-GB"/>
        </w:rPr>
      </w:pPr>
    </w:p>
    <w:p w14:paraId="7C332648" w14:textId="77777777" w:rsidR="004F06A5" w:rsidRPr="00C50A4F" w:rsidRDefault="004F06A5" w:rsidP="00C80148">
      <w:pPr>
        <w:jc w:val="center"/>
        <w:rPr>
          <w:szCs w:val="22"/>
          <w:lang w:val="en-GB"/>
        </w:rPr>
      </w:pPr>
    </w:p>
    <w:p w14:paraId="7C332649" w14:textId="77777777" w:rsidR="004F06A5" w:rsidRPr="00C50A4F" w:rsidRDefault="004F06A5" w:rsidP="00C80148">
      <w:pPr>
        <w:jc w:val="center"/>
        <w:rPr>
          <w:szCs w:val="22"/>
          <w:lang w:val="en-GB"/>
        </w:rPr>
      </w:pPr>
    </w:p>
    <w:p w14:paraId="7C33264A" w14:textId="77777777" w:rsidR="004F06A5" w:rsidRPr="00C50A4F" w:rsidRDefault="004F06A5" w:rsidP="00C80148">
      <w:pPr>
        <w:jc w:val="center"/>
        <w:rPr>
          <w:szCs w:val="22"/>
          <w:lang w:val="en-GB"/>
        </w:rPr>
      </w:pPr>
    </w:p>
    <w:p w14:paraId="7C33264B" w14:textId="77777777" w:rsidR="001B4E28" w:rsidRPr="00153E10" w:rsidRDefault="001B4E28" w:rsidP="00C80148">
      <w:pPr>
        <w:jc w:val="center"/>
        <w:rPr>
          <w:szCs w:val="22"/>
          <w:lang w:val="en-GB"/>
        </w:rPr>
      </w:pPr>
    </w:p>
    <w:p w14:paraId="7C33264C" w14:textId="77777777" w:rsidR="003B600F" w:rsidRDefault="00016F29" w:rsidP="00B61585">
      <w:pPr>
        <w:pStyle w:val="Annex"/>
        <w:rPr>
          <w:lang w:val="en-GB"/>
        </w:rPr>
      </w:pPr>
      <w:r w:rsidRPr="00C50A4F">
        <w:rPr>
          <w:lang w:val="en-GB"/>
        </w:rPr>
        <w:t>B. PACKAGE LEAFLET</w:t>
      </w:r>
    </w:p>
    <w:p w14:paraId="7C33264D" w14:textId="77777777" w:rsidR="00B61585" w:rsidRPr="0099733D" w:rsidRDefault="00016F29" w:rsidP="0099733D">
      <w:pPr>
        <w:rPr>
          <w:szCs w:val="22"/>
          <w:lang w:val="en-GB"/>
        </w:rPr>
      </w:pPr>
      <w:r w:rsidRPr="0099733D">
        <w:rPr>
          <w:szCs w:val="22"/>
          <w:lang w:val="en-GB"/>
        </w:rPr>
        <w:br w:type="page"/>
      </w:r>
    </w:p>
    <w:p w14:paraId="7C33264E" w14:textId="77777777" w:rsidR="00B61585" w:rsidRPr="00C50A4F" w:rsidRDefault="00016F29" w:rsidP="00B61585">
      <w:pPr>
        <w:jc w:val="center"/>
        <w:outlineLvl w:val="0"/>
        <w:rPr>
          <w:b/>
          <w:szCs w:val="22"/>
          <w:lang w:val="en-GB"/>
        </w:rPr>
      </w:pPr>
      <w:r w:rsidRPr="00C50A4F">
        <w:rPr>
          <w:b/>
          <w:szCs w:val="22"/>
          <w:lang w:val="en-GB"/>
        </w:rPr>
        <w:t xml:space="preserve">Package leaflet: Information for the patient </w:t>
      </w:r>
    </w:p>
    <w:p w14:paraId="7C33264F" w14:textId="77777777" w:rsidR="00B61585" w:rsidRPr="00C50A4F" w:rsidRDefault="00B61585" w:rsidP="00B61585">
      <w:pPr>
        <w:jc w:val="center"/>
        <w:rPr>
          <w:b/>
          <w:szCs w:val="22"/>
          <w:lang w:val="en-GB"/>
        </w:rPr>
      </w:pPr>
    </w:p>
    <w:p w14:paraId="7C332650" w14:textId="77777777" w:rsidR="00B61585" w:rsidRDefault="00016F29" w:rsidP="00B61585">
      <w:pPr>
        <w:jc w:val="center"/>
        <w:outlineLvl w:val="0"/>
        <w:rPr>
          <w:b/>
          <w:szCs w:val="22"/>
          <w:lang w:val="en-GB"/>
        </w:rPr>
      </w:pPr>
      <w:r w:rsidRPr="00C50A4F">
        <w:rPr>
          <w:b/>
          <w:szCs w:val="22"/>
          <w:lang w:val="en-GB"/>
        </w:rPr>
        <w:t xml:space="preserve">MabThera 100 mg concentrate for solution for infusion </w:t>
      </w:r>
    </w:p>
    <w:p w14:paraId="7C332651" w14:textId="77777777" w:rsidR="006B49B7" w:rsidRPr="00C50A4F" w:rsidRDefault="00016F29" w:rsidP="00B61585">
      <w:pPr>
        <w:jc w:val="center"/>
        <w:outlineLvl w:val="0"/>
        <w:rPr>
          <w:b/>
          <w:szCs w:val="22"/>
          <w:lang w:val="en-GB"/>
        </w:rPr>
      </w:pPr>
      <w:r w:rsidRPr="00C50A4F">
        <w:rPr>
          <w:b/>
          <w:szCs w:val="22"/>
          <w:lang w:val="en-GB"/>
        </w:rPr>
        <w:t xml:space="preserve">MabThera </w:t>
      </w:r>
      <w:r>
        <w:rPr>
          <w:b/>
          <w:szCs w:val="22"/>
          <w:lang w:val="en-GB"/>
        </w:rPr>
        <w:t>5</w:t>
      </w:r>
      <w:r w:rsidRPr="00C50A4F">
        <w:rPr>
          <w:b/>
          <w:szCs w:val="22"/>
          <w:lang w:val="en-GB"/>
        </w:rPr>
        <w:t>00 mg concentrate for solution for infusion</w:t>
      </w:r>
    </w:p>
    <w:p w14:paraId="7C332652" w14:textId="77777777" w:rsidR="00B61585" w:rsidRPr="00C50A4F" w:rsidRDefault="00016F29" w:rsidP="00B61585">
      <w:pPr>
        <w:jc w:val="center"/>
        <w:rPr>
          <w:szCs w:val="22"/>
          <w:lang w:val="en-GB"/>
        </w:rPr>
      </w:pPr>
      <w:r w:rsidRPr="00C50A4F">
        <w:rPr>
          <w:szCs w:val="22"/>
          <w:lang w:val="en-GB"/>
        </w:rPr>
        <w:t xml:space="preserve">rituximab </w:t>
      </w:r>
    </w:p>
    <w:p w14:paraId="7C332653" w14:textId="77777777" w:rsidR="00B61585" w:rsidRPr="00C50A4F" w:rsidRDefault="00B61585" w:rsidP="00B61585">
      <w:pPr>
        <w:rPr>
          <w:szCs w:val="22"/>
          <w:lang w:val="en-GB"/>
        </w:rPr>
      </w:pPr>
    </w:p>
    <w:p w14:paraId="7C332654" w14:textId="77777777" w:rsidR="00B61585" w:rsidRPr="00C50A4F" w:rsidRDefault="00016F29" w:rsidP="00B61585">
      <w:pPr>
        <w:outlineLvl w:val="0"/>
        <w:rPr>
          <w:b/>
          <w:szCs w:val="22"/>
          <w:lang w:val="en-GB"/>
        </w:rPr>
      </w:pPr>
      <w:r w:rsidRPr="00C50A4F">
        <w:rPr>
          <w:b/>
          <w:szCs w:val="22"/>
          <w:lang w:val="en-GB"/>
        </w:rPr>
        <w:t>Read this leaflet carefully before you start taking this medicine because it contains important information for you.</w:t>
      </w:r>
    </w:p>
    <w:p w14:paraId="7C332655" w14:textId="77777777" w:rsidR="00B61585" w:rsidRPr="00C50A4F" w:rsidRDefault="00016F29" w:rsidP="00B61585">
      <w:pPr>
        <w:ind w:left="567" w:hanging="567"/>
        <w:rPr>
          <w:szCs w:val="22"/>
          <w:lang w:val="en-GB"/>
        </w:rPr>
      </w:pPr>
      <w:r w:rsidRPr="00E06A78">
        <w:rPr>
          <w:rFonts w:ascii="Symbol" w:hAnsi="Symbol"/>
          <w:lang w:val="en-GB"/>
        </w:rPr>
        <w:sym w:font="Symbol" w:char="F0B7"/>
      </w:r>
      <w:r w:rsidRPr="00C50A4F">
        <w:rPr>
          <w:szCs w:val="22"/>
          <w:lang w:val="en-GB"/>
        </w:rPr>
        <w:tab/>
        <w:t>Keep this leaflet. You may need to read it again.</w:t>
      </w:r>
    </w:p>
    <w:p w14:paraId="7C332656" w14:textId="77777777" w:rsidR="00B61585" w:rsidRPr="00C50A4F" w:rsidRDefault="00016F29" w:rsidP="00B61585">
      <w:pPr>
        <w:ind w:left="567" w:hanging="567"/>
        <w:rPr>
          <w:szCs w:val="22"/>
          <w:lang w:val="en-GB"/>
        </w:rPr>
      </w:pPr>
      <w:r w:rsidRPr="00E06A78">
        <w:rPr>
          <w:rFonts w:ascii="Symbol" w:hAnsi="Symbol"/>
          <w:lang w:val="en-GB"/>
        </w:rPr>
        <w:sym w:font="Symbol" w:char="F0B7"/>
      </w:r>
      <w:r w:rsidRPr="00C50A4F">
        <w:rPr>
          <w:szCs w:val="22"/>
          <w:lang w:val="en-GB"/>
        </w:rPr>
        <w:tab/>
        <w:t>If you have any further questions, ask your doctor, pharmacist or nurse.</w:t>
      </w:r>
    </w:p>
    <w:p w14:paraId="7C332657" w14:textId="77777777" w:rsidR="00B61585" w:rsidRPr="00C50A4F" w:rsidRDefault="00016F29" w:rsidP="00B61585">
      <w:pPr>
        <w:ind w:left="567" w:hanging="567"/>
        <w:rPr>
          <w:szCs w:val="22"/>
          <w:lang w:val="en-GB"/>
        </w:rPr>
      </w:pPr>
      <w:r w:rsidRPr="00E06A78">
        <w:rPr>
          <w:rFonts w:ascii="Symbol" w:hAnsi="Symbol"/>
          <w:b/>
          <w:lang w:val="en-GB"/>
        </w:rPr>
        <w:sym w:font="Symbol" w:char="F0B7"/>
      </w:r>
      <w:r w:rsidRPr="00C50A4F">
        <w:rPr>
          <w:b/>
          <w:szCs w:val="22"/>
          <w:lang w:val="en-GB"/>
        </w:rPr>
        <w:tab/>
      </w:r>
      <w:r w:rsidRPr="00C50A4F">
        <w:rPr>
          <w:szCs w:val="22"/>
          <w:lang w:val="en-GB"/>
        </w:rPr>
        <w:t>If you get any side effects talk to your doctor, pharmacist or nurse. This includes any possible side effects not listed in this leaflet. See section 4.</w:t>
      </w:r>
    </w:p>
    <w:p w14:paraId="7C332658" w14:textId="77777777" w:rsidR="00B61585" w:rsidRPr="00C50A4F" w:rsidRDefault="00B61585" w:rsidP="00B61585">
      <w:pPr>
        <w:rPr>
          <w:bCs/>
          <w:szCs w:val="22"/>
          <w:u w:val="single"/>
          <w:lang w:val="en-GB"/>
        </w:rPr>
      </w:pPr>
    </w:p>
    <w:p w14:paraId="7C332659" w14:textId="77777777" w:rsidR="00B61585" w:rsidRPr="00C50A4F" w:rsidRDefault="00016F29" w:rsidP="00B61585">
      <w:pPr>
        <w:outlineLvl w:val="0"/>
        <w:rPr>
          <w:szCs w:val="22"/>
          <w:lang w:val="en-GB"/>
        </w:rPr>
      </w:pPr>
      <w:r w:rsidRPr="00C50A4F">
        <w:rPr>
          <w:b/>
          <w:szCs w:val="22"/>
          <w:lang w:val="en-GB"/>
        </w:rPr>
        <w:t>What is in this leaflet:</w:t>
      </w:r>
    </w:p>
    <w:p w14:paraId="7C33265A" w14:textId="77777777" w:rsidR="00B61585" w:rsidRPr="00C50A4F" w:rsidRDefault="00016F29" w:rsidP="00B61585">
      <w:pPr>
        <w:ind w:left="567" w:hanging="567"/>
        <w:rPr>
          <w:szCs w:val="22"/>
          <w:lang w:val="en-GB"/>
        </w:rPr>
      </w:pPr>
      <w:r w:rsidRPr="00C50A4F">
        <w:rPr>
          <w:szCs w:val="22"/>
          <w:lang w:val="en-GB"/>
        </w:rPr>
        <w:t>1.</w:t>
      </w:r>
      <w:r w:rsidRPr="00C50A4F">
        <w:rPr>
          <w:szCs w:val="22"/>
          <w:lang w:val="en-GB"/>
        </w:rPr>
        <w:tab/>
        <w:t>What MabThera is and what it is used for</w:t>
      </w:r>
    </w:p>
    <w:p w14:paraId="7C33265B" w14:textId="77777777" w:rsidR="00B61585" w:rsidRPr="00C50A4F" w:rsidRDefault="00016F29" w:rsidP="00B61585">
      <w:pPr>
        <w:ind w:left="567" w:hanging="567"/>
        <w:rPr>
          <w:szCs w:val="22"/>
          <w:lang w:val="en-GB"/>
        </w:rPr>
      </w:pPr>
      <w:r w:rsidRPr="00C50A4F">
        <w:rPr>
          <w:szCs w:val="22"/>
          <w:lang w:val="en-GB"/>
        </w:rPr>
        <w:t>2.</w:t>
      </w:r>
      <w:r w:rsidRPr="00C50A4F">
        <w:rPr>
          <w:szCs w:val="22"/>
          <w:lang w:val="en-GB"/>
        </w:rPr>
        <w:tab/>
        <w:t>What you need to know before you use MabThera</w:t>
      </w:r>
    </w:p>
    <w:p w14:paraId="7C33265C" w14:textId="77777777" w:rsidR="00B61585" w:rsidRPr="00C50A4F" w:rsidRDefault="00016F29" w:rsidP="00B61585">
      <w:pPr>
        <w:ind w:left="567" w:hanging="567"/>
        <w:rPr>
          <w:szCs w:val="22"/>
          <w:lang w:val="en-GB"/>
        </w:rPr>
      </w:pPr>
      <w:r w:rsidRPr="00C50A4F">
        <w:rPr>
          <w:szCs w:val="22"/>
          <w:lang w:val="en-GB"/>
        </w:rPr>
        <w:t>3.</w:t>
      </w:r>
      <w:r w:rsidRPr="00C50A4F">
        <w:rPr>
          <w:szCs w:val="22"/>
          <w:lang w:val="en-GB"/>
        </w:rPr>
        <w:tab/>
        <w:t>How to use MabThera</w:t>
      </w:r>
    </w:p>
    <w:p w14:paraId="7C33265D" w14:textId="77777777" w:rsidR="00B61585" w:rsidRPr="00C50A4F" w:rsidRDefault="00016F29" w:rsidP="00B61585">
      <w:pPr>
        <w:ind w:left="567" w:hanging="567"/>
        <w:rPr>
          <w:szCs w:val="22"/>
          <w:lang w:val="en-GB"/>
        </w:rPr>
      </w:pPr>
      <w:r w:rsidRPr="00C50A4F">
        <w:rPr>
          <w:szCs w:val="22"/>
          <w:lang w:val="en-GB"/>
        </w:rPr>
        <w:t>4.</w:t>
      </w:r>
      <w:r w:rsidRPr="00C50A4F">
        <w:rPr>
          <w:szCs w:val="22"/>
          <w:lang w:val="en-GB"/>
        </w:rPr>
        <w:tab/>
        <w:t>Possible side effects</w:t>
      </w:r>
    </w:p>
    <w:p w14:paraId="7C33265E" w14:textId="77777777" w:rsidR="00B61585" w:rsidRPr="00C50A4F" w:rsidRDefault="00016F29" w:rsidP="00B61585">
      <w:pPr>
        <w:ind w:left="567" w:hanging="567"/>
        <w:rPr>
          <w:szCs w:val="22"/>
          <w:lang w:val="en-GB"/>
        </w:rPr>
      </w:pPr>
      <w:r w:rsidRPr="00C50A4F">
        <w:rPr>
          <w:szCs w:val="22"/>
          <w:lang w:val="en-GB"/>
        </w:rPr>
        <w:t>5.</w:t>
      </w:r>
      <w:r w:rsidRPr="00C50A4F">
        <w:rPr>
          <w:szCs w:val="22"/>
          <w:lang w:val="en-GB"/>
        </w:rPr>
        <w:tab/>
        <w:t>How to store MabThera</w:t>
      </w:r>
    </w:p>
    <w:p w14:paraId="7C33265F" w14:textId="77777777" w:rsidR="00B61585" w:rsidRPr="00C50A4F" w:rsidRDefault="00016F29" w:rsidP="00B61585">
      <w:pPr>
        <w:ind w:left="567" w:hanging="567"/>
        <w:rPr>
          <w:szCs w:val="22"/>
          <w:lang w:val="en-GB"/>
        </w:rPr>
      </w:pPr>
      <w:r w:rsidRPr="00C50A4F">
        <w:rPr>
          <w:szCs w:val="22"/>
          <w:lang w:val="en-GB"/>
        </w:rPr>
        <w:t>6.</w:t>
      </w:r>
      <w:r w:rsidRPr="00C50A4F">
        <w:rPr>
          <w:szCs w:val="22"/>
          <w:lang w:val="en-GB"/>
        </w:rPr>
        <w:tab/>
        <w:t>Contents of the pack and other information</w:t>
      </w:r>
    </w:p>
    <w:p w14:paraId="7C332660" w14:textId="77777777" w:rsidR="00B61585" w:rsidRPr="00C50A4F" w:rsidRDefault="00B61585" w:rsidP="00B61585">
      <w:pPr>
        <w:rPr>
          <w:szCs w:val="22"/>
          <w:lang w:val="en-GB"/>
        </w:rPr>
      </w:pPr>
    </w:p>
    <w:p w14:paraId="7C332661" w14:textId="77777777" w:rsidR="00B61585" w:rsidRPr="00C50A4F" w:rsidRDefault="00B61585" w:rsidP="00B61585">
      <w:pPr>
        <w:rPr>
          <w:szCs w:val="22"/>
          <w:lang w:val="en-GB"/>
        </w:rPr>
      </w:pPr>
    </w:p>
    <w:p w14:paraId="7C332662" w14:textId="77777777" w:rsidR="00B61585" w:rsidRPr="00C50A4F" w:rsidRDefault="00016F29" w:rsidP="00B61585">
      <w:pPr>
        <w:ind w:left="567" w:hanging="567"/>
        <w:rPr>
          <w:szCs w:val="22"/>
          <w:lang w:val="en-GB"/>
        </w:rPr>
      </w:pPr>
      <w:r w:rsidRPr="00C50A4F">
        <w:rPr>
          <w:b/>
          <w:szCs w:val="22"/>
          <w:lang w:val="en-GB"/>
        </w:rPr>
        <w:t>1.</w:t>
      </w:r>
      <w:r w:rsidRPr="00C50A4F">
        <w:rPr>
          <w:b/>
          <w:szCs w:val="22"/>
          <w:lang w:val="en-GB"/>
        </w:rPr>
        <w:tab/>
        <w:t>What MabThera is and what it is used for</w:t>
      </w:r>
    </w:p>
    <w:p w14:paraId="7C332663" w14:textId="77777777" w:rsidR="00B61585" w:rsidRPr="00C50A4F" w:rsidRDefault="00B61585" w:rsidP="00B61585">
      <w:pPr>
        <w:rPr>
          <w:szCs w:val="22"/>
          <w:lang w:val="en-GB"/>
        </w:rPr>
      </w:pPr>
    </w:p>
    <w:p w14:paraId="7C332664" w14:textId="77777777" w:rsidR="00B61585" w:rsidRPr="00B0192B" w:rsidRDefault="00016F29" w:rsidP="00B61585">
      <w:pPr>
        <w:rPr>
          <w:b/>
          <w:szCs w:val="22"/>
          <w:lang w:val="en-GB"/>
        </w:rPr>
      </w:pPr>
      <w:r w:rsidRPr="00B0192B">
        <w:rPr>
          <w:b/>
          <w:szCs w:val="22"/>
          <w:lang w:val="en-GB"/>
        </w:rPr>
        <w:t>What MabThera is</w:t>
      </w:r>
    </w:p>
    <w:p w14:paraId="7C332665" w14:textId="77777777" w:rsidR="00B61585" w:rsidRPr="00461E33" w:rsidRDefault="00016F29" w:rsidP="00B61585">
      <w:pPr>
        <w:rPr>
          <w:szCs w:val="22"/>
          <w:lang w:val="en-GB"/>
        </w:rPr>
      </w:pPr>
      <w:r w:rsidRPr="00461E33">
        <w:rPr>
          <w:szCs w:val="22"/>
          <w:lang w:val="en-GB"/>
        </w:rPr>
        <w:t>MabThera contains the active substance “rituximab”. This is a type of protein called a “monoclonal antibody”. It sticks to the surface of a type of white blood cell called “B</w:t>
      </w:r>
      <w:r w:rsidR="000A6DDA" w:rsidRPr="00461E33">
        <w:rPr>
          <w:szCs w:val="22"/>
          <w:lang w:val="en-GB"/>
        </w:rPr>
        <w:noBreakHyphen/>
      </w:r>
      <w:r w:rsidRPr="00461E33">
        <w:rPr>
          <w:szCs w:val="22"/>
          <w:lang w:val="en-GB"/>
        </w:rPr>
        <w:t>Lymphocyte”. When rituximab sticks to the surface of this cell, the cell dies.</w:t>
      </w:r>
    </w:p>
    <w:p w14:paraId="7C332666" w14:textId="77777777" w:rsidR="00151941" w:rsidRDefault="00151941" w:rsidP="00B61585">
      <w:pPr>
        <w:rPr>
          <w:b/>
          <w:szCs w:val="22"/>
          <w:lang w:val="en-GB"/>
        </w:rPr>
      </w:pPr>
    </w:p>
    <w:p w14:paraId="7C332667" w14:textId="77777777" w:rsidR="00B61585" w:rsidRPr="00C50A4F" w:rsidRDefault="00016F29" w:rsidP="00B61585">
      <w:pPr>
        <w:rPr>
          <w:szCs w:val="22"/>
          <w:lang w:val="en-GB"/>
        </w:rPr>
      </w:pPr>
      <w:r w:rsidRPr="003C313A">
        <w:rPr>
          <w:b/>
          <w:szCs w:val="22"/>
          <w:lang w:val="en-GB"/>
        </w:rPr>
        <w:t>What MabThera is used for</w:t>
      </w:r>
    </w:p>
    <w:p w14:paraId="7C332668" w14:textId="77777777" w:rsidR="00B61585" w:rsidRPr="00F638AF" w:rsidRDefault="00016F29" w:rsidP="00B61585">
      <w:pPr>
        <w:rPr>
          <w:szCs w:val="22"/>
          <w:lang w:val="en-GB"/>
        </w:rPr>
      </w:pPr>
      <w:r w:rsidRPr="00C50A4F">
        <w:rPr>
          <w:szCs w:val="22"/>
          <w:lang w:val="en-GB"/>
        </w:rPr>
        <w:t>MabThera may be used for the treatment of several different conditions</w:t>
      </w:r>
      <w:r w:rsidRPr="00C50A4F">
        <w:rPr>
          <w:szCs w:val="22"/>
          <w:lang w:val="en-GB" w:eastAsia="en-US"/>
        </w:rPr>
        <w:t xml:space="preserve"> </w:t>
      </w:r>
      <w:r w:rsidRPr="003C313A">
        <w:rPr>
          <w:szCs w:val="22"/>
          <w:lang w:val="en-GB" w:eastAsia="en-US"/>
        </w:rPr>
        <w:t xml:space="preserve">in </w:t>
      </w:r>
      <w:r w:rsidRPr="00F638AF">
        <w:rPr>
          <w:szCs w:val="22"/>
          <w:lang w:val="en-GB" w:eastAsia="en-US"/>
        </w:rPr>
        <w:t>adults</w:t>
      </w:r>
      <w:r w:rsidR="000646B4" w:rsidRPr="00F638AF">
        <w:rPr>
          <w:szCs w:val="22"/>
          <w:lang w:val="en-GB" w:eastAsia="en-US"/>
        </w:rPr>
        <w:t xml:space="preserve"> and children</w:t>
      </w:r>
      <w:r w:rsidRPr="00F638AF">
        <w:rPr>
          <w:szCs w:val="22"/>
          <w:lang w:val="en-GB"/>
        </w:rPr>
        <w:t>. Your doctor may prescribe MabThera for the treatment of:</w:t>
      </w:r>
    </w:p>
    <w:p w14:paraId="7C332669" w14:textId="77777777" w:rsidR="00B61585" w:rsidRPr="00F638AF" w:rsidRDefault="00B61585" w:rsidP="00B61585">
      <w:pPr>
        <w:rPr>
          <w:b/>
          <w:szCs w:val="22"/>
          <w:lang w:val="en-GB"/>
        </w:rPr>
      </w:pPr>
    </w:p>
    <w:p w14:paraId="7C33266A" w14:textId="77777777" w:rsidR="00B61585" w:rsidRPr="00F638AF" w:rsidRDefault="00016F29" w:rsidP="00B61585">
      <w:pPr>
        <w:rPr>
          <w:szCs w:val="22"/>
          <w:lang w:val="en-GB"/>
        </w:rPr>
      </w:pPr>
      <w:r w:rsidRPr="00F638AF">
        <w:rPr>
          <w:b/>
          <w:szCs w:val="22"/>
          <w:lang w:val="en-GB"/>
        </w:rPr>
        <w:t>a)</w:t>
      </w:r>
      <w:r w:rsidRPr="00F638AF">
        <w:rPr>
          <w:b/>
          <w:szCs w:val="22"/>
          <w:lang w:val="en-GB"/>
        </w:rPr>
        <w:tab/>
        <w:t>Non</w:t>
      </w:r>
      <w:r w:rsidR="000A6DDA" w:rsidRPr="00F638AF">
        <w:rPr>
          <w:b/>
          <w:szCs w:val="22"/>
          <w:lang w:val="en-GB"/>
        </w:rPr>
        <w:noBreakHyphen/>
      </w:r>
      <w:r w:rsidRPr="00F638AF">
        <w:rPr>
          <w:b/>
          <w:szCs w:val="22"/>
          <w:lang w:val="en-GB"/>
        </w:rPr>
        <w:t>Hodgkin’s Lymphoma</w:t>
      </w:r>
    </w:p>
    <w:p w14:paraId="7C33266B" w14:textId="77777777" w:rsidR="00B61585" w:rsidRPr="00F638AF" w:rsidRDefault="00016F29" w:rsidP="00B61585">
      <w:pPr>
        <w:rPr>
          <w:szCs w:val="22"/>
          <w:lang w:val="en-GB"/>
        </w:rPr>
      </w:pPr>
      <w:r w:rsidRPr="00F638AF">
        <w:rPr>
          <w:szCs w:val="22"/>
          <w:lang w:val="en-GB" w:eastAsia="en-US"/>
        </w:rPr>
        <w:t>This is a disease of the lymph tissue (part of the immune system) that affects a type of white blood cell called B</w:t>
      </w:r>
      <w:r w:rsidR="000A6DDA" w:rsidRPr="00F638AF">
        <w:rPr>
          <w:szCs w:val="22"/>
          <w:lang w:val="en-GB" w:eastAsia="en-US"/>
        </w:rPr>
        <w:noBreakHyphen/>
      </w:r>
      <w:r w:rsidRPr="00F638AF">
        <w:rPr>
          <w:szCs w:val="22"/>
          <w:lang w:val="en-GB" w:eastAsia="en-US"/>
        </w:rPr>
        <w:t>Lymphocytes.</w:t>
      </w:r>
    </w:p>
    <w:p w14:paraId="7C33266C" w14:textId="77777777" w:rsidR="00B61585" w:rsidRPr="00F638AF" w:rsidRDefault="00016F29" w:rsidP="00B61585">
      <w:pPr>
        <w:rPr>
          <w:szCs w:val="22"/>
          <w:lang w:val="en-GB" w:eastAsia="en-US"/>
        </w:rPr>
      </w:pPr>
      <w:r w:rsidRPr="00F638AF">
        <w:rPr>
          <w:szCs w:val="22"/>
          <w:lang w:val="en-GB" w:eastAsia="en-US"/>
        </w:rPr>
        <w:t xml:space="preserve">In adults MabThera can be given alone or with other medicines called “chemotherapy”. </w:t>
      </w:r>
    </w:p>
    <w:p w14:paraId="7C33266D" w14:textId="77777777" w:rsidR="00B61585" w:rsidRPr="00F638AF" w:rsidRDefault="00016F29" w:rsidP="00B61585">
      <w:pPr>
        <w:rPr>
          <w:szCs w:val="22"/>
          <w:lang w:val="en-GB" w:eastAsia="en-US"/>
        </w:rPr>
      </w:pPr>
      <w:r w:rsidRPr="00F638AF">
        <w:rPr>
          <w:szCs w:val="22"/>
          <w:lang w:val="en-GB" w:eastAsia="en-US"/>
        </w:rPr>
        <w:t xml:space="preserve">In </w:t>
      </w:r>
      <w:r w:rsidR="000646B4" w:rsidRPr="00F638AF">
        <w:rPr>
          <w:szCs w:val="22"/>
          <w:lang w:val="en-GB" w:eastAsia="en-US"/>
        </w:rPr>
        <w:t xml:space="preserve">adult </w:t>
      </w:r>
      <w:r w:rsidRPr="00F638AF">
        <w:rPr>
          <w:szCs w:val="22"/>
          <w:lang w:val="en-GB" w:eastAsia="en-US"/>
        </w:rPr>
        <w:t>patients where the treatment is working, MabThera may be used as a maintenance treatment for 2 years after completing the initial treatment.</w:t>
      </w:r>
    </w:p>
    <w:p w14:paraId="7C33266E" w14:textId="77777777" w:rsidR="000646B4" w:rsidRPr="00F638AF" w:rsidRDefault="00016F29" w:rsidP="00B61585">
      <w:r w:rsidRPr="00F638AF">
        <w:t>In children and adolescents, MabThera is given in combination with “chemotherapy”.</w:t>
      </w:r>
    </w:p>
    <w:p w14:paraId="7C33266F" w14:textId="77777777" w:rsidR="00B61585" w:rsidRPr="00F638AF" w:rsidRDefault="00B61585" w:rsidP="00B61585">
      <w:pPr>
        <w:rPr>
          <w:szCs w:val="22"/>
          <w:lang w:val="en-GB"/>
        </w:rPr>
      </w:pPr>
    </w:p>
    <w:p w14:paraId="7C332670" w14:textId="77777777" w:rsidR="00B61585" w:rsidRPr="00F638AF" w:rsidRDefault="00016F29" w:rsidP="00B61585">
      <w:pPr>
        <w:outlineLvl w:val="0"/>
        <w:rPr>
          <w:b/>
          <w:lang w:val="en-GB"/>
        </w:rPr>
      </w:pPr>
      <w:r w:rsidRPr="00F638AF">
        <w:rPr>
          <w:b/>
          <w:szCs w:val="22"/>
          <w:lang w:val="en-GB"/>
        </w:rPr>
        <w:t>b)</w:t>
      </w:r>
      <w:r w:rsidRPr="00F638AF">
        <w:rPr>
          <w:b/>
          <w:szCs w:val="22"/>
          <w:lang w:val="en-GB"/>
        </w:rPr>
        <w:tab/>
        <w:t>Chronic lymphocytic leukaemia</w:t>
      </w:r>
    </w:p>
    <w:p w14:paraId="7C332671" w14:textId="77777777" w:rsidR="00B61585" w:rsidRPr="00F638AF" w:rsidRDefault="00016F29" w:rsidP="00B61585">
      <w:pPr>
        <w:rPr>
          <w:szCs w:val="22"/>
          <w:lang w:val="en-GB"/>
        </w:rPr>
      </w:pPr>
      <w:r w:rsidRPr="00F638AF">
        <w:rPr>
          <w:szCs w:val="22"/>
          <w:lang w:val="en-GB"/>
        </w:rPr>
        <w:t>Chronic lymphocytic leukaemia (CLL) is the most common form of adult leukaemia.</w:t>
      </w:r>
      <w:r w:rsidRPr="00F638AF">
        <w:rPr>
          <w:lang w:val="en-GB"/>
        </w:rPr>
        <w:t xml:space="preserve"> CLL affects a particular lymphocyte, the B cell, which originates from the bone marrow and develops in the lymph nodes. Patients with CLL have too many abnormal lymphocytes, which accumulate mainly in the bone marrow and blood. </w:t>
      </w:r>
      <w:r w:rsidRPr="00F638AF">
        <w:rPr>
          <w:szCs w:val="22"/>
          <w:lang w:val="en-GB"/>
        </w:rPr>
        <w:t>The proliferation of these abnormal B</w:t>
      </w:r>
      <w:r w:rsidR="000A6DDA" w:rsidRPr="00F638AF">
        <w:rPr>
          <w:szCs w:val="22"/>
          <w:lang w:val="en-GB"/>
        </w:rPr>
        <w:noBreakHyphen/>
      </w:r>
      <w:r w:rsidRPr="00F638AF">
        <w:rPr>
          <w:szCs w:val="22"/>
          <w:lang w:val="en-GB"/>
        </w:rPr>
        <w:t>lymphocytes is the cause of symptoms you may have. MabThera in combination with chemotherapy destroys these cells which are gradually removed from the body by biological processes.</w:t>
      </w:r>
    </w:p>
    <w:p w14:paraId="7C332672" w14:textId="77777777" w:rsidR="00B61585" w:rsidRPr="00F638AF" w:rsidRDefault="00B61585" w:rsidP="00B61585">
      <w:pPr>
        <w:rPr>
          <w:b/>
          <w:szCs w:val="22"/>
          <w:lang w:val="en-GB"/>
        </w:rPr>
      </w:pPr>
    </w:p>
    <w:p w14:paraId="7C332673" w14:textId="77777777" w:rsidR="00B61585" w:rsidRPr="00F638AF" w:rsidRDefault="00016F29" w:rsidP="00B61585">
      <w:pPr>
        <w:rPr>
          <w:b/>
          <w:szCs w:val="22"/>
          <w:lang w:val="en-GB"/>
        </w:rPr>
      </w:pPr>
      <w:r w:rsidRPr="00F638AF">
        <w:rPr>
          <w:b/>
          <w:szCs w:val="22"/>
          <w:lang w:val="en-GB"/>
        </w:rPr>
        <w:t>c)</w:t>
      </w:r>
      <w:r w:rsidRPr="00F638AF">
        <w:rPr>
          <w:b/>
          <w:szCs w:val="22"/>
          <w:lang w:val="en-GB"/>
        </w:rPr>
        <w:tab/>
        <w:t>Rheumatoid arthritis</w:t>
      </w:r>
    </w:p>
    <w:p w14:paraId="7C332674" w14:textId="77777777" w:rsidR="00B61585" w:rsidRPr="00F638AF" w:rsidRDefault="00016F29" w:rsidP="00B61585">
      <w:pPr>
        <w:rPr>
          <w:szCs w:val="22"/>
          <w:lang w:val="en-GB"/>
        </w:rPr>
      </w:pPr>
      <w:r w:rsidRPr="00F638AF">
        <w:rPr>
          <w:szCs w:val="22"/>
          <w:lang w:val="en-GB"/>
        </w:rPr>
        <w:t xml:space="preserve">MabThera is used for the treatment of rheumatoid arthritis. Rheumatoid arthritis is a disease of the joints. B lymphocytes are involved in the cause of some of the symptoms you have. MabThera is used to treat rheumatoid arthritis in people who have already tried some other medicines which have either stopped working, have not worked well enough or have caused side effects. MabThera is usually taken together with another medicine called methotrexate. </w:t>
      </w:r>
    </w:p>
    <w:p w14:paraId="7C332675" w14:textId="77777777" w:rsidR="00B61585" w:rsidRPr="00F638AF" w:rsidRDefault="00B61585" w:rsidP="00B61585">
      <w:pPr>
        <w:rPr>
          <w:szCs w:val="22"/>
          <w:lang w:val="en-GB"/>
        </w:rPr>
      </w:pPr>
    </w:p>
    <w:p w14:paraId="7C332676" w14:textId="77777777" w:rsidR="00B61585" w:rsidRPr="00F638AF" w:rsidRDefault="00016F29" w:rsidP="00B61585">
      <w:pPr>
        <w:rPr>
          <w:szCs w:val="22"/>
          <w:lang w:val="en-GB"/>
        </w:rPr>
      </w:pPr>
      <w:r w:rsidRPr="00F638AF">
        <w:rPr>
          <w:szCs w:val="22"/>
          <w:lang w:val="en-GB"/>
        </w:rPr>
        <w:t>MabThera slows down the damage to your joints caused by rheumatoid arthritis and improves your ability to do normal daily activities.</w:t>
      </w:r>
    </w:p>
    <w:p w14:paraId="7C332677" w14:textId="77777777" w:rsidR="00B61585" w:rsidRPr="00F638AF" w:rsidRDefault="00B61585" w:rsidP="00B61585">
      <w:pPr>
        <w:rPr>
          <w:szCs w:val="22"/>
          <w:lang w:val="en-GB"/>
        </w:rPr>
      </w:pPr>
    </w:p>
    <w:p w14:paraId="7C332678" w14:textId="77777777" w:rsidR="00B61585" w:rsidRPr="00F638AF" w:rsidRDefault="00016F29" w:rsidP="00B61585">
      <w:pPr>
        <w:rPr>
          <w:szCs w:val="22"/>
          <w:lang w:val="en-GB"/>
        </w:rPr>
      </w:pPr>
      <w:r w:rsidRPr="00F638AF">
        <w:rPr>
          <w:szCs w:val="22"/>
          <w:lang w:val="en-GB"/>
        </w:rPr>
        <w:t>The best responses to MabThera are seen in those who have a positive blood test to rheumatoid factor (RF) and/or anti</w:t>
      </w:r>
      <w:r w:rsidR="000A6DDA" w:rsidRPr="00F638AF">
        <w:rPr>
          <w:szCs w:val="22"/>
          <w:lang w:val="en-GB"/>
        </w:rPr>
        <w:noBreakHyphen/>
      </w:r>
      <w:r w:rsidRPr="00F638AF">
        <w:rPr>
          <w:szCs w:val="22"/>
          <w:lang w:val="en-GB"/>
        </w:rPr>
        <w:t>Cyclic Citrullinated Peptide (anti</w:t>
      </w:r>
      <w:r w:rsidR="000A6DDA" w:rsidRPr="00F638AF">
        <w:rPr>
          <w:szCs w:val="22"/>
          <w:lang w:val="en-GB"/>
        </w:rPr>
        <w:noBreakHyphen/>
      </w:r>
      <w:r w:rsidRPr="00F638AF">
        <w:rPr>
          <w:szCs w:val="22"/>
          <w:lang w:val="en-GB"/>
        </w:rPr>
        <w:t>CCP). Both tests are commonly positive in rheumatoid arthritis and aid in confirming the diagnosis.</w:t>
      </w:r>
    </w:p>
    <w:p w14:paraId="7C332679" w14:textId="77777777" w:rsidR="00B61585" w:rsidRPr="00F638AF" w:rsidRDefault="00B61585" w:rsidP="00B61585">
      <w:pPr>
        <w:rPr>
          <w:szCs w:val="22"/>
          <w:lang w:val="en-GB"/>
        </w:rPr>
      </w:pPr>
    </w:p>
    <w:p w14:paraId="7C33267A" w14:textId="77777777" w:rsidR="00B61585" w:rsidRPr="00F638AF" w:rsidRDefault="00016F29" w:rsidP="00B61585">
      <w:pPr>
        <w:rPr>
          <w:b/>
          <w:szCs w:val="22"/>
          <w:lang w:val="en-GB"/>
        </w:rPr>
      </w:pPr>
      <w:r w:rsidRPr="00F638AF">
        <w:rPr>
          <w:b/>
          <w:szCs w:val="22"/>
          <w:lang w:val="en-GB"/>
        </w:rPr>
        <w:t>d)</w:t>
      </w:r>
      <w:r w:rsidRPr="00F638AF">
        <w:rPr>
          <w:b/>
          <w:szCs w:val="22"/>
          <w:lang w:val="en-GB"/>
        </w:rPr>
        <w:tab/>
        <w:t>Granulomatosis with polyangiitis or microscopic polyangiitis</w:t>
      </w:r>
    </w:p>
    <w:p w14:paraId="7C33267B" w14:textId="77777777" w:rsidR="004E269F" w:rsidRPr="00F638AF" w:rsidRDefault="00016F29" w:rsidP="00B61585">
      <w:pPr>
        <w:rPr>
          <w:szCs w:val="22"/>
          <w:lang w:val="en-GB"/>
        </w:rPr>
      </w:pPr>
      <w:r w:rsidRPr="00F638AF">
        <w:rPr>
          <w:szCs w:val="22"/>
          <w:lang w:val="en-GB"/>
        </w:rPr>
        <w:t xml:space="preserve">MabThera is used for </w:t>
      </w:r>
      <w:r w:rsidR="00FF52C9" w:rsidRPr="00F638AF">
        <w:rPr>
          <w:szCs w:val="22"/>
          <w:lang w:val="en-GB"/>
        </w:rPr>
        <w:t>the treat</w:t>
      </w:r>
      <w:r w:rsidR="00030C59" w:rsidRPr="00F638AF">
        <w:rPr>
          <w:szCs w:val="22"/>
          <w:lang w:val="en-GB"/>
        </w:rPr>
        <w:t>ment of</w:t>
      </w:r>
      <w:r w:rsidRPr="00F638AF">
        <w:rPr>
          <w:szCs w:val="22"/>
          <w:lang w:val="en-GB"/>
        </w:rPr>
        <w:t xml:space="preserve"> </w:t>
      </w:r>
      <w:r w:rsidR="00044ADE" w:rsidRPr="00F638AF">
        <w:rPr>
          <w:szCs w:val="22"/>
          <w:lang w:val="en-GB"/>
        </w:rPr>
        <w:t xml:space="preserve">adults and children 2 years of age and older with </w:t>
      </w:r>
      <w:r w:rsidRPr="00F638AF">
        <w:rPr>
          <w:szCs w:val="22"/>
          <w:lang w:val="en-GB"/>
        </w:rPr>
        <w:t>granulomatosis with polyangiitis (formerly called Wegener’s granulomatosis) or microscopic polyangiitis, taken in combination with corticosteroids.</w:t>
      </w:r>
    </w:p>
    <w:p w14:paraId="7C33267C" w14:textId="77777777" w:rsidR="004E269F" w:rsidRPr="00F638AF" w:rsidRDefault="004E269F" w:rsidP="00B61585">
      <w:pPr>
        <w:rPr>
          <w:szCs w:val="22"/>
          <w:lang w:val="en-GB"/>
        </w:rPr>
      </w:pPr>
    </w:p>
    <w:p w14:paraId="7C33267D" w14:textId="77777777" w:rsidR="00B61585" w:rsidRPr="00F638AF" w:rsidRDefault="00016F29" w:rsidP="00B61585">
      <w:pPr>
        <w:rPr>
          <w:szCs w:val="22"/>
          <w:lang w:val="en-GB"/>
        </w:rPr>
      </w:pPr>
      <w:r w:rsidRPr="00F638AF">
        <w:rPr>
          <w:szCs w:val="22"/>
          <w:lang w:val="en-GB"/>
        </w:rPr>
        <w:t>Granulomatosis with polyangiitis and microscopic polyangiitis are two forms of inflammation of the blood vessels which mainly affects the lungs and kidneys, but may affect other organs as well. B lymphocytes are involved in the cause of these conditions.</w:t>
      </w:r>
    </w:p>
    <w:p w14:paraId="7C33267E" w14:textId="77777777" w:rsidR="00151941" w:rsidRPr="00F638AF" w:rsidRDefault="00151941" w:rsidP="00151941">
      <w:pPr>
        <w:rPr>
          <w:b/>
          <w:szCs w:val="22"/>
          <w:lang w:val="en-GB"/>
        </w:rPr>
      </w:pPr>
    </w:p>
    <w:p w14:paraId="7C33267F" w14:textId="77777777" w:rsidR="00151941" w:rsidRPr="00F638AF" w:rsidRDefault="00016F29" w:rsidP="00151941">
      <w:pPr>
        <w:rPr>
          <w:b/>
          <w:szCs w:val="22"/>
          <w:lang w:val="en-GB"/>
        </w:rPr>
      </w:pPr>
      <w:r w:rsidRPr="00F638AF">
        <w:rPr>
          <w:b/>
          <w:szCs w:val="22"/>
          <w:lang w:val="en-GB"/>
        </w:rPr>
        <w:t>e)</w:t>
      </w:r>
      <w:r w:rsidRPr="00F638AF">
        <w:rPr>
          <w:b/>
          <w:szCs w:val="22"/>
          <w:lang w:val="en-GB"/>
        </w:rPr>
        <w:tab/>
        <w:t>Pemphigus vulgaris</w:t>
      </w:r>
    </w:p>
    <w:p w14:paraId="7C332680" w14:textId="77777777" w:rsidR="00151941" w:rsidRPr="00F638AF" w:rsidRDefault="00016F29" w:rsidP="00151941">
      <w:pPr>
        <w:rPr>
          <w:b/>
          <w:szCs w:val="22"/>
          <w:lang w:val="en-GB"/>
        </w:rPr>
      </w:pPr>
      <w:r w:rsidRPr="00F638AF">
        <w:rPr>
          <w:snapToGrid w:val="0"/>
          <w:szCs w:val="22"/>
          <w:lang w:val="en-GB"/>
        </w:rPr>
        <w:t>MabThera is used for the treatment of patients with moderate to severe pemphigus vulgaris. Pemphigus vulgaris is an autoimmune condition that causes painful blisters on the skin and lining of the mouth, nose, throat and genitals</w:t>
      </w:r>
      <w:r w:rsidRPr="00F638AF">
        <w:t>.</w:t>
      </w:r>
    </w:p>
    <w:p w14:paraId="7C332681" w14:textId="77777777" w:rsidR="00B61585" w:rsidRPr="00F638AF" w:rsidRDefault="00B61585" w:rsidP="00B61585">
      <w:pPr>
        <w:rPr>
          <w:szCs w:val="22"/>
          <w:lang w:val="en-GB"/>
        </w:rPr>
      </w:pPr>
    </w:p>
    <w:p w14:paraId="7C332682" w14:textId="77777777" w:rsidR="00B61585" w:rsidRPr="00F638AF" w:rsidRDefault="00B61585" w:rsidP="00B61585">
      <w:pPr>
        <w:rPr>
          <w:szCs w:val="22"/>
          <w:lang w:val="en-GB"/>
        </w:rPr>
      </w:pPr>
    </w:p>
    <w:p w14:paraId="7C332683" w14:textId="77777777" w:rsidR="00B61585" w:rsidRPr="00F638AF" w:rsidRDefault="00016F29" w:rsidP="00B61585">
      <w:pPr>
        <w:ind w:left="567" w:hanging="567"/>
        <w:rPr>
          <w:szCs w:val="22"/>
          <w:lang w:val="en-GB"/>
        </w:rPr>
      </w:pPr>
      <w:r w:rsidRPr="00F638AF">
        <w:rPr>
          <w:b/>
          <w:szCs w:val="22"/>
          <w:lang w:val="en-GB"/>
        </w:rPr>
        <w:t>2.</w:t>
      </w:r>
      <w:r w:rsidRPr="00F638AF">
        <w:rPr>
          <w:b/>
          <w:szCs w:val="22"/>
          <w:lang w:val="en-GB"/>
        </w:rPr>
        <w:tab/>
        <w:t>What you need to know before you use MabThera</w:t>
      </w:r>
    </w:p>
    <w:p w14:paraId="7C332684" w14:textId="77777777" w:rsidR="00B61585" w:rsidRPr="00F638AF" w:rsidRDefault="00B61585" w:rsidP="00B61585">
      <w:pPr>
        <w:rPr>
          <w:szCs w:val="22"/>
          <w:lang w:val="en-GB"/>
        </w:rPr>
      </w:pPr>
    </w:p>
    <w:p w14:paraId="7C332685" w14:textId="77777777" w:rsidR="00B61585" w:rsidRPr="00F638AF" w:rsidRDefault="00016F29" w:rsidP="00B61585">
      <w:pPr>
        <w:outlineLvl w:val="0"/>
        <w:rPr>
          <w:szCs w:val="22"/>
          <w:lang w:val="en-GB"/>
        </w:rPr>
      </w:pPr>
      <w:r w:rsidRPr="00F638AF">
        <w:rPr>
          <w:b/>
          <w:szCs w:val="22"/>
          <w:lang w:val="en-GB"/>
        </w:rPr>
        <w:t xml:space="preserve">Do not take MabThera </w:t>
      </w:r>
      <w:r w:rsidRPr="00F638AF">
        <w:rPr>
          <w:b/>
          <w:szCs w:val="22"/>
          <w:lang w:val="en-GB" w:eastAsia="en-US"/>
        </w:rPr>
        <w:t>if:</w:t>
      </w:r>
    </w:p>
    <w:p w14:paraId="7C332686" w14:textId="77777777" w:rsidR="00B61585" w:rsidRPr="00F638AF" w:rsidRDefault="00016F29" w:rsidP="00B61585">
      <w:pPr>
        <w:ind w:left="567" w:hanging="567"/>
        <w:rPr>
          <w:szCs w:val="22"/>
          <w:lang w:val="en-GB"/>
        </w:rPr>
      </w:pPr>
      <w:r w:rsidRPr="00550F18">
        <w:rPr>
          <w:rFonts w:ascii="Symbol" w:hAnsi="Symbol"/>
          <w:lang w:val="en-GB"/>
        </w:rPr>
        <w:sym w:font="Symbol" w:char="F0B7"/>
      </w:r>
      <w:r w:rsidRPr="00F638AF">
        <w:rPr>
          <w:szCs w:val="22"/>
          <w:lang w:val="en-GB"/>
        </w:rPr>
        <w:tab/>
        <w:t>you are allergic to rituximab, other proteins which are like rituximab, or any of the other ingredients of this medicine (listed in section 6)</w:t>
      </w:r>
    </w:p>
    <w:p w14:paraId="7C332687" w14:textId="77777777" w:rsidR="00B61585" w:rsidRPr="00F638AF" w:rsidRDefault="00016F29" w:rsidP="00B61585">
      <w:pPr>
        <w:ind w:left="567" w:hanging="567"/>
        <w:rPr>
          <w:szCs w:val="22"/>
          <w:lang w:val="en-GB"/>
        </w:rPr>
      </w:pPr>
      <w:r w:rsidRPr="00550F18">
        <w:rPr>
          <w:rFonts w:ascii="Symbol" w:hAnsi="Symbol"/>
          <w:lang w:val="en-GB"/>
        </w:rPr>
        <w:sym w:font="Symbol" w:char="F0B7"/>
      </w:r>
      <w:r w:rsidRPr="00F638AF">
        <w:rPr>
          <w:szCs w:val="22"/>
          <w:lang w:val="en-GB"/>
        </w:rPr>
        <w:tab/>
        <w:t xml:space="preserve">you have a severe active infection at the moment </w:t>
      </w:r>
    </w:p>
    <w:p w14:paraId="7C332688" w14:textId="77777777" w:rsidR="00B61585" w:rsidRPr="00F638AF" w:rsidRDefault="00016F29" w:rsidP="00B61585">
      <w:pPr>
        <w:rPr>
          <w:szCs w:val="22"/>
          <w:lang w:val="en-GB"/>
        </w:rPr>
      </w:pPr>
      <w:r w:rsidRPr="00550F18">
        <w:rPr>
          <w:rFonts w:ascii="Symbol" w:hAnsi="Symbol"/>
          <w:lang w:val="en-GB"/>
        </w:rPr>
        <w:sym w:font="Symbol" w:char="F0B7"/>
      </w:r>
      <w:r w:rsidRPr="00F638AF">
        <w:rPr>
          <w:szCs w:val="22"/>
          <w:lang w:val="en-GB"/>
        </w:rPr>
        <w:tab/>
        <w:t>you have a weak immune system.</w:t>
      </w:r>
    </w:p>
    <w:p w14:paraId="7C332689" w14:textId="77777777" w:rsidR="00B61585" w:rsidRPr="00F638AF" w:rsidRDefault="00016F29" w:rsidP="00B61585">
      <w:pPr>
        <w:tabs>
          <w:tab w:val="left" w:pos="567"/>
        </w:tabs>
        <w:ind w:left="567" w:hanging="567"/>
        <w:rPr>
          <w:szCs w:val="22"/>
          <w:lang w:val="en-GB"/>
        </w:rPr>
      </w:pPr>
      <w:r w:rsidRPr="00550F18">
        <w:rPr>
          <w:rFonts w:ascii="Symbol" w:hAnsi="Symbol"/>
          <w:lang w:val="en-GB"/>
        </w:rPr>
        <w:sym w:font="Symbol" w:char="F0B7"/>
      </w:r>
      <w:r w:rsidRPr="00F638AF">
        <w:rPr>
          <w:szCs w:val="22"/>
          <w:lang w:val="en-GB"/>
        </w:rPr>
        <w:tab/>
        <w:t>you have severe heart failure or severe uncontrolled heart disease and have rheumatoid arthritis, granulomatosis with polyangiitis</w:t>
      </w:r>
      <w:r w:rsidR="00151941" w:rsidRPr="00F638AF">
        <w:rPr>
          <w:szCs w:val="22"/>
          <w:lang w:val="en-GB"/>
        </w:rPr>
        <w:t>,</w:t>
      </w:r>
      <w:r w:rsidRPr="00F638AF">
        <w:rPr>
          <w:szCs w:val="22"/>
          <w:lang w:val="en-GB"/>
        </w:rPr>
        <w:t xml:space="preserve"> microscopic polyangiitis</w:t>
      </w:r>
      <w:r w:rsidR="00151941" w:rsidRPr="00F638AF">
        <w:rPr>
          <w:szCs w:val="22"/>
          <w:lang w:val="en-GB"/>
        </w:rPr>
        <w:t xml:space="preserve"> or pemphigus vulgaris</w:t>
      </w:r>
      <w:r w:rsidRPr="00F638AF">
        <w:rPr>
          <w:szCs w:val="22"/>
          <w:lang w:val="en-GB"/>
        </w:rPr>
        <w:t>.</w:t>
      </w:r>
    </w:p>
    <w:p w14:paraId="7C33268A" w14:textId="77777777" w:rsidR="00B61585" w:rsidRPr="00F638AF" w:rsidRDefault="00B61585" w:rsidP="00B61585">
      <w:pPr>
        <w:ind w:left="567" w:hanging="567"/>
        <w:rPr>
          <w:szCs w:val="22"/>
          <w:lang w:val="en-GB"/>
        </w:rPr>
      </w:pPr>
    </w:p>
    <w:p w14:paraId="7C33268B" w14:textId="77777777" w:rsidR="00B61585" w:rsidRPr="00F638AF" w:rsidRDefault="00016F29" w:rsidP="00B61585">
      <w:pPr>
        <w:rPr>
          <w:szCs w:val="22"/>
          <w:lang w:val="en-GB"/>
        </w:rPr>
      </w:pPr>
      <w:r w:rsidRPr="00F638AF">
        <w:rPr>
          <w:szCs w:val="22"/>
          <w:lang w:val="en-GB" w:eastAsia="en-US"/>
        </w:rPr>
        <w:t>Do not have MabThera if any of the above apply to you. If you are not sure, talk to your doctor, pharmacist or nurse before you are given MabThera.</w:t>
      </w:r>
    </w:p>
    <w:p w14:paraId="7C33268C" w14:textId="77777777" w:rsidR="00B61585" w:rsidRPr="00F638AF" w:rsidRDefault="00B61585" w:rsidP="00B61585">
      <w:pPr>
        <w:rPr>
          <w:szCs w:val="22"/>
          <w:lang w:val="en-GB"/>
        </w:rPr>
      </w:pPr>
    </w:p>
    <w:p w14:paraId="7C33268D" w14:textId="77777777" w:rsidR="00B61585" w:rsidRPr="00F638AF" w:rsidRDefault="00016F29" w:rsidP="00B61585">
      <w:pPr>
        <w:tabs>
          <w:tab w:val="left" w:pos="567"/>
        </w:tabs>
        <w:ind w:left="567" w:hanging="567"/>
        <w:outlineLvl w:val="0"/>
        <w:rPr>
          <w:b/>
          <w:szCs w:val="22"/>
          <w:lang w:val="en-GB" w:eastAsia="en-US"/>
        </w:rPr>
      </w:pPr>
      <w:r w:rsidRPr="00F638AF">
        <w:rPr>
          <w:b/>
          <w:szCs w:val="22"/>
          <w:lang w:val="en-GB" w:eastAsia="en-US"/>
        </w:rPr>
        <w:t>Warnings and precautions</w:t>
      </w:r>
    </w:p>
    <w:p w14:paraId="7C33268E" w14:textId="77777777" w:rsidR="00B61585" w:rsidRPr="00F638AF" w:rsidRDefault="00016F29" w:rsidP="00B61585">
      <w:pPr>
        <w:tabs>
          <w:tab w:val="left" w:pos="567"/>
        </w:tabs>
        <w:ind w:left="567" w:hanging="567"/>
        <w:outlineLvl w:val="0"/>
        <w:rPr>
          <w:szCs w:val="22"/>
          <w:lang w:val="en-GB" w:eastAsia="en-US"/>
        </w:rPr>
      </w:pPr>
      <w:r w:rsidRPr="00F638AF">
        <w:rPr>
          <w:szCs w:val="22"/>
          <w:lang w:val="en-GB" w:eastAsia="en-US"/>
        </w:rPr>
        <w:t>Talk to your doctor, pharmacist or nurse before you are given MabThera if:</w:t>
      </w:r>
    </w:p>
    <w:p w14:paraId="7C33268F" w14:textId="77777777" w:rsidR="00B61585" w:rsidRPr="00F638AF" w:rsidRDefault="00B61585" w:rsidP="00B61585">
      <w:pPr>
        <w:ind w:left="567" w:hanging="567"/>
        <w:outlineLvl w:val="0"/>
        <w:rPr>
          <w:b/>
          <w:szCs w:val="22"/>
          <w:lang w:val="en-GB"/>
        </w:rPr>
      </w:pPr>
    </w:p>
    <w:p w14:paraId="7C332690" w14:textId="77777777" w:rsidR="00B61585" w:rsidRPr="00F638AF" w:rsidRDefault="00016F29" w:rsidP="00B61585">
      <w:pPr>
        <w:ind w:left="567" w:hanging="567"/>
        <w:rPr>
          <w:szCs w:val="22"/>
          <w:lang w:val="en-GB"/>
        </w:rPr>
      </w:pPr>
      <w:r w:rsidRPr="00550F18">
        <w:rPr>
          <w:rFonts w:ascii="Symbol" w:hAnsi="Symbol"/>
          <w:lang w:val="en-GB"/>
        </w:rPr>
        <w:sym w:font="Symbol" w:char="F0B7"/>
      </w:r>
      <w:r w:rsidRPr="00F638AF">
        <w:rPr>
          <w:szCs w:val="22"/>
          <w:lang w:val="en-GB"/>
        </w:rPr>
        <w:tab/>
      </w:r>
      <w:r w:rsidRPr="00F638AF">
        <w:rPr>
          <w:szCs w:val="22"/>
          <w:lang w:val="en-GB" w:eastAsia="en-US"/>
        </w:rPr>
        <w:t>you have ever had or might now have a hepatitis infection. This is because in a few cases, MabThera could cause hepatitis B to become active again, which can be fatal in very rare cases. Patients who have ever had hepatitis B infection will be carefully checked by their doctor for signs of this infection</w:t>
      </w:r>
    </w:p>
    <w:p w14:paraId="7C332691" w14:textId="77777777" w:rsidR="00B61585" w:rsidRPr="00F638AF" w:rsidRDefault="00016F29" w:rsidP="00B61585">
      <w:pPr>
        <w:tabs>
          <w:tab w:val="left" w:pos="567"/>
        </w:tabs>
        <w:ind w:left="567" w:hanging="567"/>
        <w:rPr>
          <w:szCs w:val="22"/>
          <w:lang w:val="en-GB" w:eastAsia="en-US"/>
        </w:rPr>
      </w:pPr>
      <w:r w:rsidRPr="00550F18">
        <w:rPr>
          <w:rFonts w:ascii="Symbol" w:hAnsi="Symbol"/>
          <w:lang w:val="en-GB"/>
        </w:rPr>
        <w:sym w:font="Symbol" w:char="F0B7"/>
      </w:r>
      <w:r w:rsidRPr="00F638AF">
        <w:rPr>
          <w:szCs w:val="22"/>
          <w:lang w:val="en-GB"/>
        </w:rPr>
        <w:tab/>
      </w:r>
      <w:r w:rsidRPr="00F638AF">
        <w:rPr>
          <w:szCs w:val="22"/>
          <w:lang w:val="en-GB" w:eastAsia="en-US"/>
        </w:rPr>
        <w:t xml:space="preserve">you have ever had heart problems (such as angina, palpitations or heart failure) or breathing problems. </w:t>
      </w:r>
      <w:r w:rsidRPr="00F638AF">
        <w:rPr>
          <w:szCs w:val="22"/>
          <w:lang w:val="en-GB"/>
        </w:rPr>
        <w:t xml:space="preserve"> </w:t>
      </w:r>
    </w:p>
    <w:p w14:paraId="7C332692" w14:textId="77777777" w:rsidR="00B61585" w:rsidRPr="00F638AF" w:rsidRDefault="00B61585" w:rsidP="00B61585">
      <w:pPr>
        <w:tabs>
          <w:tab w:val="left" w:pos="567"/>
        </w:tabs>
        <w:rPr>
          <w:szCs w:val="22"/>
          <w:lang w:val="en-GB" w:eastAsia="en-US"/>
        </w:rPr>
      </w:pPr>
    </w:p>
    <w:p w14:paraId="7C332693" w14:textId="77777777" w:rsidR="00B61585" w:rsidRPr="00F638AF" w:rsidRDefault="00016F29" w:rsidP="00B61585">
      <w:pPr>
        <w:outlineLvl w:val="0"/>
        <w:rPr>
          <w:szCs w:val="22"/>
          <w:lang w:val="en-GB" w:eastAsia="en-US"/>
        </w:rPr>
      </w:pPr>
      <w:r w:rsidRPr="00F638AF">
        <w:rPr>
          <w:szCs w:val="22"/>
          <w:lang w:val="en-GB" w:eastAsia="en-US"/>
        </w:rPr>
        <w:t>If any of the above apply to you (or you are not sure), talk to your doctor, pharmacist or nurse before you are given MabThera. Your doctor may need to take special care of you during your treatment with MabThera.</w:t>
      </w:r>
    </w:p>
    <w:p w14:paraId="7C332694" w14:textId="77777777" w:rsidR="00B61585" w:rsidRPr="00F638AF" w:rsidRDefault="00B61585" w:rsidP="00B61585">
      <w:pPr>
        <w:rPr>
          <w:szCs w:val="22"/>
          <w:lang w:val="en-GB"/>
        </w:rPr>
      </w:pPr>
    </w:p>
    <w:p w14:paraId="7C332695" w14:textId="77777777" w:rsidR="00B61585" w:rsidRPr="00F638AF" w:rsidRDefault="00016F29" w:rsidP="00B61585">
      <w:pPr>
        <w:outlineLvl w:val="0"/>
        <w:rPr>
          <w:b/>
          <w:szCs w:val="22"/>
          <w:lang w:val="en-GB"/>
        </w:rPr>
      </w:pPr>
      <w:r w:rsidRPr="00F638AF">
        <w:rPr>
          <w:b/>
          <w:szCs w:val="22"/>
          <w:lang w:val="en-GB"/>
        </w:rPr>
        <w:t>If you have rheumatoid arthritis, granulomatosis with polyangiitis</w:t>
      </w:r>
      <w:r w:rsidR="00151941" w:rsidRPr="00F638AF">
        <w:rPr>
          <w:b/>
          <w:szCs w:val="22"/>
          <w:lang w:val="en-GB"/>
        </w:rPr>
        <w:t>,</w:t>
      </w:r>
      <w:r w:rsidRPr="00F638AF">
        <w:rPr>
          <w:b/>
          <w:szCs w:val="22"/>
          <w:lang w:val="en-GB"/>
        </w:rPr>
        <w:t xml:space="preserve"> microscopic polyangiitis </w:t>
      </w:r>
      <w:r w:rsidR="00151941" w:rsidRPr="00F638AF">
        <w:rPr>
          <w:b/>
          <w:szCs w:val="22"/>
          <w:lang w:val="en-GB"/>
        </w:rPr>
        <w:t xml:space="preserve">or pemphigus vulgaris </w:t>
      </w:r>
      <w:r w:rsidRPr="00F638AF">
        <w:rPr>
          <w:b/>
          <w:szCs w:val="22"/>
          <w:lang w:val="en-GB"/>
        </w:rPr>
        <w:t>also tell your doctor</w:t>
      </w:r>
    </w:p>
    <w:p w14:paraId="7C332696" w14:textId="77777777" w:rsidR="00B61585" w:rsidRPr="00F638AF" w:rsidRDefault="00016F29" w:rsidP="00B61585">
      <w:pPr>
        <w:ind w:left="567" w:hanging="567"/>
        <w:rPr>
          <w:szCs w:val="22"/>
          <w:lang w:val="en-GB"/>
        </w:rPr>
      </w:pPr>
      <w:r w:rsidRPr="00550F18">
        <w:rPr>
          <w:rFonts w:ascii="Symbol" w:hAnsi="Symbol"/>
          <w:lang w:val="en-GB"/>
        </w:rPr>
        <w:sym w:font="Symbol" w:char="F0B7"/>
      </w:r>
      <w:r w:rsidRPr="00F638AF">
        <w:rPr>
          <w:szCs w:val="22"/>
          <w:lang w:val="en-GB"/>
        </w:rPr>
        <w:tab/>
        <w:t xml:space="preserve">if you think you may have an infection, even a mild one like a cold. The cells that are affected by MabThera help to fight infection and you should wait until the infection has passed before you are given MabThera. Also please tell your doctor if you had a lot of infections in the past or suffer from severe infections. </w:t>
      </w:r>
    </w:p>
    <w:p w14:paraId="7C332697" w14:textId="77777777" w:rsidR="00B61585" w:rsidRPr="00F638AF" w:rsidRDefault="00016F29" w:rsidP="00E06A78">
      <w:pPr>
        <w:keepNext/>
        <w:keepLines/>
        <w:ind w:left="567" w:hanging="567"/>
        <w:rPr>
          <w:szCs w:val="22"/>
          <w:lang w:val="en-GB"/>
        </w:rPr>
      </w:pPr>
      <w:r w:rsidRPr="00550F18">
        <w:rPr>
          <w:rFonts w:ascii="Symbol" w:hAnsi="Symbol"/>
          <w:lang w:val="en-GB"/>
        </w:rPr>
        <w:sym w:font="Symbol" w:char="F0B7"/>
      </w:r>
      <w:r w:rsidRPr="00F638AF">
        <w:rPr>
          <w:szCs w:val="22"/>
          <w:lang w:val="en-GB"/>
        </w:rPr>
        <w:tab/>
        <w:t>if you think you may need any vaccinations in the near future, including vaccinations needed to travel to other countries. Some vaccines should not be given at the same time as MabThera or in the months after you receive MabThera. Your doctor will check if you should have any vaccines before you receive MabThera.</w:t>
      </w:r>
    </w:p>
    <w:p w14:paraId="7C332698" w14:textId="77777777" w:rsidR="00B61585" w:rsidRPr="00F638AF" w:rsidRDefault="00B61585" w:rsidP="00B61585">
      <w:pPr>
        <w:rPr>
          <w:szCs w:val="22"/>
          <w:lang w:val="en-GB"/>
        </w:rPr>
      </w:pPr>
    </w:p>
    <w:p w14:paraId="7C332699" w14:textId="77777777" w:rsidR="00B61585" w:rsidRPr="00F638AF" w:rsidRDefault="00016F29" w:rsidP="00B61585">
      <w:pPr>
        <w:keepNext/>
        <w:keepLines/>
        <w:tabs>
          <w:tab w:val="left" w:pos="567"/>
        </w:tabs>
        <w:rPr>
          <w:b/>
          <w:szCs w:val="22"/>
          <w:lang w:val="en-GB" w:eastAsia="en-US"/>
        </w:rPr>
      </w:pPr>
      <w:r w:rsidRPr="00F638AF">
        <w:rPr>
          <w:b/>
          <w:szCs w:val="22"/>
          <w:lang w:val="en-GB" w:eastAsia="en-US"/>
        </w:rPr>
        <w:t>Children and adolescents</w:t>
      </w:r>
    </w:p>
    <w:p w14:paraId="7C33269A" w14:textId="77777777" w:rsidR="00005733" w:rsidRPr="00F638AF" w:rsidRDefault="00016F29" w:rsidP="00005733">
      <w:pPr>
        <w:rPr>
          <w:i/>
        </w:rPr>
      </w:pPr>
      <w:r w:rsidRPr="00F638AF">
        <w:rPr>
          <w:i/>
        </w:rPr>
        <w:t>Non-Hodgkin’s lymphoma</w:t>
      </w:r>
    </w:p>
    <w:p w14:paraId="7C33269B" w14:textId="77777777" w:rsidR="00005733" w:rsidRPr="00F638AF" w:rsidRDefault="00016F29" w:rsidP="00005733">
      <w:r w:rsidRPr="00F638AF">
        <w:t>MabThera can be used for the the treatment of children and adolescents, 6 months of age and older, with non-Hodgkin’s lymphoma, specifically CD20 positive diffuse large B-cell lymphoma (DLBCL), Burkitt lymphoma (BL)/Burkitt leukaemia (mature B-cell acute leukaemia) (BAL) or Burkitt-like lymphoma (BLL).</w:t>
      </w:r>
    </w:p>
    <w:p w14:paraId="7C33269C" w14:textId="77777777" w:rsidR="00005733" w:rsidRPr="00F638AF" w:rsidRDefault="00016F29" w:rsidP="00005733">
      <w:pPr>
        <w:keepNext/>
        <w:keepLines/>
        <w:tabs>
          <w:tab w:val="left" w:pos="567"/>
        </w:tabs>
      </w:pPr>
      <w:r w:rsidRPr="00E06A78">
        <w:t>Talk to your doctor, pharmacist or nurse before you are given this medicine if you, or your child, are under 18 years of age</w:t>
      </w:r>
      <w:r w:rsidRPr="00550F18">
        <w:t xml:space="preserve">. </w:t>
      </w:r>
    </w:p>
    <w:p w14:paraId="7C33269D" w14:textId="77777777" w:rsidR="00005733" w:rsidRPr="00F638AF" w:rsidRDefault="00005733" w:rsidP="00005733">
      <w:pPr>
        <w:keepNext/>
        <w:keepLines/>
        <w:tabs>
          <w:tab w:val="left" w:pos="567"/>
        </w:tabs>
        <w:rPr>
          <w:i/>
          <w:szCs w:val="22"/>
          <w:lang w:val="en-GB" w:eastAsia="en-US"/>
        </w:rPr>
      </w:pPr>
    </w:p>
    <w:p w14:paraId="7C33269E" w14:textId="77777777" w:rsidR="00AB40DF" w:rsidRPr="00F638AF" w:rsidRDefault="00016F29" w:rsidP="00B61585">
      <w:pPr>
        <w:keepNext/>
        <w:keepLines/>
        <w:tabs>
          <w:tab w:val="left" w:pos="567"/>
        </w:tabs>
        <w:rPr>
          <w:i/>
          <w:szCs w:val="22"/>
          <w:lang w:val="en-GB" w:eastAsia="en-US"/>
        </w:rPr>
      </w:pPr>
      <w:r w:rsidRPr="00F638AF">
        <w:rPr>
          <w:i/>
          <w:szCs w:val="22"/>
          <w:lang w:val="en-GB" w:eastAsia="en-US"/>
        </w:rPr>
        <w:t>Granulomatosis with polyangiitis or microscopic polyangiitis</w:t>
      </w:r>
    </w:p>
    <w:p w14:paraId="7C33269F" w14:textId="77777777" w:rsidR="004E269F" w:rsidRPr="00F638AF" w:rsidRDefault="00016F29" w:rsidP="004E269F">
      <w:pPr>
        <w:rPr>
          <w:szCs w:val="22"/>
          <w:lang w:val="en-GB" w:eastAsia="en-US"/>
        </w:rPr>
      </w:pPr>
      <w:r w:rsidRPr="00F638AF">
        <w:rPr>
          <w:szCs w:val="22"/>
          <w:lang w:val="en-GB" w:eastAsia="en-US"/>
        </w:rPr>
        <w:t xml:space="preserve">MabThera can be used for treatment of children and adolescents, </w:t>
      </w:r>
      <w:r w:rsidRPr="00F638AF">
        <w:rPr>
          <w:szCs w:val="22"/>
          <w:lang w:val="en-GB"/>
        </w:rPr>
        <w:t xml:space="preserve">2 years of age and older, with granulomatosis with polyangiitis (formerly called Wegener’s granulomatosis) or microscopic polyangiitis. </w:t>
      </w:r>
      <w:r w:rsidRPr="00F638AF">
        <w:rPr>
          <w:szCs w:val="22"/>
          <w:lang w:val="en-GB" w:eastAsia="en-US"/>
        </w:rPr>
        <w:t xml:space="preserve">There is not much information about the use of MabThera in children and </w:t>
      </w:r>
      <w:r w:rsidR="00110DB5">
        <w:rPr>
          <w:szCs w:val="22"/>
          <w:lang w:val="en-GB" w:eastAsia="en-US"/>
        </w:rPr>
        <w:t>adolescent</w:t>
      </w:r>
      <w:r w:rsidR="000320CC">
        <w:rPr>
          <w:szCs w:val="22"/>
          <w:lang w:val="en-GB" w:eastAsia="en-US"/>
        </w:rPr>
        <w:t>s</w:t>
      </w:r>
      <w:r w:rsidRPr="00F638AF">
        <w:rPr>
          <w:szCs w:val="22"/>
          <w:lang w:val="en-GB" w:eastAsia="en-US"/>
        </w:rPr>
        <w:t xml:space="preserve"> with other diseases.</w:t>
      </w:r>
    </w:p>
    <w:p w14:paraId="7C3326A0" w14:textId="77777777" w:rsidR="00386F29" w:rsidRPr="00F638AF" w:rsidRDefault="00386F29" w:rsidP="004E269F">
      <w:pPr>
        <w:rPr>
          <w:szCs w:val="22"/>
          <w:lang w:val="en-GB" w:eastAsia="en-US"/>
        </w:rPr>
      </w:pPr>
    </w:p>
    <w:p w14:paraId="7C3326A1" w14:textId="77777777" w:rsidR="00B61585" w:rsidRPr="00F638AF" w:rsidRDefault="00016F29" w:rsidP="00B61585">
      <w:pPr>
        <w:rPr>
          <w:b/>
          <w:szCs w:val="22"/>
          <w:lang w:val="en-GB"/>
        </w:rPr>
      </w:pPr>
      <w:r w:rsidRPr="00F638AF">
        <w:rPr>
          <w:szCs w:val="22"/>
          <w:lang w:val="en-GB" w:eastAsia="en-US"/>
        </w:rPr>
        <w:t>Talk to your doctor, pharmacist or nurse before you are given this medicine if you, or your child, are under 18 years of age.</w:t>
      </w:r>
    </w:p>
    <w:p w14:paraId="7C3326A2" w14:textId="77777777" w:rsidR="00151941" w:rsidRPr="00F638AF" w:rsidRDefault="00151941" w:rsidP="00B61585">
      <w:pPr>
        <w:outlineLvl w:val="0"/>
        <w:rPr>
          <w:b/>
          <w:szCs w:val="22"/>
          <w:lang w:val="en-GB"/>
        </w:rPr>
      </w:pPr>
    </w:p>
    <w:p w14:paraId="7C3326A3" w14:textId="77777777" w:rsidR="00B61585" w:rsidRPr="00F638AF" w:rsidRDefault="00016F29" w:rsidP="00B61585">
      <w:pPr>
        <w:outlineLvl w:val="0"/>
        <w:rPr>
          <w:szCs w:val="22"/>
          <w:lang w:val="en-GB"/>
        </w:rPr>
      </w:pPr>
      <w:r w:rsidRPr="00F638AF">
        <w:rPr>
          <w:b/>
          <w:szCs w:val="22"/>
          <w:lang w:val="en-GB"/>
        </w:rPr>
        <w:t>Other medicines and MabThera</w:t>
      </w:r>
    </w:p>
    <w:p w14:paraId="7C3326A4" w14:textId="77777777" w:rsidR="00B61585" w:rsidRPr="00F638AF" w:rsidRDefault="00016F29" w:rsidP="00B61585">
      <w:pPr>
        <w:rPr>
          <w:szCs w:val="22"/>
          <w:lang w:val="en-GB" w:eastAsia="en-US"/>
        </w:rPr>
      </w:pPr>
      <w:r w:rsidRPr="00F638AF">
        <w:rPr>
          <w:szCs w:val="22"/>
          <w:lang w:val="en-GB" w:eastAsia="en-US"/>
        </w:rPr>
        <w:t xml:space="preserve">Tell </w:t>
      </w:r>
      <w:r w:rsidRPr="00F638AF">
        <w:rPr>
          <w:lang w:val="en-GB" w:eastAsia="en-US"/>
        </w:rPr>
        <w:t>your doctor</w:t>
      </w:r>
      <w:r w:rsidRPr="00F638AF">
        <w:rPr>
          <w:szCs w:val="22"/>
          <w:lang w:val="en-GB" w:eastAsia="en-US"/>
        </w:rPr>
        <w:t xml:space="preserve">, pharmacist or nurse if you are taking, have recently taken or might take any other medicines. This includes medicines obtained without a prescription and herbal medicines. This is because MabThera can affect the way some other medicines work. Also some other medicines can affect the way MabThera works. </w:t>
      </w:r>
    </w:p>
    <w:p w14:paraId="7C3326A5" w14:textId="77777777" w:rsidR="00B61585" w:rsidRPr="00F638AF" w:rsidRDefault="00B61585" w:rsidP="00B61585">
      <w:pPr>
        <w:rPr>
          <w:szCs w:val="22"/>
          <w:lang w:val="en-GB" w:eastAsia="en-US"/>
        </w:rPr>
      </w:pPr>
    </w:p>
    <w:p w14:paraId="7C3326A6" w14:textId="77777777" w:rsidR="00B61585" w:rsidRPr="00F638AF" w:rsidRDefault="00016F29" w:rsidP="00B61585">
      <w:pPr>
        <w:rPr>
          <w:lang w:val="en-GB" w:eastAsia="en-US"/>
        </w:rPr>
      </w:pPr>
      <w:r w:rsidRPr="00F638AF">
        <w:rPr>
          <w:szCs w:val="22"/>
          <w:lang w:val="en-GB" w:eastAsia="en-US"/>
        </w:rPr>
        <w:t>In particular, tell your doctor:</w:t>
      </w:r>
    </w:p>
    <w:p w14:paraId="7C3326A7" w14:textId="77777777" w:rsidR="00B61585" w:rsidRPr="00F638AF" w:rsidRDefault="00016F29" w:rsidP="00B61585">
      <w:pPr>
        <w:tabs>
          <w:tab w:val="left" w:pos="567"/>
        </w:tabs>
        <w:ind w:left="567" w:hanging="567"/>
        <w:rPr>
          <w:szCs w:val="22"/>
          <w:lang w:val="en-GB" w:eastAsia="en-US"/>
        </w:rPr>
      </w:pPr>
      <w:r w:rsidRPr="00550F18">
        <w:rPr>
          <w:rFonts w:ascii="Symbol" w:hAnsi="Symbol"/>
          <w:lang w:val="en-GB"/>
        </w:rPr>
        <w:sym w:font="Symbol" w:char="F0B7"/>
      </w:r>
      <w:r w:rsidRPr="00F638AF">
        <w:rPr>
          <w:szCs w:val="22"/>
          <w:lang w:val="en-GB" w:eastAsia="en-US"/>
        </w:rPr>
        <w:tab/>
        <w:t>if you are taking medicines for high blood pressure. You may be asked not to take these other medicines 12 hours before you are given MabThera. This is because some people have a fall in their blood pressure while they are being given MabThera.</w:t>
      </w:r>
    </w:p>
    <w:p w14:paraId="7C3326A8" w14:textId="77777777" w:rsidR="00B61585" w:rsidRPr="00F638AF" w:rsidRDefault="00016F29" w:rsidP="00B61585">
      <w:pPr>
        <w:tabs>
          <w:tab w:val="left" w:pos="567"/>
        </w:tabs>
        <w:ind w:left="567" w:hanging="567"/>
        <w:rPr>
          <w:szCs w:val="22"/>
          <w:lang w:val="en-GB" w:eastAsia="en-US"/>
        </w:rPr>
      </w:pPr>
      <w:r w:rsidRPr="00550F18">
        <w:rPr>
          <w:rFonts w:ascii="Symbol" w:hAnsi="Symbol"/>
          <w:lang w:val="en-GB"/>
        </w:rPr>
        <w:sym w:font="Symbol" w:char="F0B7"/>
      </w:r>
      <w:r w:rsidRPr="00F638AF">
        <w:rPr>
          <w:szCs w:val="22"/>
          <w:lang w:val="en-GB" w:eastAsia="en-US"/>
        </w:rPr>
        <w:tab/>
        <w:t>if you have ever taken medicines which affect your immune system – such as chemotherapy or immune</w:t>
      </w:r>
      <w:r w:rsidR="000A6DDA" w:rsidRPr="00F638AF">
        <w:rPr>
          <w:szCs w:val="22"/>
          <w:lang w:val="en-GB" w:eastAsia="en-US"/>
        </w:rPr>
        <w:noBreakHyphen/>
      </w:r>
      <w:r w:rsidRPr="00F638AF">
        <w:rPr>
          <w:szCs w:val="22"/>
          <w:lang w:val="en-GB" w:eastAsia="en-US"/>
        </w:rPr>
        <w:t>suppressive medicines.</w:t>
      </w:r>
    </w:p>
    <w:p w14:paraId="7C3326A9" w14:textId="77777777" w:rsidR="00B61585" w:rsidRPr="00F638AF" w:rsidRDefault="00B61585" w:rsidP="00B61585">
      <w:pPr>
        <w:tabs>
          <w:tab w:val="left" w:pos="567"/>
        </w:tabs>
        <w:rPr>
          <w:szCs w:val="22"/>
          <w:lang w:val="en-GB" w:eastAsia="en-US"/>
        </w:rPr>
      </w:pPr>
    </w:p>
    <w:p w14:paraId="7C3326AA" w14:textId="77777777" w:rsidR="00B61585" w:rsidRPr="00F638AF" w:rsidRDefault="00016F29" w:rsidP="00B61585">
      <w:pPr>
        <w:tabs>
          <w:tab w:val="left" w:pos="567"/>
        </w:tabs>
        <w:rPr>
          <w:szCs w:val="22"/>
          <w:lang w:val="en-GB" w:eastAsia="en-US"/>
        </w:rPr>
      </w:pPr>
      <w:r w:rsidRPr="00F638AF">
        <w:rPr>
          <w:szCs w:val="22"/>
          <w:lang w:val="en-GB" w:eastAsia="en-US"/>
        </w:rPr>
        <w:t>If any of the above apply to you (or you are not sure), talk to your doctor, pharmacist or nurse before you are given MabThera.</w:t>
      </w:r>
    </w:p>
    <w:p w14:paraId="7C3326AB" w14:textId="77777777" w:rsidR="00B61585" w:rsidRPr="00F638AF" w:rsidRDefault="00B61585" w:rsidP="00B61585">
      <w:pPr>
        <w:rPr>
          <w:szCs w:val="22"/>
          <w:lang w:val="en-GB"/>
        </w:rPr>
      </w:pPr>
    </w:p>
    <w:p w14:paraId="7C3326AC" w14:textId="77777777" w:rsidR="00B61585" w:rsidRPr="00F638AF" w:rsidRDefault="00016F29" w:rsidP="00B61585">
      <w:pPr>
        <w:outlineLvl w:val="0"/>
        <w:rPr>
          <w:b/>
          <w:szCs w:val="22"/>
          <w:lang w:val="en-GB"/>
        </w:rPr>
      </w:pPr>
      <w:r w:rsidRPr="00F638AF">
        <w:rPr>
          <w:b/>
          <w:szCs w:val="22"/>
          <w:lang w:val="en-GB"/>
        </w:rPr>
        <w:t>Pregnancy and breast</w:t>
      </w:r>
      <w:r w:rsidR="000A6DDA" w:rsidRPr="00F638AF">
        <w:rPr>
          <w:b/>
          <w:szCs w:val="22"/>
          <w:lang w:val="en-GB"/>
        </w:rPr>
        <w:noBreakHyphen/>
      </w:r>
      <w:r w:rsidRPr="00F638AF">
        <w:rPr>
          <w:b/>
          <w:szCs w:val="22"/>
          <w:lang w:val="en-GB"/>
        </w:rPr>
        <w:t xml:space="preserve">feeding </w:t>
      </w:r>
    </w:p>
    <w:p w14:paraId="7C3326AD" w14:textId="77777777" w:rsidR="00B61585" w:rsidRPr="00F638AF" w:rsidRDefault="00016F29" w:rsidP="00B61585">
      <w:pPr>
        <w:rPr>
          <w:szCs w:val="22"/>
          <w:lang w:val="en-GB"/>
        </w:rPr>
      </w:pPr>
      <w:r w:rsidRPr="00F638AF">
        <w:rPr>
          <w:szCs w:val="22"/>
          <w:lang w:val="en-GB"/>
        </w:rPr>
        <w:t>You must tell your doctor or nurse if you are pregnant, think that you might be pregnant or are planning to become pregnant. This is because MabThera can cross the placenta and may affect your baby.</w:t>
      </w:r>
    </w:p>
    <w:p w14:paraId="7C3326AE" w14:textId="77777777" w:rsidR="00B61585" w:rsidRPr="00F638AF" w:rsidRDefault="00016F29" w:rsidP="00B61585">
      <w:pPr>
        <w:rPr>
          <w:szCs w:val="22"/>
          <w:lang w:val="en-GB"/>
        </w:rPr>
      </w:pPr>
      <w:r w:rsidRPr="00F638AF">
        <w:rPr>
          <w:szCs w:val="22"/>
          <w:lang w:val="en-GB"/>
        </w:rPr>
        <w:t>If you can get pregnant, you and your partner must use an effective method of contraception while using MabThera. You must also do this for 12 months after your last treatment with MabThera.</w:t>
      </w:r>
    </w:p>
    <w:p w14:paraId="7C3326AF" w14:textId="77777777" w:rsidR="00B61585" w:rsidRPr="00F638AF" w:rsidRDefault="00016F29" w:rsidP="00B61585">
      <w:pPr>
        <w:rPr>
          <w:szCs w:val="22"/>
          <w:lang w:val="en-GB"/>
        </w:rPr>
      </w:pPr>
      <w:r w:rsidRPr="00F638AF">
        <w:rPr>
          <w:szCs w:val="22"/>
          <w:lang w:val="en-GB"/>
        </w:rPr>
        <w:t>Do not breast</w:t>
      </w:r>
      <w:r w:rsidR="000A6DDA" w:rsidRPr="00F638AF">
        <w:rPr>
          <w:szCs w:val="22"/>
          <w:lang w:val="en-GB"/>
        </w:rPr>
        <w:noBreakHyphen/>
      </w:r>
      <w:r w:rsidRPr="00F638AF">
        <w:rPr>
          <w:szCs w:val="22"/>
          <w:lang w:val="en-GB"/>
        </w:rPr>
        <w:t>feed while you are being treated with MabThera. Also do not breast</w:t>
      </w:r>
      <w:r w:rsidR="000A6DDA" w:rsidRPr="00F638AF">
        <w:rPr>
          <w:szCs w:val="22"/>
          <w:lang w:val="en-GB"/>
        </w:rPr>
        <w:noBreakHyphen/>
      </w:r>
      <w:r w:rsidRPr="00F638AF">
        <w:rPr>
          <w:szCs w:val="22"/>
          <w:lang w:val="en-GB"/>
        </w:rPr>
        <w:t>feed for 12 months after your last treatment with MabThera. This is because MabThera may pass into breast milk.</w:t>
      </w:r>
    </w:p>
    <w:p w14:paraId="7C3326B0" w14:textId="77777777" w:rsidR="00B61585" w:rsidRPr="00F638AF" w:rsidRDefault="00B61585" w:rsidP="00B61585">
      <w:pPr>
        <w:rPr>
          <w:i/>
          <w:szCs w:val="22"/>
          <w:lang w:val="en-GB"/>
        </w:rPr>
      </w:pPr>
    </w:p>
    <w:p w14:paraId="7C3326B1" w14:textId="77777777" w:rsidR="00B61585" w:rsidRPr="00F638AF" w:rsidRDefault="00016F29" w:rsidP="00B61585">
      <w:pPr>
        <w:keepNext/>
        <w:outlineLvl w:val="0"/>
        <w:rPr>
          <w:szCs w:val="22"/>
          <w:lang w:val="en-GB"/>
        </w:rPr>
      </w:pPr>
      <w:r w:rsidRPr="00F638AF">
        <w:rPr>
          <w:b/>
          <w:szCs w:val="22"/>
          <w:lang w:val="en-GB"/>
        </w:rPr>
        <w:t>Driving and using machines</w:t>
      </w:r>
    </w:p>
    <w:p w14:paraId="7C3326B2" w14:textId="77777777" w:rsidR="00B61585" w:rsidRPr="00F638AF" w:rsidRDefault="00016F29" w:rsidP="00B61585">
      <w:pPr>
        <w:outlineLvl w:val="0"/>
        <w:rPr>
          <w:szCs w:val="22"/>
          <w:lang w:val="en-GB"/>
        </w:rPr>
      </w:pPr>
      <w:r w:rsidRPr="00F638AF">
        <w:rPr>
          <w:szCs w:val="22"/>
          <w:lang w:val="en-GB"/>
        </w:rPr>
        <w:t>It is not known whether MabThera has an effect on you being able to drive or use any tools or machines.</w:t>
      </w:r>
    </w:p>
    <w:p w14:paraId="7C3326B3" w14:textId="77777777" w:rsidR="003C46D3" w:rsidRPr="00F638AF" w:rsidRDefault="003C46D3" w:rsidP="003C46D3">
      <w:pPr>
        <w:rPr>
          <w:bCs/>
          <w:szCs w:val="22"/>
          <w:lang w:val="en-GB"/>
        </w:rPr>
      </w:pPr>
    </w:p>
    <w:p w14:paraId="7C3326B4" w14:textId="77777777" w:rsidR="003C46D3" w:rsidRPr="00F638AF" w:rsidRDefault="00016F29" w:rsidP="003C46D3">
      <w:pPr>
        <w:rPr>
          <w:b/>
          <w:bCs/>
          <w:szCs w:val="22"/>
          <w:lang w:val="en-GB"/>
        </w:rPr>
      </w:pPr>
      <w:r w:rsidRPr="00F638AF">
        <w:rPr>
          <w:b/>
          <w:bCs/>
          <w:szCs w:val="22"/>
          <w:lang w:val="en-GB"/>
        </w:rPr>
        <w:t>MabThera contains sodium</w:t>
      </w:r>
    </w:p>
    <w:p w14:paraId="7C3326B5" w14:textId="77777777" w:rsidR="00B61585" w:rsidRPr="00F638AF" w:rsidRDefault="00016F29" w:rsidP="003C46D3">
      <w:pPr>
        <w:rPr>
          <w:bCs/>
          <w:szCs w:val="22"/>
          <w:lang w:val="en-GB"/>
        </w:rPr>
      </w:pPr>
      <w:r w:rsidRPr="00F638AF">
        <w:rPr>
          <w:bCs/>
          <w:szCs w:val="22"/>
          <w:lang w:val="en-GB"/>
        </w:rPr>
        <w:t xml:space="preserve">This medicine contains 52.6 mg </w:t>
      </w:r>
      <w:r w:rsidRPr="00D4598C">
        <w:rPr>
          <w:bCs/>
          <w:szCs w:val="22"/>
          <w:lang w:val="en-GB"/>
        </w:rPr>
        <w:t>sodium</w:t>
      </w:r>
      <w:r w:rsidR="00083FCE" w:rsidRPr="00D4598C">
        <w:rPr>
          <w:bCs/>
          <w:szCs w:val="22"/>
          <w:lang w:val="en-GB"/>
        </w:rPr>
        <w:t xml:space="preserve"> (</w:t>
      </w:r>
      <w:r w:rsidR="00083FCE" w:rsidRPr="00D4598C">
        <w:rPr>
          <w:color w:val="222222"/>
          <w:szCs w:val="22"/>
          <w:shd w:val="clear" w:color="auto" w:fill="FFFFFF"/>
        </w:rPr>
        <w:t>main component of the cooking/table salt)</w:t>
      </w:r>
      <w:r w:rsidRPr="00D4598C">
        <w:rPr>
          <w:bCs/>
          <w:szCs w:val="22"/>
          <w:lang w:val="en-GB"/>
        </w:rPr>
        <w:t xml:space="preserve"> </w:t>
      </w:r>
      <w:r w:rsidR="009A0730" w:rsidRPr="00D4598C">
        <w:rPr>
          <w:bCs/>
          <w:szCs w:val="22"/>
          <w:lang w:val="en-GB"/>
        </w:rPr>
        <w:t xml:space="preserve">in each </w:t>
      </w:r>
      <w:r w:rsidRPr="00D4598C">
        <w:rPr>
          <w:bCs/>
          <w:szCs w:val="22"/>
          <w:lang w:val="en-GB"/>
        </w:rPr>
        <w:t>10 mL vial</w:t>
      </w:r>
      <w:r w:rsidR="006B49B7" w:rsidRPr="00D4598C">
        <w:rPr>
          <w:bCs/>
          <w:szCs w:val="22"/>
          <w:lang w:val="en-GB"/>
        </w:rPr>
        <w:t xml:space="preserve"> and 263.2 mg </w:t>
      </w:r>
      <w:r w:rsidR="009A0730" w:rsidRPr="00D4598C">
        <w:rPr>
          <w:bCs/>
          <w:szCs w:val="22"/>
          <w:lang w:val="en-GB"/>
        </w:rPr>
        <w:t xml:space="preserve">in each </w:t>
      </w:r>
      <w:r w:rsidR="006B49B7" w:rsidRPr="00D4598C">
        <w:rPr>
          <w:bCs/>
          <w:szCs w:val="22"/>
          <w:lang w:val="en-GB"/>
        </w:rPr>
        <w:t>50 mL vial</w:t>
      </w:r>
      <w:r w:rsidRPr="00D4598C">
        <w:rPr>
          <w:bCs/>
          <w:szCs w:val="22"/>
          <w:lang w:val="en-GB"/>
        </w:rPr>
        <w:t>.</w:t>
      </w:r>
      <w:r w:rsidRPr="00F638AF">
        <w:rPr>
          <w:bCs/>
          <w:szCs w:val="22"/>
          <w:lang w:val="en-GB"/>
        </w:rPr>
        <w:t xml:space="preserve"> </w:t>
      </w:r>
    </w:p>
    <w:p w14:paraId="7C3326B6" w14:textId="77777777" w:rsidR="00B61585" w:rsidRPr="00153E10" w:rsidRDefault="00016F29" w:rsidP="00B61585">
      <w:pPr>
        <w:rPr>
          <w:bCs/>
          <w:szCs w:val="22"/>
          <w:lang w:val="en-GB"/>
        </w:rPr>
      </w:pPr>
      <w:r w:rsidRPr="00153E10">
        <w:t xml:space="preserve">This is equivalent to </w:t>
      </w:r>
      <w:r w:rsidR="00D7597E" w:rsidRPr="00E06A78">
        <w:t>2.6% (for 10ml vial) and</w:t>
      </w:r>
      <w:r w:rsidRPr="00E06A78">
        <w:t xml:space="preserve"> 13.2% (for 50ml vial)</w:t>
      </w:r>
      <w:r w:rsidRPr="00153E10">
        <w:t xml:space="preserve"> of the recommended maximum daily dietary intake of sodium for an adult.</w:t>
      </w:r>
    </w:p>
    <w:p w14:paraId="7C3326B7" w14:textId="77777777" w:rsidR="00B61585" w:rsidRPr="00F638AF" w:rsidRDefault="00B61585" w:rsidP="00B61585">
      <w:pPr>
        <w:rPr>
          <w:bCs/>
          <w:szCs w:val="22"/>
          <w:lang w:val="en-GB"/>
        </w:rPr>
      </w:pPr>
    </w:p>
    <w:p w14:paraId="7C3326B8" w14:textId="77777777" w:rsidR="002E14CF" w:rsidRPr="00F638AF" w:rsidRDefault="002E14CF" w:rsidP="00B61585">
      <w:pPr>
        <w:rPr>
          <w:bCs/>
          <w:szCs w:val="22"/>
          <w:lang w:val="en-GB"/>
        </w:rPr>
      </w:pPr>
    </w:p>
    <w:p w14:paraId="7C3326B9" w14:textId="77777777" w:rsidR="00B61585" w:rsidRPr="00F638AF" w:rsidRDefault="00016F29" w:rsidP="00B61585">
      <w:pPr>
        <w:ind w:left="567" w:hanging="567"/>
        <w:rPr>
          <w:szCs w:val="22"/>
          <w:lang w:val="en-GB"/>
        </w:rPr>
      </w:pPr>
      <w:r w:rsidRPr="00F638AF">
        <w:rPr>
          <w:b/>
          <w:szCs w:val="22"/>
          <w:lang w:val="en-GB"/>
        </w:rPr>
        <w:t>3.</w:t>
      </w:r>
      <w:r w:rsidRPr="00F638AF">
        <w:rPr>
          <w:b/>
          <w:szCs w:val="22"/>
          <w:lang w:val="en-GB"/>
        </w:rPr>
        <w:tab/>
      </w:r>
      <w:r w:rsidRPr="00F638AF">
        <w:rPr>
          <w:b/>
          <w:szCs w:val="22"/>
          <w:lang w:val="en-GB" w:eastAsia="en-US"/>
        </w:rPr>
        <w:t>How MabThera is given</w:t>
      </w:r>
    </w:p>
    <w:p w14:paraId="7C3326BA" w14:textId="77777777" w:rsidR="00B61585" w:rsidRPr="00F638AF" w:rsidRDefault="00B61585" w:rsidP="00B61585">
      <w:pPr>
        <w:rPr>
          <w:szCs w:val="22"/>
          <w:lang w:val="en-GB"/>
        </w:rPr>
      </w:pPr>
    </w:p>
    <w:p w14:paraId="7C3326BB" w14:textId="77777777" w:rsidR="00B61585" w:rsidRPr="00F638AF" w:rsidRDefault="00016F29" w:rsidP="00B61585">
      <w:pPr>
        <w:tabs>
          <w:tab w:val="left" w:pos="567"/>
        </w:tabs>
        <w:rPr>
          <w:b/>
          <w:szCs w:val="22"/>
          <w:lang w:val="en-GB" w:eastAsia="en-US"/>
        </w:rPr>
      </w:pPr>
      <w:r w:rsidRPr="00F638AF">
        <w:rPr>
          <w:b/>
          <w:szCs w:val="22"/>
          <w:lang w:val="en-GB" w:eastAsia="en-US"/>
        </w:rPr>
        <w:t>How it is given</w:t>
      </w:r>
    </w:p>
    <w:p w14:paraId="7C3326BC" w14:textId="77777777" w:rsidR="00B61585" w:rsidRPr="00F638AF" w:rsidRDefault="00016F29" w:rsidP="00B61585">
      <w:pPr>
        <w:rPr>
          <w:szCs w:val="22"/>
          <w:lang w:val="en-GB" w:eastAsia="en-US"/>
        </w:rPr>
      </w:pPr>
      <w:r w:rsidRPr="00F638AF">
        <w:rPr>
          <w:szCs w:val="22"/>
          <w:lang w:val="en-GB" w:eastAsia="en-US"/>
        </w:rPr>
        <w:t xml:space="preserve">MabThera will be given to you by a doctor or nurse who is experienced in the use of this treatment. They will watch you closely while you are being given this medicine. This is in case you get any side effects. </w:t>
      </w:r>
    </w:p>
    <w:p w14:paraId="7C3326BD" w14:textId="77777777" w:rsidR="00B61585" w:rsidRPr="00F638AF" w:rsidRDefault="00016F29" w:rsidP="00B61585">
      <w:pPr>
        <w:rPr>
          <w:szCs w:val="22"/>
          <w:lang w:val="en-GB"/>
        </w:rPr>
      </w:pPr>
      <w:r w:rsidRPr="00F638AF">
        <w:rPr>
          <w:szCs w:val="22"/>
          <w:lang w:val="en-GB" w:eastAsia="en-US"/>
        </w:rPr>
        <w:t>You will always be given MabThera as a drip (intra</w:t>
      </w:r>
      <w:r w:rsidR="000A6DDA" w:rsidRPr="00F638AF">
        <w:rPr>
          <w:szCs w:val="22"/>
          <w:lang w:val="en-GB" w:eastAsia="en-US"/>
        </w:rPr>
        <w:noBreakHyphen/>
      </w:r>
      <w:r w:rsidRPr="00F638AF">
        <w:rPr>
          <w:szCs w:val="22"/>
          <w:lang w:val="en-GB" w:eastAsia="en-US"/>
        </w:rPr>
        <w:t>venous infusion).</w:t>
      </w:r>
    </w:p>
    <w:p w14:paraId="7C3326BE" w14:textId="77777777" w:rsidR="00B61585" w:rsidRPr="00F638AF" w:rsidRDefault="00B61585" w:rsidP="00B61585">
      <w:pPr>
        <w:rPr>
          <w:szCs w:val="22"/>
          <w:lang w:val="en-GB"/>
        </w:rPr>
      </w:pPr>
    </w:p>
    <w:p w14:paraId="7C3326BF" w14:textId="77777777" w:rsidR="00B61585" w:rsidRPr="00F638AF" w:rsidRDefault="00016F29" w:rsidP="00B61585">
      <w:pPr>
        <w:tabs>
          <w:tab w:val="left" w:pos="567"/>
        </w:tabs>
        <w:rPr>
          <w:b/>
          <w:szCs w:val="22"/>
          <w:lang w:val="en-GB" w:eastAsia="en-US"/>
        </w:rPr>
      </w:pPr>
      <w:r w:rsidRPr="00F638AF">
        <w:rPr>
          <w:b/>
          <w:szCs w:val="22"/>
          <w:lang w:val="en-GB" w:eastAsia="en-US"/>
        </w:rPr>
        <w:t>Medicines given before each MabThera administration</w:t>
      </w:r>
    </w:p>
    <w:p w14:paraId="7C3326C0" w14:textId="77777777" w:rsidR="00B61585" w:rsidRPr="00F638AF" w:rsidRDefault="00016F29" w:rsidP="00B61585">
      <w:pPr>
        <w:rPr>
          <w:szCs w:val="22"/>
          <w:lang w:val="en-GB"/>
        </w:rPr>
      </w:pPr>
      <w:r w:rsidRPr="00F638AF">
        <w:rPr>
          <w:szCs w:val="22"/>
          <w:lang w:val="en-GB" w:eastAsia="en-US"/>
        </w:rPr>
        <w:t>Before you are given MabThera, you will be given other medicines (pre</w:t>
      </w:r>
      <w:r w:rsidR="000A6DDA" w:rsidRPr="00F638AF">
        <w:rPr>
          <w:szCs w:val="22"/>
          <w:lang w:val="en-GB" w:eastAsia="en-US"/>
        </w:rPr>
        <w:noBreakHyphen/>
      </w:r>
      <w:r w:rsidRPr="00F638AF">
        <w:rPr>
          <w:szCs w:val="22"/>
          <w:lang w:val="en-GB" w:eastAsia="en-US"/>
        </w:rPr>
        <w:t>medication) to prevent or reduce possible side effects.</w:t>
      </w:r>
    </w:p>
    <w:p w14:paraId="7C3326C1" w14:textId="77777777" w:rsidR="00B61585" w:rsidRPr="00F638AF" w:rsidRDefault="00B61585" w:rsidP="00B61585">
      <w:pPr>
        <w:rPr>
          <w:szCs w:val="22"/>
          <w:lang w:val="en-GB"/>
        </w:rPr>
      </w:pPr>
    </w:p>
    <w:p w14:paraId="7C3326C2" w14:textId="77777777" w:rsidR="00B61585" w:rsidRPr="00F638AF" w:rsidRDefault="00016F29" w:rsidP="00C77511">
      <w:pPr>
        <w:keepNext/>
        <w:keepLines/>
        <w:rPr>
          <w:b/>
          <w:bCs/>
          <w:szCs w:val="22"/>
          <w:lang w:val="en-GB"/>
        </w:rPr>
      </w:pPr>
      <w:r w:rsidRPr="00F638AF">
        <w:rPr>
          <w:b/>
          <w:bCs/>
          <w:szCs w:val="22"/>
          <w:lang w:val="en-GB"/>
        </w:rPr>
        <w:t>How much and how often you will receive your treatment</w:t>
      </w:r>
    </w:p>
    <w:p w14:paraId="7C3326C3" w14:textId="77777777" w:rsidR="00B61585" w:rsidRPr="00F638AF" w:rsidRDefault="00B61585" w:rsidP="00C77511">
      <w:pPr>
        <w:keepNext/>
        <w:keepLines/>
        <w:rPr>
          <w:szCs w:val="22"/>
          <w:lang w:val="en-GB"/>
        </w:rPr>
      </w:pPr>
    </w:p>
    <w:p w14:paraId="7C3326C4" w14:textId="77777777" w:rsidR="00B61585" w:rsidRPr="00F638AF" w:rsidRDefault="00016F29" w:rsidP="00C77511">
      <w:pPr>
        <w:keepNext/>
        <w:keepLines/>
        <w:tabs>
          <w:tab w:val="left" w:pos="426"/>
        </w:tabs>
        <w:rPr>
          <w:b/>
          <w:lang w:val="en-GB"/>
        </w:rPr>
      </w:pPr>
      <w:r w:rsidRPr="00F638AF">
        <w:rPr>
          <w:b/>
          <w:lang w:val="en-GB"/>
        </w:rPr>
        <w:t>a)</w:t>
      </w:r>
      <w:r w:rsidRPr="00F638AF">
        <w:rPr>
          <w:b/>
          <w:lang w:val="en-GB"/>
        </w:rPr>
        <w:tab/>
        <w:t>If you are being treated for non</w:t>
      </w:r>
      <w:r w:rsidR="000A6DDA" w:rsidRPr="00F638AF">
        <w:rPr>
          <w:b/>
          <w:lang w:val="en-GB"/>
        </w:rPr>
        <w:noBreakHyphen/>
      </w:r>
      <w:r w:rsidRPr="00F638AF">
        <w:rPr>
          <w:b/>
          <w:lang w:val="en-GB"/>
        </w:rPr>
        <w:t>Hodgkin’s Lymphoma</w:t>
      </w:r>
    </w:p>
    <w:p w14:paraId="7C3326C5" w14:textId="77777777" w:rsidR="00B61585" w:rsidRPr="00F638AF" w:rsidRDefault="00016F29" w:rsidP="00C77511">
      <w:pPr>
        <w:keepNext/>
        <w:keepLines/>
        <w:ind w:left="714" w:hanging="357"/>
        <w:rPr>
          <w:i/>
          <w:szCs w:val="22"/>
          <w:lang w:val="en-GB"/>
        </w:rPr>
      </w:pPr>
      <w:r w:rsidRPr="00550F18">
        <w:rPr>
          <w:rFonts w:ascii="Symbol" w:hAnsi="Symbol"/>
          <w:lang w:val="en-GB"/>
        </w:rPr>
        <w:sym w:font="Symbol" w:char="F0B7"/>
      </w:r>
      <w:r w:rsidRPr="00F638AF">
        <w:rPr>
          <w:szCs w:val="22"/>
          <w:lang w:val="en-GB"/>
        </w:rPr>
        <w:tab/>
      </w:r>
      <w:r w:rsidRPr="00F638AF">
        <w:rPr>
          <w:bCs/>
          <w:i/>
          <w:szCs w:val="22"/>
          <w:lang w:val="en-GB"/>
        </w:rPr>
        <w:t>If you are having MabThera alone</w:t>
      </w:r>
    </w:p>
    <w:p w14:paraId="7C3326C6" w14:textId="77777777" w:rsidR="00B61585" w:rsidRPr="00F638AF" w:rsidRDefault="00016F29" w:rsidP="00C77511">
      <w:pPr>
        <w:keepNext/>
        <w:keepLines/>
        <w:ind w:left="720"/>
        <w:rPr>
          <w:szCs w:val="22"/>
          <w:lang w:val="en-GB"/>
        </w:rPr>
      </w:pPr>
      <w:r w:rsidRPr="00F638AF">
        <w:rPr>
          <w:bCs/>
          <w:szCs w:val="22"/>
          <w:lang w:val="en-GB"/>
        </w:rPr>
        <w:t>MabThera will be given to you once a week for 4 weeks.</w:t>
      </w:r>
      <w:r w:rsidRPr="00F638AF">
        <w:rPr>
          <w:szCs w:val="22"/>
          <w:lang w:val="en-GB"/>
        </w:rPr>
        <w:t xml:space="preserve"> Repeated treatment courses with MabThera are possible.</w:t>
      </w:r>
    </w:p>
    <w:p w14:paraId="7C3326C7" w14:textId="77777777" w:rsidR="00B61585" w:rsidRPr="00F638AF" w:rsidRDefault="00016F29" w:rsidP="00B61585">
      <w:pPr>
        <w:ind w:left="714" w:hanging="357"/>
        <w:rPr>
          <w:i/>
          <w:szCs w:val="22"/>
          <w:lang w:val="en-GB"/>
        </w:rPr>
      </w:pPr>
      <w:r w:rsidRPr="00550F18">
        <w:rPr>
          <w:rFonts w:ascii="Symbol" w:hAnsi="Symbol"/>
          <w:lang w:val="en-GB"/>
        </w:rPr>
        <w:sym w:font="Symbol" w:char="F0B7"/>
      </w:r>
      <w:r w:rsidRPr="00F638AF">
        <w:rPr>
          <w:szCs w:val="22"/>
          <w:lang w:val="en-GB"/>
        </w:rPr>
        <w:tab/>
      </w:r>
      <w:r w:rsidRPr="00F638AF">
        <w:rPr>
          <w:i/>
          <w:szCs w:val="22"/>
          <w:lang w:val="en-GB"/>
        </w:rPr>
        <w:t>If you are having MabThera with chemotherapy</w:t>
      </w:r>
    </w:p>
    <w:p w14:paraId="7C3326C8" w14:textId="77777777" w:rsidR="00B61585" w:rsidRPr="00F638AF" w:rsidRDefault="00016F29" w:rsidP="00B61585">
      <w:pPr>
        <w:ind w:left="720"/>
        <w:rPr>
          <w:szCs w:val="22"/>
          <w:lang w:val="en-GB"/>
        </w:rPr>
      </w:pPr>
      <w:r w:rsidRPr="00F638AF">
        <w:rPr>
          <w:szCs w:val="22"/>
          <w:lang w:val="en-GB"/>
        </w:rPr>
        <w:t>MabThera will be given to you on the same day as your chemotherapy. This is usually given every 3 weeks up to 8 times.</w:t>
      </w:r>
    </w:p>
    <w:p w14:paraId="7C3326C9" w14:textId="77777777" w:rsidR="00B61585" w:rsidRPr="00F638AF" w:rsidRDefault="00016F29" w:rsidP="0047764D">
      <w:pPr>
        <w:ind w:left="714" w:hanging="357"/>
        <w:rPr>
          <w:bCs/>
          <w:szCs w:val="22"/>
          <w:lang w:val="en-GB"/>
        </w:rPr>
      </w:pPr>
      <w:r w:rsidRPr="00550F18">
        <w:rPr>
          <w:rFonts w:ascii="Symbol" w:hAnsi="Symbol"/>
          <w:lang w:val="en-GB"/>
        </w:rPr>
        <w:sym w:font="Symbol" w:char="F0B7"/>
      </w:r>
      <w:r w:rsidRPr="00F638AF">
        <w:rPr>
          <w:szCs w:val="22"/>
          <w:lang w:val="en-GB"/>
        </w:rPr>
        <w:tab/>
        <w:t xml:space="preserve">If you respond well to treatment, you may be given MabThera as a maintenance treatment every 2 or 3 months for two years. Your doctor may change this, depending on how you </w:t>
      </w:r>
      <w:r w:rsidRPr="00F638AF">
        <w:rPr>
          <w:bCs/>
          <w:szCs w:val="22"/>
          <w:lang w:val="en-GB"/>
        </w:rPr>
        <w:t>respond to the medicine.</w:t>
      </w:r>
    </w:p>
    <w:p w14:paraId="7C3326CA" w14:textId="50A71D24" w:rsidR="008A4922" w:rsidRPr="00F638AF" w:rsidRDefault="001150B9" w:rsidP="00063D4E">
      <w:pPr>
        <w:pStyle w:val="ListParagraph"/>
        <w:ind w:left="714" w:hanging="357"/>
        <w:rPr>
          <w:szCs w:val="22"/>
          <w:lang w:val="en-GB"/>
        </w:rPr>
      </w:pPr>
      <w:r w:rsidRPr="00550F18">
        <w:rPr>
          <w:rFonts w:ascii="Symbol" w:hAnsi="Symbol"/>
          <w:lang w:val="en-GB"/>
        </w:rPr>
        <w:sym w:font="Symbol" w:char="F0B7"/>
      </w:r>
      <w:r w:rsidRPr="00F638AF">
        <w:rPr>
          <w:szCs w:val="22"/>
          <w:lang w:val="en-GB"/>
        </w:rPr>
        <w:tab/>
      </w:r>
      <w:r w:rsidR="00016F29" w:rsidRPr="00F638AF">
        <w:t>If you are less than 18 years of age, you will be given MabThera with chemotherapy.  You will receive MabThera up to 6 times over a 3.5 – 5.5 month period.</w:t>
      </w:r>
    </w:p>
    <w:p w14:paraId="7C3326CB" w14:textId="77777777" w:rsidR="00B61585" w:rsidRPr="00F638AF" w:rsidRDefault="00B61585" w:rsidP="00B61585">
      <w:pPr>
        <w:tabs>
          <w:tab w:val="left" w:pos="567"/>
        </w:tabs>
        <w:ind w:left="360"/>
        <w:rPr>
          <w:szCs w:val="22"/>
          <w:lang w:val="en-GB"/>
        </w:rPr>
      </w:pPr>
    </w:p>
    <w:p w14:paraId="7C3326CC" w14:textId="77777777" w:rsidR="00B61585" w:rsidRPr="00F638AF" w:rsidRDefault="00016F29" w:rsidP="00B61585">
      <w:pPr>
        <w:keepNext/>
        <w:keepLines/>
        <w:tabs>
          <w:tab w:val="left" w:pos="426"/>
        </w:tabs>
        <w:outlineLvl w:val="0"/>
        <w:rPr>
          <w:b/>
          <w:lang w:val="en-GB"/>
        </w:rPr>
      </w:pPr>
      <w:r w:rsidRPr="00F638AF">
        <w:rPr>
          <w:b/>
          <w:lang w:val="en-GB"/>
        </w:rPr>
        <w:t>b)</w:t>
      </w:r>
      <w:r w:rsidRPr="00F638AF">
        <w:rPr>
          <w:b/>
          <w:lang w:val="en-GB"/>
        </w:rPr>
        <w:tab/>
        <w:t>If you are being treated for chronic lymphocytic leukaemia</w:t>
      </w:r>
    </w:p>
    <w:p w14:paraId="7C3326CD" w14:textId="77777777" w:rsidR="00B61585" w:rsidRPr="00F638AF" w:rsidRDefault="00016F29" w:rsidP="00B61585">
      <w:pPr>
        <w:rPr>
          <w:szCs w:val="22"/>
          <w:lang w:val="en-GB"/>
        </w:rPr>
      </w:pPr>
      <w:r w:rsidRPr="00F638AF">
        <w:rPr>
          <w:lang w:val="en-GB"/>
        </w:rPr>
        <w:t>When you are treated with MabThera in combination with chemotherapy, you will receive MabThera infusions on day 0 cycle 1 then day 1 of each cycle for 6 cycles in total. Each cycle has a duration of 28 days. The chemotherapy should be given after the MabThera infusion. Your doctor will decide if you should receive concomitant supportive therapy.</w:t>
      </w:r>
    </w:p>
    <w:p w14:paraId="7C3326CE" w14:textId="77777777" w:rsidR="00B61585" w:rsidRPr="00F638AF" w:rsidRDefault="00B61585" w:rsidP="00B61585">
      <w:pPr>
        <w:rPr>
          <w:b/>
          <w:lang w:val="en-GB"/>
        </w:rPr>
      </w:pPr>
    </w:p>
    <w:p w14:paraId="7C3326CF" w14:textId="77777777" w:rsidR="00B61585" w:rsidRPr="00F638AF" w:rsidRDefault="00016F29" w:rsidP="00B61585">
      <w:pPr>
        <w:tabs>
          <w:tab w:val="left" w:pos="426"/>
        </w:tabs>
        <w:rPr>
          <w:b/>
          <w:lang w:val="en-GB"/>
        </w:rPr>
      </w:pPr>
      <w:r w:rsidRPr="00F638AF">
        <w:rPr>
          <w:b/>
          <w:lang w:val="en-GB"/>
        </w:rPr>
        <w:t>c)</w:t>
      </w:r>
      <w:r w:rsidRPr="00F638AF">
        <w:rPr>
          <w:b/>
          <w:lang w:val="en-GB"/>
        </w:rPr>
        <w:tab/>
        <w:t>If you are being treated for rheumatoid arthritis</w:t>
      </w:r>
    </w:p>
    <w:p w14:paraId="7C3326D0" w14:textId="77777777" w:rsidR="00B61585" w:rsidRPr="00F638AF" w:rsidRDefault="00016F29" w:rsidP="00B61585">
      <w:pPr>
        <w:rPr>
          <w:szCs w:val="22"/>
          <w:lang w:val="en-GB"/>
        </w:rPr>
      </w:pPr>
      <w:r w:rsidRPr="00F638AF">
        <w:rPr>
          <w:szCs w:val="22"/>
          <w:lang w:val="en-GB"/>
        </w:rPr>
        <w:t>Each course of treatment is made up of two separate infusions which are given 2 weeks apart. Repeated courses of treatment with MabThera are possible. Depending on the signs and symptoms of your disease, your doctor will decide when you should receive more MabThera. This may be months from now.</w:t>
      </w:r>
    </w:p>
    <w:p w14:paraId="7C3326D1" w14:textId="77777777" w:rsidR="00B61585" w:rsidRPr="00F638AF" w:rsidRDefault="00B61585" w:rsidP="00B61585">
      <w:pPr>
        <w:rPr>
          <w:szCs w:val="22"/>
          <w:lang w:val="en-GB"/>
        </w:rPr>
      </w:pPr>
    </w:p>
    <w:p w14:paraId="7C3326D2" w14:textId="77777777" w:rsidR="00B61585" w:rsidRPr="00F638AF" w:rsidRDefault="00016F29" w:rsidP="00B61585">
      <w:pPr>
        <w:keepNext/>
        <w:tabs>
          <w:tab w:val="left" w:pos="426"/>
        </w:tabs>
        <w:rPr>
          <w:b/>
          <w:lang w:val="en-GB"/>
        </w:rPr>
      </w:pPr>
      <w:r w:rsidRPr="00F638AF">
        <w:rPr>
          <w:b/>
          <w:lang w:val="en-GB"/>
        </w:rPr>
        <w:t>d)</w:t>
      </w:r>
      <w:r w:rsidRPr="00F638AF">
        <w:rPr>
          <w:b/>
          <w:lang w:val="en-GB"/>
        </w:rPr>
        <w:tab/>
        <w:t>If you are being treated for granulomatosis with polyangiitis or microscopic polyangiitis</w:t>
      </w:r>
    </w:p>
    <w:p w14:paraId="7C3326D3" w14:textId="77777777" w:rsidR="00855096" w:rsidRPr="00F638AF" w:rsidRDefault="00016F29" w:rsidP="00B61585">
      <w:pPr>
        <w:rPr>
          <w:bCs/>
          <w:szCs w:val="22"/>
          <w:lang w:val="en-GB"/>
        </w:rPr>
      </w:pPr>
      <w:r w:rsidRPr="00F638AF">
        <w:rPr>
          <w:bCs/>
          <w:szCs w:val="22"/>
          <w:lang w:val="en-GB"/>
        </w:rPr>
        <w:t>Treatment with MabThera uses four separate infusions given at weekly intervals. Corticosteroids will usually be given by injection before the start of MabThera treatment. Corticosteroids given by mouth may be started at any time by your doctor to treat your condition.</w:t>
      </w:r>
    </w:p>
    <w:p w14:paraId="7C3326D4" w14:textId="77777777" w:rsidR="00B61585" w:rsidRPr="00F638AF" w:rsidRDefault="00016F29" w:rsidP="00B61585">
      <w:pPr>
        <w:rPr>
          <w:szCs w:val="22"/>
          <w:lang w:val="en-GB"/>
        </w:rPr>
      </w:pPr>
      <w:r w:rsidRPr="00F638AF">
        <w:rPr>
          <w:szCs w:val="22"/>
          <w:lang w:val="en-GB"/>
        </w:rPr>
        <w:t xml:space="preserve">If you </w:t>
      </w:r>
      <w:r w:rsidR="004E269F" w:rsidRPr="00F638AF">
        <w:rPr>
          <w:szCs w:val="22"/>
          <w:lang w:val="en-GB"/>
        </w:rPr>
        <w:t xml:space="preserve">are </w:t>
      </w:r>
      <w:r w:rsidR="000C3EA7" w:rsidRPr="00F638AF">
        <w:rPr>
          <w:szCs w:val="22"/>
          <w:lang w:val="en-GB"/>
        </w:rPr>
        <w:t>18</w:t>
      </w:r>
      <w:r w:rsidR="004E269F" w:rsidRPr="00F638AF">
        <w:rPr>
          <w:szCs w:val="22"/>
          <w:lang w:val="en-GB"/>
        </w:rPr>
        <w:t xml:space="preserve"> years of age and older and </w:t>
      </w:r>
      <w:r w:rsidRPr="00F638AF">
        <w:rPr>
          <w:szCs w:val="22"/>
          <w:lang w:val="en-GB"/>
        </w:rPr>
        <w:t>respond well to treatment, you may be given MabThera as a maintenance treatment.  This will be administered as 2 separate infusions which are given 2 weeks apart, followed by 1 infusion every 6 months</w:t>
      </w:r>
      <w:r w:rsidR="005F7FE2" w:rsidRPr="00F638AF">
        <w:rPr>
          <w:szCs w:val="22"/>
          <w:lang w:val="en-GB"/>
        </w:rPr>
        <w:t xml:space="preserve"> for at least 2 years</w:t>
      </w:r>
      <w:r w:rsidRPr="00F638AF">
        <w:rPr>
          <w:szCs w:val="22"/>
          <w:lang w:val="en-GB"/>
        </w:rPr>
        <w:t xml:space="preserve">. Your doctor may </w:t>
      </w:r>
      <w:r w:rsidR="005F7FE2" w:rsidRPr="00F638AF">
        <w:rPr>
          <w:szCs w:val="22"/>
          <w:lang w:val="en-GB"/>
        </w:rPr>
        <w:t>decide to</w:t>
      </w:r>
      <w:r w:rsidR="002662FD" w:rsidRPr="00F638AF">
        <w:rPr>
          <w:szCs w:val="22"/>
          <w:lang w:val="en-GB"/>
        </w:rPr>
        <w:t xml:space="preserve"> treat you longer with MabThera (up to 5 years),</w:t>
      </w:r>
      <w:r w:rsidRPr="00F638AF">
        <w:rPr>
          <w:szCs w:val="22"/>
          <w:lang w:val="en-GB"/>
        </w:rPr>
        <w:t xml:space="preserve"> depending on how you </w:t>
      </w:r>
      <w:r w:rsidRPr="00F638AF">
        <w:rPr>
          <w:bCs/>
          <w:szCs w:val="22"/>
          <w:lang w:val="en-GB"/>
        </w:rPr>
        <w:t>respond to the</w:t>
      </w:r>
      <w:r w:rsidR="002662FD" w:rsidRPr="00F638AF">
        <w:rPr>
          <w:bCs/>
          <w:szCs w:val="22"/>
          <w:lang w:val="en-GB"/>
        </w:rPr>
        <w:t xml:space="preserve"> medicine</w:t>
      </w:r>
      <w:r w:rsidRPr="00F638AF">
        <w:rPr>
          <w:bCs/>
          <w:szCs w:val="22"/>
          <w:lang w:val="en-GB"/>
        </w:rPr>
        <w:t>.</w:t>
      </w:r>
    </w:p>
    <w:p w14:paraId="7C3326D5" w14:textId="77777777" w:rsidR="00B61585" w:rsidRPr="00F638AF" w:rsidRDefault="00B61585" w:rsidP="00B61585">
      <w:pPr>
        <w:rPr>
          <w:szCs w:val="22"/>
          <w:lang w:val="en-GB"/>
        </w:rPr>
      </w:pPr>
    </w:p>
    <w:p w14:paraId="7C3326D6" w14:textId="77777777" w:rsidR="00151941" w:rsidRPr="00F638AF" w:rsidRDefault="00016F29" w:rsidP="00151941">
      <w:pPr>
        <w:tabs>
          <w:tab w:val="left" w:pos="426"/>
        </w:tabs>
        <w:rPr>
          <w:b/>
          <w:lang w:val="en-GB"/>
        </w:rPr>
      </w:pPr>
      <w:r w:rsidRPr="00F638AF">
        <w:rPr>
          <w:b/>
          <w:lang w:val="en-GB"/>
        </w:rPr>
        <w:t>e)</w:t>
      </w:r>
      <w:r w:rsidRPr="00F638AF">
        <w:rPr>
          <w:b/>
          <w:lang w:val="en-GB"/>
        </w:rPr>
        <w:tab/>
        <w:t>If you are being treated for pemphigus vulgaris</w:t>
      </w:r>
    </w:p>
    <w:p w14:paraId="7C3326D7" w14:textId="77777777" w:rsidR="00B61585" w:rsidRPr="00F638AF" w:rsidRDefault="00016F29" w:rsidP="00151941">
      <w:pPr>
        <w:rPr>
          <w:bCs/>
          <w:szCs w:val="22"/>
          <w:lang w:val="en-GB"/>
        </w:rPr>
      </w:pPr>
      <w:r w:rsidRPr="00F638AF">
        <w:rPr>
          <w:szCs w:val="22"/>
          <w:lang w:val="en-GB"/>
        </w:rPr>
        <w:t xml:space="preserve">Each course of treatment is made up of two separate infusions which are given 2 weeks apart. If you respond well to treatment, you may be given MabThera as a maintenance treatment.  This will be administered 1 year and 18 months after the initial treatment and then every 6 months as needed or your doctor may change this, depending on how you </w:t>
      </w:r>
      <w:r w:rsidRPr="00F638AF">
        <w:rPr>
          <w:bCs/>
          <w:szCs w:val="22"/>
          <w:lang w:val="en-GB"/>
        </w:rPr>
        <w:t>respond to the medicine.</w:t>
      </w:r>
    </w:p>
    <w:p w14:paraId="7C3326D8" w14:textId="77777777" w:rsidR="00F27336" w:rsidRPr="00F638AF" w:rsidRDefault="00F27336" w:rsidP="00151941">
      <w:pPr>
        <w:rPr>
          <w:szCs w:val="22"/>
          <w:lang w:val="en-GB"/>
        </w:rPr>
      </w:pPr>
    </w:p>
    <w:p w14:paraId="7C3326D9" w14:textId="77777777" w:rsidR="00B61585" w:rsidRPr="00F638AF" w:rsidRDefault="00016F29" w:rsidP="00063D4E">
      <w:pPr>
        <w:keepNext/>
        <w:keepLines/>
        <w:rPr>
          <w:szCs w:val="22"/>
          <w:lang w:val="en-GB"/>
        </w:rPr>
      </w:pPr>
      <w:r w:rsidRPr="00F638AF">
        <w:rPr>
          <w:szCs w:val="22"/>
          <w:lang w:val="en-GB"/>
        </w:rPr>
        <w:t>If you have any further questions on the use of this medicine, ask your doctor, pharmacist or nurse.</w:t>
      </w:r>
    </w:p>
    <w:p w14:paraId="7C3326DA" w14:textId="77777777" w:rsidR="00F27336" w:rsidRPr="00F638AF" w:rsidRDefault="00F27336" w:rsidP="00063D4E">
      <w:pPr>
        <w:keepNext/>
        <w:keepLines/>
        <w:rPr>
          <w:szCs w:val="22"/>
          <w:lang w:val="en-GB"/>
        </w:rPr>
      </w:pPr>
    </w:p>
    <w:p w14:paraId="7C3326DB" w14:textId="77777777" w:rsidR="00DA3324" w:rsidRPr="00F638AF" w:rsidRDefault="00DA3324" w:rsidP="00063D4E">
      <w:pPr>
        <w:keepNext/>
        <w:keepLines/>
        <w:rPr>
          <w:szCs w:val="22"/>
          <w:lang w:val="en-GB"/>
        </w:rPr>
      </w:pPr>
    </w:p>
    <w:p w14:paraId="7C3326DC" w14:textId="77777777" w:rsidR="00B61585" w:rsidRPr="00F638AF" w:rsidRDefault="00016F29" w:rsidP="00063D4E">
      <w:pPr>
        <w:keepNext/>
        <w:keepLines/>
        <w:ind w:left="567" w:hanging="567"/>
        <w:rPr>
          <w:szCs w:val="22"/>
          <w:lang w:val="en-GB"/>
        </w:rPr>
      </w:pPr>
      <w:r w:rsidRPr="00F638AF">
        <w:rPr>
          <w:b/>
          <w:szCs w:val="22"/>
          <w:lang w:val="en-GB"/>
        </w:rPr>
        <w:t>4.</w:t>
      </w:r>
      <w:r w:rsidRPr="00F638AF">
        <w:rPr>
          <w:b/>
          <w:szCs w:val="22"/>
          <w:lang w:val="en-GB"/>
        </w:rPr>
        <w:tab/>
        <w:t>Possible side effects</w:t>
      </w:r>
    </w:p>
    <w:p w14:paraId="7C3326DD" w14:textId="77777777" w:rsidR="00B61585" w:rsidRPr="00F638AF" w:rsidRDefault="00B61585" w:rsidP="00B61585">
      <w:pPr>
        <w:rPr>
          <w:szCs w:val="22"/>
          <w:lang w:val="en-GB"/>
        </w:rPr>
      </w:pPr>
    </w:p>
    <w:p w14:paraId="7C3326DE" w14:textId="77777777" w:rsidR="00B61585" w:rsidRPr="00F638AF" w:rsidRDefault="00016F29" w:rsidP="00B61585">
      <w:pPr>
        <w:rPr>
          <w:szCs w:val="22"/>
          <w:lang w:val="en-GB"/>
        </w:rPr>
      </w:pPr>
      <w:r w:rsidRPr="00F638AF">
        <w:rPr>
          <w:szCs w:val="22"/>
          <w:lang w:val="en-GB"/>
        </w:rPr>
        <w:t>Like all medicines, this medicine can cause side effects, although not everybody gets them.</w:t>
      </w:r>
    </w:p>
    <w:p w14:paraId="7C3326DF" w14:textId="77777777" w:rsidR="00B61585" w:rsidRPr="00F638AF" w:rsidRDefault="00B61585" w:rsidP="00B61585">
      <w:pPr>
        <w:rPr>
          <w:szCs w:val="22"/>
          <w:lang w:val="en-GB"/>
        </w:rPr>
      </w:pPr>
    </w:p>
    <w:p w14:paraId="7C3326E0" w14:textId="77777777" w:rsidR="00B61585" w:rsidRPr="00F638AF" w:rsidRDefault="00016F29" w:rsidP="00B61585">
      <w:pPr>
        <w:rPr>
          <w:szCs w:val="22"/>
          <w:lang w:val="en-GB"/>
        </w:rPr>
      </w:pPr>
      <w:r w:rsidRPr="00F638AF">
        <w:rPr>
          <w:szCs w:val="22"/>
          <w:lang w:val="en-GB"/>
        </w:rPr>
        <w:t>Most side effects are mild to moderate but some may be serious and require treatment. Rarely, some of these reactions have been fatal.</w:t>
      </w:r>
    </w:p>
    <w:p w14:paraId="7C3326E1" w14:textId="77777777" w:rsidR="00B61585" w:rsidRPr="00F638AF" w:rsidRDefault="00B61585" w:rsidP="00B61585">
      <w:pPr>
        <w:rPr>
          <w:szCs w:val="22"/>
          <w:lang w:val="en-GB"/>
        </w:rPr>
      </w:pPr>
    </w:p>
    <w:p w14:paraId="7C3326E2" w14:textId="77777777" w:rsidR="00A13436" w:rsidRPr="00F638AF" w:rsidRDefault="00016F29" w:rsidP="00A13436">
      <w:pPr>
        <w:outlineLvl w:val="0"/>
        <w:rPr>
          <w:b/>
          <w:szCs w:val="22"/>
          <w:lang w:val="en-GB"/>
        </w:rPr>
      </w:pPr>
      <w:r w:rsidRPr="00F638AF">
        <w:rPr>
          <w:b/>
          <w:bCs/>
          <w:szCs w:val="22"/>
          <w:lang w:val="en-GB"/>
        </w:rPr>
        <w:t>Infusion reactions</w:t>
      </w:r>
    </w:p>
    <w:p w14:paraId="7C3326E3" w14:textId="77777777" w:rsidR="00B61585" w:rsidRPr="00F638AF" w:rsidRDefault="00016F29" w:rsidP="00B61585">
      <w:pPr>
        <w:rPr>
          <w:lang w:val="en-GB"/>
        </w:rPr>
      </w:pPr>
      <w:r w:rsidRPr="00F638AF">
        <w:rPr>
          <w:szCs w:val="22"/>
          <w:lang w:val="en-GB"/>
        </w:rPr>
        <w:t>During or within the first 2</w:t>
      </w:r>
      <w:r w:rsidR="00151941" w:rsidRPr="00F638AF">
        <w:rPr>
          <w:szCs w:val="22"/>
          <w:lang w:val="en-GB"/>
        </w:rPr>
        <w:t>4</w:t>
      </w:r>
      <w:r w:rsidRPr="00F638AF">
        <w:rPr>
          <w:szCs w:val="22"/>
          <w:lang w:val="en-GB"/>
        </w:rPr>
        <w:t xml:space="preserve"> hours of the infusion you may develop fever, chills and shivering. Less frequently, some patients may experience pain at the infusion site, blisters, itching, sickness</w:t>
      </w:r>
      <w:r w:rsidR="00151941" w:rsidRPr="00F638AF">
        <w:rPr>
          <w:szCs w:val="22"/>
          <w:lang w:val="en-GB"/>
        </w:rPr>
        <w:t xml:space="preserve"> (n</w:t>
      </w:r>
      <w:r w:rsidR="00F27336" w:rsidRPr="00F638AF">
        <w:rPr>
          <w:szCs w:val="22"/>
          <w:lang w:val="en-GB"/>
        </w:rPr>
        <w:t>a</w:t>
      </w:r>
      <w:r w:rsidR="00151941" w:rsidRPr="00F638AF">
        <w:rPr>
          <w:szCs w:val="22"/>
          <w:lang w:val="en-GB"/>
        </w:rPr>
        <w:t>usea)</w:t>
      </w:r>
      <w:r w:rsidRPr="00F638AF">
        <w:rPr>
          <w:szCs w:val="22"/>
          <w:lang w:val="en-GB"/>
        </w:rPr>
        <w:t xml:space="preserve">, tiredness, headache, breathing difficulties, </w:t>
      </w:r>
      <w:r w:rsidR="00207325" w:rsidRPr="00F638AF">
        <w:rPr>
          <w:szCs w:val="22"/>
          <w:lang w:val="en-GB"/>
        </w:rPr>
        <w:t>blood pressure</w:t>
      </w:r>
      <w:r w:rsidR="00827B4C" w:rsidRPr="00F638AF">
        <w:rPr>
          <w:szCs w:val="22"/>
          <w:lang w:val="en-GB"/>
        </w:rPr>
        <w:t xml:space="preserve"> raised</w:t>
      </w:r>
      <w:r w:rsidR="00207325" w:rsidRPr="00F638AF">
        <w:rPr>
          <w:szCs w:val="22"/>
          <w:lang w:val="en-GB"/>
        </w:rPr>
        <w:t xml:space="preserve">, </w:t>
      </w:r>
      <w:r w:rsidR="00827B4C" w:rsidRPr="00F638AF">
        <w:rPr>
          <w:szCs w:val="22"/>
          <w:lang w:val="en-GB"/>
        </w:rPr>
        <w:t xml:space="preserve">wheezing, </w:t>
      </w:r>
      <w:r w:rsidR="00BA3E22" w:rsidRPr="00F638AF">
        <w:rPr>
          <w:szCs w:val="22"/>
          <w:lang w:val="en-GB"/>
        </w:rPr>
        <w:t>throat discomfort,</w:t>
      </w:r>
      <w:r w:rsidR="00076489" w:rsidRPr="00F638AF">
        <w:rPr>
          <w:szCs w:val="22"/>
          <w:lang w:val="en-GB"/>
        </w:rPr>
        <w:t xml:space="preserve"> </w:t>
      </w:r>
      <w:r w:rsidRPr="00F638AF">
        <w:rPr>
          <w:szCs w:val="22"/>
          <w:lang w:val="en-GB"/>
        </w:rPr>
        <w:t xml:space="preserve">tongue or throat swelling, itchy or runny nose, vomiting, flushing or palpitations, heart attack or low number of platelets. If you have heart disease or angina, these reactions might get worse. </w:t>
      </w:r>
      <w:r w:rsidRPr="00F638AF">
        <w:rPr>
          <w:b/>
          <w:szCs w:val="22"/>
          <w:lang w:val="en-GB"/>
        </w:rPr>
        <w:t>Tell the person giving you the infusion immediately</w:t>
      </w:r>
      <w:r w:rsidRPr="00F638AF">
        <w:rPr>
          <w:szCs w:val="22"/>
          <w:lang w:val="en-GB"/>
        </w:rPr>
        <w:t xml:space="preserve"> if you </w:t>
      </w:r>
      <w:r w:rsidR="004E269F" w:rsidRPr="00F638AF">
        <w:rPr>
          <w:szCs w:val="22"/>
          <w:lang w:val="en-GB"/>
        </w:rPr>
        <w:t xml:space="preserve">or your child </w:t>
      </w:r>
      <w:r w:rsidRPr="00F638AF">
        <w:rPr>
          <w:szCs w:val="22"/>
          <w:lang w:val="en-GB"/>
        </w:rPr>
        <w:t>develop</w:t>
      </w:r>
      <w:r w:rsidR="004E269F" w:rsidRPr="00F638AF">
        <w:rPr>
          <w:szCs w:val="22"/>
          <w:lang w:val="en-GB"/>
        </w:rPr>
        <w:t>s</w:t>
      </w:r>
      <w:r w:rsidRPr="00F638AF">
        <w:rPr>
          <w:szCs w:val="22"/>
          <w:lang w:val="en-GB"/>
        </w:rPr>
        <w:t xml:space="preserve"> any of these symptoms, as the infusion may need to be slowed down or stopped. You may require additional treatment such as an antihistamine or paracetamol. When these symptoms go away, or improve, the infusion can be continued. These reactions are less likely to happen after the second infusion. Your doctor may decide to stop your MabThera treatment if these reactions are serious.</w:t>
      </w:r>
    </w:p>
    <w:p w14:paraId="7C3326E4" w14:textId="77777777" w:rsidR="00B61585" w:rsidRPr="00F638AF" w:rsidRDefault="00B61585" w:rsidP="00B61585">
      <w:pPr>
        <w:rPr>
          <w:szCs w:val="22"/>
          <w:lang w:val="en-GB"/>
        </w:rPr>
      </w:pPr>
    </w:p>
    <w:p w14:paraId="7C3326E5" w14:textId="77777777" w:rsidR="00B61585" w:rsidRPr="00F638AF" w:rsidRDefault="00016F29" w:rsidP="0099733D">
      <w:pPr>
        <w:keepNext/>
        <w:keepLines/>
        <w:outlineLvl w:val="0"/>
        <w:rPr>
          <w:b/>
          <w:lang w:val="en-GB"/>
        </w:rPr>
      </w:pPr>
      <w:r w:rsidRPr="00F638AF">
        <w:rPr>
          <w:b/>
          <w:lang w:val="en-GB"/>
        </w:rPr>
        <w:t>Infections</w:t>
      </w:r>
    </w:p>
    <w:p w14:paraId="7C3326E6" w14:textId="77777777" w:rsidR="00B61585" w:rsidRPr="00F638AF" w:rsidRDefault="00016F29" w:rsidP="0099733D">
      <w:pPr>
        <w:keepNext/>
        <w:keepLines/>
        <w:rPr>
          <w:b/>
          <w:lang w:val="en-GB"/>
        </w:rPr>
      </w:pPr>
      <w:r w:rsidRPr="00F638AF">
        <w:rPr>
          <w:b/>
          <w:szCs w:val="22"/>
          <w:lang w:val="en-GB"/>
        </w:rPr>
        <w:t xml:space="preserve">Tell your doctor immediately </w:t>
      </w:r>
      <w:r w:rsidRPr="00F638AF">
        <w:rPr>
          <w:b/>
          <w:lang w:val="en-GB"/>
        </w:rPr>
        <w:t xml:space="preserve">if you </w:t>
      </w:r>
      <w:r w:rsidR="004E269F" w:rsidRPr="00F638AF">
        <w:rPr>
          <w:b/>
          <w:lang w:val="en-GB"/>
        </w:rPr>
        <w:t xml:space="preserve">or your child </w:t>
      </w:r>
      <w:r w:rsidRPr="00F638AF">
        <w:rPr>
          <w:b/>
          <w:lang w:val="en-GB"/>
        </w:rPr>
        <w:t>get</w:t>
      </w:r>
      <w:r w:rsidR="004E269F" w:rsidRPr="00F638AF">
        <w:rPr>
          <w:b/>
          <w:lang w:val="en-GB"/>
        </w:rPr>
        <w:t>s</w:t>
      </w:r>
      <w:r w:rsidRPr="00F638AF">
        <w:rPr>
          <w:b/>
          <w:lang w:val="en-GB"/>
        </w:rPr>
        <w:t xml:space="preserve"> signs of an infection including:</w:t>
      </w:r>
    </w:p>
    <w:p w14:paraId="7C3326E7" w14:textId="77777777" w:rsidR="00B61585" w:rsidRPr="00F638AF" w:rsidRDefault="00B61585" w:rsidP="0099733D">
      <w:pPr>
        <w:keepNext/>
        <w:keepLines/>
        <w:rPr>
          <w:b/>
          <w:lang w:val="en-GB"/>
        </w:rPr>
      </w:pPr>
    </w:p>
    <w:p w14:paraId="7C3326E8" w14:textId="77777777" w:rsidR="00B61585" w:rsidRPr="00F638AF" w:rsidRDefault="00016F29" w:rsidP="0099733D">
      <w:pPr>
        <w:keepNext/>
        <w:keepLines/>
        <w:tabs>
          <w:tab w:val="left" w:pos="567"/>
        </w:tabs>
        <w:ind w:left="567" w:hanging="567"/>
        <w:outlineLvl w:val="0"/>
        <w:rPr>
          <w:rFonts w:cs="Arial"/>
          <w:lang w:val="en-GB"/>
        </w:rPr>
      </w:pPr>
      <w:r w:rsidRPr="00E06A78">
        <w:rPr>
          <w:rFonts w:ascii="Symbol" w:hAnsi="Symbol"/>
          <w:lang w:val="en-GB"/>
        </w:rPr>
        <w:sym w:font="Symbol" w:char="F0B7"/>
      </w:r>
      <w:r w:rsidRPr="00F638AF">
        <w:rPr>
          <w:szCs w:val="22"/>
          <w:lang w:val="en-GB"/>
        </w:rPr>
        <w:tab/>
      </w:r>
      <w:r w:rsidRPr="00F638AF">
        <w:rPr>
          <w:rFonts w:cs="Arial"/>
          <w:lang w:val="en-GB"/>
        </w:rPr>
        <w:t>fever, cough, sore throat, burning pain when passing urine or feeling weak or generally unwell</w:t>
      </w:r>
    </w:p>
    <w:p w14:paraId="7C3326E9" w14:textId="77777777" w:rsidR="00B61585" w:rsidRPr="00F638AF" w:rsidRDefault="00016F29" w:rsidP="0099733D">
      <w:pPr>
        <w:keepNext/>
        <w:keepLines/>
        <w:tabs>
          <w:tab w:val="left" w:pos="567"/>
        </w:tabs>
        <w:ind w:left="567" w:hanging="567"/>
        <w:outlineLvl w:val="0"/>
        <w:rPr>
          <w:rFonts w:cs="Arial"/>
          <w:lang w:val="en-GB"/>
        </w:rPr>
      </w:pPr>
      <w:r w:rsidRPr="00E06A78">
        <w:rPr>
          <w:rFonts w:ascii="Symbol" w:hAnsi="Symbol"/>
          <w:lang w:val="en-GB"/>
        </w:rPr>
        <w:sym w:font="Symbol" w:char="F0B7"/>
      </w:r>
      <w:r w:rsidRPr="00F638AF">
        <w:rPr>
          <w:szCs w:val="22"/>
          <w:lang w:val="en-GB"/>
        </w:rPr>
        <w:tab/>
      </w:r>
      <w:r w:rsidRPr="00F638AF">
        <w:rPr>
          <w:rFonts w:cs="Arial"/>
          <w:lang w:val="en-GB"/>
        </w:rPr>
        <w:t>memory loss, trouble thinking, difficulty walking or sight loss – these may be due to a very rare, serious brain infection, which has been fatal (Progressive Multifocal Leukoencephalopathy or PML).</w:t>
      </w:r>
    </w:p>
    <w:p w14:paraId="7C3326EA" w14:textId="77777777" w:rsidR="00B61585" w:rsidRPr="00F638AF" w:rsidRDefault="00016F29" w:rsidP="00B61585">
      <w:pPr>
        <w:outlineLvl w:val="0"/>
        <w:rPr>
          <w:rFonts w:cs="Arial"/>
          <w:lang w:val="en-GB"/>
        </w:rPr>
      </w:pPr>
      <w:r w:rsidRPr="00F638AF">
        <w:rPr>
          <w:lang w:val="en-GB"/>
        </w:rPr>
        <w:t xml:space="preserve">You might get infections more easily </w:t>
      </w:r>
      <w:r w:rsidRPr="00F638AF">
        <w:rPr>
          <w:rFonts w:cs="Arial"/>
          <w:lang w:val="en-GB"/>
        </w:rPr>
        <w:t>during your treatment with MabThera</w:t>
      </w:r>
      <w:r w:rsidRPr="00F638AF">
        <w:rPr>
          <w:lang w:val="en-GB"/>
        </w:rPr>
        <w:t xml:space="preserve">. </w:t>
      </w:r>
    </w:p>
    <w:p w14:paraId="7C3326EB" w14:textId="77777777" w:rsidR="00B61585" w:rsidRPr="00F638AF" w:rsidRDefault="00016F29" w:rsidP="00B61585">
      <w:pPr>
        <w:outlineLvl w:val="0"/>
        <w:rPr>
          <w:rFonts w:cs="Arial"/>
          <w:lang w:val="en-GB"/>
        </w:rPr>
      </w:pPr>
      <w:r w:rsidRPr="00F638AF">
        <w:rPr>
          <w:rFonts w:cs="Arial"/>
          <w:lang w:val="en-GB"/>
        </w:rPr>
        <w:t>These are often colds, but there have been cases of pneumonia or urinary infections. These are listed below under “Other side effects”.</w:t>
      </w:r>
    </w:p>
    <w:p w14:paraId="7C3326EC" w14:textId="77777777" w:rsidR="00B61585" w:rsidRPr="00F638AF" w:rsidRDefault="00B61585" w:rsidP="00B61585">
      <w:pPr>
        <w:rPr>
          <w:szCs w:val="22"/>
          <w:lang w:val="en-GB"/>
        </w:rPr>
      </w:pPr>
    </w:p>
    <w:p w14:paraId="7C3326ED" w14:textId="77777777" w:rsidR="00B61585" w:rsidRPr="00F638AF" w:rsidRDefault="00016F29" w:rsidP="00B61585">
      <w:pPr>
        <w:rPr>
          <w:szCs w:val="22"/>
          <w:lang w:val="en-GB"/>
        </w:rPr>
      </w:pPr>
      <w:r w:rsidRPr="00F638AF">
        <w:rPr>
          <w:szCs w:val="22"/>
          <w:lang w:val="en-GB"/>
        </w:rPr>
        <w:t>If you are being treated for rheumatoid arthritis</w:t>
      </w:r>
      <w:r w:rsidR="00827B4C" w:rsidRPr="00F638AF">
        <w:rPr>
          <w:szCs w:val="22"/>
          <w:lang w:val="en-GB"/>
        </w:rPr>
        <w:t>, granulomatosis with polyangiitis</w:t>
      </w:r>
      <w:r w:rsidR="00151941" w:rsidRPr="00F638AF">
        <w:rPr>
          <w:szCs w:val="22"/>
          <w:lang w:val="en-GB"/>
        </w:rPr>
        <w:t>,</w:t>
      </w:r>
      <w:r w:rsidR="00827B4C" w:rsidRPr="00F638AF">
        <w:rPr>
          <w:szCs w:val="22"/>
          <w:lang w:val="en-GB"/>
        </w:rPr>
        <w:t xml:space="preserve"> microscopic polyangiitis</w:t>
      </w:r>
      <w:r w:rsidR="00151941" w:rsidRPr="00F638AF">
        <w:rPr>
          <w:szCs w:val="22"/>
          <w:lang w:val="en-GB"/>
        </w:rPr>
        <w:t xml:space="preserve"> or pemphigus vulgaris</w:t>
      </w:r>
      <w:r w:rsidRPr="00F638AF">
        <w:rPr>
          <w:szCs w:val="22"/>
          <w:lang w:val="en-GB"/>
        </w:rPr>
        <w:t>, you will also find this information in the Patient Alert Card you have been given by your doctor.  It is important that you keep this Alert Card and show it to your partner or caregiver.</w:t>
      </w:r>
    </w:p>
    <w:p w14:paraId="7C3326EE" w14:textId="77777777" w:rsidR="00B61585" w:rsidRPr="00F638AF" w:rsidRDefault="00B61585" w:rsidP="00B61585">
      <w:pPr>
        <w:rPr>
          <w:szCs w:val="22"/>
          <w:lang w:val="en-GB"/>
        </w:rPr>
      </w:pPr>
    </w:p>
    <w:p w14:paraId="7C3326EF" w14:textId="77777777" w:rsidR="00B61585" w:rsidRPr="00F638AF" w:rsidRDefault="00016F29" w:rsidP="00B61585">
      <w:pPr>
        <w:rPr>
          <w:b/>
          <w:szCs w:val="22"/>
          <w:lang w:val="en-GB"/>
        </w:rPr>
      </w:pPr>
      <w:r w:rsidRPr="00F638AF">
        <w:rPr>
          <w:b/>
          <w:szCs w:val="22"/>
          <w:lang w:val="en-GB"/>
        </w:rPr>
        <w:t>Skin Reactions</w:t>
      </w:r>
    </w:p>
    <w:p w14:paraId="7C3326F0" w14:textId="77777777" w:rsidR="00B61585" w:rsidRPr="00F638AF" w:rsidRDefault="00016F29" w:rsidP="00B61585">
      <w:pPr>
        <w:rPr>
          <w:snapToGrid w:val="0"/>
          <w:lang w:val="en-GB" w:eastAsia="en-US"/>
        </w:rPr>
      </w:pPr>
      <w:r w:rsidRPr="00F638AF">
        <w:rPr>
          <w:snapToGrid w:val="0"/>
          <w:lang w:val="en-GB" w:eastAsia="en-US"/>
        </w:rPr>
        <w:t>Very rarely, severe blistering skin conditions that can be life</w:t>
      </w:r>
      <w:r w:rsidR="000A6DDA" w:rsidRPr="00F638AF">
        <w:rPr>
          <w:snapToGrid w:val="0"/>
          <w:lang w:val="en-GB" w:eastAsia="en-US"/>
        </w:rPr>
        <w:noBreakHyphen/>
      </w:r>
      <w:r w:rsidRPr="00F638AF">
        <w:rPr>
          <w:snapToGrid w:val="0"/>
          <w:lang w:val="en-GB" w:eastAsia="en-US"/>
        </w:rPr>
        <w:t xml:space="preserve">threatening may occur.  Redness, often associated with blisters, may appear on the skin or on mucous membranes, such as inside the mouth, the genital areas or the eyelids, and fever may be present.  </w:t>
      </w:r>
      <w:r w:rsidRPr="00F638AF">
        <w:rPr>
          <w:b/>
          <w:snapToGrid w:val="0"/>
          <w:lang w:val="en-GB" w:eastAsia="en-US"/>
        </w:rPr>
        <w:t>Tell your doctor immediately if you experience any of these symptoms.</w:t>
      </w:r>
    </w:p>
    <w:p w14:paraId="7C3326F1" w14:textId="77777777" w:rsidR="00B61585" w:rsidRPr="00F638AF" w:rsidRDefault="00B61585" w:rsidP="00B61585">
      <w:pPr>
        <w:rPr>
          <w:szCs w:val="22"/>
          <w:lang w:val="en-GB"/>
        </w:rPr>
      </w:pPr>
    </w:p>
    <w:p w14:paraId="7C3326F2" w14:textId="77777777" w:rsidR="00B61585" w:rsidRPr="00F638AF" w:rsidRDefault="00016F29" w:rsidP="009D1C2D">
      <w:pPr>
        <w:keepNext/>
        <w:keepLines/>
        <w:outlineLvl w:val="0"/>
        <w:rPr>
          <w:b/>
          <w:szCs w:val="22"/>
          <w:lang w:val="en-GB"/>
        </w:rPr>
      </w:pPr>
      <w:r w:rsidRPr="00F638AF">
        <w:rPr>
          <w:b/>
          <w:szCs w:val="22"/>
          <w:lang w:val="en-GB"/>
        </w:rPr>
        <w:t>Other side effects include:</w:t>
      </w:r>
    </w:p>
    <w:p w14:paraId="7C3326F3" w14:textId="77777777" w:rsidR="00B61585" w:rsidRPr="00F638AF" w:rsidRDefault="00016F29" w:rsidP="009D1C2D">
      <w:pPr>
        <w:keepNext/>
        <w:keepLines/>
        <w:tabs>
          <w:tab w:val="left" w:pos="426"/>
        </w:tabs>
        <w:rPr>
          <w:szCs w:val="22"/>
          <w:lang w:val="en-GB"/>
        </w:rPr>
      </w:pPr>
      <w:r w:rsidRPr="00F638AF">
        <w:rPr>
          <w:b/>
          <w:lang w:val="en-GB"/>
        </w:rPr>
        <w:t>a)</w:t>
      </w:r>
      <w:r w:rsidRPr="00F638AF">
        <w:rPr>
          <w:b/>
          <w:lang w:val="en-GB"/>
        </w:rPr>
        <w:tab/>
        <w:t xml:space="preserve">If you </w:t>
      </w:r>
      <w:r w:rsidR="0047764D" w:rsidRPr="00F638AF">
        <w:rPr>
          <w:b/>
          <w:lang w:val="en-GB"/>
        </w:rPr>
        <w:t xml:space="preserve">or your child </w:t>
      </w:r>
      <w:r w:rsidRPr="00F638AF">
        <w:rPr>
          <w:b/>
          <w:lang w:val="en-GB"/>
        </w:rPr>
        <w:t>are being treated for non</w:t>
      </w:r>
      <w:r w:rsidR="000A6DDA" w:rsidRPr="00F638AF">
        <w:rPr>
          <w:b/>
          <w:lang w:val="en-GB"/>
        </w:rPr>
        <w:noBreakHyphen/>
      </w:r>
      <w:r w:rsidRPr="00F638AF">
        <w:rPr>
          <w:b/>
          <w:lang w:val="en-GB"/>
        </w:rPr>
        <w:t>Hodgkin’s Lymphoma or chronic lymphocytic leukaemia</w:t>
      </w:r>
    </w:p>
    <w:p w14:paraId="7C3326F4" w14:textId="77777777" w:rsidR="00B61585" w:rsidRPr="00F638AF" w:rsidRDefault="00B61585" w:rsidP="009D1C2D">
      <w:pPr>
        <w:keepNext/>
        <w:keepLines/>
        <w:rPr>
          <w:iCs/>
          <w:lang w:val="en-GB"/>
        </w:rPr>
      </w:pPr>
    </w:p>
    <w:p w14:paraId="7C3326F5" w14:textId="77777777" w:rsidR="00B61585" w:rsidRPr="00F638AF" w:rsidRDefault="00016F29" w:rsidP="00B61585">
      <w:pPr>
        <w:ind w:left="728" w:hanging="322"/>
        <w:rPr>
          <w:iCs/>
          <w:lang w:val="en-GB"/>
        </w:rPr>
      </w:pPr>
      <w:r w:rsidRPr="00F638AF">
        <w:rPr>
          <w:iCs/>
          <w:lang w:val="en-GB"/>
        </w:rPr>
        <w:t xml:space="preserve">Very common </w:t>
      </w:r>
      <w:r w:rsidRPr="00F638AF">
        <w:rPr>
          <w:szCs w:val="22"/>
          <w:lang w:val="en-GB" w:eastAsia="en-US"/>
        </w:rPr>
        <w:t>side effects (may affect more than 1 in 10 people):</w:t>
      </w:r>
    </w:p>
    <w:p w14:paraId="7C3326F6" w14:textId="77777777" w:rsidR="00B61585" w:rsidRPr="00F638AF" w:rsidRDefault="00016F29" w:rsidP="00B61585">
      <w:pPr>
        <w:ind w:left="728" w:hanging="322"/>
        <w:rPr>
          <w:iCs/>
          <w:lang w:val="en-GB"/>
        </w:rPr>
      </w:pPr>
      <w:r w:rsidRPr="00550F18">
        <w:rPr>
          <w:rFonts w:ascii="Symbol" w:hAnsi="Symbol"/>
          <w:lang w:val="en-GB"/>
        </w:rPr>
        <w:sym w:font="Symbol" w:char="F0B7"/>
      </w:r>
      <w:r w:rsidRPr="00F638AF">
        <w:rPr>
          <w:iCs/>
          <w:lang w:val="en-GB"/>
        </w:rPr>
        <w:tab/>
      </w:r>
      <w:r w:rsidRPr="00F638AF">
        <w:rPr>
          <w:szCs w:val="22"/>
          <w:lang w:val="en-GB" w:eastAsia="en-US"/>
        </w:rPr>
        <w:t>bacterial or viral infections, bronchitis</w:t>
      </w:r>
    </w:p>
    <w:p w14:paraId="7C3326F7" w14:textId="77777777" w:rsidR="00B61585" w:rsidRPr="00F638AF" w:rsidRDefault="00016F29" w:rsidP="00B61585">
      <w:pPr>
        <w:ind w:left="728" w:hanging="322"/>
        <w:rPr>
          <w:iCs/>
          <w:lang w:val="en-GB"/>
        </w:rPr>
      </w:pPr>
      <w:r w:rsidRPr="00550F18">
        <w:rPr>
          <w:rFonts w:ascii="Symbol" w:hAnsi="Symbol"/>
          <w:lang w:val="en-GB"/>
        </w:rPr>
        <w:sym w:font="Symbol" w:char="F0B7"/>
      </w:r>
      <w:r w:rsidRPr="00F638AF">
        <w:rPr>
          <w:szCs w:val="22"/>
          <w:lang w:val="en-GB"/>
        </w:rPr>
        <w:tab/>
        <w:t>low number of white blood cells, with or without fever</w:t>
      </w:r>
      <w:r w:rsidRPr="00F638AF">
        <w:rPr>
          <w:szCs w:val="22"/>
          <w:lang w:val="en-GB" w:eastAsia="en-US"/>
        </w:rPr>
        <w:t xml:space="preserve"> or blood cells called “platelets”</w:t>
      </w:r>
    </w:p>
    <w:p w14:paraId="7C3326F8" w14:textId="77777777" w:rsidR="00B61585" w:rsidRPr="00F638AF" w:rsidRDefault="00016F29" w:rsidP="00B61585">
      <w:pPr>
        <w:ind w:left="728" w:hanging="322"/>
        <w:rPr>
          <w:iCs/>
          <w:lang w:val="en-GB"/>
        </w:rPr>
      </w:pPr>
      <w:r w:rsidRPr="00550F18">
        <w:rPr>
          <w:rFonts w:ascii="Symbol" w:hAnsi="Symbol"/>
          <w:lang w:val="en-GB"/>
        </w:rPr>
        <w:sym w:font="Symbol" w:char="F0B7"/>
      </w:r>
      <w:r w:rsidRPr="00F638AF">
        <w:rPr>
          <w:szCs w:val="22"/>
          <w:lang w:val="en-GB"/>
        </w:rPr>
        <w:tab/>
      </w:r>
      <w:r w:rsidRPr="00F638AF">
        <w:rPr>
          <w:szCs w:val="22"/>
          <w:lang w:val="en-GB" w:eastAsia="en-US"/>
        </w:rPr>
        <w:t>feeling sick (nausea)</w:t>
      </w:r>
    </w:p>
    <w:p w14:paraId="7C3326F9" w14:textId="77777777" w:rsidR="00B61585" w:rsidRPr="00F638AF" w:rsidRDefault="00016F29" w:rsidP="00B61585">
      <w:pPr>
        <w:ind w:left="728" w:hanging="322"/>
        <w:rPr>
          <w:iCs/>
          <w:lang w:val="en-GB"/>
        </w:rPr>
      </w:pPr>
      <w:r w:rsidRPr="00550F18">
        <w:rPr>
          <w:rFonts w:ascii="Symbol" w:hAnsi="Symbol"/>
          <w:lang w:val="en-GB"/>
        </w:rPr>
        <w:sym w:font="Symbol" w:char="F0B7"/>
      </w:r>
      <w:r w:rsidRPr="00F638AF">
        <w:rPr>
          <w:szCs w:val="22"/>
          <w:lang w:val="en-GB"/>
        </w:rPr>
        <w:tab/>
      </w:r>
      <w:r w:rsidRPr="00F638AF">
        <w:rPr>
          <w:szCs w:val="22"/>
          <w:lang w:val="en-GB" w:eastAsia="en-US"/>
        </w:rPr>
        <w:t>bald spots on the scalp, chills, headache</w:t>
      </w:r>
    </w:p>
    <w:p w14:paraId="7C3326FA" w14:textId="77777777" w:rsidR="00B61585" w:rsidRPr="00F638AF" w:rsidRDefault="00016F29" w:rsidP="00B61585">
      <w:pPr>
        <w:ind w:left="728" w:hanging="322"/>
        <w:rPr>
          <w:iCs/>
          <w:lang w:val="en-GB"/>
        </w:rPr>
      </w:pPr>
      <w:r w:rsidRPr="00550F18">
        <w:rPr>
          <w:rFonts w:ascii="Symbol" w:hAnsi="Symbol"/>
          <w:lang w:val="en-GB"/>
        </w:rPr>
        <w:sym w:font="Symbol" w:char="F0B7"/>
      </w:r>
      <w:r w:rsidRPr="00F638AF">
        <w:rPr>
          <w:iCs/>
          <w:lang w:val="en-GB"/>
        </w:rPr>
        <w:tab/>
      </w:r>
      <w:r w:rsidRPr="00F638AF">
        <w:rPr>
          <w:szCs w:val="22"/>
          <w:lang w:val="en-GB" w:eastAsia="en-US"/>
        </w:rPr>
        <w:t>lower immunity – because of lower levels of anti</w:t>
      </w:r>
      <w:r w:rsidR="000A6DDA" w:rsidRPr="00F638AF">
        <w:rPr>
          <w:szCs w:val="22"/>
          <w:lang w:val="en-GB" w:eastAsia="en-US"/>
        </w:rPr>
        <w:noBreakHyphen/>
      </w:r>
      <w:r w:rsidRPr="00F638AF">
        <w:rPr>
          <w:szCs w:val="22"/>
          <w:lang w:val="en-GB" w:eastAsia="en-US"/>
        </w:rPr>
        <w:t>bodies called “immunoglobulins” (IgG) in the blood which help protect against infection</w:t>
      </w:r>
    </w:p>
    <w:p w14:paraId="7C3326FB" w14:textId="77777777" w:rsidR="00B61585" w:rsidRPr="00F638AF" w:rsidRDefault="00B61585" w:rsidP="00B61585">
      <w:pPr>
        <w:rPr>
          <w:iCs/>
          <w:lang w:val="en-GB"/>
        </w:rPr>
      </w:pPr>
    </w:p>
    <w:p w14:paraId="7C3326FC" w14:textId="77777777" w:rsidR="00B61585" w:rsidRPr="00F638AF" w:rsidRDefault="00016F29" w:rsidP="00A56CE7">
      <w:pPr>
        <w:keepNext/>
        <w:keepLines/>
        <w:rPr>
          <w:iCs/>
          <w:lang w:val="en-GB"/>
        </w:rPr>
      </w:pPr>
      <w:r w:rsidRPr="00F638AF">
        <w:rPr>
          <w:iCs/>
          <w:lang w:val="en-GB"/>
        </w:rPr>
        <w:t>Common side effects (may affect up to 1 in 10 people):</w:t>
      </w:r>
    </w:p>
    <w:p w14:paraId="7C3326FD" w14:textId="77777777" w:rsidR="00B61585" w:rsidRPr="00F638AF" w:rsidRDefault="00016F29" w:rsidP="00A56CE7">
      <w:pPr>
        <w:keepNext/>
        <w:keepLines/>
        <w:ind w:left="714" w:hanging="357"/>
        <w:rPr>
          <w:szCs w:val="22"/>
          <w:lang w:val="en-GB"/>
        </w:rPr>
      </w:pPr>
      <w:r w:rsidRPr="00550F18">
        <w:rPr>
          <w:rFonts w:ascii="Symbol" w:hAnsi="Symbol"/>
          <w:lang w:val="en-GB"/>
        </w:rPr>
        <w:sym w:font="Symbol" w:char="F0B7"/>
      </w:r>
      <w:r w:rsidRPr="00F638AF">
        <w:rPr>
          <w:iCs/>
          <w:lang w:val="en-GB"/>
        </w:rPr>
        <w:tab/>
      </w:r>
      <w:r w:rsidRPr="00F638AF">
        <w:rPr>
          <w:szCs w:val="22"/>
          <w:lang w:val="en-GB" w:eastAsia="en-US"/>
        </w:rPr>
        <w:t>infections of the blood (sepsis), pneumonia, shingles, cold, bronchial tube infections, fungal infections, infections of unknown origin, sinus inflammation, hepatitis B</w:t>
      </w:r>
    </w:p>
    <w:p w14:paraId="7C3326FE" w14:textId="77777777" w:rsidR="00B61585" w:rsidRPr="00F638AF" w:rsidRDefault="00016F29" w:rsidP="00B61585">
      <w:pPr>
        <w:ind w:left="714" w:hanging="357"/>
        <w:rPr>
          <w:szCs w:val="22"/>
          <w:lang w:val="en-GB"/>
        </w:rPr>
      </w:pPr>
      <w:r w:rsidRPr="00550F18">
        <w:rPr>
          <w:rFonts w:ascii="Symbol" w:hAnsi="Symbol"/>
          <w:lang w:val="en-GB"/>
        </w:rPr>
        <w:sym w:font="Symbol" w:char="F0B7"/>
      </w:r>
      <w:r w:rsidRPr="00F638AF">
        <w:rPr>
          <w:szCs w:val="22"/>
          <w:lang w:val="en-GB"/>
        </w:rPr>
        <w:tab/>
      </w:r>
      <w:r w:rsidRPr="00F638AF">
        <w:rPr>
          <w:szCs w:val="22"/>
          <w:lang w:val="en-GB" w:eastAsia="en-US"/>
        </w:rPr>
        <w:t>low number of red blood cells (anaemia), low number of all blood cells</w:t>
      </w:r>
    </w:p>
    <w:p w14:paraId="7C3326FF" w14:textId="77777777" w:rsidR="00B61585" w:rsidRPr="00F638AF" w:rsidRDefault="00016F29" w:rsidP="00B61585">
      <w:pPr>
        <w:ind w:left="714" w:hanging="357"/>
        <w:rPr>
          <w:szCs w:val="22"/>
          <w:lang w:val="en-GB"/>
        </w:rPr>
      </w:pPr>
      <w:r w:rsidRPr="00550F18">
        <w:rPr>
          <w:rFonts w:ascii="Symbol" w:hAnsi="Symbol"/>
          <w:lang w:val="en-GB"/>
        </w:rPr>
        <w:sym w:font="Symbol" w:char="F0B7"/>
      </w:r>
      <w:r w:rsidRPr="00F638AF">
        <w:rPr>
          <w:szCs w:val="22"/>
          <w:lang w:val="en-GB"/>
        </w:rPr>
        <w:tab/>
        <w:t>allergic reactions (hypersensitivity)</w:t>
      </w:r>
    </w:p>
    <w:p w14:paraId="7C332700" w14:textId="77777777" w:rsidR="00B61585" w:rsidRPr="00F638AF" w:rsidRDefault="00016F29" w:rsidP="00B61585">
      <w:pPr>
        <w:ind w:left="714" w:hanging="357"/>
        <w:rPr>
          <w:szCs w:val="22"/>
          <w:lang w:val="en-GB"/>
        </w:rPr>
      </w:pPr>
      <w:r w:rsidRPr="00550F18">
        <w:rPr>
          <w:rFonts w:ascii="Symbol" w:hAnsi="Symbol"/>
          <w:lang w:val="en-GB"/>
        </w:rPr>
        <w:sym w:font="Symbol" w:char="F0B7"/>
      </w:r>
      <w:r w:rsidRPr="00F638AF">
        <w:rPr>
          <w:i/>
          <w:szCs w:val="22"/>
          <w:lang w:val="en-GB"/>
        </w:rPr>
        <w:tab/>
      </w:r>
      <w:r w:rsidRPr="00F638AF">
        <w:rPr>
          <w:szCs w:val="22"/>
          <w:lang w:val="en-GB" w:eastAsia="en-US"/>
        </w:rPr>
        <w:t>high blood sugar level, weight loss, swelling in the face and body, high levels of the enzyme “LDH” in the blood, low calcium levels in the blood</w:t>
      </w:r>
    </w:p>
    <w:p w14:paraId="7C332701" w14:textId="77777777" w:rsidR="00B61585" w:rsidRPr="00F638AF" w:rsidRDefault="00016F29" w:rsidP="00B61585">
      <w:pPr>
        <w:ind w:left="714" w:hanging="357"/>
        <w:rPr>
          <w:szCs w:val="22"/>
          <w:lang w:val="en-GB"/>
        </w:rPr>
      </w:pPr>
      <w:r w:rsidRPr="00550F18">
        <w:rPr>
          <w:rFonts w:ascii="Symbol" w:hAnsi="Symbol"/>
          <w:lang w:val="en-GB"/>
        </w:rPr>
        <w:sym w:font="Symbol" w:char="F0B7"/>
      </w:r>
      <w:r w:rsidRPr="00F638AF">
        <w:rPr>
          <w:i/>
          <w:szCs w:val="22"/>
          <w:lang w:val="en-GB"/>
        </w:rPr>
        <w:tab/>
      </w:r>
      <w:r w:rsidRPr="00F638AF">
        <w:rPr>
          <w:szCs w:val="22"/>
          <w:lang w:val="en-GB" w:eastAsia="en-US"/>
        </w:rPr>
        <w:t>unusual feelings of the skin – such as numbness, tingling, pricking, burning, a creeping skin feeling, reduced sense of touch</w:t>
      </w:r>
      <w:r w:rsidRPr="00F638AF">
        <w:rPr>
          <w:szCs w:val="22"/>
          <w:lang w:val="en-GB"/>
        </w:rPr>
        <w:t xml:space="preserve"> </w:t>
      </w:r>
    </w:p>
    <w:p w14:paraId="7C332702" w14:textId="77777777" w:rsidR="00B61585" w:rsidRPr="00F638AF" w:rsidRDefault="00016F29" w:rsidP="00B61585">
      <w:pPr>
        <w:ind w:left="714" w:hanging="357"/>
        <w:rPr>
          <w:szCs w:val="22"/>
          <w:lang w:val="en-GB"/>
        </w:rPr>
      </w:pPr>
      <w:r w:rsidRPr="00550F18">
        <w:rPr>
          <w:rFonts w:ascii="Symbol" w:hAnsi="Symbol"/>
          <w:lang w:val="en-GB"/>
        </w:rPr>
        <w:sym w:font="Symbol" w:char="F0B7"/>
      </w:r>
      <w:r w:rsidRPr="00F638AF">
        <w:rPr>
          <w:szCs w:val="22"/>
          <w:lang w:val="en-GB"/>
        </w:rPr>
        <w:tab/>
        <w:t>feeling restless,</w:t>
      </w:r>
      <w:r w:rsidRPr="00F638AF">
        <w:rPr>
          <w:lang w:val="en-GB"/>
        </w:rPr>
        <w:t xml:space="preserve"> </w:t>
      </w:r>
      <w:r w:rsidRPr="00F638AF">
        <w:rPr>
          <w:szCs w:val="22"/>
          <w:lang w:val="en-GB" w:eastAsia="en-US"/>
        </w:rPr>
        <w:t>problems</w:t>
      </w:r>
      <w:r w:rsidRPr="00F638AF">
        <w:rPr>
          <w:lang w:val="en-GB"/>
        </w:rPr>
        <w:t xml:space="preserve"> falling asleep</w:t>
      </w:r>
    </w:p>
    <w:p w14:paraId="7C332703" w14:textId="77777777" w:rsidR="00B61585" w:rsidRPr="00F638AF" w:rsidRDefault="00016F29" w:rsidP="00B61585">
      <w:pPr>
        <w:ind w:left="714" w:hanging="357"/>
        <w:rPr>
          <w:szCs w:val="22"/>
          <w:lang w:val="en-GB"/>
        </w:rPr>
      </w:pPr>
      <w:r w:rsidRPr="00550F18">
        <w:rPr>
          <w:rFonts w:ascii="Symbol" w:hAnsi="Symbol"/>
          <w:lang w:val="en-GB"/>
        </w:rPr>
        <w:sym w:font="Symbol" w:char="F0B7"/>
      </w:r>
      <w:r w:rsidRPr="00F638AF">
        <w:rPr>
          <w:szCs w:val="22"/>
          <w:lang w:val="en-GB"/>
        </w:rPr>
        <w:tab/>
        <w:t xml:space="preserve">becoming </w:t>
      </w:r>
      <w:r w:rsidRPr="00F638AF">
        <w:rPr>
          <w:szCs w:val="22"/>
          <w:lang w:val="en-GB" w:eastAsia="en-US"/>
        </w:rPr>
        <w:t xml:space="preserve">very </w:t>
      </w:r>
      <w:r w:rsidRPr="00F638AF">
        <w:rPr>
          <w:szCs w:val="22"/>
          <w:lang w:val="en-GB"/>
        </w:rPr>
        <w:t xml:space="preserve">red in the face and </w:t>
      </w:r>
      <w:r w:rsidRPr="00F638AF">
        <w:rPr>
          <w:szCs w:val="22"/>
          <w:lang w:val="en-GB" w:eastAsia="en-US"/>
        </w:rPr>
        <w:t>other areas</w:t>
      </w:r>
      <w:r w:rsidRPr="00F638AF">
        <w:rPr>
          <w:szCs w:val="22"/>
          <w:lang w:val="en-GB"/>
        </w:rPr>
        <w:t xml:space="preserve"> of the skin as a consequence of </w:t>
      </w:r>
      <w:r w:rsidRPr="00F638AF">
        <w:rPr>
          <w:lang w:val="en-GB"/>
        </w:rPr>
        <w:t>dilation of the blood vessels</w:t>
      </w:r>
    </w:p>
    <w:p w14:paraId="7C332704" w14:textId="77777777" w:rsidR="00B61585" w:rsidRPr="00F638AF" w:rsidRDefault="00016F29" w:rsidP="00B61585">
      <w:pPr>
        <w:ind w:left="714" w:hanging="357"/>
        <w:rPr>
          <w:szCs w:val="22"/>
          <w:lang w:val="en-GB"/>
        </w:rPr>
      </w:pPr>
      <w:r w:rsidRPr="00550F18">
        <w:rPr>
          <w:rFonts w:ascii="Symbol" w:hAnsi="Symbol"/>
          <w:lang w:val="en-GB"/>
        </w:rPr>
        <w:sym w:font="Symbol" w:char="F0B7"/>
      </w:r>
      <w:r w:rsidRPr="00F638AF">
        <w:rPr>
          <w:szCs w:val="22"/>
          <w:lang w:val="en-GB"/>
        </w:rPr>
        <w:tab/>
      </w:r>
      <w:r w:rsidRPr="00F638AF">
        <w:rPr>
          <w:szCs w:val="22"/>
          <w:lang w:val="en-GB" w:eastAsia="en-US"/>
        </w:rPr>
        <w:t>feeling dizzy or anxious</w:t>
      </w:r>
    </w:p>
    <w:p w14:paraId="7C332705" w14:textId="77777777" w:rsidR="00B61585" w:rsidRPr="00F638AF" w:rsidRDefault="00016F29" w:rsidP="00B61585">
      <w:pPr>
        <w:ind w:left="714" w:hanging="357"/>
        <w:rPr>
          <w:szCs w:val="22"/>
          <w:lang w:val="en-GB"/>
        </w:rPr>
      </w:pPr>
      <w:r w:rsidRPr="00550F18">
        <w:rPr>
          <w:rFonts w:ascii="Symbol" w:hAnsi="Symbol"/>
          <w:lang w:val="en-GB"/>
        </w:rPr>
        <w:sym w:font="Symbol" w:char="F0B7"/>
      </w:r>
      <w:r w:rsidRPr="00F638AF">
        <w:rPr>
          <w:i/>
          <w:szCs w:val="22"/>
          <w:lang w:val="en-GB"/>
        </w:rPr>
        <w:tab/>
      </w:r>
      <w:r w:rsidRPr="00F638AF">
        <w:rPr>
          <w:szCs w:val="22"/>
          <w:lang w:val="en-GB" w:eastAsia="en-US"/>
        </w:rPr>
        <w:t>producing more tears, tear duct problems, inflamed eye (conjunctivitis)</w:t>
      </w:r>
    </w:p>
    <w:p w14:paraId="7C332706" w14:textId="77777777" w:rsidR="00B61585" w:rsidRPr="00F638AF" w:rsidRDefault="00016F29" w:rsidP="00B61585">
      <w:pPr>
        <w:ind w:left="714" w:hanging="357"/>
        <w:rPr>
          <w:szCs w:val="22"/>
          <w:lang w:val="en-GB"/>
        </w:rPr>
      </w:pPr>
      <w:r w:rsidRPr="00550F18">
        <w:rPr>
          <w:rFonts w:ascii="Symbol" w:hAnsi="Symbol"/>
          <w:lang w:val="en-GB"/>
        </w:rPr>
        <w:sym w:font="Symbol" w:char="F0B7"/>
      </w:r>
      <w:r w:rsidRPr="00F638AF">
        <w:rPr>
          <w:i/>
          <w:szCs w:val="22"/>
          <w:lang w:val="en-GB"/>
        </w:rPr>
        <w:tab/>
      </w:r>
      <w:r w:rsidRPr="00F638AF">
        <w:rPr>
          <w:iCs/>
          <w:szCs w:val="22"/>
          <w:lang w:val="en-GB"/>
        </w:rPr>
        <w:t>ringing sound in the ears</w:t>
      </w:r>
      <w:r w:rsidRPr="00F638AF">
        <w:rPr>
          <w:szCs w:val="22"/>
          <w:lang w:val="en-GB"/>
        </w:rPr>
        <w:t>, ear pain</w:t>
      </w:r>
    </w:p>
    <w:p w14:paraId="7C332707" w14:textId="77777777" w:rsidR="00B61585" w:rsidRPr="00F638AF" w:rsidRDefault="00016F29" w:rsidP="00B61585">
      <w:pPr>
        <w:ind w:left="714" w:hanging="357"/>
        <w:rPr>
          <w:szCs w:val="22"/>
          <w:lang w:val="en-GB"/>
        </w:rPr>
      </w:pPr>
      <w:r w:rsidRPr="00550F18">
        <w:rPr>
          <w:rFonts w:ascii="Symbol" w:hAnsi="Symbol"/>
          <w:lang w:val="en-GB"/>
        </w:rPr>
        <w:sym w:font="Symbol" w:char="F0B7"/>
      </w:r>
      <w:r w:rsidRPr="00F638AF">
        <w:rPr>
          <w:i/>
          <w:szCs w:val="22"/>
          <w:lang w:val="en-GB"/>
        </w:rPr>
        <w:tab/>
      </w:r>
      <w:r w:rsidRPr="00F638AF">
        <w:rPr>
          <w:szCs w:val="22"/>
          <w:lang w:val="en-GB" w:eastAsia="en-US"/>
        </w:rPr>
        <w:t>heart problems – such as heart attack, uneven or fast heart rate</w:t>
      </w:r>
    </w:p>
    <w:p w14:paraId="7C332708" w14:textId="77777777" w:rsidR="00B61585" w:rsidRPr="00F638AF" w:rsidRDefault="00016F29" w:rsidP="00B61585">
      <w:pPr>
        <w:ind w:left="714" w:hanging="357"/>
        <w:rPr>
          <w:szCs w:val="22"/>
          <w:lang w:val="en-GB"/>
        </w:rPr>
      </w:pPr>
      <w:r w:rsidRPr="00550F18">
        <w:rPr>
          <w:rFonts w:ascii="Symbol" w:hAnsi="Symbol"/>
          <w:lang w:val="en-GB"/>
        </w:rPr>
        <w:sym w:font="Symbol" w:char="F0B7"/>
      </w:r>
      <w:r w:rsidRPr="00F638AF">
        <w:rPr>
          <w:i/>
          <w:szCs w:val="22"/>
          <w:lang w:val="en-GB"/>
        </w:rPr>
        <w:tab/>
      </w:r>
      <w:r w:rsidRPr="00F638AF">
        <w:rPr>
          <w:szCs w:val="22"/>
          <w:lang w:val="en-GB" w:eastAsia="en-US"/>
        </w:rPr>
        <w:t>high or low blood pressure (low blood pressure especially when standing upright)</w:t>
      </w:r>
    </w:p>
    <w:p w14:paraId="7C332709" w14:textId="77777777" w:rsidR="00B61585" w:rsidRPr="00F638AF" w:rsidRDefault="00016F29" w:rsidP="00B61585">
      <w:pPr>
        <w:ind w:left="714" w:hanging="357"/>
        <w:rPr>
          <w:szCs w:val="22"/>
          <w:lang w:val="en-GB"/>
        </w:rPr>
      </w:pPr>
      <w:r w:rsidRPr="00550F18">
        <w:rPr>
          <w:rFonts w:ascii="Symbol" w:hAnsi="Symbol"/>
          <w:lang w:val="en-GB"/>
        </w:rPr>
        <w:sym w:font="Symbol" w:char="F0B7"/>
      </w:r>
      <w:r w:rsidRPr="00F638AF">
        <w:rPr>
          <w:iCs/>
          <w:szCs w:val="22"/>
          <w:lang w:val="en-GB"/>
        </w:rPr>
        <w:tab/>
      </w:r>
      <w:r w:rsidRPr="00F638AF">
        <w:rPr>
          <w:szCs w:val="22"/>
          <w:lang w:val="en-GB" w:eastAsia="en-US"/>
        </w:rPr>
        <w:t>tightening of the muscles in the airways which causes wheezing (bronchospasm), inflammation, irritation in the lungs, throat or sinuses, being short of breath, runny nose</w:t>
      </w:r>
    </w:p>
    <w:p w14:paraId="7C33270A" w14:textId="77777777" w:rsidR="00B61585" w:rsidRPr="00F638AF" w:rsidRDefault="00016F29" w:rsidP="00B61585">
      <w:pPr>
        <w:ind w:left="714" w:hanging="357"/>
        <w:rPr>
          <w:iCs/>
          <w:szCs w:val="22"/>
          <w:lang w:val="en-GB"/>
        </w:rPr>
      </w:pPr>
      <w:r w:rsidRPr="00550F18">
        <w:rPr>
          <w:rFonts w:ascii="Symbol" w:hAnsi="Symbol"/>
          <w:lang w:val="en-GB"/>
        </w:rPr>
        <w:sym w:font="Symbol" w:char="F0B7"/>
      </w:r>
      <w:r w:rsidRPr="00F638AF">
        <w:rPr>
          <w:i/>
          <w:szCs w:val="22"/>
          <w:lang w:val="en-GB"/>
        </w:rPr>
        <w:tab/>
      </w:r>
      <w:r w:rsidRPr="00F638AF">
        <w:rPr>
          <w:szCs w:val="22"/>
          <w:lang w:val="en-GB" w:eastAsia="en-US"/>
        </w:rPr>
        <w:t>being sick (vomiting), diarrhoea, pain in the stomach, irritation or ulcers in the throat and mouth, problems swallowing, constipation, indigestion</w:t>
      </w:r>
      <w:r w:rsidRPr="00F638AF">
        <w:rPr>
          <w:szCs w:val="22"/>
          <w:lang w:val="en-GB"/>
        </w:rPr>
        <w:t xml:space="preserve"> </w:t>
      </w:r>
    </w:p>
    <w:p w14:paraId="7C33270B" w14:textId="77777777" w:rsidR="00B61585" w:rsidRPr="00F638AF" w:rsidRDefault="00016F29" w:rsidP="00B61585">
      <w:pPr>
        <w:ind w:left="714" w:hanging="357"/>
        <w:rPr>
          <w:szCs w:val="22"/>
          <w:lang w:val="en-GB"/>
        </w:rPr>
      </w:pPr>
      <w:r w:rsidRPr="00550F18">
        <w:rPr>
          <w:rFonts w:ascii="Symbol" w:hAnsi="Symbol"/>
          <w:lang w:val="en-GB"/>
        </w:rPr>
        <w:sym w:font="Symbol" w:char="F0B7"/>
      </w:r>
      <w:r w:rsidRPr="00F638AF">
        <w:rPr>
          <w:szCs w:val="22"/>
          <w:lang w:val="en-GB"/>
        </w:rPr>
        <w:tab/>
        <w:t>eating disorder</w:t>
      </w:r>
      <w:r w:rsidRPr="00F638AF">
        <w:rPr>
          <w:iCs/>
          <w:szCs w:val="22"/>
          <w:lang w:val="en-GB"/>
        </w:rPr>
        <w:t>s,</w:t>
      </w:r>
      <w:r w:rsidRPr="00F638AF">
        <w:rPr>
          <w:szCs w:val="22"/>
          <w:lang w:val="en-GB" w:eastAsia="en-US"/>
        </w:rPr>
        <w:t xml:space="preserve"> not eating enough, leading to weight loss</w:t>
      </w:r>
    </w:p>
    <w:p w14:paraId="7C33270C" w14:textId="77777777" w:rsidR="00B61585" w:rsidRPr="00F638AF" w:rsidRDefault="00016F29" w:rsidP="00B61585">
      <w:pPr>
        <w:ind w:left="714" w:hanging="357"/>
        <w:rPr>
          <w:szCs w:val="22"/>
          <w:lang w:val="en-GB"/>
        </w:rPr>
      </w:pPr>
      <w:r w:rsidRPr="00550F18">
        <w:rPr>
          <w:rFonts w:ascii="Symbol" w:hAnsi="Symbol"/>
          <w:lang w:val="en-GB"/>
        </w:rPr>
        <w:sym w:font="Symbol" w:char="F0B7"/>
      </w:r>
      <w:r w:rsidRPr="00F638AF">
        <w:rPr>
          <w:i/>
          <w:szCs w:val="22"/>
          <w:lang w:val="en-GB"/>
        </w:rPr>
        <w:tab/>
      </w:r>
      <w:r w:rsidRPr="00F638AF">
        <w:rPr>
          <w:szCs w:val="22"/>
          <w:lang w:val="en-GB" w:eastAsia="en-US"/>
        </w:rPr>
        <w:t>hives, increased sweating, night sweats</w:t>
      </w:r>
    </w:p>
    <w:p w14:paraId="7C33270D" w14:textId="77777777" w:rsidR="00CB7D20" w:rsidRDefault="00016F29" w:rsidP="00B61585">
      <w:pPr>
        <w:ind w:left="714" w:hanging="357"/>
        <w:rPr>
          <w:szCs w:val="22"/>
          <w:lang w:val="en-GB" w:eastAsia="en-US"/>
        </w:rPr>
      </w:pPr>
      <w:r w:rsidRPr="00550F18">
        <w:rPr>
          <w:rFonts w:ascii="Symbol" w:hAnsi="Symbol"/>
          <w:lang w:val="en-GB"/>
        </w:rPr>
        <w:sym w:font="Symbol" w:char="F0B7"/>
      </w:r>
      <w:r w:rsidRPr="00F638AF">
        <w:rPr>
          <w:szCs w:val="22"/>
          <w:lang w:val="en-GB"/>
        </w:rPr>
        <w:tab/>
      </w:r>
      <w:r w:rsidRPr="00F638AF">
        <w:rPr>
          <w:szCs w:val="22"/>
          <w:lang w:val="en-GB" w:eastAsia="en-US"/>
        </w:rPr>
        <w:t>muscle problems – such as tight muscles, joint or muscle pain, back and neck pain</w:t>
      </w:r>
    </w:p>
    <w:p w14:paraId="7C33270E" w14:textId="77777777" w:rsidR="00CB7D20" w:rsidRPr="00CB7D20" w:rsidRDefault="00016F29" w:rsidP="00A56CE7">
      <w:pPr>
        <w:pStyle w:val="ListParagraph"/>
        <w:ind w:left="714" w:hanging="357"/>
        <w:rPr>
          <w:szCs w:val="22"/>
          <w:lang w:val="en-GB" w:eastAsia="en-US"/>
        </w:rPr>
      </w:pPr>
      <w:r w:rsidRPr="00550F18">
        <w:rPr>
          <w:rFonts w:ascii="Symbol" w:hAnsi="Symbol"/>
          <w:lang w:val="en-GB"/>
        </w:rPr>
        <w:sym w:font="Symbol" w:char="F0B7"/>
      </w:r>
      <w:r w:rsidRPr="00F638AF">
        <w:rPr>
          <w:szCs w:val="22"/>
          <w:lang w:val="en-GB"/>
        </w:rPr>
        <w:tab/>
      </w:r>
      <w:r w:rsidRPr="00CB7D20">
        <w:rPr>
          <w:szCs w:val="22"/>
          <w:lang w:val="en-GB" w:eastAsia="en-US"/>
        </w:rPr>
        <w:t>tumour pain</w:t>
      </w:r>
    </w:p>
    <w:p w14:paraId="7C33270F" w14:textId="77777777" w:rsidR="00B61585" w:rsidRPr="00F638AF" w:rsidRDefault="00016F29" w:rsidP="00B61585">
      <w:pPr>
        <w:ind w:left="714" w:hanging="357"/>
        <w:rPr>
          <w:lang w:val="en-GB"/>
        </w:rPr>
      </w:pPr>
      <w:r w:rsidRPr="00550F18">
        <w:rPr>
          <w:rFonts w:ascii="Symbol" w:hAnsi="Symbol"/>
          <w:lang w:val="en-GB"/>
        </w:rPr>
        <w:sym w:font="Symbol" w:char="F0B7"/>
      </w:r>
      <w:r w:rsidRPr="00F638AF">
        <w:rPr>
          <w:lang w:val="en-GB"/>
        </w:rPr>
        <w:tab/>
        <w:t xml:space="preserve">general </w:t>
      </w:r>
      <w:r w:rsidRPr="00F638AF">
        <w:rPr>
          <w:szCs w:val="22"/>
          <w:lang w:val="en-GB" w:eastAsia="en-US"/>
        </w:rPr>
        <w:t>discomfort or feeling uneasy or tired, shaking, signs of flu</w:t>
      </w:r>
    </w:p>
    <w:p w14:paraId="7C332710" w14:textId="77777777" w:rsidR="00B61585" w:rsidRPr="00F638AF" w:rsidRDefault="00016F29" w:rsidP="00B61585">
      <w:pPr>
        <w:ind w:left="714" w:hanging="357"/>
        <w:rPr>
          <w:lang w:val="en-GB"/>
        </w:rPr>
      </w:pPr>
      <w:r w:rsidRPr="00550F18">
        <w:rPr>
          <w:rFonts w:ascii="Symbol" w:hAnsi="Symbol"/>
          <w:lang w:val="en-GB"/>
        </w:rPr>
        <w:sym w:font="Symbol" w:char="F0B7"/>
      </w:r>
      <w:r w:rsidRPr="00F638AF">
        <w:rPr>
          <w:szCs w:val="22"/>
          <w:lang w:val="en-GB"/>
        </w:rPr>
        <w:tab/>
      </w:r>
      <w:r w:rsidRPr="00F638AF">
        <w:rPr>
          <w:szCs w:val="22"/>
          <w:lang w:val="en-GB" w:eastAsia="en-US"/>
        </w:rPr>
        <w:t>multiple</w:t>
      </w:r>
      <w:r w:rsidR="000A6DDA" w:rsidRPr="00F638AF">
        <w:rPr>
          <w:szCs w:val="22"/>
          <w:lang w:val="en-GB" w:eastAsia="en-US"/>
        </w:rPr>
        <w:noBreakHyphen/>
      </w:r>
      <w:r w:rsidRPr="00F638AF">
        <w:rPr>
          <w:szCs w:val="22"/>
          <w:lang w:val="en-GB" w:eastAsia="en-US"/>
        </w:rPr>
        <w:t>organ failure.</w:t>
      </w:r>
    </w:p>
    <w:p w14:paraId="7C332711" w14:textId="77777777" w:rsidR="00B61585" w:rsidRPr="00F638AF" w:rsidRDefault="00B61585" w:rsidP="00B61585">
      <w:pPr>
        <w:ind w:left="714" w:hanging="357"/>
        <w:rPr>
          <w:szCs w:val="22"/>
          <w:lang w:val="en-GB"/>
        </w:rPr>
      </w:pPr>
    </w:p>
    <w:p w14:paraId="7C332712" w14:textId="77777777" w:rsidR="00B61585" w:rsidRPr="00F638AF" w:rsidRDefault="00016F29" w:rsidP="00B61585">
      <w:pPr>
        <w:keepNext/>
        <w:keepLines/>
        <w:rPr>
          <w:snapToGrid w:val="0"/>
          <w:lang w:val="en-GB" w:eastAsia="en-US"/>
        </w:rPr>
      </w:pPr>
      <w:r w:rsidRPr="00F638AF">
        <w:rPr>
          <w:iCs/>
          <w:lang w:val="en-GB"/>
        </w:rPr>
        <w:t>Uncommon side effects (may affect up to 1 in 100 people):</w:t>
      </w:r>
    </w:p>
    <w:p w14:paraId="7C332713" w14:textId="77777777" w:rsidR="00B61585" w:rsidRPr="00F638AF" w:rsidRDefault="00016F29" w:rsidP="00B61585">
      <w:pPr>
        <w:keepNext/>
        <w:keepLines/>
        <w:ind w:left="798" w:hanging="406"/>
        <w:rPr>
          <w:snapToGrid w:val="0"/>
          <w:lang w:val="en-GB" w:eastAsia="en-US"/>
        </w:rPr>
      </w:pPr>
      <w:r w:rsidRPr="00550F18">
        <w:rPr>
          <w:rFonts w:ascii="Symbol" w:hAnsi="Symbol"/>
          <w:lang w:val="en-GB"/>
        </w:rPr>
        <w:sym w:font="Symbol" w:char="F0B7"/>
      </w:r>
      <w:r w:rsidRPr="00F638AF">
        <w:rPr>
          <w:szCs w:val="22"/>
          <w:lang w:val="en-GB"/>
        </w:rPr>
        <w:tab/>
      </w:r>
      <w:r w:rsidRPr="00F638AF">
        <w:rPr>
          <w:szCs w:val="22"/>
          <w:lang w:val="en-GB" w:eastAsia="en-US"/>
        </w:rPr>
        <w:t>blood clotting problems, decrease of red blood cell production and increase of red blood cell destruction (aplastic haemolytic anaemia), swollen or enlarged lymph nodes</w:t>
      </w:r>
    </w:p>
    <w:p w14:paraId="7C332714" w14:textId="77777777" w:rsidR="00B61585" w:rsidRPr="00F638AF" w:rsidRDefault="00016F29" w:rsidP="00B61585">
      <w:pPr>
        <w:ind w:left="798" w:hanging="406"/>
        <w:rPr>
          <w:snapToGrid w:val="0"/>
          <w:lang w:val="en-GB" w:eastAsia="en-US"/>
        </w:rPr>
      </w:pPr>
      <w:r w:rsidRPr="00550F18">
        <w:rPr>
          <w:rFonts w:ascii="Symbol" w:hAnsi="Symbol"/>
          <w:lang w:val="en-GB"/>
        </w:rPr>
        <w:sym w:font="Symbol" w:char="F0B7"/>
      </w:r>
      <w:r w:rsidRPr="00F638AF">
        <w:rPr>
          <w:lang w:val="en-GB"/>
        </w:rPr>
        <w:tab/>
      </w:r>
      <w:r w:rsidRPr="00F638AF">
        <w:rPr>
          <w:szCs w:val="22"/>
          <w:lang w:val="en-GB" w:eastAsia="en-US"/>
        </w:rPr>
        <w:t>low mood and loss of interest or enjoyment in doing things, feeling nervous</w:t>
      </w:r>
    </w:p>
    <w:p w14:paraId="7C332715" w14:textId="77777777" w:rsidR="00B61585" w:rsidRPr="00F638AF" w:rsidRDefault="00016F29" w:rsidP="00B61585">
      <w:pPr>
        <w:ind w:left="798" w:hanging="406"/>
        <w:rPr>
          <w:snapToGrid w:val="0"/>
          <w:lang w:val="en-GB" w:eastAsia="en-US"/>
        </w:rPr>
      </w:pPr>
      <w:r w:rsidRPr="00550F18">
        <w:rPr>
          <w:rFonts w:ascii="Symbol" w:hAnsi="Symbol"/>
          <w:lang w:val="en-GB"/>
        </w:rPr>
        <w:sym w:font="Symbol" w:char="F0B7"/>
      </w:r>
      <w:r w:rsidRPr="00F638AF">
        <w:rPr>
          <w:szCs w:val="22"/>
          <w:lang w:val="en-GB"/>
        </w:rPr>
        <w:tab/>
      </w:r>
      <w:r w:rsidRPr="00F638AF">
        <w:rPr>
          <w:szCs w:val="22"/>
          <w:lang w:val="en-GB" w:eastAsia="zh-TW"/>
        </w:rPr>
        <w:t>taste problems – such as</w:t>
      </w:r>
      <w:r w:rsidRPr="00F638AF">
        <w:rPr>
          <w:rFonts w:ascii="Calibri" w:hAnsi="Calibri" w:cs="Calibri"/>
          <w:szCs w:val="22"/>
          <w:lang w:val="en-GB" w:eastAsia="zh-TW"/>
        </w:rPr>
        <w:t xml:space="preserve"> </w:t>
      </w:r>
      <w:r w:rsidRPr="00F638AF">
        <w:rPr>
          <w:szCs w:val="22"/>
          <w:lang w:val="en-GB" w:eastAsia="en-US"/>
        </w:rPr>
        <w:t>changes in the way things taste</w:t>
      </w:r>
    </w:p>
    <w:p w14:paraId="67A02916" w14:textId="77777777" w:rsidR="00EC4648" w:rsidRDefault="00016F29" w:rsidP="00063D4E">
      <w:pPr>
        <w:ind w:left="798" w:hanging="406"/>
        <w:rPr>
          <w:szCs w:val="22"/>
          <w:lang w:val="en-GB" w:eastAsia="en-US"/>
        </w:rPr>
      </w:pPr>
      <w:r w:rsidRPr="00550F18">
        <w:rPr>
          <w:rFonts w:ascii="Symbol" w:hAnsi="Symbol"/>
          <w:lang w:val="en-GB"/>
        </w:rPr>
        <w:sym w:font="Symbol" w:char="F0B7"/>
      </w:r>
      <w:r w:rsidRPr="00F638AF">
        <w:rPr>
          <w:szCs w:val="22"/>
          <w:lang w:val="en-GB"/>
        </w:rPr>
        <w:tab/>
      </w:r>
      <w:r w:rsidRPr="00F638AF">
        <w:rPr>
          <w:szCs w:val="22"/>
          <w:lang w:val="en-GB" w:eastAsia="en-US"/>
        </w:rPr>
        <w:t>heart problems – such as reduced heart rate or chest pain (angina)</w:t>
      </w:r>
    </w:p>
    <w:p w14:paraId="7C332717" w14:textId="6938E2ED" w:rsidR="00B61585" w:rsidRPr="00F638AF" w:rsidRDefault="00BC11AF" w:rsidP="00063D4E">
      <w:pPr>
        <w:ind w:left="798" w:hanging="406"/>
        <w:rPr>
          <w:szCs w:val="22"/>
          <w:lang w:val="en-GB"/>
        </w:rPr>
      </w:pPr>
      <w:r w:rsidRPr="00550F18">
        <w:rPr>
          <w:rFonts w:ascii="Symbol" w:hAnsi="Symbol"/>
          <w:lang w:val="en-GB"/>
        </w:rPr>
        <w:sym w:font="Symbol" w:char="F0B7"/>
      </w:r>
      <w:r w:rsidR="00EC4648">
        <w:rPr>
          <w:szCs w:val="22"/>
          <w:lang w:val="en-GB"/>
        </w:rPr>
        <w:tab/>
      </w:r>
      <w:r w:rsidR="00016F29" w:rsidRPr="00F638AF">
        <w:rPr>
          <w:szCs w:val="22"/>
          <w:lang w:val="en-GB"/>
        </w:rPr>
        <w:t>asthma, too little oxygen reaching the body organs</w:t>
      </w:r>
    </w:p>
    <w:p w14:paraId="7C332718" w14:textId="77777777" w:rsidR="00B61585" w:rsidRPr="00F638AF" w:rsidRDefault="00016F29" w:rsidP="00B61585">
      <w:pPr>
        <w:ind w:left="798" w:hanging="406"/>
        <w:rPr>
          <w:snapToGrid w:val="0"/>
          <w:lang w:val="en-GB" w:eastAsia="en-US"/>
        </w:rPr>
      </w:pPr>
      <w:r w:rsidRPr="00550F18">
        <w:rPr>
          <w:rFonts w:ascii="Symbol" w:hAnsi="Symbol"/>
          <w:lang w:val="en-GB"/>
        </w:rPr>
        <w:sym w:font="Symbol" w:char="F0B7"/>
      </w:r>
      <w:r w:rsidRPr="00F638AF">
        <w:rPr>
          <w:szCs w:val="22"/>
          <w:lang w:val="en-GB"/>
        </w:rPr>
        <w:tab/>
      </w:r>
      <w:r w:rsidRPr="00F638AF">
        <w:rPr>
          <w:szCs w:val="22"/>
          <w:lang w:val="en-GB" w:eastAsia="en-US"/>
        </w:rPr>
        <w:t>swelling of the stomach.</w:t>
      </w:r>
    </w:p>
    <w:p w14:paraId="7C332719" w14:textId="77777777" w:rsidR="00B61585" w:rsidRPr="00F638AF" w:rsidRDefault="00B61585" w:rsidP="00B61585">
      <w:pPr>
        <w:ind w:left="798" w:hanging="406"/>
        <w:rPr>
          <w:snapToGrid w:val="0"/>
          <w:lang w:val="en-GB" w:eastAsia="en-US"/>
        </w:rPr>
      </w:pPr>
    </w:p>
    <w:p w14:paraId="7C33271A" w14:textId="77777777" w:rsidR="00B61585" w:rsidRPr="00F638AF" w:rsidRDefault="00016F29" w:rsidP="00B61585">
      <w:pPr>
        <w:keepNext/>
        <w:keepLines/>
        <w:rPr>
          <w:iCs/>
          <w:lang w:val="en-GB"/>
        </w:rPr>
      </w:pPr>
      <w:r w:rsidRPr="00F638AF">
        <w:rPr>
          <w:iCs/>
          <w:lang w:val="en-GB"/>
        </w:rPr>
        <w:t>Very rare side effects (may affect up to 1 in 10, 000 people):</w:t>
      </w:r>
    </w:p>
    <w:p w14:paraId="7C33271B" w14:textId="77777777" w:rsidR="00B61585" w:rsidRPr="00F638AF" w:rsidRDefault="00016F29" w:rsidP="00B61585">
      <w:pPr>
        <w:ind w:left="714" w:hanging="357"/>
        <w:rPr>
          <w:snapToGrid w:val="0"/>
          <w:lang w:val="en-GB" w:eastAsia="en-US"/>
        </w:rPr>
      </w:pPr>
      <w:r w:rsidRPr="00550F18">
        <w:rPr>
          <w:rFonts w:ascii="Symbol" w:hAnsi="Symbol"/>
          <w:lang w:val="en-GB"/>
        </w:rPr>
        <w:sym w:font="Symbol" w:char="F0B7"/>
      </w:r>
      <w:r w:rsidRPr="00F638AF">
        <w:rPr>
          <w:szCs w:val="22"/>
          <w:lang w:val="en-GB"/>
        </w:rPr>
        <w:tab/>
      </w:r>
      <w:r w:rsidRPr="00F638AF">
        <w:rPr>
          <w:szCs w:val="22"/>
          <w:lang w:val="en-GB" w:eastAsia="en-US"/>
        </w:rPr>
        <w:t>short term increase in the amount of some types of anti</w:t>
      </w:r>
      <w:r w:rsidR="000A6DDA" w:rsidRPr="00F638AF">
        <w:rPr>
          <w:szCs w:val="22"/>
          <w:lang w:val="en-GB" w:eastAsia="en-US"/>
        </w:rPr>
        <w:noBreakHyphen/>
      </w:r>
      <w:r w:rsidRPr="00F638AF">
        <w:rPr>
          <w:szCs w:val="22"/>
          <w:lang w:val="en-GB" w:eastAsia="en-US"/>
        </w:rPr>
        <w:t>bodies in the blood (called immunoglobulins – IgM), chemical disturbances in the blood caused by break</w:t>
      </w:r>
      <w:r w:rsidR="000A6DDA" w:rsidRPr="00F638AF">
        <w:rPr>
          <w:szCs w:val="22"/>
          <w:lang w:val="en-GB" w:eastAsia="en-US"/>
        </w:rPr>
        <w:noBreakHyphen/>
      </w:r>
      <w:r w:rsidRPr="00F638AF">
        <w:rPr>
          <w:szCs w:val="22"/>
          <w:lang w:val="en-GB" w:eastAsia="en-US"/>
        </w:rPr>
        <w:t>down of dying cancer cells</w:t>
      </w:r>
    </w:p>
    <w:p w14:paraId="7C33271C" w14:textId="77777777" w:rsidR="00B61585" w:rsidRPr="00F638AF" w:rsidRDefault="00016F29" w:rsidP="00B61585">
      <w:pPr>
        <w:ind w:left="714" w:hanging="357"/>
        <w:rPr>
          <w:snapToGrid w:val="0"/>
          <w:lang w:val="en-GB" w:eastAsia="en-US"/>
        </w:rPr>
      </w:pPr>
      <w:r w:rsidRPr="00550F18">
        <w:rPr>
          <w:rFonts w:ascii="Symbol" w:hAnsi="Symbol"/>
          <w:lang w:val="en-GB"/>
        </w:rPr>
        <w:sym w:font="Symbol" w:char="F0B7"/>
      </w:r>
      <w:r w:rsidRPr="00F638AF">
        <w:rPr>
          <w:szCs w:val="22"/>
          <w:lang w:val="en-GB"/>
        </w:rPr>
        <w:tab/>
      </w:r>
      <w:r w:rsidRPr="00F638AF">
        <w:rPr>
          <w:snapToGrid w:val="0"/>
          <w:lang w:val="en-GB" w:eastAsia="en-US"/>
        </w:rPr>
        <w:t xml:space="preserve">nerve damage in arms and legs, </w:t>
      </w:r>
      <w:r w:rsidRPr="00F638AF">
        <w:rPr>
          <w:szCs w:val="22"/>
          <w:lang w:val="en-GB" w:eastAsia="en-US"/>
        </w:rPr>
        <w:t xml:space="preserve">paralysed </w:t>
      </w:r>
      <w:r w:rsidRPr="00F638AF">
        <w:rPr>
          <w:snapToGrid w:val="0"/>
          <w:lang w:val="en-GB" w:eastAsia="en-US"/>
        </w:rPr>
        <w:t>face</w:t>
      </w:r>
    </w:p>
    <w:p w14:paraId="7C33271D" w14:textId="77777777" w:rsidR="00B61585" w:rsidRPr="00F638AF" w:rsidRDefault="00016F29" w:rsidP="00B61585">
      <w:pPr>
        <w:ind w:left="714" w:hanging="357"/>
        <w:rPr>
          <w:snapToGrid w:val="0"/>
          <w:lang w:val="en-GB" w:eastAsia="en-US"/>
        </w:rPr>
      </w:pPr>
      <w:r w:rsidRPr="00550F18">
        <w:rPr>
          <w:rFonts w:ascii="Symbol" w:hAnsi="Symbol"/>
          <w:lang w:val="en-GB"/>
        </w:rPr>
        <w:sym w:font="Symbol" w:char="F0B7"/>
      </w:r>
      <w:r w:rsidRPr="00F638AF">
        <w:rPr>
          <w:szCs w:val="22"/>
          <w:lang w:val="en-GB"/>
        </w:rPr>
        <w:tab/>
      </w:r>
      <w:r w:rsidRPr="00F638AF">
        <w:rPr>
          <w:snapToGrid w:val="0"/>
          <w:lang w:val="en-GB" w:eastAsia="en-US"/>
        </w:rPr>
        <w:t>heart failure</w:t>
      </w:r>
    </w:p>
    <w:p w14:paraId="7C33271E" w14:textId="77777777" w:rsidR="00B61585" w:rsidRPr="00F638AF" w:rsidRDefault="00016F29" w:rsidP="00B61585">
      <w:pPr>
        <w:ind w:left="714" w:hanging="357"/>
        <w:rPr>
          <w:snapToGrid w:val="0"/>
          <w:lang w:val="en-GB" w:eastAsia="en-US"/>
        </w:rPr>
      </w:pPr>
      <w:r w:rsidRPr="00550F18">
        <w:rPr>
          <w:rFonts w:ascii="Symbol" w:hAnsi="Symbol"/>
          <w:lang w:val="en-GB"/>
        </w:rPr>
        <w:sym w:font="Symbol" w:char="F0B7"/>
      </w:r>
      <w:r w:rsidRPr="00F638AF">
        <w:rPr>
          <w:szCs w:val="22"/>
          <w:lang w:val="en-GB"/>
        </w:rPr>
        <w:tab/>
      </w:r>
      <w:r w:rsidRPr="00F638AF">
        <w:rPr>
          <w:snapToGrid w:val="0"/>
          <w:lang w:val="en-GB" w:eastAsia="en-US"/>
        </w:rPr>
        <w:t>inflammation of blood vessels including those leading to skin symptoms</w:t>
      </w:r>
    </w:p>
    <w:p w14:paraId="7C33271F" w14:textId="77777777" w:rsidR="00B61585" w:rsidRPr="00F638AF" w:rsidRDefault="00016F29" w:rsidP="00B61585">
      <w:pPr>
        <w:ind w:left="714" w:hanging="357"/>
        <w:rPr>
          <w:snapToGrid w:val="0"/>
          <w:lang w:val="en-GB" w:eastAsia="en-US"/>
        </w:rPr>
      </w:pPr>
      <w:r w:rsidRPr="00550F18">
        <w:rPr>
          <w:rFonts w:ascii="Symbol" w:hAnsi="Symbol"/>
          <w:lang w:val="en-GB"/>
        </w:rPr>
        <w:sym w:font="Symbol" w:char="F0B7"/>
      </w:r>
      <w:r w:rsidRPr="00F638AF">
        <w:rPr>
          <w:szCs w:val="22"/>
          <w:lang w:val="en-GB"/>
        </w:rPr>
        <w:tab/>
      </w:r>
      <w:r w:rsidRPr="00F638AF">
        <w:rPr>
          <w:szCs w:val="22"/>
          <w:lang w:val="en-GB" w:eastAsia="en-US"/>
        </w:rPr>
        <w:t>respiratory failure</w:t>
      </w:r>
    </w:p>
    <w:p w14:paraId="7C332720" w14:textId="77777777" w:rsidR="00B61585" w:rsidRPr="00F638AF" w:rsidRDefault="00016F29" w:rsidP="00B61585">
      <w:pPr>
        <w:ind w:left="714" w:hanging="357"/>
        <w:rPr>
          <w:snapToGrid w:val="0"/>
          <w:lang w:val="en-GB" w:eastAsia="en-US"/>
        </w:rPr>
      </w:pPr>
      <w:r w:rsidRPr="00550F18">
        <w:rPr>
          <w:rFonts w:ascii="Symbol" w:hAnsi="Symbol"/>
          <w:lang w:val="en-GB"/>
        </w:rPr>
        <w:sym w:font="Symbol" w:char="F0B7"/>
      </w:r>
      <w:r w:rsidRPr="00F638AF">
        <w:rPr>
          <w:szCs w:val="22"/>
          <w:lang w:val="en-GB"/>
        </w:rPr>
        <w:tab/>
      </w:r>
      <w:r w:rsidRPr="00F638AF">
        <w:rPr>
          <w:szCs w:val="22"/>
          <w:lang w:val="en-GB" w:eastAsia="en-US"/>
        </w:rPr>
        <w:t>damage to the intestinal wall (perforation)</w:t>
      </w:r>
    </w:p>
    <w:p w14:paraId="7C332721" w14:textId="77777777" w:rsidR="00B61585" w:rsidRPr="00F638AF" w:rsidRDefault="00016F29" w:rsidP="00B61585">
      <w:pPr>
        <w:ind w:left="714" w:hanging="357"/>
        <w:rPr>
          <w:snapToGrid w:val="0"/>
          <w:lang w:val="en-GB" w:eastAsia="en-US"/>
        </w:rPr>
      </w:pPr>
      <w:r w:rsidRPr="00550F18">
        <w:rPr>
          <w:rFonts w:ascii="Symbol" w:hAnsi="Symbol"/>
          <w:lang w:val="en-GB"/>
        </w:rPr>
        <w:sym w:font="Symbol" w:char="F0B7"/>
      </w:r>
      <w:r w:rsidRPr="00F638AF">
        <w:rPr>
          <w:szCs w:val="22"/>
          <w:lang w:val="en-GB"/>
        </w:rPr>
        <w:tab/>
      </w:r>
      <w:r w:rsidRPr="00F638AF">
        <w:rPr>
          <w:szCs w:val="22"/>
          <w:lang w:val="en-GB" w:eastAsia="en-US"/>
        </w:rPr>
        <w:t>severe skin problems causing blisters that can be life</w:t>
      </w:r>
      <w:r w:rsidR="000A6DDA" w:rsidRPr="00F638AF">
        <w:rPr>
          <w:szCs w:val="22"/>
          <w:lang w:val="en-GB" w:eastAsia="en-US"/>
        </w:rPr>
        <w:noBreakHyphen/>
      </w:r>
      <w:r w:rsidRPr="00F638AF">
        <w:rPr>
          <w:szCs w:val="22"/>
          <w:lang w:val="en-GB" w:eastAsia="en-US"/>
        </w:rPr>
        <w:t>threatening</w:t>
      </w:r>
      <w:r w:rsidRPr="00F638AF">
        <w:rPr>
          <w:snapToGrid w:val="0"/>
          <w:lang w:val="en-GB" w:eastAsia="en-US"/>
        </w:rPr>
        <w:t>. Redness, often associated with blisters, may appear on the skin or on mucous membranes, such as inside the mouth, the genital areas or the eyelids, and fever may be present.</w:t>
      </w:r>
    </w:p>
    <w:p w14:paraId="7C332722" w14:textId="77777777" w:rsidR="00B61585" w:rsidRPr="00F638AF" w:rsidRDefault="00016F29" w:rsidP="00B61585">
      <w:pPr>
        <w:ind w:left="714" w:hanging="357"/>
        <w:rPr>
          <w:snapToGrid w:val="0"/>
          <w:lang w:val="en-GB" w:eastAsia="en-US"/>
        </w:rPr>
      </w:pPr>
      <w:r w:rsidRPr="00550F18">
        <w:rPr>
          <w:rFonts w:ascii="Symbol" w:hAnsi="Symbol"/>
          <w:lang w:val="en-GB"/>
        </w:rPr>
        <w:sym w:font="Symbol" w:char="F0B7"/>
      </w:r>
      <w:r w:rsidRPr="00F638AF">
        <w:rPr>
          <w:szCs w:val="22"/>
          <w:lang w:val="en-GB"/>
        </w:rPr>
        <w:tab/>
      </w:r>
      <w:r w:rsidRPr="00F638AF">
        <w:rPr>
          <w:snapToGrid w:val="0"/>
          <w:lang w:val="en-GB" w:eastAsia="en-US"/>
        </w:rPr>
        <w:t>kidney failure</w:t>
      </w:r>
      <w:r w:rsidRPr="00F638AF">
        <w:rPr>
          <w:szCs w:val="22"/>
          <w:lang w:val="en-GB" w:eastAsia="en-US"/>
        </w:rPr>
        <w:t xml:space="preserve"> </w:t>
      </w:r>
    </w:p>
    <w:p w14:paraId="7C332723" w14:textId="77777777" w:rsidR="00B61585" w:rsidRPr="00F638AF" w:rsidRDefault="00016F29" w:rsidP="00383DC8">
      <w:pPr>
        <w:tabs>
          <w:tab w:val="left" w:pos="720"/>
        </w:tabs>
        <w:ind w:firstLine="360"/>
        <w:rPr>
          <w:snapToGrid w:val="0"/>
          <w:lang w:val="en-GB" w:eastAsia="en-US"/>
        </w:rPr>
      </w:pPr>
      <w:r w:rsidRPr="00550F18">
        <w:rPr>
          <w:rFonts w:ascii="Symbol" w:hAnsi="Symbol"/>
          <w:lang w:val="en-GB"/>
        </w:rPr>
        <w:sym w:font="Symbol" w:char="F0B7"/>
      </w:r>
      <w:r w:rsidRPr="00F638AF">
        <w:rPr>
          <w:szCs w:val="22"/>
          <w:lang w:val="en-GB"/>
        </w:rPr>
        <w:tab/>
      </w:r>
      <w:r w:rsidRPr="00F638AF">
        <w:rPr>
          <w:snapToGrid w:val="0"/>
          <w:lang w:val="en-GB" w:eastAsia="en-US"/>
        </w:rPr>
        <w:t xml:space="preserve">severe vision loss </w:t>
      </w:r>
    </w:p>
    <w:p w14:paraId="7C332724" w14:textId="77777777" w:rsidR="00827B4C" w:rsidRPr="00F638AF" w:rsidRDefault="00827B4C" w:rsidP="00383DC8">
      <w:pPr>
        <w:tabs>
          <w:tab w:val="left" w:pos="720"/>
        </w:tabs>
        <w:ind w:firstLine="360"/>
        <w:rPr>
          <w:snapToGrid w:val="0"/>
          <w:lang w:val="en-GB" w:eastAsia="en-US"/>
        </w:rPr>
      </w:pPr>
    </w:p>
    <w:p w14:paraId="7C332725" w14:textId="77777777" w:rsidR="00827B4C" w:rsidRPr="00F638AF" w:rsidRDefault="00016F29">
      <w:pPr>
        <w:keepNext/>
        <w:keepLines/>
        <w:ind w:left="357" w:hanging="357"/>
        <w:rPr>
          <w:snapToGrid w:val="0"/>
          <w:lang w:val="en-GB" w:eastAsia="en-US"/>
        </w:rPr>
      </w:pPr>
      <w:r w:rsidRPr="00F638AF">
        <w:rPr>
          <w:iCs/>
          <w:lang w:val="en-GB"/>
        </w:rPr>
        <w:t>Not known (it is not known how often these side effects happen):</w:t>
      </w:r>
      <w:r w:rsidRPr="00F638AF">
        <w:rPr>
          <w:snapToGrid w:val="0"/>
          <w:lang w:val="en-GB" w:eastAsia="en-US"/>
        </w:rPr>
        <w:tab/>
      </w:r>
    </w:p>
    <w:p w14:paraId="7C332726" w14:textId="77777777" w:rsidR="00B61585" w:rsidRPr="00F638AF" w:rsidRDefault="00016F29" w:rsidP="00A56CE7">
      <w:pPr>
        <w:keepNext/>
        <w:keepLines/>
        <w:ind w:left="714" w:hanging="357"/>
        <w:rPr>
          <w:snapToGrid w:val="0"/>
          <w:lang w:val="en-GB" w:eastAsia="en-US"/>
        </w:rPr>
      </w:pPr>
      <w:r w:rsidRPr="00550F18">
        <w:rPr>
          <w:rFonts w:ascii="Symbol" w:hAnsi="Symbol"/>
          <w:lang w:val="en-GB"/>
        </w:rPr>
        <w:sym w:font="Symbol" w:char="F0B7"/>
      </w:r>
      <w:r w:rsidRPr="00F638AF">
        <w:rPr>
          <w:lang w:val="en-GB"/>
        </w:rPr>
        <w:tab/>
      </w:r>
      <w:r w:rsidRPr="00F638AF">
        <w:rPr>
          <w:lang w:val="en-GB" w:eastAsia="en-US"/>
        </w:rPr>
        <w:t>a reduction in white blood cells which does not happen straight away</w:t>
      </w:r>
    </w:p>
    <w:p w14:paraId="7C332727" w14:textId="77777777" w:rsidR="00B61585" w:rsidRPr="00F638AF" w:rsidRDefault="00016F29">
      <w:pPr>
        <w:keepNext/>
        <w:keepLines/>
        <w:ind w:left="714" w:hanging="357"/>
        <w:rPr>
          <w:snapToGrid w:val="0"/>
          <w:lang w:val="en-GB" w:eastAsia="en-US"/>
        </w:rPr>
      </w:pPr>
      <w:r w:rsidRPr="00550F18">
        <w:rPr>
          <w:rFonts w:ascii="Symbol" w:hAnsi="Symbol"/>
          <w:lang w:val="en-GB"/>
        </w:rPr>
        <w:sym w:font="Symbol" w:char="F0B7"/>
      </w:r>
      <w:r w:rsidRPr="00F638AF">
        <w:rPr>
          <w:szCs w:val="22"/>
          <w:lang w:val="en-GB"/>
        </w:rPr>
        <w:tab/>
      </w:r>
      <w:r w:rsidRPr="00F638AF">
        <w:rPr>
          <w:szCs w:val="22"/>
          <w:lang w:val="en-GB" w:eastAsia="en-US"/>
        </w:rPr>
        <w:t>reduced platelets number just after the infusion – this can be reversed, but can be fatal in rare cases</w:t>
      </w:r>
    </w:p>
    <w:p w14:paraId="7C332728" w14:textId="77777777" w:rsidR="00B61585" w:rsidRPr="00F638AF" w:rsidRDefault="00016F29" w:rsidP="00B61585">
      <w:pPr>
        <w:keepNext/>
        <w:keepLines/>
        <w:ind w:left="714" w:hanging="357"/>
        <w:rPr>
          <w:snapToGrid w:val="0"/>
          <w:lang w:val="en-GB" w:eastAsia="en-US"/>
        </w:rPr>
      </w:pPr>
      <w:r w:rsidRPr="00550F18">
        <w:rPr>
          <w:rFonts w:ascii="Symbol" w:hAnsi="Symbol"/>
          <w:lang w:val="en-GB"/>
        </w:rPr>
        <w:sym w:font="Symbol" w:char="F0B7"/>
      </w:r>
      <w:r w:rsidRPr="00F638AF">
        <w:rPr>
          <w:szCs w:val="22"/>
          <w:lang w:val="en-GB"/>
        </w:rPr>
        <w:tab/>
      </w:r>
      <w:r w:rsidRPr="00F638AF">
        <w:rPr>
          <w:snapToGrid w:val="0"/>
          <w:lang w:val="en-GB" w:eastAsia="en-US"/>
        </w:rPr>
        <w:t>hearing loss, loss of other senses</w:t>
      </w:r>
    </w:p>
    <w:p w14:paraId="7C332729" w14:textId="77777777" w:rsidR="00B61585" w:rsidRPr="00F638AF" w:rsidRDefault="00016F29" w:rsidP="00B61585">
      <w:pPr>
        <w:keepNext/>
        <w:keepLines/>
        <w:ind w:left="714" w:hanging="357"/>
        <w:rPr>
          <w:snapToGrid w:val="0"/>
          <w:lang w:val="en-GB" w:eastAsia="en-US"/>
        </w:rPr>
      </w:pPr>
      <w:r w:rsidRPr="00F638AF">
        <w:rPr>
          <w:snapToGrid w:val="0"/>
          <w:lang w:val="en-GB" w:eastAsia="en-US"/>
        </w:rPr>
        <w:t xml:space="preserve"> </w:t>
      </w:r>
    </w:p>
    <w:p w14:paraId="7C33272A" w14:textId="77777777" w:rsidR="0047764D" w:rsidRPr="00F638AF" w:rsidRDefault="00016F29" w:rsidP="0047764D">
      <w:pPr>
        <w:keepNext/>
        <w:keepLines/>
        <w:ind w:left="357" w:hanging="357"/>
        <w:rPr>
          <w:b/>
        </w:rPr>
      </w:pPr>
      <w:r w:rsidRPr="00F638AF">
        <w:rPr>
          <w:b/>
        </w:rPr>
        <w:t>Children and adolescents with non-Hodgkin’s lymphoma:</w:t>
      </w:r>
    </w:p>
    <w:p w14:paraId="7C33272B" w14:textId="77777777" w:rsidR="0047764D" w:rsidRPr="00F638AF" w:rsidRDefault="00016F29" w:rsidP="0047764D">
      <w:pPr>
        <w:keepNext/>
        <w:keepLines/>
      </w:pPr>
      <w:r w:rsidRPr="00F638AF">
        <w:t xml:space="preserve">In general, side effects in children and adolescents with non-Hodgkin’s lymphoma were similar to those in adults with non-Hodgkin’s lymphoma or chronic lymphocytic leukaemia. The most common side effects seen were fever associated with low levels of a type of white blood cell (neutrophil), inflammation or sores in the lining of the mouth, and allergic reactions (hypersensitivity). </w:t>
      </w:r>
    </w:p>
    <w:p w14:paraId="7C33272C" w14:textId="77777777" w:rsidR="0047764D" w:rsidRPr="00F638AF" w:rsidRDefault="0047764D" w:rsidP="00B61585">
      <w:pPr>
        <w:keepNext/>
        <w:keepLines/>
        <w:ind w:left="714" w:hanging="357"/>
        <w:rPr>
          <w:iCs/>
          <w:lang w:val="en-GB"/>
        </w:rPr>
      </w:pPr>
    </w:p>
    <w:p w14:paraId="7C33272D" w14:textId="77777777" w:rsidR="00B61585" w:rsidRPr="00F638AF" w:rsidRDefault="00016F29" w:rsidP="00B61585">
      <w:pPr>
        <w:tabs>
          <w:tab w:val="left" w:pos="426"/>
        </w:tabs>
        <w:rPr>
          <w:b/>
          <w:lang w:val="en-GB"/>
        </w:rPr>
      </w:pPr>
      <w:r w:rsidRPr="00F638AF">
        <w:rPr>
          <w:b/>
          <w:lang w:val="en-GB"/>
        </w:rPr>
        <w:t>b)</w:t>
      </w:r>
      <w:r w:rsidRPr="00F638AF">
        <w:rPr>
          <w:b/>
          <w:lang w:val="en-GB"/>
        </w:rPr>
        <w:tab/>
        <w:t>If you are being treated for rheumatoid arthritis</w:t>
      </w:r>
    </w:p>
    <w:p w14:paraId="7C33272E" w14:textId="77777777" w:rsidR="00B61585" w:rsidRPr="00F638AF" w:rsidRDefault="00016F29" w:rsidP="00B61585">
      <w:pPr>
        <w:ind w:left="714" w:hanging="357"/>
        <w:rPr>
          <w:szCs w:val="22"/>
          <w:lang w:val="en-GB"/>
        </w:rPr>
      </w:pPr>
      <w:r w:rsidRPr="00F638AF">
        <w:rPr>
          <w:iCs/>
          <w:lang w:val="en-GB"/>
        </w:rPr>
        <w:t xml:space="preserve">Very common </w:t>
      </w:r>
      <w:r w:rsidRPr="00F638AF">
        <w:rPr>
          <w:szCs w:val="22"/>
          <w:lang w:val="en-GB" w:eastAsia="en-US"/>
        </w:rPr>
        <w:t>side effects (may affect more than 1 in 10 people):</w:t>
      </w:r>
      <w:r w:rsidRPr="00F638AF">
        <w:rPr>
          <w:szCs w:val="22"/>
          <w:lang w:val="en-GB"/>
        </w:rPr>
        <w:t xml:space="preserve"> </w:t>
      </w:r>
    </w:p>
    <w:p w14:paraId="7C33272F" w14:textId="77777777" w:rsidR="00B61585" w:rsidRPr="00F638AF" w:rsidRDefault="00016F29" w:rsidP="00B61585">
      <w:pPr>
        <w:ind w:left="714" w:hanging="357"/>
        <w:rPr>
          <w:szCs w:val="22"/>
          <w:lang w:val="en-GB"/>
        </w:rPr>
      </w:pPr>
      <w:r w:rsidRPr="00550F18">
        <w:rPr>
          <w:rFonts w:ascii="Symbol" w:hAnsi="Symbol"/>
          <w:lang w:val="en-GB"/>
        </w:rPr>
        <w:sym w:font="Symbol" w:char="F0B7"/>
      </w:r>
      <w:r w:rsidRPr="00F638AF">
        <w:rPr>
          <w:szCs w:val="22"/>
          <w:lang w:val="en-GB"/>
        </w:rPr>
        <w:tab/>
      </w:r>
      <w:r w:rsidRPr="00F638AF">
        <w:rPr>
          <w:iCs/>
          <w:szCs w:val="22"/>
          <w:lang w:val="en-GB"/>
        </w:rPr>
        <w:t xml:space="preserve">Infections such as pneumonia (bacterial) </w:t>
      </w:r>
    </w:p>
    <w:p w14:paraId="7C332730" w14:textId="77777777" w:rsidR="00B61585" w:rsidRPr="00F638AF" w:rsidRDefault="00016F29" w:rsidP="00B61585">
      <w:pPr>
        <w:ind w:left="714" w:hanging="357"/>
        <w:rPr>
          <w:iCs/>
          <w:szCs w:val="22"/>
          <w:lang w:val="en-GB"/>
        </w:rPr>
      </w:pPr>
      <w:r w:rsidRPr="00550F18">
        <w:rPr>
          <w:rFonts w:ascii="Symbol" w:hAnsi="Symbol"/>
          <w:lang w:val="en-GB"/>
        </w:rPr>
        <w:sym w:font="Symbol" w:char="F0B7"/>
      </w:r>
      <w:r w:rsidRPr="00F638AF">
        <w:rPr>
          <w:szCs w:val="22"/>
          <w:lang w:val="en-GB"/>
        </w:rPr>
        <w:tab/>
      </w:r>
      <w:r w:rsidRPr="00F638AF">
        <w:rPr>
          <w:iCs/>
          <w:szCs w:val="22"/>
          <w:lang w:val="en-GB"/>
        </w:rPr>
        <w:t>Pain on passing water (urinary tract infection)</w:t>
      </w:r>
    </w:p>
    <w:p w14:paraId="7C332731" w14:textId="77777777" w:rsidR="00B61585" w:rsidRPr="00F638AF" w:rsidRDefault="00016F29" w:rsidP="00B61585">
      <w:pPr>
        <w:ind w:left="714" w:hanging="357"/>
        <w:rPr>
          <w:szCs w:val="22"/>
          <w:lang w:val="en-GB"/>
        </w:rPr>
      </w:pPr>
      <w:r w:rsidRPr="00550F18">
        <w:rPr>
          <w:rFonts w:ascii="Symbol" w:hAnsi="Symbol"/>
          <w:lang w:val="en-GB"/>
        </w:rPr>
        <w:sym w:font="Symbol" w:char="F0B7"/>
      </w:r>
      <w:r w:rsidRPr="00F638AF">
        <w:rPr>
          <w:szCs w:val="22"/>
          <w:lang w:val="en-GB"/>
        </w:rPr>
        <w:tab/>
        <w:t>Allergic reactions that are most likely to occur during an infusion, but can occur up</w:t>
      </w:r>
      <w:r w:rsidR="000A6DDA" w:rsidRPr="00F638AF">
        <w:rPr>
          <w:szCs w:val="22"/>
          <w:lang w:val="en-GB"/>
        </w:rPr>
        <w:noBreakHyphen/>
      </w:r>
      <w:r w:rsidRPr="00F638AF">
        <w:rPr>
          <w:szCs w:val="22"/>
          <w:lang w:val="en-GB"/>
        </w:rPr>
        <w:t>to 24</w:t>
      </w:r>
      <w:r w:rsidR="000A6DDA" w:rsidRPr="00F638AF">
        <w:rPr>
          <w:szCs w:val="22"/>
          <w:lang w:val="en-GB"/>
        </w:rPr>
        <w:noBreakHyphen/>
      </w:r>
      <w:r w:rsidRPr="00F638AF">
        <w:rPr>
          <w:szCs w:val="22"/>
          <w:lang w:val="en-GB"/>
        </w:rPr>
        <w:t>hours after infusion</w:t>
      </w:r>
    </w:p>
    <w:p w14:paraId="7C332732" w14:textId="77777777" w:rsidR="00B61585" w:rsidRPr="00F638AF" w:rsidRDefault="00016F29" w:rsidP="00B61585">
      <w:pPr>
        <w:ind w:left="714" w:hanging="357"/>
        <w:rPr>
          <w:szCs w:val="22"/>
          <w:lang w:val="en-GB"/>
        </w:rPr>
      </w:pPr>
      <w:r w:rsidRPr="00550F18">
        <w:rPr>
          <w:rFonts w:ascii="Symbol" w:hAnsi="Symbol"/>
          <w:lang w:val="en-GB"/>
        </w:rPr>
        <w:sym w:font="Symbol" w:char="F0B7"/>
      </w:r>
      <w:r w:rsidRPr="00F638AF">
        <w:rPr>
          <w:szCs w:val="22"/>
          <w:lang w:val="en-GB"/>
        </w:rPr>
        <w:tab/>
        <w:t>Changes in blood pressure, nausea, rash, fever, feeling itchy, runny or blocked nose and sneezing, shaking, rapid heart beat, and tiredness</w:t>
      </w:r>
    </w:p>
    <w:p w14:paraId="7C332733" w14:textId="77777777" w:rsidR="00B61585" w:rsidRPr="00F638AF" w:rsidRDefault="00016F29" w:rsidP="00B61585">
      <w:pPr>
        <w:ind w:left="714" w:hanging="357"/>
        <w:rPr>
          <w:szCs w:val="22"/>
          <w:lang w:val="en-GB"/>
        </w:rPr>
      </w:pPr>
      <w:r w:rsidRPr="00550F18">
        <w:rPr>
          <w:rFonts w:ascii="Symbol" w:hAnsi="Symbol"/>
          <w:lang w:val="en-GB"/>
        </w:rPr>
        <w:sym w:font="Symbol" w:char="F0B7"/>
      </w:r>
      <w:r w:rsidRPr="00F638AF">
        <w:rPr>
          <w:szCs w:val="22"/>
          <w:lang w:val="en-GB"/>
        </w:rPr>
        <w:tab/>
        <w:t>Headache</w:t>
      </w:r>
    </w:p>
    <w:p w14:paraId="7C332734" w14:textId="77777777" w:rsidR="00B61585" w:rsidRPr="00F638AF" w:rsidRDefault="00016F29" w:rsidP="00B61585">
      <w:pPr>
        <w:ind w:left="714" w:hanging="357"/>
        <w:rPr>
          <w:szCs w:val="22"/>
          <w:lang w:val="en-GB"/>
        </w:rPr>
      </w:pPr>
      <w:r w:rsidRPr="00550F18">
        <w:rPr>
          <w:rFonts w:ascii="Symbol" w:hAnsi="Symbol"/>
          <w:lang w:val="en-GB"/>
        </w:rPr>
        <w:sym w:font="Symbol" w:char="F0B7"/>
      </w:r>
      <w:r w:rsidRPr="00F638AF">
        <w:rPr>
          <w:szCs w:val="22"/>
          <w:lang w:val="en-GB"/>
        </w:rPr>
        <w:tab/>
        <w:t>Changes in laboratory tests carried out by your doctor. These include a decrease in the amount of some specific proteins in the blood (immunoglobulins) which help protect against infection.</w:t>
      </w:r>
    </w:p>
    <w:p w14:paraId="7C332735" w14:textId="77777777" w:rsidR="00B61585" w:rsidRPr="00F638AF" w:rsidRDefault="00B61585" w:rsidP="00B61585">
      <w:pPr>
        <w:rPr>
          <w:szCs w:val="22"/>
          <w:lang w:val="en-GB"/>
        </w:rPr>
      </w:pPr>
    </w:p>
    <w:p w14:paraId="7C332736" w14:textId="77777777" w:rsidR="00B61585" w:rsidRPr="00F638AF" w:rsidRDefault="00016F29" w:rsidP="00550F18">
      <w:pPr>
        <w:keepNext/>
        <w:keepLines/>
        <w:rPr>
          <w:iCs/>
          <w:szCs w:val="22"/>
          <w:lang w:val="en-GB"/>
        </w:rPr>
      </w:pPr>
      <w:r w:rsidRPr="00F638AF">
        <w:rPr>
          <w:iCs/>
          <w:szCs w:val="22"/>
          <w:lang w:val="en-GB"/>
        </w:rPr>
        <w:t xml:space="preserve">Common side effects </w:t>
      </w:r>
      <w:r w:rsidRPr="00F638AF">
        <w:rPr>
          <w:iCs/>
          <w:lang w:val="en-GB"/>
        </w:rPr>
        <w:t>(may affect up to 1 in 10 people):</w:t>
      </w:r>
    </w:p>
    <w:p w14:paraId="7C332737" w14:textId="77777777" w:rsidR="00B61585" w:rsidRPr="00F638AF" w:rsidRDefault="00016F29" w:rsidP="00550F18">
      <w:pPr>
        <w:keepNext/>
        <w:keepLines/>
        <w:ind w:left="714" w:hanging="357"/>
        <w:rPr>
          <w:iCs/>
          <w:szCs w:val="22"/>
          <w:lang w:val="en-GB"/>
        </w:rPr>
      </w:pPr>
      <w:r w:rsidRPr="00550F18">
        <w:rPr>
          <w:rFonts w:ascii="Symbol" w:hAnsi="Symbol"/>
          <w:lang w:val="en-GB"/>
        </w:rPr>
        <w:sym w:font="Symbol" w:char="F0B7"/>
      </w:r>
      <w:r w:rsidRPr="00F638AF">
        <w:rPr>
          <w:szCs w:val="22"/>
          <w:lang w:val="en-GB"/>
        </w:rPr>
        <w:tab/>
      </w:r>
      <w:r w:rsidRPr="00F638AF">
        <w:rPr>
          <w:iCs/>
          <w:szCs w:val="22"/>
          <w:lang w:val="en-GB"/>
        </w:rPr>
        <w:t>Infections such as bronchial tube inflammation (bronchitis)</w:t>
      </w:r>
    </w:p>
    <w:p w14:paraId="7C332738" w14:textId="77777777" w:rsidR="00B61585" w:rsidRPr="00F638AF" w:rsidRDefault="00016F29" w:rsidP="00550F18">
      <w:pPr>
        <w:keepNext/>
        <w:keepLines/>
        <w:ind w:left="714" w:hanging="357"/>
        <w:rPr>
          <w:iCs/>
          <w:szCs w:val="22"/>
          <w:lang w:val="en-GB"/>
        </w:rPr>
      </w:pPr>
      <w:r w:rsidRPr="00550F18">
        <w:rPr>
          <w:rFonts w:ascii="Symbol" w:hAnsi="Symbol"/>
          <w:lang w:val="en-GB"/>
        </w:rPr>
        <w:sym w:font="Symbol" w:char="F0B7"/>
      </w:r>
      <w:r w:rsidRPr="00F638AF">
        <w:rPr>
          <w:szCs w:val="22"/>
          <w:lang w:val="en-GB"/>
        </w:rPr>
        <w:tab/>
      </w:r>
      <w:r w:rsidRPr="00F638AF">
        <w:rPr>
          <w:iCs/>
          <w:szCs w:val="22"/>
          <w:lang w:val="en-GB"/>
        </w:rPr>
        <w:t>A feeling of fullness or a throbbing pain behind the nose, cheeks and eyes (sinusitis), pain in the abdomen</w:t>
      </w:r>
      <w:r w:rsidRPr="00F638AF">
        <w:rPr>
          <w:szCs w:val="22"/>
          <w:lang w:val="en-GB"/>
        </w:rPr>
        <w:t>, vomiting</w:t>
      </w:r>
      <w:r w:rsidRPr="00F638AF">
        <w:rPr>
          <w:szCs w:val="22"/>
          <w:vertAlign w:val="superscript"/>
          <w:lang w:val="en-GB"/>
        </w:rPr>
        <w:t xml:space="preserve"> </w:t>
      </w:r>
      <w:r w:rsidRPr="00F638AF">
        <w:rPr>
          <w:szCs w:val="22"/>
          <w:lang w:val="en-GB"/>
        </w:rPr>
        <w:t xml:space="preserve"> and diarrhoea, </w:t>
      </w:r>
      <w:r w:rsidRPr="00F638AF">
        <w:rPr>
          <w:iCs/>
          <w:szCs w:val="22"/>
          <w:lang w:val="en-GB"/>
        </w:rPr>
        <w:t>breathing problems</w:t>
      </w:r>
    </w:p>
    <w:p w14:paraId="7C332739" w14:textId="77777777" w:rsidR="00B61585" w:rsidRPr="00F638AF" w:rsidRDefault="00016F29" w:rsidP="00B61585">
      <w:pPr>
        <w:ind w:left="714" w:hanging="357"/>
        <w:rPr>
          <w:iCs/>
          <w:szCs w:val="22"/>
          <w:lang w:val="en-GB"/>
        </w:rPr>
      </w:pPr>
      <w:r w:rsidRPr="00550F18">
        <w:rPr>
          <w:rFonts w:ascii="Symbol" w:hAnsi="Symbol"/>
          <w:lang w:val="en-GB"/>
        </w:rPr>
        <w:sym w:font="Symbol" w:char="F0B7"/>
      </w:r>
      <w:r w:rsidRPr="00F638AF">
        <w:rPr>
          <w:szCs w:val="22"/>
          <w:lang w:val="en-GB"/>
        </w:rPr>
        <w:tab/>
      </w:r>
      <w:r w:rsidRPr="00F638AF">
        <w:rPr>
          <w:iCs/>
          <w:szCs w:val="22"/>
          <w:lang w:val="en-GB"/>
        </w:rPr>
        <w:t>Fungal foot infection (athlete’s foot)</w:t>
      </w:r>
    </w:p>
    <w:p w14:paraId="7C33273A" w14:textId="77777777" w:rsidR="00B61585" w:rsidRPr="00F638AF" w:rsidRDefault="00016F29" w:rsidP="00B61585">
      <w:pPr>
        <w:ind w:left="714" w:hanging="357"/>
        <w:rPr>
          <w:szCs w:val="22"/>
          <w:lang w:val="en-GB"/>
        </w:rPr>
      </w:pPr>
      <w:r w:rsidRPr="00550F18">
        <w:rPr>
          <w:rFonts w:ascii="Symbol" w:hAnsi="Symbol"/>
          <w:lang w:val="en-GB"/>
        </w:rPr>
        <w:sym w:font="Symbol" w:char="F0B7"/>
      </w:r>
      <w:r w:rsidRPr="00F638AF">
        <w:rPr>
          <w:szCs w:val="22"/>
          <w:lang w:val="en-GB"/>
        </w:rPr>
        <w:tab/>
        <w:t>High cholesterol levels in the blood</w:t>
      </w:r>
    </w:p>
    <w:p w14:paraId="7C33273B" w14:textId="77777777" w:rsidR="00B61585" w:rsidRPr="00F638AF" w:rsidRDefault="00016F29" w:rsidP="00B61585">
      <w:pPr>
        <w:ind w:left="714" w:hanging="357"/>
        <w:rPr>
          <w:iCs/>
          <w:szCs w:val="22"/>
          <w:lang w:val="en-GB"/>
        </w:rPr>
      </w:pPr>
      <w:r w:rsidRPr="00550F18">
        <w:rPr>
          <w:rFonts w:ascii="Symbol" w:hAnsi="Symbol"/>
          <w:lang w:val="en-GB"/>
        </w:rPr>
        <w:sym w:font="Symbol" w:char="F0B7"/>
      </w:r>
      <w:r w:rsidRPr="00F638AF">
        <w:rPr>
          <w:szCs w:val="22"/>
          <w:lang w:val="en-GB"/>
        </w:rPr>
        <w:tab/>
        <w:t>Abnormal sensations of the skin, such as numbness, tingling, pricking or burning</w:t>
      </w:r>
      <w:r w:rsidRPr="00F638AF">
        <w:rPr>
          <w:iCs/>
          <w:szCs w:val="22"/>
          <w:lang w:val="en-GB"/>
        </w:rPr>
        <w:t>, sciatica, migraine, dizziness</w:t>
      </w:r>
    </w:p>
    <w:p w14:paraId="7C33273C" w14:textId="77777777" w:rsidR="00B61585" w:rsidRPr="00F638AF" w:rsidRDefault="00016F29" w:rsidP="00B61585">
      <w:pPr>
        <w:ind w:left="714" w:hanging="357"/>
        <w:rPr>
          <w:iCs/>
          <w:szCs w:val="22"/>
          <w:lang w:val="en-GB"/>
        </w:rPr>
      </w:pPr>
      <w:r w:rsidRPr="00550F18">
        <w:rPr>
          <w:rFonts w:ascii="Symbol" w:hAnsi="Symbol"/>
          <w:lang w:val="en-GB"/>
        </w:rPr>
        <w:sym w:font="Symbol" w:char="F0B7"/>
      </w:r>
      <w:r w:rsidRPr="00F638AF">
        <w:rPr>
          <w:szCs w:val="22"/>
          <w:lang w:val="en-GB"/>
        </w:rPr>
        <w:tab/>
      </w:r>
      <w:r w:rsidRPr="00F638AF">
        <w:rPr>
          <w:iCs/>
          <w:szCs w:val="22"/>
          <w:lang w:val="en-GB"/>
        </w:rPr>
        <w:t>Loss of hair</w:t>
      </w:r>
    </w:p>
    <w:p w14:paraId="7C33273D" w14:textId="77777777" w:rsidR="00B61585" w:rsidRPr="00F638AF" w:rsidRDefault="00016F29" w:rsidP="00B61585">
      <w:pPr>
        <w:ind w:left="714" w:hanging="357"/>
        <w:rPr>
          <w:iCs/>
          <w:szCs w:val="22"/>
          <w:lang w:val="en-GB"/>
        </w:rPr>
      </w:pPr>
      <w:r w:rsidRPr="00550F18">
        <w:rPr>
          <w:rFonts w:ascii="Symbol" w:hAnsi="Symbol"/>
          <w:lang w:val="en-GB"/>
        </w:rPr>
        <w:sym w:font="Symbol" w:char="F0B7"/>
      </w:r>
      <w:r w:rsidRPr="00F638AF">
        <w:rPr>
          <w:szCs w:val="22"/>
          <w:lang w:val="en-GB"/>
        </w:rPr>
        <w:tab/>
      </w:r>
      <w:r w:rsidRPr="00F638AF">
        <w:rPr>
          <w:iCs/>
          <w:szCs w:val="22"/>
          <w:lang w:val="en-GB"/>
        </w:rPr>
        <w:t>Anxiety, depression</w:t>
      </w:r>
    </w:p>
    <w:p w14:paraId="7C33273E" w14:textId="77777777" w:rsidR="00B61585" w:rsidRPr="00F638AF" w:rsidRDefault="00016F29" w:rsidP="00B61585">
      <w:pPr>
        <w:ind w:left="714" w:hanging="357"/>
        <w:rPr>
          <w:iCs/>
          <w:szCs w:val="22"/>
          <w:lang w:val="en-GB"/>
        </w:rPr>
      </w:pPr>
      <w:r w:rsidRPr="00550F18">
        <w:rPr>
          <w:rFonts w:ascii="Symbol" w:hAnsi="Symbol"/>
          <w:lang w:val="en-GB"/>
        </w:rPr>
        <w:sym w:font="Symbol" w:char="F0B7"/>
      </w:r>
      <w:r w:rsidRPr="00F638AF">
        <w:rPr>
          <w:szCs w:val="22"/>
          <w:lang w:val="en-GB"/>
        </w:rPr>
        <w:tab/>
      </w:r>
      <w:r w:rsidRPr="00F638AF">
        <w:rPr>
          <w:iCs/>
          <w:szCs w:val="22"/>
          <w:lang w:val="en-GB"/>
        </w:rPr>
        <w:t>Indigestion, diarrhoea, acid reflux, irritation and /or ulceration of the throat and the mouth</w:t>
      </w:r>
    </w:p>
    <w:p w14:paraId="7C33273F" w14:textId="77777777" w:rsidR="00B61585" w:rsidRPr="00F638AF" w:rsidRDefault="00016F29" w:rsidP="00B61585">
      <w:pPr>
        <w:ind w:left="714" w:hanging="357"/>
        <w:rPr>
          <w:iCs/>
          <w:szCs w:val="22"/>
          <w:lang w:val="en-GB"/>
        </w:rPr>
      </w:pPr>
      <w:r w:rsidRPr="00550F18">
        <w:rPr>
          <w:rFonts w:ascii="Symbol" w:hAnsi="Symbol"/>
          <w:lang w:val="en-GB"/>
        </w:rPr>
        <w:sym w:font="Symbol" w:char="F0B7"/>
      </w:r>
      <w:r w:rsidRPr="00F638AF">
        <w:rPr>
          <w:szCs w:val="22"/>
          <w:lang w:val="en-GB"/>
        </w:rPr>
        <w:tab/>
      </w:r>
      <w:r w:rsidRPr="00F638AF">
        <w:rPr>
          <w:iCs/>
          <w:szCs w:val="22"/>
          <w:lang w:val="en-GB"/>
        </w:rPr>
        <w:t>Pain in the tummy, back, muscles and/or joints</w:t>
      </w:r>
    </w:p>
    <w:p w14:paraId="7C332740" w14:textId="77777777" w:rsidR="00B61585" w:rsidRPr="00F638AF" w:rsidRDefault="00B61585" w:rsidP="00B61585">
      <w:pPr>
        <w:rPr>
          <w:szCs w:val="22"/>
          <w:lang w:val="en-GB"/>
        </w:rPr>
      </w:pPr>
    </w:p>
    <w:p w14:paraId="7C332741" w14:textId="77777777" w:rsidR="00B61585" w:rsidRPr="00C50A4F" w:rsidRDefault="00016F29" w:rsidP="00B61585">
      <w:pPr>
        <w:rPr>
          <w:snapToGrid w:val="0"/>
          <w:szCs w:val="22"/>
          <w:lang w:val="en-GB" w:eastAsia="en-US"/>
        </w:rPr>
      </w:pPr>
      <w:r w:rsidRPr="00F638AF">
        <w:rPr>
          <w:snapToGrid w:val="0"/>
          <w:szCs w:val="22"/>
          <w:lang w:val="en-GB" w:eastAsia="en-US"/>
        </w:rPr>
        <w:t xml:space="preserve">Uncommon side effects </w:t>
      </w:r>
      <w:r w:rsidRPr="00F638AF">
        <w:rPr>
          <w:iCs/>
          <w:lang w:val="en-GB"/>
        </w:rPr>
        <w:t>(may affect up to 1 in 100 people):</w:t>
      </w:r>
    </w:p>
    <w:p w14:paraId="7C332742" w14:textId="77777777" w:rsidR="00B61585" w:rsidRPr="00C50A4F" w:rsidRDefault="00016F29" w:rsidP="00B61585">
      <w:pPr>
        <w:ind w:left="714" w:hanging="357"/>
        <w:rPr>
          <w:szCs w:val="22"/>
          <w:lang w:val="en-GB"/>
        </w:rPr>
      </w:pPr>
      <w:r w:rsidRPr="00550F18">
        <w:rPr>
          <w:rFonts w:ascii="Symbol" w:hAnsi="Symbol"/>
          <w:lang w:val="en-GB"/>
        </w:rPr>
        <w:sym w:font="Symbol" w:char="F0B7"/>
      </w:r>
      <w:r w:rsidRPr="00C50A4F">
        <w:rPr>
          <w:szCs w:val="22"/>
          <w:lang w:val="en-GB"/>
        </w:rPr>
        <w:tab/>
        <w:t>Excess fluid retention in the face and body</w:t>
      </w:r>
    </w:p>
    <w:p w14:paraId="7C332743" w14:textId="77777777" w:rsidR="00B61585" w:rsidRPr="00C50A4F" w:rsidRDefault="00016F29" w:rsidP="00B61585">
      <w:pPr>
        <w:ind w:left="714" w:hanging="357"/>
        <w:rPr>
          <w:szCs w:val="22"/>
          <w:lang w:val="en-GB"/>
        </w:rPr>
      </w:pPr>
      <w:r w:rsidRPr="00550F18">
        <w:rPr>
          <w:rFonts w:ascii="Symbol" w:hAnsi="Symbol"/>
          <w:lang w:val="en-GB"/>
        </w:rPr>
        <w:sym w:font="Symbol" w:char="F0B7"/>
      </w:r>
      <w:r w:rsidRPr="00C50A4F">
        <w:rPr>
          <w:szCs w:val="22"/>
          <w:lang w:val="en-GB"/>
        </w:rPr>
        <w:tab/>
      </w:r>
      <w:r w:rsidRPr="00C50A4F">
        <w:rPr>
          <w:iCs/>
          <w:szCs w:val="22"/>
          <w:lang w:val="en-GB"/>
        </w:rPr>
        <w:t>Inflammation, irritation and / or tightness of the lungs, and throat, coughing</w:t>
      </w:r>
    </w:p>
    <w:p w14:paraId="7C332744" w14:textId="77777777" w:rsidR="00B61585" w:rsidRPr="00C50A4F" w:rsidRDefault="00016F29" w:rsidP="00B61585">
      <w:pPr>
        <w:ind w:left="714" w:hanging="357"/>
        <w:rPr>
          <w:szCs w:val="22"/>
          <w:lang w:val="en-GB"/>
        </w:rPr>
      </w:pPr>
      <w:r w:rsidRPr="00550F18">
        <w:rPr>
          <w:rFonts w:ascii="Symbol" w:hAnsi="Symbol"/>
          <w:lang w:val="en-GB"/>
        </w:rPr>
        <w:sym w:font="Symbol" w:char="F0B7"/>
      </w:r>
      <w:r w:rsidRPr="00C50A4F">
        <w:rPr>
          <w:szCs w:val="22"/>
          <w:lang w:val="en-GB"/>
        </w:rPr>
        <w:tab/>
        <w:t>Skin reactions including hives, itching and rash</w:t>
      </w:r>
    </w:p>
    <w:p w14:paraId="7C332745" w14:textId="77777777" w:rsidR="00B61585" w:rsidRPr="00C50A4F" w:rsidRDefault="00016F29" w:rsidP="00B61585">
      <w:pPr>
        <w:ind w:left="714" w:hanging="357"/>
        <w:rPr>
          <w:szCs w:val="22"/>
          <w:lang w:val="en-GB" w:eastAsia="zh-CN"/>
        </w:rPr>
      </w:pPr>
      <w:r w:rsidRPr="00550F18">
        <w:rPr>
          <w:rFonts w:ascii="Symbol" w:hAnsi="Symbol"/>
          <w:lang w:val="en-GB"/>
        </w:rPr>
        <w:sym w:font="Symbol" w:char="F0B7"/>
      </w:r>
      <w:r w:rsidRPr="00C50A4F">
        <w:rPr>
          <w:szCs w:val="22"/>
          <w:lang w:val="en-GB"/>
        </w:rPr>
        <w:tab/>
      </w:r>
      <w:r w:rsidRPr="00C50A4F">
        <w:rPr>
          <w:szCs w:val="22"/>
          <w:lang w:val="en-GB" w:eastAsia="zh-CN"/>
        </w:rPr>
        <w:t>Allergic reactions including wheezing or shortness of breath, swelling of the face and tongue, collapse</w:t>
      </w:r>
    </w:p>
    <w:p w14:paraId="7C332746" w14:textId="77777777" w:rsidR="00B61585" w:rsidRPr="00C50A4F" w:rsidRDefault="00B61585" w:rsidP="00B61585">
      <w:pPr>
        <w:rPr>
          <w:szCs w:val="22"/>
          <w:lang w:val="en-GB"/>
        </w:rPr>
      </w:pPr>
    </w:p>
    <w:p w14:paraId="7C332747" w14:textId="77777777" w:rsidR="00B61585" w:rsidRPr="00C50A4F" w:rsidRDefault="00016F29" w:rsidP="00E454FF">
      <w:pPr>
        <w:keepNext/>
        <w:keepLines/>
        <w:rPr>
          <w:szCs w:val="22"/>
          <w:lang w:val="en-GB" w:eastAsia="zh-CN"/>
        </w:rPr>
      </w:pPr>
      <w:r w:rsidRPr="00C50A4F">
        <w:rPr>
          <w:szCs w:val="22"/>
          <w:lang w:val="en-GB" w:eastAsia="zh-CN"/>
        </w:rPr>
        <w:t xml:space="preserve">Very rare side effects </w:t>
      </w:r>
      <w:r w:rsidRPr="00237DB5">
        <w:rPr>
          <w:iCs/>
          <w:lang w:val="en-GB"/>
        </w:rPr>
        <w:t>(may affect up to 1 in 10, 000 people):</w:t>
      </w:r>
    </w:p>
    <w:p w14:paraId="7C332748" w14:textId="77777777" w:rsidR="00B61585" w:rsidRPr="00C50A4F" w:rsidRDefault="00016F29" w:rsidP="00E454FF">
      <w:pPr>
        <w:keepNext/>
        <w:keepLines/>
        <w:ind w:left="714" w:hanging="357"/>
        <w:rPr>
          <w:szCs w:val="22"/>
          <w:lang w:val="en-GB" w:eastAsia="zh-CN"/>
        </w:rPr>
      </w:pPr>
      <w:r w:rsidRPr="00550F18">
        <w:rPr>
          <w:rFonts w:ascii="Symbol" w:hAnsi="Symbol"/>
          <w:lang w:val="en-GB"/>
        </w:rPr>
        <w:sym w:font="Symbol" w:char="F0B7"/>
      </w:r>
      <w:r w:rsidRPr="00C50A4F">
        <w:rPr>
          <w:szCs w:val="22"/>
          <w:lang w:val="en-GB"/>
        </w:rPr>
        <w:tab/>
      </w:r>
      <w:r w:rsidRPr="00C50A4F">
        <w:rPr>
          <w:szCs w:val="22"/>
          <w:lang w:val="en-GB" w:eastAsia="zh-CN"/>
        </w:rPr>
        <w:t>A complex of symptoms occurring within a few weeks of an infusion of MabThera including allergic like reactions such as rash, itching, joint pain, swollen lymph glands and fever</w:t>
      </w:r>
    </w:p>
    <w:p w14:paraId="7C332749" w14:textId="77777777" w:rsidR="00B61585" w:rsidRPr="00461E33" w:rsidRDefault="00016F29" w:rsidP="00B61585">
      <w:pPr>
        <w:ind w:left="714" w:hanging="357"/>
        <w:rPr>
          <w:szCs w:val="22"/>
          <w:lang w:val="en-GB" w:eastAsia="zh-CN"/>
        </w:rPr>
      </w:pPr>
      <w:r w:rsidRPr="00550F18">
        <w:rPr>
          <w:rFonts w:ascii="Symbol" w:hAnsi="Symbol"/>
          <w:lang w:val="en-GB"/>
        </w:rPr>
        <w:sym w:font="Symbol" w:char="F0B7"/>
      </w:r>
      <w:r w:rsidRPr="00461E33">
        <w:rPr>
          <w:szCs w:val="22"/>
          <w:lang w:val="en-GB"/>
        </w:rPr>
        <w:tab/>
      </w:r>
      <w:r w:rsidRPr="00461E33">
        <w:rPr>
          <w:snapToGrid w:val="0"/>
          <w:lang w:val="en-GB" w:eastAsia="en-US"/>
        </w:rPr>
        <w:t>severe blistering skin conditions that can be life</w:t>
      </w:r>
      <w:r w:rsidR="000A6DDA" w:rsidRPr="00461E33">
        <w:rPr>
          <w:snapToGrid w:val="0"/>
          <w:lang w:val="en-GB" w:eastAsia="en-US"/>
        </w:rPr>
        <w:noBreakHyphen/>
      </w:r>
      <w:r w:rsidRPr="00461E33">
        <w:rPr>
          <w:snapToGrid w:val="0"/>
          <w:lang w:val="en-GB" w:eastAsia="en-US"/>
        </w:rPr>
        <w:t>threatening. Redness, often associated with blisters, may appear on the skin or on mucous membranes, such as inside the mouth, the genital areas or the eyelids, and fever may be present.</w:t>
      </w:r>
    </w:p>
    <w:p w14:paraId="7C33274A" w14:textId="77777777" w:rsidR="00B61585" w:rsidRPr="00461E33" w:rsidRDefault="00B61585" w:rsidP="00B61585">
      <w:pPr>
        <w:rPr>
          <w:szCs w:val="22"/>
          <w:lang w:val="en-GB"/>
        </w:rPr>
      </w:pPr>
    </w:p>
    <w:p w14:paraId="7C33274B" w14:textId="77777777" w:rsidR="00B61585" w:rsidRPr="00C50A4F" w:rsidRDefault="00016F29" w:rsidP="00B61585">
      <w:pPr>
        <w:rPr>
          <w:szCs w:val="22"/>
          <w:lang w:val="en-GB"/>
        </w:rPr>
      </w:pPr>
      <w:r w:rsidRPr="00461E33">
        <w:rPr>
          <w:szCs w:val="22"/>
          <w:lang w:val="en-GB"/>
        </w:rPr>
        <w:t>Other rarely</w:t>
      </w:r>
      <w:r w:rsidR="000A6DDA" w:rsidRPr="00461E33">
        <w:rPr>
          <w:szCs w:val="22"/>
          <w:lang w:val="en-GB"/>
        </w:rPr>
        <w:noBreakHyphen/>
      </w:r>
      <w:r w:rsidRPr="00461E33">
        <w:rPr>
          <w:szCs w:val="22"/>
          <w:lang w:val="en-GB"/>
        </w:rPr>
        <w:t>reported side</w:t>
      </w:r>
      <w:r w:rsidR="000A6DDA" w:rsidRPr="00461E33">
        <w:rPr>
          <w:szCs w:val="22"/>
          <w:lang w:val="en-GB"/>
        </w:rPr>
        <w:noBreakHyphen/>
      </w:r>
      <w:r w:rsidRPr="00461E33">
        <w:rPr>
          <w:szCs w:val="22"/>
          <w:lang w:val="en-GB"/>
        </w:rPr>
        <w:t>effects due to MabThera in</w:t>
      </w:r>
      <w:r w:rsidRPr="00C50A4F">
        <w:rPr>
          <w:szCs w:val="22"/>
          <w:lang w:val="en-GB"/>
        </w:rPr>
        <w:t xml:space="preserve">clude a </w:t>
      </w:r>
      <w:r w:rsidRPr="00C50A4F">
        <w:rPr>
          <w:szCs w:val="22"/>
          <w:lang w:val="en-GB" w:eastAsia="zh-CN"/>
        </w:rPr>
        <w:t xml:space="preserve">decreased number of white cells in the blood (neutrophils) that help to fight against infection. Some infections may be severe (please see information on </w:t>
      </w:r>
      <w:r w:rsidRPr="00C50A4F">
        <w:rPr>
          <w:b/>
          <w:i/>
          <w:szCs w:val="22"/>
          <w:lang w:val="en-GB" w:eastAsia="zh-CN"/>
        </w:rPr>
        <w:t xml:space="preserve">Infections </w:t>
      </w:r>
      <w:r w:rsidRPr="00C50A4F">
        <w:rPr>
          <w:szCs w:val="22"/>
          <w:lang w:val="en-GB" w:eastAsia="zh-CN"/>
        </w:rPr>
        <w:t>within this section).</w:t>
      </w:r>
    </w:p>
    <w:p w14:paraId="7C33274C" w14:textId="77777777" w:rsidR="00B61585" w:rsidRPr="00C50A4F" w:rsidRDefault="00B61585" w:rsidP="00B61585">
      <w:pPr>
        <w:rPr>
          <w:szCs w:val="22"/>
          <w:lang w:val="en-GB"/>
        </w:rPr>
      </w:pPr>
    </w:p>
    <w:p w14:paraId="7C33274D" w14:textId="77777777" w:rsidR="00B61585" w:rsidRPr="00C50A4F" w:rsidRDefault="00016F29" w:rsidP="00B61585">
      <w:pPr>
        <w:keepNext/>
        <w:keepLines/>
        <w:tabs>
          <w:tab w:val="left" w:pos="426"/>
        </w:tabs>
        <w:rPr>
          <w:b/>
          <w:lang w:val="en-GB"/>
        </w:rPr>
      </w:pPr>
      <w:r w:rsidRPr="00C50A4F">
        <w:rPr>
          <w:b/>
          <w:lang w:val="en-GB"/>
        </w:rPr>
        <w:t>c)</w:t>
      </w:r>
      <w:r w:rsidRPr="00C50A4F">
        <w:rPr>
          <w:b/>
          <w:lang w:val="en-GB"/>
        </w:rPr>
        <w:tab/>
        <w:t xml:space="preserve">If you </w:t>
      </w:r>
      <w:r w:rsidR="004E269F">
        <w:rPr>
          <w:b/>
          <w:lang w:val="en-GB"/>
        </w:rPr>
        <w:t xml:space="preserve">or your child </w:t>
      </w:r>
      <w:r w:rsidRPr="00C50A4F">
        <w:rPr>
          <w:b/>
          <w:lang w:val="en-GB"/>
        </w:rPr>
        <w:t>are being treated for granulomatosis with polyangiitis or microscopic polyangiitis</w:t>
      </w:r>
    </w:p>
    <w:p w14:paraId="7C33274E" w14:textId="77777777" w:rsidR="00B61585" w:rsidRPr="00C50A4F" w:rsidRDefault="00B61585" w:rsidP="00B61585">
      <w:pPr>
        <w:keepNext/>
        <w:keepLines/>
        <w:rPr>
          <w:iCs/>
          <w:lang w:val="en-GB"/>
        </w:rPr>
      </w:pPr>
    </w:p>
    <w:p w14:paraId="7C33274F" w14:textId="77777777" w:rsidR="00B61585" w:rsidRPr="00C50A4F" w:rsidRDefault="00016F29" w:rsidP="00B61585">
      <w:pPr>
        <w:keepNext/>
        <w:keepLines/>
        <w:rPr>
          <w:iCs/>
          <w:lang w:val="en-GB"/>
        </w:rPr>
      </w:pPr>
      <w:r w:rsidRPr="00237DB5">
        <w:rPr>
          <w:iCs/>
          <w:lang w:val="en-GB"/>
        </w:rPr>
        <w:t xml:space="preserve">Very common </w:t>
      </w:r>
      <w:r w:rsidRPr="00237DB5">
        <w:rPr>
          <w:szCs w:val="22"/>
          <w:lang w:val="en-GB" w:eastAsia="en-US"/>
        </w:rPr>
        <w:t>side effects (may affect more than 1 in 10 people):</w:t>
      </w:r>
    </w:p>
    <w:p w14:paraId="7C332750" w14:textId="77777777" w:rsidR="00B61585" w:rsidRPr="00C50A4F" w:rsidRDefault="00016F29" w:rsidP="00B61585">
      <w:pPr>
        <w:ind w:left="714" w:hanging="357"/>
        <w:rPr>
          <w:iCs/>
          <w:lang w:val="en-GB"/>
        </w:rPr>
      </w:pPr>
      <w:r w:rsidRPr="00550F18">
        <w:rPr>
          <w:rFonts w:ascii="Symbol" w:hAnsi="Symbol"/>
          <w:lang w:val="en-GB"/>
        </w:rPr>
        <w:sym w:font="Symbol" w:char="F0B7"/>
      </w:r>
      <w:r w:rsidRPr="00C50A4F">
        <w:rPr>
          <w:szCs w:val="22"/>
          <w:lang w:val="en-GB"/>
        </w:rPr>
        <w:tab/>
        <w:t xml:space="preserve">infections, such as </w:t>
      </w:r>
      <w:r w:rsidRPr="00C50A4F">
        <w:rPr>
          <w:iCs/>
          <w:lang w:val="en-GB"/>
        </w:rPr>
        <w:t>chest infections, urinary tract infections (pain on passing water), colds and herpes infections</w:t>
      </w:r>
    </w:p>
    <w:p w14:paraId="7C332751" w14:textId="77777777" w:rsidR="00B61585" w:rsidRPr="00461E33" w:rsidRDefault="00016F29" w:rsidP="00B61585">
      <w:pPr>
        <w:ind w:left="714" w:hanging="357"/>
        <w:rPr>
          <w:iCs/>
          <w:lang w:val="en-GB"/>
        </w:rPr>
      </w:pPr>
      <w:r w:rsidRPr="00550F18">
        <w:rPr>
          <w:rFonts w:ascii="Symbol" w:hAnsi="Symbol"/>
          <w:lang w:val="en-GB"/>
        </w:rPr>
        <w:sym w:font="Symbol" w:char="F0B7"/>
      </w:r>
      <w:r w:rsidRPr="00461E33">
        <w:rPr>
          <w:szCs w:val="22"/>
          <w:lang w:val="en-GB"/>
        </w:rPr>
        <w:tab/>
        <w:t>allergic reactions that are most likely to occur during an infusion, but can occur up</w:t>
      </w:r>
      <w:r w:rsidR="000A6DDA" w:rsidRPr="00461E33">
        <w:rPr>
          <w:szCs w:val="22"/>
          <w:lang w:val="en-GB"/>
        </w:rPr>
        <w:noBreakHyphen/>
      </w:r>
      <w:r w:rsidRPr="00461E33">
        <w:rPr>
          <w:szCs w:val="22"/>
          <w:lang w:val="en-GB"/>
        </w:rPr>
        <w:t>to 24</w:t>
      </w:r>
      <w:r w:rsidR="000A6DDA" w:rsidRPr="00461E33">
        <w:rPr>
          <w:szCs w:val="22"/>
          <w:lang w:val="en-GB"/>
        </w:rPr>
        <w:noBreakHyphen/>
      </w:r>
      <w:r w:rsidRPr="00461E33">
        <w:rPr>
          <w:szCs w:val="22"/>
          <w:lang w:val="en-GB"/>
        </w:rPr>
        <w:t>hours after infusion</w:t>
      </w:r>
    </w:p>
    <w:p w14:paraId="7C332752" w14:textId="77777777" w:rsidR="00B61585" w:rsidRPr="00C50A4F" w:rsidRDefault="00016F29" w:rsidP="00B61585">
      <w:pPr>
        <w:ind w:left="714" w:hanging="357"/>
        <w:rPr>
          <w:iCs/>
          <w:lang w:val="en-GB"/>
        </w:rPr>
      </w:pPr>
      <w:r w:rsidRPr="00550F18">
        <w:rPr>
          <w:rFonts w:ascii="Symbol" w:hAnsi="Symbol"/>
          <w:lang w:val="en-GB"/>
        </w:rPr>
        <w:sym w:font="Symbol" w:char="F0B7"/>
      </w:r>
      <w:r w:rsidRPr="00C50A4F">
        <w:rPr>
          <w:szCs w:val="22"/>
          <w:lang w:val="en-GB"/>
        </w:rPr>
        <w:tab/>
      </w:r>
      <w:r w:rsidRPr="00C50A4F">
        <w:rPr>
          <w:iCs/>
          <w:lang w:val="en-GB"/>
        </w:rPr>
        <w:t>diarrhoea</w:t>
      </w:r>
    </w:p>
    <w:p w14:paraId="7C332753" w14:textId="77777777" w:rsidR="00B61585" w:rsidRPr="00C50A4F" w:rsidRDefault="00016F29" w:rsidP="00B61585">
      <w:pPr>
        <w:ind w:left="714" w:hanging="357"/>
        <w:rPr>
          <w:szCs w:val="22"/>
          <w:lang w:val="en-GB"/>
        </w:rPr>
      </w:pPr>
      <w:r w:rsidRPr="00550F18">
        <w:rPr>
          <w:rFonts w:ascii="Symbol" w:hAnsi="Symbol"/>
          <w:lang w:val="en-GB"/>
        </w:rPr>
        <w:sym w:font="Symbol" w:char="F0B7"/>
      </w:r>
      <w:r w:rsidRPr="00C50A4F">
        <w:rPr>
          <w:szCs w:val="22"/>
          <w:lang w:val="en-GB"/>
        </w:rPr>
        <w:tab/>
        <w:t>coughing or shortness of breath</w:t>
      </w:r>
    </w:p>
    <w:p w14:paraId="7C332754" w14:textId="77777777" w:rsidR="00B61585" w:rsidRPr="00C50A4F" w:rsidRDefault="00016F29" w:rsidP="00B61585">
      <w:pPr>
        <w:ind w:left="714" w:hanging="357"/>
        <w:rPr>
          <w:szCs w:val="22"/>
          <w:lang w:val="en-GB"/>
        </w:rPr>
      </w:pPr>
      <w:r w:rsidRPr="00550F18">
        <w:rPr>
          <w:rFonts w:ascii="Symbol" w:hAnsi="Symbol"/>
          <w:lang w:val="en-GB"/>
        </w:rPr>
        <w:sym w:font="Symbol" w:char="F0B7"/>
      </w:r>
      <w:r w:rsidRPr="00C50A4F">
        <w:rPr>
          <w:szCs w:val="22"/>
          <w:lang w:val="en-GB"/>
        </w:rPr>
        <w:tab/>
        <w:t>nose bleeds</w:t>
      </w:r>
    </w:p>
    <w:p w14:paraId="7C332755" w14:textId="77777777" w:rsidR="00B61585" w:rsidRPr="00C50A4F" w:rsidRDefault="00016F29" w:rsidP="00B61585">
      <w:pPr>
        <w:ind w:left="714" w:hanging="357"/>
        <w:rPr>
          <w:szCs w:val="22"/>
          <w:lang w:val="en-GB"/>
        </w:rPr>
      </w:pPr>
      <w:r w:rsidRPr="00550F18">
        <w:rPr>
          <w:rFonts w:ascii="Symbol" w:hAnsi="Symbol"/>
          <w:lang w:val="en-GB"/>
        </w:rPr>
        <w:sym w:font="Symbol" w:char="F0B7"/>
      </w:r>
      <w:r w:rsidRPr="00C50A4F">
        <w:rPr>
          <w:szCs w:val="22"/>
          <w:lang w:val="en-GB"/>
        </w:rPr>
        <w:tab/>
        <w:t>raised blood pressure</w:t>
      </w:r>
    </w:p>
    <w:p w14:paraId="7C332756" w14:textId="77777777" w:rsidR="00B61585" w:rsidRPr="00C50A4F" w:rsidRDefault="00016F29" w:rsidP="00B61585">
      <w:pPr>
        <w:ind w:left="714" w:hanging="357"/>
        <w:rPr>
          <w:iCs/>
          <w:lang w:val="en-GB"/>
        </w:rPr>
      </w:pPr>
      <w:r w:rsidRPr="00550F18">
        <w:rPr>
          <w:rFonts w:ascii="Symbol" w:hAnsi="Symbol"/>
          <w:lang w:val="en-GB"/>
        </w:rPr>
        <w:sym w:font="Symbol" w:char="F0B7"/>
      </w:r>
      <w:r w:rsidRPr="00C50A4F">
        <w:rPr>
          <w:szCs w:val="22"/>
          <w:lang w:val="en-GB"/>
        </w:rPr>
        <w:tab/>
      </w:r>
      <w:r w:rsidRPr="00C50A4F">
        <w:rPr>
          <w:iCs/>
          <w:lang w:val="en-GB"/>
        </w:rPr>
        <w:t>painful joints or back</w:t>
      </w:r>
    </w:p>
    <w:p w14:paraId="7C332757" w14:textId="77777777" w:rsidR="00B61585" w:rsidRPr="00C50A4F" w:rsidRDefault="00016F29" w:rsidP="00B61585">
      <w:pPr>
        <w:ind w:left="714" w:hanging="357"/>
        <w:rPr>
          <w:iCs/>
          <w:lang w:val="en-GB"/>
        </w:rPr>
      </w:pPr>
      <w:r w:rsidRPr="00550F18">
        <w:rPr>
          <w:rFonts w:ascii="Symbol" w:hAnsi="Symbol"/>
          <w:lang w:val="en-GB"/>
        </w:rPr>
        <w:sym w:font="Symbol" w:char="F0B7"/>
      </w:r>
      <w:r w:rsidRPr="00C50A4F">
        <w:rPr>
          <w:szCs w:val="22"/>
          <w:lang w:val="en-GB"/>
        </w:rPr>
        <w:tab/>
      </w:r>
      <w:r w:rsidRPr="00C50A4F">
        <w:rPr>
          <w:iCs/>
          <w:lang w:val="en-GB"/>
        </w:rPr>
        <w:t>muscle twitches or shakiness</w:t>
      </w:r>
    </w:p>
    <w:p w14:paraId="7C332758" w14:textId="77777777" w:rsidR="00B61585" w:rsidRPr="00C50A4F" w:rsidRDefault="00016F29" w:rsidP="00B61585">
      <w:pPr>
        <w:ind w:left="714" w:hanging="357"/>
        <w:rPr>
          <w:iCs/>
          <w:lang w:val="en-GB"/>
        </w:rPr>
      </w:pPr>
      <w:r w:rsidRPr="00550F18">
        <w:rPr>
          <w:rFonts w:ascii="Symbol" w:hAnsi="Symbol"/>
          <w:lang w:val="en-GB"/>
        </w:rPr>
        <w:sym w:font="Symbol" w:char="F0B7"/>
      </w:r>
      <w:r w:rsidRPr="00C50A4F">
        <w:rPr>
          <w:szCs w:val="22"/>
          <w:lang w:val="en-GB"/>
        </w:rPr>
        <w:tab/>
      </w:r>
      <w:r w:rsidRPr="00C50A4F">
        <w:rPr>
          <w:iCs/>
          <w:lang w:val="en-GB"/>
        </w:rPr>
        <w:t>feeling dizzy</w:t>
      </w:r>
    </w:p>
    <w:p w14:paraId="7C332759" w14:textId="77777777" w:rsidR="00B61585" w:rsidRPr="00C50A4F" w:rsidRDefault="00016F29" w:rsidP="00B61585">
      <w:pPr>
        <w:ind w:left="714" w:hanging="357"/>
        <w:rPr>
          <w:iCs/>
          <w:lang w:val="en-GB"/>
        </w:rPr>
      </w:pPr>
      <w:r w:rsidRPr="00550F18">
        <w:rPr>
          <w:rFonts w:ascii="Symbol" w:hAnsi="Symbol"/>
          <w:lang w:val="en-GB"/>
        </w:rPr>
        <w:sym w:font="Symbol" w:char="F0B7"/>
      </w:r>
      <w:r w:rsidRPr="00C50A4F">
        <w:rPr>
          <w:szCs w:val="22"/>
          <w:lang w:val="en-GB"/>
        </w:rPr>
        <w:tab/>
      </w:r>
      <w:r w:rsidRPr="00C50A4F">
        <w:rPr>
          <w:iCs/>
          <w:lang w:val="en-GB"/>
        </w:rPr>
        <w:t>tremors (shakiness, often in the hands)</w:t>
      </w:r>
    </w:p>
    <w:p w14:paraId="7C33275A" w14:textId="77777777" w:rsidR="00B61585" w:rsidRPr="00C50A4F" w:rsidRDefault="00016F29" w:rsidP="00B61585">
      <w:pPr>
        <w:ind w:left="714" w:hanging="357"/>
        <w:rPr>
          <w:iCs/>
          <w:lang w:val="en-GB"/>
        </w:rPr>
      </w:pPr>
      <w:r w:rsidRPr="00550F18">
        <w:rPr>
          <w:rFonts w:ascii="Symbol" w:hAnsi="Symbol"/>
          <w:lang w:val="en-GB"/>
        </w:rPr>
        <w:sym w:font="Symbol" w:char="F0B7"/>
      </w:r>
      <w:r w:rsidRPr="00C50A4F">
        <w:rPr>
          <w:szCs w:val="22"/>
          <w:lang w:val="en-GB"/>
        </w:rPr>
        <w:tab/>
      </w:r>
      <w:r w:rsidRPr="00C50A4F">
        <w:rPr>
          <w:iCs/>
          <w:lang w:val="en-GB"/>
        </w:rPr>
        <w:t>difficulty sleeping (insomnia)</w:t>
      </w:r>
    </w:p>
    <w:p w14:paraId="7C33275B" w14:textId="77777777" w:rsidR="00B61585" w:rsidRPr="00C50A4F" w:rsidRDefault="00016F29" w:rsidP="00B61585">
      <w:pPr>
        <w:ind w:left="714" w:hanging="357"/>
        <w:rPr>
          <w:iCs/>
          <w:lang w:val="en-GB"/>
        </w:rPr>
      </w:pPr>
      <w:r w:rsidRPr="00550F18">
        <w:rPr>
          <w:rFonts w:ascii="Symbol" w:hAnsi="Symbol"/>
          <w:lang w:val="en-GB"/>
        </w:rPr>
        <w:sym w:font="Symbol" w:char="F0B7"/>
      </w:r>
      <w:r w:rsidRPr="00C50A4F">
        <w:rPr>
          <w:szCs w:val="22"/>
          <w:lang w:val="en-GB"/>
        </w:rPr>
        <w:tab/>
      </w:r>
      <w:r w:rsidRPr="00C50A4F">
        <w:rPr>
          <w:iCs/>
          <w:lang w:val="en-GB"/>
        </w:rPr>
        <w:t xml:space="preserve">swelling of the hands or ankles </w:t>
      </w:r>
    </w:p>
    <w:p w14:paraId="7C33275C" w14:textId="77777777" w:rsidR="00B61585" w:rsidRPr="00C50A4F" w:rsidRDefault="00B61585" w:rsidP="00B61585">
      <w:pPr>
        <w:rPr>
          <w:lang w:val="en-GB"/>
        </w:rPr>
      </w:pPr>
    </w:p>
    <w:p w14:paraId="7C33275D" w14:textId="77777777" w:rsidR="00B61585" w:rsidRPr="00C50A4F" w:rsidRDefault="00016F29" w:rsidP="00B61585">
      <w:pPr>
        <w:rPr>
          <w:iCs/>
          <w:szCs w:val="22"/>
          <w:lang w:val="en-GB"/>
        </w:rPr>
      </w:pPr>
      <w:r w:rsidRPr="00C50A4F">
        <w:rPr>
          <w:iCs/>
          <w:szCs w:val="22"/>
          <w:lang w:val="en-GB"/>
        </w:rPr>
        <w:t xml:space="preserve">Common side effects </w:t>
      </w:r>
      <w:r w:rsidRPr="00237DB5">
        <w:rPr>
          <w:iCs/>
          <w:lang w:val="en-GB"/>
        </w:rPr>
        <w:t>(may affect up to 1 in 10 people):</w:t>
      </w:r>
    </w:p>
    <w:p w14:paraId="7C33275E" w14:textId="77777777" w:rsidR="00B61585" w:rsidRPr="00C50A4F" w:rsidRDefault="00016F29" w:rsidP="00B61585">
      <w:pPr>
        <w:ind w:left="714" w:hanging="357"/>
        <w:rPr>
          <w:iCs/>
          <w:lang w:val="en-GB"/>
        </w:rPr>
      </w:pPr>
      <w:r w:rsidRPr="00550F18">
        <w:rPr>
          <w:rFonts w:ascii="Symbol" w:hAnsi="Symbol"/>
          <w:lang w:val="en-GB"/>
        </w:rPr>
        <w:sym w:font="Symbol" w:char="F0B7"/>
      </w:r>
      <w:r w:rsidRPr="00C50A4F">
        <w:rPr>
          <w:szCs w:val="22"/>
          <w:lang w:val="en-GB"/>
        </w:rPr>
        <w:tab/>
      </w:r>
      <w:r w:rsidRPr="00C50A4F">
        <w:rPr>
          <w:iCs/>
          <w:lang w:val="en-GB"/>
        </w:rPr>
        <w:t>indigestion</w:t>
      </w:r>
    </w:p>
    <w:p w14:paraId="7C33275F" w14:textId="77777777" w:rsidR="00B61585" w:rsidRPr="00C50A4F" w:rsidRDefault="00016F29" w:rsidP="00B61585">
      <w:pPr>
        <w:ind w:left="714" w:hanging="357"/>
        <w:rPr>
          <w:iCs/>
          <w:lang w:val="en-GB"/>
        </w:rPr>
      </w:pPr>
      <w:r w:rsidRPr="00550F18">
        <w:rPr>
          <w:rFonts w:ascii="Symbol" w:hAnsi="Symbol"/>
          <w:lang w:val="en-GB"/>
        </w:rPr>
        <w:sym w:font="Symbol" w:char="F0B7"/>
      </w:r>
      <w:r w:rsidRPr="00C50A4F">
        <w:rPr>
          <w:szCs w:val="22"/>
          <w:lang w:val="en-GB"/>
        </w:rPr>
        <w:tab/>
      </w:r>
      <w:r w:rsidRPr="00C50A4F">
        <w:rPr>
          <w:iCs/>
          <w:lang w:val="en-GB"/>
        </w:rPr>
        <w:t>constipation</w:t>
      </w:r>
    </w:p>
    <w:p w14:paraId="7C332760" w14:textId="77777777" w:rsidR="00B61585" w:rsidRPr="00C50A4F" w:rsidRDefault="00016F29" w:rsidP="00B61585">
      <w:pPr>
        <w:ind w:left="714" w:hanging="357"/>
        <w:rPr>
          <w:iCs/>
          <w:lang w:val="en-GB"/>
        </w:rPr>
      </w:pPr>
      <w:r w:rsidRPr="00550F18">
        <w:rPr>
          <w:rFonts w:ascii="Symbol" w:hAnsi="Symbol"/>
          <w:lang w:val="en-GB"/>
        </w:rPr>
        <w:sym w:font="Symbol" w:char="F0B7"/>
      </w:r>
      <w:r w:rsidRPr="00C50A4F">
        <w:rPr>
          <w:szCs w:val="22"/>
          <w:lang w:val="en-GB"/>
        </w:rPr>
        <w:tab/>
      </w:r>
      <w:r w:rsidRPr="00C50A4F">
        <w:rPr>
          <w:iCs/>
          <w:lang w:val="en-GB"/>
        </w:rPr>
        <w:t>skin rashes, including acne or spots</w:t>
      </w:r>
    </w:p>
    <w:p w14:paraId="7C332761" w14:textId="77777777" w:rsidR="00712CEB" w:rsidRDefault="00016F29" w:rsidP="00712CEB">
      <w:pPr>
        <w:ind w:left="714" w:hanging="357"/>
        <w:rPr>
          <w:iCs/>
          <w:lang w:val="en-GB"/>
        </w:rPr>
      </w:pPr>
      <w:r w:rsidRPr="00550F18">
        <w:rPr>
          <w:rFonts w:ascii="Symbol" w:hAnsi="Symbol"/>
          <w:lang w:val="en-GB"/>
        </w:rPr>
        <w:sym w:font="Symbol" w:char="F0B7"/>
      </w:r>
      <w:r w:rsidRPr="00C50A4F">
        <w:rPr>
          <w:szCs w:val="22"/>
          <w:lang w:val="en-GB"/>
        </w:rPr>
        <w:tab/>
      </w:r>
      <w:r w:rsidRPr="00C50A4F">
        <w:rPr>
          <w:iCs/>
          <w:lang w:val="en-GB"/>
        </w:rPr>
        <w:t>flushing or redness of the skin</w:t>
      </w:r>
    </w:p>
    <w:p w14:paraId="7C332762" w14:textId="77777777" w:rsidR="00712CEB" w:rsidRPr="00712CEB" w:rsidRDefault="00016F29" w:rsidP="00712CEB">
      <w:pPr>
        <w:ind w:left="714" w:hanging="357"/>
        <w:rPr>
          <w:iCs/>
          <w:lang w:val="en-GB"/>
        </w:rPr>
      </w:pPr>
      <w:r w:rsidRPr="00550F18">
        <w:rPr>
          <w:rFonts w:ascii="Symbol" w:hAnsi="Symbol"/>
          <w:lang w:val="en-GB"/>
        </w:rPr>
        <w:sym w:font="Symbol" w:char="F0B7"/>
      </w:r>
      <w:r w:rsidRPr="00C50A4F">
        <w:rPr>
          <w:szCs w:val="22"/>
          <w:lang w:val="en-GB"/>
        </w:rPr>
        <w:tab/>
      </w:r>
      <w:r>
        <w:rPr>
          <w:szCs w:val="22"/>
          <w:lang w:val="en-GB"/>
        </w:rPr>
        <w:t>fever</w:t>
      </w:r>
    </w:p>
    <w:p w14:paraId="7C332763" w14:textId="77777777" w:rsidR="00B61585" w:rsidRPr="00C50A4F" w:rsidRDefault="00016F29" w:rsidP="00B61585">
      <w:pPr>
        <w:ind w:left="714" w:hanging="357"/>
        <w:rPr>
          <w:szCs w:val="22"/>
          <w:lang w:val="en-GB"/>
        </w:rPr>
      </w:pPr>
      <w:r w:rsidRPr="00550F18">
        <w:rPr>
          <w:rFonts w:ascii="Symbol" w:hAnsi="Symbol"/>
          <w:lang w:val="en-GB"/>
        </w:rPr>
        <w:sym w:font="Symbol" w:char="F0B7"/>
      </w:r>
      <w:r w:rsidRPr="00C50A4F">
        <w:rPr>
          <w:szCs w:val="22"/>
          <w:lang w:val="en-GB"/>
        </w:rPr>
        <w:tab/>
        <w:t xml:space="preserve">blocked </w:t>
      </w:r>
      <w:r w:rsidR="00712CEB">
        <w:rPr>
          <w:szCs w:val="22"/>
          <w:lang w:val="en-GB"/>
        </w:rPr>
        <w:t xml:space="preserve">or runny </w:t>
      </w:r>
      <w:r w:rsidRPr="00C50A4F">
        <w:rPr>
          <w:szCs w:val="22"/>
          <w:lang w:val="en-GB"/>
        </w:rPr>
        <w:t>nose</w:t>
      </w:r>
    </w:p>
    <w:p w14:paraId="7C332764" w14:textId="77777777" w:rsidR="00B61585" w:rsidRPr="00C50A4F" w:rsidRDefault="00016F29" w:rsidP="00B61585">
      <w:pPr>
        <w:ind w:left="714" w:hanging="357"/>
        <w:rPr>
          <w:iCs/>
          <w:lang w:val="en-GB"/>
        </w:rPr>
      </w:pPr>
      <w:r w:rsidRPr="00550F18">
        <w:rPr>
          <w:rFonts w:ascii="Symbol" w:hAnsi="Symbol"/>
          <w:lang w:val="en-GB"/>
        </w:rPr>
        <w:sym w:font="Symbol" w:char="F0B7"/>
      </w:r>
      <w:r w:rsidRPr="00C50A4F">
        <w:rPr>
          <w:szCs w:val="22"/>
          <w:lang w:val="en-GB"/>
        </w:rPr>
        <w:tab/>
      </w:r>
      <w:r w:rsidRPr="00C50A4F">
        <w:rPr>
          <w:iCs/>
          <w:lang w:val="en-GB"/>
        </w:rPr>
        <w:t>tight or painful muscles</w:t>
      </w:r>
    </w:p>
    <w:p w14:paraId="7C332765" w14:textId="77777777" w:rsidR="00B61585" w:rsidRPr="00C50A4F" w:rsidRDefault="00016F29" w:rsidP="00B61585">
      <w:pPr>
        <w:ind w:left="714" w:hanging="357"/>
        <w:rPr>
          <w:iCs/>
          <w:lang w:val="en-GB"/>
        </w:rPr>
      </w:pPr>
      <w:r w:rsidRPr="00550F18">
        <w:rPr>
          <w:rFonts w:ascii="Symbol" w:hAnsi="Symbol"/>
          <w:lang w:val="en-GB"/>
        </w:rPr>
        <w:sym w:font="Symbol" w:char="F0B7"/>
      </w:r>
      <w:r w:rsidRPr="00C50A4F">
        <w:rPr>
          <w:szCs w:val="22"/>
          <w:lang w:val="en-GB"/>
        </w:rPr>
        <w:tab/>
      </w:r>
      <w:r w:rsidRPr="00C50A4F">
        <w:rPr>
          <w:iCs/>
          <w:lang w:val="en-GB"/>
        </w:rPr>
        <w:t>pain in the muscles or in the hands or feet</w:t>
      </w:r>
    </w:p>
    <w:p w14:paraId="7C332766" w14:textId="77777777" w:rsidR="00B61585" w:rsidRPr="00C50A4F" w:rsidRDefault="00016F29" w:rsidP="00B61585">
      <w:pPr>
        <w:ind w:left="714" w:hanging="357"/>
        <w:rPr>
          <w:szCs w:val="22"/>
          <w:lang w:val="en-GB"/>
        </w:rPr>
      </w:pPr>
      <w:r w:rsidRPr="00550F18">
        <w:rPr>
          <w:rFonts w:ascii="Symbol" w:hAnsi="Symbol"/>
          <w:lang w:val="en-GB"/>
        </w:rPr>
        <w:sym w:font="Symbol" w:char="F0B7"/>
      </w:r>
      <w:r w:rsidRPr="00C50A4F">
        <w:rPr>
          <w:szCs w:val="22"/>
          <w:lang w:val="en-GB"/>
        </w:rPr>
        <w:tab/>
        <w:t>low number of red blood cells (anaemia)</w:t>
      </w:r>
    </w:p>
    <w:p w14:paraId="7C332767" w14:textId="77777777" w:rsidR="00B61585" w:rsidRPr="00C50A4F" w:rsidRDefault="00016F29" w:rsidP="00B61585">
      <w:pPr>
        <w:ind w:left="714" w:hanging="357"/>
        <w:rPr>
          <w:lang w:val="en-GB"/>
        </w:rPr>
      </w:pPr>
      <w:r w:rsidRPr="00550F18">
        <w:rPr>
          <w:rFonts w:ascii="Symbol" w:hAnsi="Symbol"/>
          <w:lang w:val="en-GB"/>
        </w:rPr>
        <w:sym w:font="Symbol" w:char="F0B7"/>
      </w:r>
      <w:r w:rsidRPr="00C50A4F">
        <w:rPr>
          <w:szCs w:val="22"/>
          <w:lang w:val="en-GB"/>
        </w:rPr>
        <w:tab/>
        <w:t>low numbers of platelets in the blood</w:t>
      </w:r>
    </w:p>
    <w:p w14:paraId="7C332768" w14:textId="77777777" w:rsidR="00B61585" w:rsidRPr="00C50A4F" w:rsidRDefault="00016F29" w:rsidP="00B61585">
      <w:pPr>
        <w:ind w:left="714" w:hanging="357"/>
        <w:rPr>
          <w:lang w:val="en-GB"/>
        </w:rPr>
      </w:pPr>
      <w:r w:rsidRPr="00550F18">
        <w:rPr>
          <w:rFonts w:ascii="Symbol" w:hAnsi="Symbol"/>
          <w:lang w:val="en-GB"/>
        </w:rPr>
        <w:sym w:font="Symbol" w:char="F0B7"/>
      </w:r>
      <w:r w:rsidRPr="00C50A4F">
        <w:rPr>
          <w:szCs w:val="22"/>
          <w:lang w:val="en-GB"/>
        </w:rPr>
        <w:tab/>
      </w:r>
      <w:r w:rsidRPr="00C50A4F">
        <w:rPr>
          <w:snapToGrid w:val="0"/>
          <w:lang w:val="en-GB" w:eastAsia="en-US"/>
        </w:rPr>
        <w:t>an increase in the amount of potassium in the blood</w:t>
      </w:r>
    </w:p>
    <w:p w14:paraId="7C332769" w14:textId="77777777" w:rsidR="00B61585" w:rsidRPr="00C50A4F" w:rsidRDefault="00016F29" w:rsidP="00B61585">
      <w:pPr>
        <w:ind w:left="714" w:hanging="357"/>
        <w:rPr>
          <w:szCs w:val="22"/>
          <w:lang w:val="en-GB"/>
        </w:rPr>
      </w:pPr>
      <w:r w:rsidRPr="00550F18">
        <w:rPr>
          <w:rFonts w:ascii="Symbol" w:hAnsi="Symbol"/>
          <w:lang w:val="en-GB"/>
        </w:rPr>
        <w:sym w:font="Symbol" w:char="F0B7"/>
      </w:r>
      <w:r w:rsidRPr="00C50A4F">
        <w:rPr>
          <w:szCs w:val="22"/>
          <w:lang w:val="en-GB"/>
        </w:rPr>
        <w:tab/>
      </w:r>
      <w:r w:rsidRPr="00C50A4F">
        <w:rPr>
          <w:szCs w:val="22"/>
          <w:lang w:val="en-GB" w:eastAsia="zh-CN"/>
        </w:rPr>
        <w:t>changes in the rhythm of the heart, or the heart beating faster than normal</w:t>
      </w:r>
    </w:p>
    <w:p w14:paraId="7C33276A" w14:textId="77777777" w:rsidR="00B61585" w:rsidRPr="00C50A4F" w:rsidRDefault="00B61585" w:rsidP="00B61585">
      <w:pPr>
        <w:ind w:left="714" w:hanging="357"/>
        <w:rPr>
          <w:lang w:val="en-GB"/>
        </w:rPr>
      </w:pPr>
    </w:p>
    <w:p w14:paraId="7C33276B" w14:textId="77777777" w:rsidR="00B61585" w:rsidRPr="00F638AF" w:rsidRDefault="00016F29" w:rsidP="0099733D">
      <w:pPr>
        <w:keepNext/>
        <w:keepLines/>
        <w:rPr>
          <w:szCs w:val="22"/>
          <w:lang w:val="en-GB" w:eastAsia="zh-CN"/>
        </w:rPr>
      </w:pPr>
      <w:r w:rsidRPr="00F638AF">
        <w:rPr>
          <w:szCs w:val="22"/>
          <w:lang w:val="en-GB" w:eastAsia="zh-CN"/>
        </w:rPr>
        <w:t xml:space="preserve">Very rare side effects </w:t>
      </w:r>
      <w:r w:rsidRPr="00F638AF">
        <w:rPr>
          <w:iCs/>
          <w:lang w:val="en-GB"/>
        </w:rPr>
        <w:t>(may affect up to 1 in 10, 000 people):</w:t>
      </w:r>
    </w:p>
    <w:p w14:paraId="7C33276C" w14:textId="77777777" w:rsidR="00B61585" w:rsidRPr="00F638AF" w:rsidRDefault="00016F29" w:rsidP="0099733D">
      <w:pPr>
        <w:keepNext/>
        <w:keepLines/>
        <w:ind w:left="568" w:hanging="284"/>
        <w:rPr>
          <w:szCs w:val="22"/>
          <w:lang w:val="en-GB" w:eastAsia="zh-CN"/>
        </w:rPr>
      </w:pPr>
      <w:r w:rsidRPr="00550F18">
        <w:rPr>
          <w:rFonts w:ascii="Symbol" w:hAnsi="Symbol"/>
          <w:lang w:val="en-GB"/>
        </w:rPr>
        <w:sym w:font="Symbol" w:char="F0B7"/>
      </w:r>
      <w:r w:rsidRPr="00F638AF">
        <w:rPr>
          <w:szCs w:val="22"/>
          <w:lang w:val="en-GB"/>
        </w:rPr>
        <w:tab/>
      </w:r>
      <w:r w:rsidRPr="00F638AF">
        <w:rPr>
          <w:snapToGrid w:val="0"/>
          <w:lang w:val="en-GB" w:eastAsia="en-US"/>
        </w:rPr>
        <w:t>severe blistering skin conditions that can be life</w:t>
      </w:r>
      <w:r w:rsidR="000A6DDA" w:rsidRPr="00F638AF">
        <w:rPr>
          <w:snapToGrid w:val="0"/>
          <w:lang w:val="en-GB" w:eastAsia="en-US"/>
        </w:rPr>
        <w:noBreakHyphen/>
      </w:r>
      <w:r w:rsidRPr="00F638AF">
        <w:rPr>
          <w:snapToGrid w:val="0"/>
          <w:lang w:val="en-GB" w:eastAsia="en-US"/>
        </w:rPr>
        <w:t>threatening. Redness, often associated with blisters, may appear on the skin or on mucous membranes, such as inside the mouth, the genital areas or the eyelids, and fever may be present.</w:t>
      </w:r>
    </w:p>
    <w:p w14:paraId="7C33276D" w14:textId="77777777" w:rsidR="00B61585" w:rsidRPr="00F638AF" w:rsidRDefault="00016F29" w:rsidP="0099733D">
      <w:pPr>
        <w:keepNext/>
        <w:keepLines/>
        <w:ind w:left="568" w:hanging="284"/>
        <w:rPr>
          <w:snapToGrid w:val="0"/>
          <w:lang w:val="en-GB" w:eastAsia="en-US"/>
        </w:rPr>
      </w:pPr>
      <w:r w:rsidRPr="00550F18">
        <w:rPr>
          <w:rFonts w:ascii="Symbol" w:hAnsi="Symbol"/>
          <w:lang w:val="en-GB"/>
        </w:rPr>
        <w:sym w:font="Symbol" w:char="F0B7"/>
      </w:r>
      <w:r w:rsidRPr="00F638AF">
        <w:rPr>
          <w:szCs w:val="22"/>
          <w:lang w:val="en-GB"/>
        </w:rPr>
        <w:tab/>
      </w:r>
      <w:r w:rsidRPr="00F638AF">
        <w:rPr>
          <w:snapToGrid w:val="0"/>
          <w:lang w:val="en-GB" w:eastAsia="en-US"/>
        </w:rPr>
        <w:t>recurrence of a previous Hepatitis B infection</w:t>
      </w:r>
    </w:p>
    <w:p w14:paraId="7C33276E" w14:textId="77777777" w:rsidR="00704777" w:rsidRPr="00550F18" w:rsidRDefault="00704777" w:rsidP="00550F18">
      <w:pPr>
        <w:keepNext/>
        <w:keepLines/>
        <w:ind w:left="568" w:hanging="284"/>
        <w:rPr>
          <w:lang w:val="en-GB"/>
        </w:rPr>
      </w:pPr>
    </w:p>
    <w:p w14:paraId="7C33276F" w14:textId="77777777" w:rsidR="00704777" w:rsidRPr="00F638AF" w:rsidRDefault="00016F29" w:rsidP="00704777">
      <w:pPr>
        <w:rPr>
          <w:b/>
          <w:snapToGrid w:val="0"/>
          <w:lang w:val="en-GB" w:eastAsia="en-US"/>
        </w:rPr>
      </w:pPr>
      <w:r w:rsidRPr="00F638AF">
        <w:rPr>
          <w:b/>
          <w:snapToGrid w:val="0"/>
          <w:lang w:val="en-GB" w:eastAsia="en-US"/>
        </w:rPr>
        <w:t>Children and adolescents with granulomatosis with polyangiitis or microscopic polyangiitis</w:t>
      </w:r>
    </w:p>
    <w:p w14:paraId="7C332770" w14:textId="77777777" w:rsidR="00704777" w:rsidRPr="00F638AF" w:rsidRDefault="00016F29" w:rsidP="00704777">
      <w:pPr>
        <w:rPr>
          <w:snapToGrid w:val="0"/>
          <w:lang w:val="en-GB" w:eastAsia="en-US"/>
        </w:rPr>
      </w:pPr>
      <w:r w:rsidRPr="00F638AF">
        <w:rPr>
          <w:snapToGrid w:val="0"/>
          <w:lang w:val="en-GB" w:eastAsia="en-US"/>
        </w:rPr>
        <w:t xml:space="preserve">In general, side effects in children and adolescents with granulomatosis with polyangiitis or microscopic polyangiitis were of a similar type to those in adults with granulomatosis with polyangiitis or microscopic polyangiitis. Most common side effects seen were infections, allergic reactions and feeling sick (nausea). </w:t>
      </w:r>
    </w:p>
    <w:p w14:paraId="7C332771" w14:textId="77777777" w:rsidR="00151941" w:rsidRPr="00F638AF" w:rsidRDefault="00151941" w:rsidP="00151941">
      <w:pPr>
        <w:keepNext/>
        <w:keepLines/>
        <w:tabs>
          <w:tab w:val="left" w:pos="426"/>
        </w:tabs>
        <w:rPr>
          <w:b/>
          <w:lang w:val="en-GB"/>
        </w:rPr>
      </w:pPr>
    </w:p>
    <w:p w14:paraId="7C332772" w14:textId="77777777" w:rsidR="00151941" w:rsidRPr="00F638AF" w:rsidRDefault="00016F29" w:rsidP="00151941">
      <w:pPr>
        <w:keepNext/>
        <w:keepLines/>
        <w:tabs>
          <w:tab w:val="left" w:pos="426"/>
        </w:tabs>
        <w:rPr>
          <w:b/>
          <w:lang w:val="en-GB"/>
        </w:rPr>
      </w:pPr>
      <w:r w:rsidRPr="00F638AF">
        <w:rPr>
          <w:b/>
          <w:lang w:val="en-GB"/>
        </w:rPr>
        <w:t>d)</w:t>
      </w:r>
      <w:r w:rsidRPr="00F638AF">
        <w:rPr>
          <w:b/>
          <w:lang w:val="en-GB"/>
        </w:rPr>
        <w:tab/>
        <w:t>If you are being treated for pemphigus vulgaris</w:t>
      </w:r>
    </w:p>
    <w:p w14:paraId="7C332773" w14:textId="77777777" w:rsidR="00151941" w:rsidRPr="00F638AF" w:rsidRDefault="00151941" w:rsidP="00151941">
      <w:pPr>
        <w:rPr>
          <w:szCs w:val="22"/>
          <w:u w:val="single"/>
          <w:lang w:val="en-GB"/>
        </w:rPr>
      </w:pPr>
    </w:p>
    <w:p w14:paraId="7C332774" w14:textId="77777777" w:rsidR="00151941" w:rsidRPr="00F638AF" w:rsidRDefault="00016F29" w:rsidP="00151941">
      <w:pPr>
        <w:keepNext/>
        <w:keepLines/>
        <w:rPr>
          <w:iCs/>
          <w:lang w:val="en-GB"/>
        </w:rPr>
      </w:pPr>
      <w:r w:rsidRPr="00F638AF">
        <w:rPr>
          <w:iCs/>
          <w:lang w:val="en-GB"/>
        </w:rPr>
        <w:t xml:space="preserve">Very common </w:t>
      </w:r>
      <w:r w:rsidRPr="00F638AF">
        <w:rPr>
          <w:szCs w:val="22"/>
          <w:lang w:val="en-GB" w:eastAsia="en-US"/>
        </w:rPr>
        <w:t>side effects (may affect more than 1 in 10 people):</w:t>
      </w:r>
    </w:p>
    <w:p w14:paraId="7C332775" w14:textId="77777777" w:rsidR="00151941" w:rsidRPr="00E06A78" w:rsidRDefault="00016F29" w:rsidP="00151941">
      <w:pPr>
        <w:ind w:left="714" w:hanging="357"/>
        <w:rPr>
          <w:rFonts w:ascii="Times" w:hAnsi="Times"/>
          <w:color w:val="222222"/>
          <w:shd w:val="clear" w:color="auto" w:fill="FFFFFF"/>
        </w:rPr>
      </w:pPr>
      <w:r w:rsidRPr="00F638AF">
        <w:rPr>
          <w:rFonts w:ascii="Symbol" w:hAnsi="Symbol"/>
          <w:szCs w:val="22"/>
          <w:lang w:val="en-GB"/>
        </w:rPr>
        <w:sym w:font="Symbol" w:char="F0B7"/>
      </w:r>
      <w:r w:rsidRPr="00F638AF">
        <w:rPr>
          <w:szCs w:val="22"/>
          <w:lang w:val="en-GB"/>
        </w:rPr>
        <w:tab/>
        <w:t>allergic reactions that are most likely to occur during an infusion, but can occur up to 24 hours after infusion</w:t>
      </w:r>
    </w:p>
    <w:p w14:paraId="7C332776" w14:textId="77777777" w:rsidR="005755AF" w:rsidRPr="00C94203" w:rsidRDefault="00016F29" w:rsidP="00E06A78">
      <w:pPr>
        <w:pStyle w:val="ListParagraph"/>
        <w:ind w:left="714" w:hanging="357"/>
        <w:rPr>
          <w:rFonts w:ascii="Times" w:hAnsi="Times" w:cs="Arial"/>
          <w:color w:val="222222"/>
          <w:shd w:val="clear" w:color="auto" w:fill="FFFFFF"/>
        </w:rPr>
      </w:pPr>
      <w:r w:rsidRPr="00C50A4F">
        <w:rPr>
          <w:rFonts w:ascii="Symbol" w:hAnsi="Symbol"/>
          <w:szCs w:val="22"/>
          <w:lang w:val="en-GB"/>
        </w:rPr>
        <w:sym w:font="Symbol" w:char="F0B7"/>
      </w:r>
      <w:r w:rsidRPr="00C50A4F">
        <w:rPr>
          <w:szCs w:val="22"/>
          <w:lang w:val="en-GB"/>
        </w:rPr>
        <w:tab/>
      </w:r>
      <w:r w:rsidR="00D11A3F" w:rsidRPr="001F368C">
        <w:rPr>
          <w:color w:val="222222"/>
          <w:szCs w:val="22"/>
          <w:lang w:val="en-GB"/>
        </w:rPr>
        <w:t>headache</w:t>
      </w:r>
    </w:p>
    <w:p w14:paraId="7C332777" w14:textId="77777777" w:rsidR="005755AF" w:rsidRPr="001F368C" w:rsidRDefault="00016F29" w:rsidP="00E06A78">
      <w:pPr>
        <w:pStyle w:val="ListParagraph"/>
        <w:ind w:left="714" w:hanging="357"/>
        <w:rPr>
          <w:rFonts w:ascii="Times" w:hAnsi="Times" w:cs="Arial"/>
          <w:color w:val="222222"/>
          <w:shd w:val="clear" w:color="auto" w:fill="FFFFFF"/>
        </w:rPr>
      </w:pPr>
      <w:r w:rsidRPr="00C50A4F">
        <w:rPr>
          <w:rFonts w:ascii="Symbol" w:hAnsi="Symbol"/>
          <w:szCs w:val="22"/>
          <w:lang w:val="en-GB"/>
        </w:rPr>
        <w:sym w:font="Symbol" w:char="F0B7"/>
      </w:r>
      <w:r w:rsidRPr="00C50A4F">
        <w:rPr>
          <w:szCs w:val="22"/>
          <w:lang w:val="en-GB"/>
        </w:rPr>
        <w:tab/>
      </w:r>
      <w:r w:rsidR="00D11A3F">
        <w:rPr>
          <w:color w:val="222222"/>
          <w:szCs w:val="22"/>
          <w:lang w:val="en-GB"/>
        </w:rPr>
        <w:t>infections such as chest infections</w:t>
      </w:r>
    </w:p>
    <w:p w14:paraId="7C332778" w14:textId="77777777" w:rsidR="00151941" w:rsidRPr="00F638AF" w:rsidRDefault="00016F29" w:rsidP="00151941">
      <w:pPr>
        <w:ind w:left="714" w:hanging="357"/>
        <w:rPr>
          <w:iCs/>
          <w:lang w:val="en-GB"/>
        </w:rPr>
      </w:pPr>
      <w:r w:rsidRPr="00F638AF">
        <w:rPr>
          <w:rFonts w:ascii="Symbol" w:hAnsi="Symbol"/>
          <w:szCs w:val="22"/>
          <w:lang w:val="en-GB"/>
        </w:rPr>
        <w:sym w:font="Symbol" w:char="F0B7"/>
      </w:r>
      <w:r w:rsidRPr="00F638AF">
        <w:rPr>
          <w:szCs w:val="22"/>
          <w:lang w:val="en-GB"/>
        </w:rPr>
        <w:tab/>
      </w:r>
      <w:r w:rsidRPr="00F638AF">
        <w:rPr>
          <w:iCs/>
          <w:lang w:val="en-GB"/>
        </w:rPr>
        <w:t>long lasting depression</w:t>
      </w:r>
    </w:p>
    <w:p w14:paraId="7C332779" w14:textId="77777777" w:rsidR="00151941" w:rsidRPr="00F638AF" w:rsidRDefault="00016F29" w:rsidP="0099733D">
      <w:pPr>
        <w:pStyle w:val="ListParagraph"/>
        <w:ind w:left="714" w:hanging="357"/>
        <w:contextualSpacing w:val="0"/>
        <w:rPr>
          <w:iCs/>
          <w:lang w:val="en-GB"/>
        </w:rPr>
      </w:pPr>
      <w:r w:rsidRPr="00F638AF">
        <w:rPr>
          <w:rFonts w:ascii="Symbol" w:hAnsi="Symbol"/>
          <w:szCs w:val="22"/>
          <w:lang w:val="en-GB"/>
        </w:rPr>
        <w:sym w:font="Symbol" w:char="F0B7"/>
      </w:r>
      <w:r w:rsidRPr="00F638AF">
        <w:rPr>
          <w:szCs w:val="22"/>
          <w:lang w:val="en-GB"/>
        </w:rPr>
        <w:tab/>
      </w:r>
      <w:r w:rsidRPr="00F638AF">
        <w:rPr>
          <w:iCs/>
          <w:lang w:val="en-GB"/>
        </w:rPr>
        <w:t>loss of hair</w:t>
      </w:r>
    </w:p>
    <w:p w14:paraId="7C33277A" w14:textId="77777777" w:rsidR="00151941" w:rsidRPr="00F638AF" w:rsidRDefault="00151941" w:rsidP="00151941">
      <w:pPr>
        <w:rPr>
          <w:lang w:val="en-GB"/>
        </w:rPr>
      </w:pPr>
    </w:p>
    <w:p w14:paraId="7C33277B" w14:textId="77777777" w:rsidR="00151941" w:rsidRPr="00F638AF" w:rsidRDefault="00016F29" w:rsidP="00151941">
      <w:pPr>
        <w:rPr>
          <w:iCs/>
          <w:lang w:val="en-GB"/>
        </w:rPr>
      </w:pPr>
      <w:r w:rsidRPr="00F638AF">
        <w:rPr>
          <w:iCs/>
          <w:szCs w:val="22"/>
          <w:lang w:val="en-GB"/>
        </w:rPr>
        <w:t xml:space="preserve">Common side effects </w:t>
      </w:r>
      <w:r w:rsidRPr="00F638AF">
        <w:rPr>
          <w:iCs/>
          <w:lang w:val="en-GB"/>
        </w:rPr>
        <w:t>(may affect up to 1 in 10 people):</w:t>
      </w:r>
    </w:p>
    <w:p w14:paraId="7C33277C" w14:textId="77777777" w:rsidR="00151941" w:rsidRPr="00E06A78" w:rsidRDefault="00016F29" w:rsidP="0099733D">
      <w:pPr>
        <w:pStyle w:val="m2716680816725646424gmail-msolistparagraph"/>
        <w:shd w:val="clear" w:color="auto" w:fill="FFFFFF"/>
        <w:spacing w:before="0" w:beforeAutospacing="0" w:after="0" w:afterAutospacing="0"/>
        <w:ind w:left="714" w:hanging="357"/>
        <w:rPr>
          <w:rFonts w:ascii="Arial" w:hAnsi="Arial"/>
          <w:color w:val="222222"/>
        </w:rPr>
      </w:pPr>
      <w:r w:rsidRPr="00F638AF">
        <w:rPr>
          <w:rFonts w:ascii="Symbol" w:hAnsi="Symbol"/>
          <w:szCs w:val="22"/>
          <w:lang w:val="en-GB"/>
        </w:rPr>
        <w:sym w:font="Symbol" w:char="F0B7"/>
      </w:r>
      <w:r w:rsidRPr="00F638AF">
        <w:rPr>
          <w:szCs w:val="22"/>
          <w:lang w:val="en-GB"/>
        </w:rPr>
        <w:tab/>
      </w:r>
      <w:r w:rsidRPr="00F638AF">
        <w:rPr>
          <w:color w:val="222222"/>
          <w:sz w:val="22"/>
          <w:szCs w:val="22"/>
          <w:lang w:val="en-GB"/>
        </w:rPr>
        <w:t xml:space="preserve">infections such as </w:t>
      </w:r>
      <w:r w:rsidR="00C94203">
        <w:rPr>
          <w:color w:val="222222"/>
          <w:sz w:val="22"/>
          <w:szCs w:val="22"/>
          <w:lang w:val="en-GB"/>
        </w:rPr>
        <w:t xml:space="preserve">common cold, </w:t>
      </w:r>
      <w:r w:rsidRPr="00F638AF">
        <w:rPr>
          <w:color w:val="222222"/>
          <w:sz w:val="22"/>
          <w:szCs w:val="22"/>
          <w:lang w:val="en-GB"/>
        </w:rPr>
        <w:t>herpes infections</w:t>
      </w:r>
      <w:r w:rsidR="00C94203">
        <w:rPr>
          <w:color w:val="222222"/>
          <w:sz w:val="22"/>
          <w:szCs w:val="22"/>
          <w:lang w:val="en-GB"/>
        </w:rPr>
        <w:t>,</w:t>
      </w:r>
      <w:r w:rsidRPr="00F638AF">
        <w:rPr>
          <w:color w:val="222222"/>
          <w:sz w:val="22"/>
          <w:szCs w:val="22"/>
          <w:lang w:val="en-GB"/>
        </w:rPr>
        <w:t xml:space="preserve"> eye infection</w:t>
      </w:r>
      <w:r w:rsidR="00C94203">
        <w:rPr>
          <w:color w:val="222222"/>
          <w:sz w:val="22"/>
          <w:szCs w:val="22"/>
          <w:lang w:val="en-GB"/>
        </w:rPr>
        <w:t xml:space="preserve">, </w:t>
      </w:r>
      <w:r w:rsidR="00C94203" w:rsidRPr="00A07EDE">
        <w:rPr>
          <w:color w:val="222222"/>
          <w:sz w:val="22"/>
          <w:szCs w:val="22"/>
          <w:lang w:val="en-GB"/>
        </w:rPr>
        <w:t xml:space="preserve">oral thrush and </w:t>
      </w:r>
      <w:r w:rsidR="00C94203" w:rsidRPr="001F368C">
        <w:rPr>
          <w:iCs/>
          <w:sz w:val="22"/>
          <w:szCs w:val="22"/>
          <w:lang w:val="en-GB"/>
        </w:rPr>
        <w:t xml:space="preserve">urinary tract infections (pain on passing </w:t>
      </w:r>
      <w:r w:rsidR="00A07EDE" w:rsidRPr="001F368C">
        <w:rPr>
          <w:iCs/>
          <w:sz w:val="22"/>
          <w:szCs w:val="22"/>
          <w:lang w:val="en-GB"/>
        </w:rPr>
        <w:t>urine</w:t>
      </w:r>
      <w:r w:rsidR="00C94203" w:rsidRPr="001F368C">
        <w:rPr>
          <w:iCs/>
          <w:sz w:val="22"/>
          <w:szCs w:val="22"/>
          <w:lang w:val="en-GB"/>
        </w:rPr>
        <w:t>)</w:t>
      </w:r>
    </w:p>
    <w:p w14:paraId="7C33277D" w14:textId="77777777" w:rsidR="00151941" w:rsidRPr="00F638AF" w:rsidRDefault="00016F29" w:rsidP="0099733D">
      <w:pPr>
        <w:pStyle w:val="m2716680816725646424gmail-msolistparagraph"/>
        <w:shd w:val="clear" w:color="auto" w:fill="FFFFFF"/>
        <w:spacing w:before="0" w:beforeAutospacing="0" w:after="0" w:afterAutospacing="0"/>
        <w:ind w:left="714" w:hanging="357"/>
        <w:rPr>
          <w:rFonts w:ascii="Arial" w:hAnsi="Arial" w:cs="Arial"/>
          <w:color w:val="222222"/>
        </w:rPr>
      </w:pPr>
      <w:r w:rsidRPr="00F638AF">
        <w:rPr>
          <w:rFonts w:ascii="Symbol" w:hAnsi="Symbol"/>
          <w:szCs w:val="22"/>
          <w:lang w:val="en-GB"/>
        </w:rPr>
        <w:sym w:font="Symbol" w:char="F0B7"/>
      </w:r>
      <w:r w:rsidRPr="00F638AF">
        <w:rPr>
          <w:szCs w:val="22"/>
          <w:lang w:val="en-GB"/>
        </w:rPr>
        <w:tab/>
      </w:r>
      <w:r w:rsidRPr="00F638AF">
        <w:rPr>
          <w:color w:val="222222"/>
          <w:sz w:val="22"/>
          <w:szCs w:val="22"/>
          <w:lang w:val="en-GB"/>
        </w:rPr>
        <w:t>mood disorders such as irritability and depression</w:t>
      </w:r>
    </w:p>
    <w:p w14:paraId="7C33277E" w14:textId="77777777" w:rsidR="00151941" w:rsidRPr="00F638AF" w:rsidRDefault="00016F29" w:rsidP="0099733D">
      <w:pPr>
        <w:pStyle w:val="m2716680816725646424gmail-msolistparagraph"/>
        <w:shd w:val="clear" w:color="auto" w:fill="FFFFFF"/>
        <w:spacing w:before="0" w:beforeAutospacing="0" w:after="0" w:afterAutospacing="0"/>
        <w:ind w:left="714" w:hanging="357"/>
        <w:rPr>
          <w:rFonts w:ascii="Arial" w:hAnsi="Arial" w:cs="Arial"/>
          <w:color w:val="222222"/>
        </w:rPr>
      </w:pPr>
      <w:r w:rsidRPr="00F638AF">
        <w:rPr>
          <w:rFonts w:ascii="Symbol" w:hAnsi="Symbol"/>
          <w:szCs w:val="22"/>
          <w:lang w:val="en-GB"/>
        </w:rPr>
        <w:sym w:font="Symbol" w:char="F0B7"/>
      </w:r>
      <w:r w:rsidRPr="00F638AF">
        <w:rPr>
          <w:szCs w:val="22"/>
          <w:lang w:val="en-GB"/>
        </w:rPr>
        <w:tab/>
      </w:r>
      <w:r w:rsidRPr="00F638AF">
        <w:rPr>
          <w:color w:val="222222"/>
          <w:sz w:val="22"/>
          <w:szCs w:val="22"/>
          <w:lang w:val="en-GB"/>
        </w:rPr>
        <w:t>skin disorders such as itching, hives, and benign lumps</w:t>
      </w:r>
    </w:p>
    <w:p w14:paraId="7C33277F" w14:textId="77777777" w:rsidR="00151941" w:rsidRPr="00F638AF" w:rsidRDefault="00016F29" w:rsidP="0099733D">
      <w:pPr>
        <w:pStyle w:val="m2716680816725646424gmail-msolistparagraph"/>
        <w:shd w:val="clear" w:color="auto" w:fill="FFFFFF"/>
        <w:spacing w:before="0" w:beforeAutospacing="0" w:after="0" w:afterAutospacing="0"/>
        <w:ind w:left="714" w:hanging="357"/>
        <w:rPr>
          <w:rFonts w:ascii="Arial" w:hAnsi="Arial" w:cs="Arial"/>
          <w:color w:val="222222"/>
        </w:rPr>
      </w:pPr>
      <w:r w:rsidRPr="00F638AF">
        <w:rPr>
          <w:rFonts w:ascii="Symbol" w:hAnsi="Symbol"/>
          <w:szCs w:val="22"/>
          <w:lang w:val="en-GB"/>
        </w:rPr>
        <w:sym w:font="Symbol" w:char="F0B7"/>
      </w:r>
      <w:r w:rsidRPr="00F638AF">
        <w:rPr>
          <w:szCs w:val="22"/>
          <w:lang w:val="en-GB"/>
        </w:rPr>
        <w:tab/>
      </w:r>
      <w:r w:rsidRPr="00F638AF">
        <w:rPr>
          <w:color w:val="222222"/>
          <w:sz w:val="22"/>
          <w:szCs w:val="22"/>
          <w:lang w:val="en-GB"/>
        </w:rPr>
        <w:t>feeling tired or dizzy</w:t>
      </w:r>
    </w:p>
    <w:p w14:paraId="7C332780" w14:textId="77777777" w:rsidR="00151941" w:rsidRPr="00E06A78" w:rsidRDefault="00016F29" w:rsidP="0099733D">
      <w:pPr>
        <w:pStyle w:val="m2716680816725646424gmail-msolistparagraph"/>
        <w:shd w:val="clear" w:color="auto" w:fill="FFFFFF"/>
        <w:spacing w:before="0" w:beforeAutospacing="0" w:after="0" w:afterAutospacing="0"/>
        <w:ind w:left="714" w:hanging="357"/>
        <w:rPr>
          <w:rFonts w:ascii="Arial" w:hAnsi="Arial"/>
          <w:color w:val="222222"/>
        </w:rPr>
      </w:pPr>
      <w:r w:rsidRPr="00F638AF">
        <w:rPr>
          <w:rFonts w:ascii="Symbol" w:hAnsi="Symbol"/>
          <w:szCs w:val="22"/>
          <w:lang w:val="en-GB"/>
        </w:rPr>
        <w:sym w:font="Symbol" w:char="F0B7"/>
      </w:r>
      <w:r w:rsidRPr="00F638AF">
        <w:rPr>
          <w:szCs w:val="22"/>
          <w:lang w:val="en-GB"/>
        </w:rPr>
        <w:tab/>
      </w:r>
      <w:r w:rsidRPr="00F638AF">
        <w:rPr>
          <w:color w:val="222222"/>
          <w:sz w:val="22"/>
          <w:szCs w:val="22"/>
          <w:lang w:val="en-GB"/>
        </w:rPr>
        <w:t>fever</w:t>
      </w:r>
    </w:p>
    <w:p w14:paraId="7C332781" w14:textId="77777777" w:rsidR="00C94203" w:rsidRPr="001F368C" w:rsidRDefault="00016F29" w:rsidP="00323F5F">
      <w:pPr>
        <w:pStyle w:val="m2716680816725646424gmail-msolistparagraph"/>
        <w:shd w:val="clear" w:color="auto" w:fill="FFFFFF"/>
        <w:spacing w:before="0" w:beforeAutospacing="0" w:after="0" w:afterAutospacing="0"/>
        <w:ind w:left="714" w:hanging="357"/>
        <w:rPr>
          <w:rFonts w:ascii="Arial" w:hAnsi="Arial" w:cs="Arial"/>
          <w:color w:val="222222"/>
          <w:sz w:val="22"/>
          <w:szCs w:val="22"/>
        </w:rPr>
      </w:pPr>
      <w:r w:rsidRPr="00550F18">
        <w:rPr>
          <w:rFonts w:ascii="Symbol" w:hAnsi="Symbol"/>
          <w:lang w:val="en-GB"/>
        </w:rPr>
        <w:sym w:font="Symbol" w:char="F0B7"/>
      </w:r>
      <w:r w:rsidRPr="00F638AF">
        <w:rPr>
          <w:szCs w:val="22"/>
          <w:lang w:val="en-GB"/>
        </w:rPr>
        <w:tab/>
      </w:r>
      <w:r w:rsidR="007830E0" w:rsidRPr="001F368C">
        <w:rPr>
          <w:iCs/>
          <w:sz w:val="22"/>
          <w:szCs w:val="22"/>
          <w:lang w:val="en-GB"/>
        </w:rPr>
        <w:t>painful joints or back</w:t>
      </w:r>
    </w:p>
    <w:p w14:paraId="7C332782" w14:textId="77777777" w:rsidR="00151941" w:rsidRPr="00F638AF" w:rsidRDefault="00016F29" w:rsidP="0099733D">
      <w:pPr>
        <w:pStyle w:val="m2716680816725646424gmail-msolistparagraph"/>
        <w:shd w:val="clear" w:color="auto" w:fill="FFFFFF"/>
        <w:spacing w:before="0" w:beforeAutospacing="0" w:after="0" w:afterAutospacing="0"/>
        <w:ind w:left="714" w:hanging="357"/>
        <w:rPr>
          <w:rFonts w:ascii="Arial" w:hAnsi="Arial" w:cs="Arial"/>
          <w:color w:val="222222"/>
        </w:rPr>
      </w:pPr>
      <w:r w:rsidRPr="00F638AF">
        <w:rPr>
          <w:rFonts w:ascii="Symbol" w:hAnsi="Symbol"/>
          <w:szCs w:val="22"/>
          <w:lang w:val="en-GB"/>
        </w:rPr>
        <w:sym w:font="Symbol" w:char="F0B7"/>
      </w:r>
      <w:r w:rsidRPr="00F638AF">
        <w:rPr>
          <w:szCs w:val="22"/>
          <w:lang w:val="en-GB"/>
        </w:rPr>
        <w:tab/>
      </w:r>
      <w:r w:rsidRPr="00F638AF">
        <w:rPr>
          <w:color w:val="222222"/>
          <w:sz w:val="22"/>
          <w:szCs w:val="22"/>
          <w:lang w:val="en-GB"/>
        </w:rPr>
        <w:t>pain in the tummy</w:t>
      </w:r>
    </w:p>
    <w:p w14:paraId="7C332783" w14:textId="77777777" w:rsidR="00151941" w:rsidRPr="00F638AF" w:rsidRDefault="00016F29" w:rsidP="0099733D">
      <w:pPr>
        <w:pStyle w:val="m2716680816725646424gmail-msolistparagraph"/>
        <w:shd w:val="clear" w:color="auto" w:fill="FFFFFF"/>
        <w:spacing w:before="0" w:beforeAutospacing="0" w:after="0" w:afterAutospacing="0"/>
        <w:ind w:left="714" w:hanging="357"/>
        <w:rPr>
          <w:rFonts w:ascii="Arial" w:hAnsi="Arial" w:cs="Arial"/>
          <w:color w:val="222222"/>
        </w:rPr>
      </w:pPr>
      <w:r w:rsidRPr="00F638AF">
        <w:rPr>
          <w:rFonts w:ascii="Symbol" w:hAnsi="Symbol"/>
          <w:szCs w:val="22"/>
          <w:lang w:val="en-GB"/>
        </w:rPr>
        <w:sym w:font="Symbol" w:char="F0B7"/>
      </w:r>
      <w:r w:rsidRPr="00F638AF">
        <w:rPr>
          <w:szCs w:val="22"/>
          <w:lang w:val="en-GB"/>
        </w:rPr>
        <w:tab/>
      </w:r>
      <w:r w:rsidRPr="00F638AF">
        <w:rPr>
          <w:color w:val="222222"/>
          <w:sz w:val="22"/>
          <w:szCs w:val="22"/>
          <w:lang w:val="en-GB"/>
        </w:rPr>
        <w:t>pain in the muscles</w:t>
      </w:r>
    </w:p>
    <w:p w14:paraId="7C332784" w14:textId="77777777" w:rsidR="00151941" w:rsidRPr="00F638AF" w:rsidRDefault="00016F29" w:rsidP="0099733D">
      <w:pPr>
        <w:pStyle w:val="m2716680816725646424gmail-msolistparagraph"/>
        <w:shd w:val="clear" w:color="auto" w:fill="FFFFFF"/>
        <w:spacing w:before="0" w:beforeAutospacing="0" w:after="0" w:afterAutospacing="0"/>
        <w:ind w:left="714" w:hanging="357"/>
        <w:rPr>
          <w:rFonts w:ascii="Arial" w:hAnsi="Arial" w:cs="Arial"/>
          <w:color w:val="222222"/>
        </w:rPr>
      </w:pPr>
      <w:r w:rsidRPr="00F638AF">
        <w:rPr>
          <w:rFonts w:ascii="Symbol" w:hAnsi="Symbol"/>
          <w:szCs w:val="22"/>
          <w:lang w:val="en-GB"/>
        </w:rPr>
        <w:sym w:font="Symbol" w:char="F0B7"/>
      </w:r>
      <w:r w:rsidRPr="00F638AF">
        <w:rPr>
          <w:szCs w:val="22"/>
          <w:lang w:val="en-GB"/>
        </w:rPr>
        <w:tab/>
      </w:r>
      <w:r w:rsidRPr="00F638AF">
        <w:rPr>
          <w:color w:val="222222"/>
          <w:sz w:val="22"/>
          <w:szCs w:val="22"/>
          <w:lang w:val="en-GB"/>
        </w:rPr>
        <w:t>heart beating faster than normal</w:t>
      </w:r>
    </w:p>
    <w:p w14:paraId="7C332785" w14:textId="77777777" w:rsidR="004E269F" w:rsidRPr="00E06A78" w:rsidRDefault="004E269F" w:rsidP="00E06A78">
      <w:pPr>
        <w:rPr>
          <w:lang w:val="en-GB"/>
        </w:rPr>
      </w:pPr>
    </w:p>
    <w:p w14:paraId="7C332786" w14:textId="77777777" w:rsidR="00B61585" w:rsidRPr="00F638AF" w:rsidRDefault="00016F29" w:rsidP="00B61585">
      <w:pPr>
        <w:rPr>
          <w:snapToGrid w:val="0"/>
          <w:lang w:val="en-GB" w:eastAsia="en-US"/>
        </w:rPr>
      </w:pPr>
      <w:r w:rsidRPr="00F638AF">
        <w:rPr>
          <w:snapToGrid w:val="0"/>
          <w:lang w:val="en-GB" w:eastAsia="en-US"/>
        </w:rPr>
        <w:t xml:space="preserve">MabThera may also cause changes in laboratory tests carried out by your doctor. </w:t>
      </w:r>
    </w:p>
    <w:p w14:paraId="7C332787" w14:textId="77777777" w:rsidR="00B61585" w:rsidRPr="00F638AF" w:rsidRDefault="00016F29" w:rsidP="00B61585">
      <w:pPr>
        <w:rPr>
          <w:szCs w:val="22"/>
          <w:lang w:val="en-GB"/>
        </w:rPr>
      </w:pPr>
      <w:r w:rsidRPr="00F638AF">
        <w:rPr>
          <w:szCs w:val="22"/>
          <w:lang w:val="en-GB"/>
        </w:rPr>
        <w:t>If you are having MabThera with other medicines, some of the side effects you may get may be due to the other medicines.</w:t>
      </w:r>
    </w:p>
    <w:p w14:paraId="7C332788" w14:textId="77777777" w:rsidR="00B61585" w:rsidRPr="00F638AF" w:rsidRDefault="00B61585" w:rsidP="00B61585">
      <w:pPr>
        <w:rPr>
          <w:szCs w:val="22"/>
          <w:lang w:val="en-GB"/>
        </w:rPr>
      </w:pPr>
    </w:p>
    <w:p w14:paraId="7C332789" w14:textId="77777777" w:rsidR="00B61585" w:rsidRPr="00F638AF" w:rsidRDefault="00016F29" w:rsidP="00E454FF">
      <w:pPr>
        <w:keepNext/>
        <w:keepLines/>
        <w:rPr>
          <w:szCs w:val="22"/>
          <w:u w:val="single"/>
          <w:lang w:val="en-GB"/>
        </w:rPr>
      </w:pPr>
      <w:r w:rsidRPr="00F638AF">
        <w:rPr>
          <w:szCs w:val="22"/>
          <w:u w:val="single"/>
          <w:lang w:val="en-GB"/>
        </w:rPr>
        <w:t>Reporting of side effects</w:t>
      </w:r>
    </w:p>
    <w:p w14:paraId="7C33278A" w14:textId="77777777" w:rsidR="00B61585" w:rsidRPr="00F638AF" w:rsidRDefault="00016F29" w:rsidP="00E454FF">
      <w:pPr>
        <w:keepNext/>
        <w:keepLines/>
        <w:rPr>
          <w:szCs w:val="22"/>
          <w:lang w:val="en-GB"/>
        </w:rPr>
      </w:pPr>
      <w:r w:rsidRPr="00F638AF">
        <w:rPr>
          <w:szCs w:val="22"/>
          <w:lang w:val="en-GB"/>
        </w:rPr>
        <w:t xml:space="preserve">If you get any side effects talk to your doctor, pharmacist or nurse. This includes any side effects not listed in this leaflet. You can also report side effects directly via </w:t>
      </w:r>
      <w:r w:rsidRPr="00F638AF">
        <w:rPr>
          <w:rFonts w:cs="Calibri"/>
          <w:shd w:val="clear" w:color="auto" w:fill="BFBFBF"/>
          <w:lang w:val="en-GB"/>
        </w:rPr>
        <w:t xml:space="preserve">the national reporting system listed in </w:t>
      </w:r>
      <w:hyperlink r:id="rId22" w:history="1">
        <w:r w:rsidRPr="00F638AF">
          <w:rPr>
            <w:color w:val="0000FF"/>
            <w:u w:val="single"/>
            <w:shd w:val="clear" w:color="auto" w:fill="BFBFBF"/>
            <w:lang w:val="en-GB"/>
          </w:rPr>
          <w:t>Appendix V</w:t>
        </w:r>
      </w:hyperlink>
      <w:r w:rsidRPr="00F638AF">
        <w:rPr>
          <w:rFonts w:cs="Calibri"/>
          <w:lang w:val="en-GB"/>
        </w:rPr>
        <w:t>.</w:t>
      </w:r>
      <w:r w:rsidRPr="00F638AF">
        <w:rPr>
          <w:szCs w:val="22"/>
          <w:lang w:val="en-GB"/>
        </w:rPr>
        <w:t xml:space="preserve"> By reporting side effects you can help provide more information on the safety of this medicine</w:t>
      </w:r>
    </w:p>
    <w:p w14:paraId="7C33278B" w14:textId="77777777" w:rsidR="00B61585" w:rsidRPr="00F638AF" w:rsidRDefault="00B61585" w:rsidP="00B61585">
      <w:pPr>
        <w:rPr>
          <w:szCs w:val="22"/>
          <w:lang w:val="en-GB"/>
        </w:rPr>
      </w:pPr>
    </w:p>
    <w:p w14:paraId="7C33278C" w14:textId="77777777" w:rsidR="00B61585" w:rsidRPr="00F638AF" w:rsidRDefault="00B61585" w:rsidP="00B61585">
      <w:pPr>
        <w:rPr>
          <w:szCs w:val="22"/>
          <w:lang w:val="en-GB"/>
        </w:rPr>
      </w:pPr>
    </w:p>
    <w:p w14:paraId="7C33278D" w14:textId="77777777" w:rsidR="00B61585" w:rsidRPr="00F638AF" w:rsidRDefault="00016F29" w:rsidP="00B61585">
      <w:pPr>
        <w:keepNext/>
        <w:keepLines/>
        <w:ind w:left="567" w:hanging="567"/>
        <w:rPr>
          <w:szCs w:val="22"/>
          <w:lang w:val="en-GB"/>
        </w:rPr>
      </w:pPr>
      <w:r w:rsidRPr="00F638AF">
        <w:rPr>
          <w:b/>
          <w:szCs w:val="22"/>
          <w:lang w:val="en-GB"/>
        </w:rPr>
        <w:t>5.</w:t>
      </w:r>
      <w:r w:rsidRPr="00F638AF">
        <w:rPr>
          <w:b/>
          <w:szCs w:val="22"/>
          <w:lang w:val="en-GB"/>
        </w:rPr>
        <w:tab/>
        <w:t>How to store MabThera</w:t>
      </w:r>
    </w:p>
    <w:p w14:paraId="7C33278E" w14:textId="77777777" w:rsidR="00B61585" w:rsidRPr="00F638AF" w:rsidRDefault="00B61585" w:rsidP="00B61585">
      <w:pPr>
        <w:keepNext/>
        <w:keepLines/>
        <w:rPr>
          <w:szCs w:val="22"/>
          <w:lang w:val="en-GB"/>
        </w:rPr>
      </w:pPr>
    </w:p>
    <w:p w14:paraId="7C33278F" w14:textId="77777777" w:rsidR="00B61585" w:rsidRPr="00F638AF" w:rsidRDefault="00016F29" w:rsidP="00B61585">
      <w:pPr>
        <w:keepNext/>
        <w:keepLines/>
        <w:outlineLvl w:val="0"/>
        <w:rPr>
          <w:szCs w:val="22"/>
          <w:lang w:val="en-GB"/>
        </w:rPr>
      </w:pPr>
      <w:r w:rsidRPr="00F638AF">
        <w:rPr>
          <w:szCs w:val="22"/>
          <w:lang w:val="en-GB"/>
        </w:rPr>
        <w:t>Keep this medicine out of the sight and reach of children.</w:t>
      </w:r>
    </w:p>
    <w:p w14:paraId="7C332790" w14:textId="77777777" w:rsidR="00B61585" w:rsidRPr="00F638AF" w:rsidRDefault="00B61585" w:rsidP="00B61585">
      <w:pPr>
        <w:rPr>
          <w:szCs w:val="22"/>
          <w:lang w:val="en-GB"/>
        </w:rPr>
      </w:pPr>
    </w:p>
    <w:p w14:paraId="7C332791" w14:textId="77777777" w:rsidR="00B61585" w:rsidRPr="00F638AF" w:rsidRDefault="00016F29" w:rsidP="00B61585">
      <w:pPr>
        <w:rPr>
          <w:szCs w:val="22"/>
          <w:lang w:val="en-GB"/>
        </w:rPr>
      </w:pPr>
      <w:r w:rsidRPr="00F638AF">
        <w:rPr>
          <w:szCs w:val="22"/>
          <w:lang w:val="en-GB"/>
        </w:rPr>
        <w:t>Do not use this medicine after the expiry date which is stated on the carton after EXP. The expiry date refers to the last day of that month.</w:t>
      </w:r>
    </w:p>
    <w:p w14:paraId="7C332792" w14:textId="77777777" w:rsidR="00B61585" w:rsidRPr="00F638AF" w:rsidRDefault="00B61585" w:rsidP="00B61585">
      <w:pPr>
        <w:rPr>
          <w:szCs w:val="22"/>
          <w:lang w:val="en-GB"/>
        </w:rPr>
      </w:pPr>
    </w:p>
    <w:p w14:paraId="7C332793" w14:textId="77777777" w:rsidR="00B61585" w:rsidRPr="00F638AF" w:rsidRDefault="00016F29" w:rsidP="00B61585">
      <w:pPr>
        <w:rPr>
          <w:szCs w:val="22"/>
          <w:lang w:val="en-GB"/>
        </w:rPr>
      </w:pPr>
      <w:r w:rsidRPr="00F638AF">
        <w:rPr>
          <w:szCs w:val="22"/>
          <w:lang w:val="en-GB"/>
        </w:rPr>
        <w:t>Store in a refrigerator (2 °C – 8 °C). Keep the container in the outer carton in order to protect from light.</w:t>
      </w:r>
    </w:p>
    <w:p w14:paraId="7C332794" w14:textId="77777777" w:rsidR="00B61585" w:rsidRPr="00F638AF" w:rsidRDefault="00B61585" w:rsidP="00B61585">
      <w:pPr>
        <w:rPr>
          <w:szCs w:val="22"/>
          <w:lang w:val="en-GB"/>
        </w:rPr>
      </w:pPr>
    </w:p>
    <w:p w14:paraId="7C332795" w14:textId="77777777" w:rsidR="00B61585" w:rsidRPr="00F638AF" w:rsidRDefault="00016F29" w:rsidP="00B61585">
      <w:pPr>
        <w:ind w:right="-2"/>
        <w:rPr>
          <w:lang w:val="en-GB"/>
        </w:rPr>
      </w:pPr>
      <w:r w:rsidRPr="00F638AF">
        <w:rPr>
          <w:lang w:val="en-GB"/>
        </w:rPr>
        <w:t>Do not throw away any medicines via wastewater or household waste. Ask your pharmacist how to throw away medicines that you no longer use. These measures will help protect the environment.</w:t>
      </w:r>
    </w:p>
    <w:p w14:paraId="7C332796" w14:textId="77777777" w:rsidR="00B61585" w:rsidRPr="00F638AF" w:rsidRDefault="00B61585" w:rsidP="00B61585">
      <w:pPr>
        <w:rPr>
          <w:szCs w:val="22"/>
          <w:lang w:val="en-GB"/>
        </w:rPr>
      </w:pPr>
    </w:p>
    <w:p w14:paraId="7C332797" w14:textId="77777777" w:rsidR="00B61585" w:rsidRPr="00F638AF" w:rsidRDefault="00B61585" w:rsidP="00B61585">
      <w:pPr>
        <w:rPr>
          <w:szCs w:val="22"/>
          <w:lang w:val="en-GB"/>
        </w:rPr>
      </w:pPr>
    </w:p>
    <w:p w14:paraId="7C332798" w14:textId="77777777" w:rsidR="00B61585" w:rsidRPr="00F638AF" w:rsidRDefault="00016F29" w:rsidP="00E06A78">
      <w:pPr>
        <w:keepNext/>
        <w:keepLines/>
        <w:ind w:left="567" w:hanging="567"/>
        <w:outlineLvl w:val="0"/>
        <w:rPr>
          <w:b/>
          <w:szCs w:val="22"/>
          <w:lang w:val="en-GB"/>
        </w:rPr>
      </w:pPr>
      <w:r w:rsidRPr="00F638AF">
        <w:rPr>
          <w:b/>
          <w:szCs w:val="22"/>
          <w:lang w:val="en-GB"/>
        </w:rPr>
        <w:t>6.</w:t>
      </w:r>
      <w:r w:rsidRPr="00F638AF">
        <w:rPr>
          <w:b/>
          <w:szCs w:val="22"/>
          <w:lang w:val="en-GB"/>
        </w:rPr>
        <w:tab/>
        <w:t>Contents of the pack and other information</w:t>
      </w:r>
    </w:p>
    <w:p w14:paraId="7C332799" w14:textId="77777777" w:rsidR="00B61585" w:rsidRPr="00F638AF" w:rsidRDefault="00B61585" w:rsidP="00E06A78">
      <w:pPr>
        <w:rPr>
          <w:szCs w:val="22"/>
          <w:lang w:val="en-GB"/>
        </w:rPr>
      </w:pPr>
    </w:p>
    <w:p w14:paraId="7C33279A" w14:textId="77777777" w:rsidR="00B61585" w:rsidRPr="00F638AF" w:rsidRDefault="00016F29" w:rsidP="00E06A78">
      <w:pPr>
        <w:keepNext/>
        <w:keepLines/>
        <w:outlineLvl w:val="0"/>
        <w:rPr>
          <w:b/>
          <w:bCs/>
          <w:szCs w:val="22"/>
          <w:lang w:val="en-GB"/>
        </w:rPr>
      </w:pPr>
      <w:r w:rsidRPr="00F638AF">
        <w:rPr>
          <w:b/>
          <w:bCs/>
          <w:szCs w:val="22"/>
          <w:lang w:val="en-GB"/>
        </w:rPr>
        <w:t>What MabThera contains</w:t>
      </w:r>
    </w:p>
    <w:p w14:paraId="7C33279B" w14:textId="77777777" w:rsidR="00B61585" w:rsidRPr="00F638AF" w:rsidRDefault="00B61585" w:rsidP="00E06A78">
      <w:pPr>
        <w:rPr>
          <w:szCs w:val="22"/>
          <w:lang w:val="en-GB"/>
        </w:rPr>
      </w:pPr>
    </w:p>
    <w:p w14:paraId="7C33279C" w14:textId="77777777" w:rsidR="006B49B7" w:rsidRPr="00F638AF" w:rsidRDefault="00016F29" w:rsidP="006B49B7">
      <w:pPr>
        <w:ind w:left="567" w:hanging="567"/>
        <w:rPr>
          <w:szCs w:val="22"/>
          <w:lang w:val="en-GB"/>
        </w:rPr>
      </w:pPr>
      <w:r w:rsidRPr="00E06A78">
        <w:rPr>
          <w:rFonts w:ascii="Symbol" w:hAnsi="Symbol"/>
          <w:lang w:val="en-GB"/>
        </w:rPr>
        <w:sym w:font="Symbol" w:char="F0B7"/>
      </w:r>
      <w:r w:rsidRPr="00F638AF">
        <w:rPr>
          <w:szCs w:val="22"/>
          <w:lang w:val="en-GB"/>
        </w:rPr>
        <w:tab/>
        <w:t xml:space="preserve">The active ingredient in MabThera is called rituximab. </w:t>
      </w:r>
    </w:p>
    <w:p w14:paraId="7C33279D" w14:textId="77777777" w:rsidR="006B49B7" w:rsidRPr="00F638AF" w:rsidRDefault="00016F29" w:rsidP="006B49B7">
      <w:pPr>
        <w:ind w:left="567" w:hanging="567"/>
        <w:rPr>
          <w:szCs w:val="22"/>
          <w:lang w:val="en-GB"/>
        </w:rPr>
      </w:pPr>
      <w:r w:rsidRPr="00F638AF">
        <w:rPr>
          <w:szCs w:val="22"/>
          <w:lang w:val="en-GB"/>
        </w:rPr>
        <w:tab/>
      </w:r>
      <w:r w:rsidR="00B61585" w:rsidRPr="00F638AF">
        <w:rPr>
          <w:szCs w:val="22"/>
          <w:lang w:val="en-GB"/>
        </w:rPr>
        <w:t xml:space="preserve">The </w:t>
      </w:r>
      <w:r w:rsidRPr="007830E0">
        <w:rPr>
          <w:lang w:val="en-GB"/>
        </w:rPr>
        <w:t>10 mL</w:t>
      </w:r>
      <w:r w:rsidRPr="00F638AF">
        <w:rPr>
          <w:szCs w:val="22"/>
          <w:lang w:val="en-GB"/>
        </w:rPr>
        <w:t xml:space="preserve"> </w:t>
      </w:r>
      <w:r w:rsidR="00B61585" w:rsidRPr="00F638AF">
        <w:rPr>
          <w:szCs w:val="22"/>
          <w:lang w:val="en-GB"/>
        </w:rPr>
        <w:t>vial contains 100 mg of rituximab (10 mg/mL).</w:t>
      </w:r>
      <w:r w:rsidRPr="00F638AF">
        <w:rPr>
          <w:szCs w:val="22"/>
          <w:lang w:val="en-GB"/>
        </w:rPr>
        <w:t xml:space="preserve"> </w:t>
      </w:r>
    </w:p>
    <w:p w14:paraId="7C33279E" w14:textId="77777777" w:rsidR="006B49B7" w:rsidRPr="00F638AF" w:rsidRDefault="00016F29" w:rsidP="006B49B7">
      <w:pPr>
        <w:ind w:left="567" w:hanging="567"/>
        <w:rPr>
          <w:szCs w:val="22"/>
          <w:lang w:val="en-GB"/>
        </w:rPr>
      </w:pPr>
      <w:r w:rsidRPr="00F638AF">
        <w:rPr>
          <w:szCs w:val="22"/>
          <w:lang w:val="en-GB"/>
        </w:rPr>
        <w:tab/>
      </w:r>
      <w:r w:rsidRPr="007830E0">
        <w:rPr>
          <w:lang w:val="en-GB"/>
        </w:rPr>
        <w:t>The 50 mL vial contains 500 mg of rituximab (10 mg/mL).</w:t>
      </w:r>
    </w:p>
    <w:p w14:paraId="7C33279F" w14:textId="77777777" w:rsidR="00B61585" w:rsidRPr="00F638AF" w:rsidRDefault="00016F29" w:rsidP="00B61585">
      <w:pPr>
        <w:ind w:left="567" w:hanging="567"/>
        <w:rPr>
          <w:szCs w:val="22"/>
          <w:lang w:val="en-GB"/>
        </w:rPr>
      </w:pPr>
      <w:r w:rsidRPr="00E06A78">
        <w:rPr>
          <w:rFonts w:ascii="Symbol" w:hAnsi="Symbol"/>
          <w:lang w:val="en-GB"/>
        </w:rPr>
        <w:sym w:font="Symbol" w:char="F0B7"/>
      </w:r>
      <w:r w:rsidRPr="00F638AF">
        <w:rPr>
          <w:szCs w:val="22"/>
          <w:lang w:val="en-GB"/>
        </w:rPr>
        <w:tab/>
        <w:t>The other ingredients are sodium citrate, polysorbate 80, sodium chloride, sodium hydroxide, hydrochloric acid and water for injections.</w:t>
      </w:r>
    </w:p>
    <w:p w14:paraId="7C3327A0" w14:textId="77777777" w:rsidR="00B61585" w:rsidRPr="00F638AF" w:rsidRDefault="00B61585" w:rsidP="00B61585">
      <w:pPr>
        <w:numPr>
          <w:ilvl w:val="12"/>
          <w:numId w:val="0"/>
        </w:numPr>
        <w:ind w:right="-2"/>
        <w:rPr>
          <w:b/>
          <w:bCs/>
          <w:lang w:val="en-GB"/>
        </w:rPr>
      </w:pPr>
    </w:p>
    <w:p w14:paraId="7C3327A1" w14:textId="77777777" w:rsidR="00B61585" w:rsidRPr="00F638AF" w:rsidRDefault="00016F29" w:rsidP="00B61585">
      <w:pPr>
        <w:numPr>
          <w:ilvl w:val="12"/>
          <w:numId w:val="0"/>
        </w:numPr>
        <w:ind w:right="-2"/>
        <w:outlineLvl w:val="0"/>
        <w:rPr>
          <w:b/>
          <w:bCs/>
          <w:lang w:val="en-GB"/>
        </w:rPr>
      </w:pPr>
      <w:r w:rsidRPr="00F638AF">
        <w:rPr>
          <w:b/>
          <w:bCs/>
          <w:lang w:val="en-GB"/>
        </w:rPr>
        <w:t>What MabThera looks like and contents of the pack</w:t>
      </w:r>
    </w:p>
    <w:p w14:paraId="7C3327A2" w14:textId="77777777" w:rsidR="00B61585" w:rsidRPr="00F638AF" w:rsidRDefault="00B61585" w:rsidP="00B61585">
      <w:pPr>
        <w:numPr>
          <w:ilvl w:val="12"/>
          <w:numId w:val="0"/>
        </w:numPr>
        <w:ind w:right="-2"/>
        <w:rPr>
          <w:b/>
          <w:bCs/>
          <w:lang w:val="en-GB"/>
        </w:rPr>
      </w:pPr>
    </w:p>
    <w:p w14:paraId="7C3327A3" w14:textId="77777777" w:rsidR="00B61585" w:rsidRPr="007830E0" w:rsidRDefault="00016F29" w:rsidP="00B61585">
      <w:pPr>
        <w:rPr>
          <w:lang w:val="en-GB"/>
        </w:rPr>
      </w:pPr>
      <w:r w:rsidRPr="00F638AF">
        <w:rPr>
          <w:szCs w:val="22"/>
          <w:lang w:val="en-GB"/>
        </w:rPr>
        <w:t xml:space="preserve">MabThera is a clear, colourless solution, supplied as a concentrate for solution for infusion. </w:t>
      </w:r>
    </w:p>
    <w:p w14:paraId="7C3327A4" w14:textId="77777777" w:rsidR="006B49B7" w:rsidRPr="007830E0" w:rsidRDefault="00016F29" w:rsidP="006B49B7">
      <w:pPr>
        <w:rPr>
          <w:lang w:val="en-GB"/>
        </w:rPr>
      </w:pPr>
      <w:r w:rsidRPr="007830E0">
        <w:rPr>
          <w:lang w:val="en-GB"/>
        </w:rPr>
        <w:t>10 mL vial – Pack of 2 vials</w:t>
      </w:r>
    </w:p>
    <w:p w14:paraId="7C3327A5" w14:textId="77777777" w:rsidR="006B49B7" w:rsidRPr="00F638AF" w:rsidRDefault="00016F29" w:rsidP="00B61585">
      <w:pPr>
        <w:rPr>
          <w:szCs w:val="22"/>
          <w:lang w:val="en-GB"/>
        </w:rPr>
      </w:pPr>
      <w:r w:rsidRPr="007830E0">
        <w:rPr>
          <w:lang w:val="en-GB"/>
        </w:rPr>
        <w:t>50 mL vial – Pack of 1 vial</w:t>
      </w:r>
    </w:p>
    <w:p w14:paraId="7C3327A6" w14:textId="77777777" w:rsidR="00B61585" w:rsidRPr="00F638AF" w:rsidRDefault="00B61585" w:rsidP="00B61585">
      <w:pPr>
        <w:rPr>
          <w:szCs w:val="22"/>
          <w:lang w:val="en-GB"/>
        </w:rPr>
      </w:pPr>
    </w:p>
    <w:p w14:paraId="7C3327A7" w14:textId="77777777" w:rsidR="00B61585" w:rsidRPr="00F638AF" w:rsidRDefault="00016F29" w:rsidP="00E06A78">
      <w:pPr>
        <w:keepNext/>
        <w:keepLines/>
        <w:outlineLvl w:val="0"/>
        <w:rPr>
          <w:szCs w:val="22"/>
          <w:lang w:val="en-GB"/>
        </w:rPr>
      </w:pPr>
      <w:r w:rsidRPr="00F638AF">
        <w:rPr>
          <w:b/>
          <w:bCs/>
          <w:lang w:val="en-GB"/>
        </w:rPr>
        <w:t>Marketing Authorisation Holder</w:t>
      </w:r>
    </w:p>
    <w:p w14:paraId="7C3327A8" w14:textId="77777777" w:rsidR="00B61585" w:rsidRPr="00F638AF" w:rsidRDefault="00B61585" w:rsidP="00E06A78">
      <w:pPr>
        <w:keepNext/>
        <w:keepLines/>
        <w:rPr>
          <w:szCs w:val="22"/>
          <w:lang w:val="en-GB"/>
        </w:rPr>
      </w:pPr>
    </w:p>
    <w:p w14:paraId="7C3327A9" w14:textId="77777777" w:rsidR="00B0361F" w:rsidRPr="00F638AF" w:rsidRDefault="00016F29" w:rsidP="00E06A78">
      <w:pPr>
        <w:keepNext/>
        <w:keepLines/>
      </w:pPr>
      <w:r w:rsidRPr="00F638AF">
        <w:t xml:space="preserve">Roche Registration GmbH </w:t>
      </w:r>
    </w:p>
    <w:p w14:paraId="7C3327AA" w14:textId="77777777" w:rsidR="00B0361F" w:rsidRPr="00F638AF" w:rsidRDefault="00016F29" w:rsidP="00E06A78">
      <w:pPr>
        <w:keepNext/>
        <w:keepLines/>
      </w:pPr>
      <w:r w:rsidRPr="00F638AF">
        <w:t>Emil-Barell-Strasse 1</w:t>
      </w:r>
    </w:p>
    <w:p w14:paraId="7C3327AB" w14:textId="77777777" w:rsidR="00B0361F" w:rsidRPr="00F638AF" w:rsidRDefault="00016F29" w:rsidP="00B0361F">
      <w:r w:rsidRPr="00F638AF">
        <w:t>79639 Grenzach-Wyhlen</w:t>
      </w:r>
    </w:p>
    <w:p w14:paraId="7C3327AC" w14:textId="77777777" w:rsidR="00B0361F" w:rsidRPr="00F638AF" w:rsidRDefault="00016F29" w:rsidP="00B0361F">
      <w:r w:rsidRPr="00F638AF">
        <w:t>Germany</w:t>
      </w:r>
    </w:p>
    <w:p w14:paraId="7C3327AD" w14:textId="77777777" w:rsidR="00B61585" w:rsidRPr="00E06A78" w:rsidRDefault="00B61585" w:rsidP="00B61585">
      <w:pPr>
        <w:rPr>
          <w:lang w:val="en-GB"/>
        </w:rPr>
      </w:pPr>
    </w:p>
    <w:p w14:paraId="7C3327AE" w14:textId="77777777" w:rsidR="00B61585" w:rsidRPr="00E06A78" w:rsidRDefault="00016F29" w:rsidP="00B61585">
      <w:pPr>
        <w:keepNext/>
        <w:keepLines/>
        <w:rPr>
          <w:b/>
          <w:lang w:val="en-GB"/>
        </w:rPr>
      </w:pPr>
      <w:r w:rsidRPr="00E06A78">
        <w:rPr>
          <w:b/>
          <w:lang w:val="en-GB"/>
        </w:rPr>
        <w:t>Manufacturer</w:t>
      </w:r>
    </w:p>
    <w:p w14:paraId="7C3327AF" w14:textId="77777777" w:rsidR="00B61585" w:rsidRPr="00E06A78" w:rsidRDefault="00B61585" w:rsidP="00B61585">
      <w:pPr>
        <w:keepNext/>
        <w:keepLines/>
        <w:rPr>
          <w:lang w:val="en-GB"/>
        </w:rPr>
      </w:pPr>
    </w:p>
    <w:p w14:paraId="7C3327B0" w14:textId="77777777" w:rsidR="00B61585" w:rsidRPr="00F638AF" w:rsidRDefault="00016F29" w:rsidP="00B61585">
      <w:pPr>
        <w:keepNext/>
        <w:keepLines/>
        <w:numPr>
          <w:ilvl w:val="12"/>
          <w:numId w:val="0"/>
        </w:numPr>
        <w:outlineLvl w:val="0"/>
        <w:rPr>
          <w:lang w:val="de-CH"/>
        </w:rPr>
      </w:pPr>
      <w:r w:rsidRPr="00F638AF">
        <w:rPr>
          <w:noProof/>
          <w:szCs w:val="22"/>
          <w:lang w:val="de-CH"/>
        </w:rPr>
        <w:t>Roche Pharma</w:t>
      </w:r>
      <w:r w:rsidRPr="00F638AF">
        <w:rPr>
          <w:lang w:val="de-CH"/>
        </w:rPr>
        <w:t xml:space="preserve"> AG</w:t>
      </w:r>
    </w:p>
    <w:p w14:paraId="7C3327B1" w14:textId="77777777" w:rsidR="00B61585" w:rsidRPr="00F638AF" w:rsidRDefault="00016F29" w:rsidP="00B61585">
      <w:pPr>
        <w:keepNext/>
        <w:keepLines/>
        <w:numPr>
          <w:ilvl w:val="12"/>
          <w:numId w:val="0"/>
        </w:numPr>
        <w:rPr>
          <w:lang w:val="de-DE"/>
        </w:rPr>
      </w:pPr>
      <w:r w:rsidRPr="00F638AF">
        <w:rPr>
          <w:lang w:val="de-DE"/>
        </w:rPr>
        <w:t>Emil</w:t>
      </w:r>
      <w:r w:rsidR="000A6DDA" w:rsidRPr="00F638AF">
        <w:rPr>
          <w:lang w:val="de-DE"/>
        </w:rPr>
        <w:noBreakHyphen/>
      </w:r>
      <w:r w:rsidRPr="00F638AF">
        <w:rPr>
          <w:lang w:val="de-DE"/>
        </w:rPr>
        <w:t>Barell</w:t>
      </w:r>
      <w:r w:rsidR="000A6DDA" w:rsidRPr="00F638AF">
        <w:rPr>
          <w:lang w:val="de-DE"/>
        </w:rPr>
        <w:noBreakHyphen/>
      </w:r>
      <w:r w:rsidRPr="00F638AF">
        <w:rPr>
          <w:lang w:val="de-DE"/>
        </w:rPr>
        <w:t>Str. 1</w:t>
      </w:r>
    </w:p>
    <w:p w14:paraId="7C3327B2" w14:textId="77777777" w:rsidR="00B61585" w:rsidRPr="00F638AF" w:rsidRDefault="00016F29" w:rsidP="00B61585">
      <w:pPr>
        <w:keepNext/>
        <w:keepLines/>
        <w:numPr>
          <w:ilvl w:val="12"/>
          <w:numId w:val="0"/>
        </w:numPr>
      </w:pPr>
      <w:r w:rsidRPr="00F638AF">
        <w:t>D</w:t>
      </w:r>
      <w:r w:rsidR="000A6DDA" w:rsidRPr="00F638AF">
        <w:noBreakHyphen/>
      </w:r>
      <w:r w:rsidRPr="00F638AF">
        <w:t>79639 Grenzach</w:t>
      </w:r>
      <w:r w:rsidR="000A6DDA" w:rsidRPr="00F638AF">
        <w:noBreakHyphen/>
      </w:r>
      <w:r w:rsidRPr="00F638AF">
        <w:t>Wyhlen</w:t>
      </w:r>
    </w:p>
    <w:p w14:paraId="7C3327B3" w14:textId="77777777" w:rsidR="00B61585" w:rsidRPr="00F638AF" w:rsidRDefault="00016F29" w:rsidP="00B61585">
      <w:pPr>
        <w:keepNext/>
        <w:keepLines/>
        <w:numPr>
          <w:ilvl w:val="12"/>
          <w:numId w:val="0"/>
        </w:numPr>
        <w:rPr>
          <w:lang w:val="en-GB"/>
        </w:rPr>
      </w:pPr>
      <w:smartTag w:uri="urn:schemas-microsoft-com:office:smarttags" w:element="place">
        <w:smartTag w:uri="urn:schemas-microsoft-com:office:smarttags" w:element="country-region">
          <w:r w:rsidRPr="00F638AF">
            <w:rPr>
              <w:lang w:val="en-GB"/>
            </w:rPr>
            <w:t>Germany</w:t>
          </w:r>
        </w:smartTag>
      </w:smartTag>
    </w:p>
    <w:p w14:paraId="7C3327B4" w14:textId="77777777" w:rsidR="00B61585" w:rsidRPr="00F638AF" w:rsidRDefault="00B61585" w:rsidP="00B61585">
      <w:pPr>
        <w:rPr>
          <w:szCs w:val="22"/>
          <w:lang w:val="en-GB"/>
        </w:rPr>
      </w:pPr>
    </w:p>
    <w:p w14:paraId="7C3327B5" w14:textId="77777777" w:rsidR="00B61585" w:rsidRPr="00F638AF" w:rsidRDefault="00016F29" w:rsidP="00B61585">
      <w:pPr>
        <w:keepNext/>
        <w:keepLines/>
        <w:rPr>
          <w:szCs w:val="22"/>
          <w:lang w:val="en-GB"/>
        </w:rPr>
      </w:pPr>
      <w:r w:rsidRPr="00F638AF">
        <w:rPr>
          <w:szCs w:val="22"/>
          <w:lang w:val="en-GB"/>
        </w:rPr>
        <w:t>For any information about this medicine, please contact the local representative of the Marketing Authorisation Holder:</w:t>
      </w:r>
    </w:p>
    <w:tbl>
      <w:tblPr>
        <w:tblW w:w="0" w:type="auto"/>
        <w:tblInd w:w="-34" w:type="dxa"/>
        <w:tblLayout w:type="fixed"/>
        <w:tblLook w:val="0000" w:firstRow="0" w:lastRow="0" w:firstColumn="0" w:lastColumn="0" w:noHBand="0" w:noVBand="0"/>
      </w:tblPr>
      <w:tblGrid>
        <w:gridCol w:w="4624"/>
        <w:gridCol w:w="4590"/>
      </w:tblGrid>
      <w:tr w:rsidR="003A788B" w14:paraId="7C3327BE" w14:textId="77777777" w:rsidTr="008919D7">
        <w:trPr>
          <w:cantSplit/>
        </w:trPr>
        <w:tc>
          <w:tcPr>
            <w:tcW w:w="4624" w:type="dxa"/>
          </w:tcPr>
          <w:p w14:paraId="7C3327B6" w14:textId="77777777" w:rsidR="00B61585" w:rsidRPr="00F638AF" w:rsidRDefault="00016F29" w:rsidP="008919D7">
            <w:pPr>
              <w:keepNext/>
              <w:keepLines/>
              <w:tabs>
                <w:tab w:val="left" w:pos="567"/>
              </w:tabs>
              <w:rPr>
                <w:b/>
                <w:noProof/>
                <w:lang w:val="fr-FR"/>
              </w:rPr>
            </w:pPr>
            <w:r w:rsidRPr="00F638AF">
              <w:rPr>
                <w:b/>
                <w:noProof/>
                <w:lang w:val="fr-FR"/>
              </w:rPr>
              <w:t>België/Belgique/Belgien</w:t>
            </w:r>
          </w:p>
          <w:p w14:paraId="7C3327B7" w14:textId="77777777" w:rsidR="00B61585" w:rsidRPr="00F638AF" w:rsidRDefault="00016F29" w:rsidP="008919D7">
            <w:pPr>
              <w:keepNext/>
              <w:keepLines/>
              <w:tabs>
                <w:tab w:val="left" w:pos="567"/>
              </w:tabs>
              <w:rPr>
                <w:noProof/>
                <w:lang w:val="fr-FR"/>
              </w:rPr>
            </w:pPr>
            <w:r w:rsidRPr="00F638AF">
              <w:rPr>
                <w:noProof/>
                <w:lang w:val="fr-FR"/>
              </w:rPr>
              <w:t>N.V. Roche S.A.</w:t>
            </w:r>
          </w:p>
          <w:p w14:paraId="7C3327B8" w14:textId="77777777" w:rsidR="00B61585" w:rsidRPr="00F638AF" w:rsidRDefault="00016F29" w:rsidP="008919D7">
            <w:pPr>
              <w:keepNext/>
              <w:keepLines/>
              <w:tabs>
                <w:tab w:val="left" w:pos="567"/>
              </w:tabs>
              <w:rPr>
                <w:noProof/>
                <w:lang w:val="fr-FR"/>
              </w:rPr>
            </w:pPr>
            <w:r w:rsidRPr="00F638AF">
              <w:rPr>
                <w:noProof/>
                <w:lang w:val="fr-FR"/>
              </w:rPr>
              <w:t>Tél/Tel: +32 (0) 2 525 82 11</w:t>
            </w:r>
          </w:p>
          <w:p w14:paraId="7C3327B9" w14:textId="77777777" w:rsidR="00B61585" w:rsidRPr="00F638AF" w:rsidRDefault="00B61585" w:rsidP="008919D7">
            <w:pPr>
              <w:keepNext/>
              <w:keepLines/>
              <w:tabs>
                <w:tab w:val="left" w:pos="567"/>
              </w:tabs>
              <w:rPr>
                <w:b/>
                <w:noProof/>
                <w:lang w:val="fr-FR"/>
              </w:rPr>
            </w:pPr>
          </w:p>
        </w:tc>
        <w:tc>
          <w:tcPr>
            <w:tcW w:w="4590" w:type="dxa"/>
          </w:tcPr>
          <w:p w14:paraId="7C3327BA" w14:textId="77777777" w:rsidR="00B61585" w:rsidRPr="00F638AF" w:rsidRDefault="00016F29" w:rsidP="008919D7">
            <w:pPr>
              <w:keepNext/>
              <w:keepLines/>
              <w:tabs>
                <w:tab w:val="left" w:pos="567"/>
              </w:tabs>
              <w:suppressAutoHyphens/>
              <w:rPr>
                <w:b/>
                <w:noProof/>
                <w:lang w:val="fr-FR"/>
              </w:rPr>
            </w:pPr>
            <w:r w:rsidRPr="00F638AF">
              <w:rPr>
                <w:b/>
                <w:noProof/>
                <w:lang w:val="fr-FR"/>
              </w:rPr>
              <w:t>Lietuva</w:t>
            </w:r>
          </w:p>
          <w:p w14:paraId="7C3327BB" w14:textId="77777777" w:rsidR="00B61585" w:rsidRPr="00F638AF" w:rsidRDefault="00016F29" w:rsidP="008919D7">
            <w:pPr>
              <w:keepNext/>
              <w:keepLines/>
              <w:tabs>
                <w:tab w:val="left" w:pos="567"/>
              </w:tabs>
              <w:rPr>
                <w:noProof/>
                <w:lang w:val="fr-FR"/>
              </w:rPr>
            </w:pPr>
            <w:r w:rsidRPr="00F638AF">
              <w:rPr>
                <w:noProof/>
                <w:lang w:val="fr-FR"/>
              </w:rPr>
              <w:t>UAB “Roche Lietuva”</w:t>
            </w:r>
          </w:p>
          <w:p w14:paraId="7C3327BC" w14:textId="77777777" w:rsidR="00B61585" w:rsidRPr="00F638AF" w:rsidRDefault="00016F29" w:rsidP="008919D7">
            <w:pPr>
              <w:keepNext/>
              <w:keepLines/>
              <w:tabs>
                <w:tab w:val="left" w:pos="567"/>
              </w:tabs>
              <w:rPr>
                <w:noProof/>
                <w:lang w:val="fr-FR"/>
              </w:rPr>
            </w:pPr>
            <w:r w:rsidRPr="00F638AF">
              <w:rPr>
                <w:noProof/>
                <w:lang w:val="fr-FR"/>
              </w:rPr>
              <w:t>Tel: +370 5 2546799</w:t>
            </w:r>
          </w:p>
          <w:p w14:paraId="7C3327BD" w14:textId="77777777" w:rsidR="00B61585" w:rsidRPr="00F638AF" w:rsidRDefault="00B61585" w:rsidP="008919D7">
            <w:pPr>
              <w:keepNext/>
              <w:keepLines/>
              <w:tabs>
                <w:tab w:val="left" w:pos="567"/>
              </w:tabs>
              <w:suppressAutoHyphens/>
              <w:rPr>
                <w:b/>
                <w:noProof/>
                <w:lang w:val="fr-FR"/>
              </w:rPr>
            </w:pPr>
          </w:p>
        </w:tc>
      </w:tr>
      <w:tr w:rsidR="003A788B" w:rsidRPr="00833E56" w14:paraId="7C3327C6" w14:textId="77777777" w:rsidTr="008919D7">
        <w:trPr>
          <w:cantSplit/>
        </w:trPr>
        <w:tc>
          <w:tcPr>
            <w:tcW w:w="4624" w:type="dxa"/>
          </w:tcPr>
          <w:p w14:paraId="7C3327BF" w14:textId="77777777" w:rsidR="00B61585" w:rsidRPr="00F638AF" w:rsidRDefault="00016F29" w:rsidP="008919D7">
            <w:pPr>
              <w:keepNext/>
              <w:keepLines/>
              <w:tabs>
                <w:tab w:val="left" w:pos="567"/>
              </w:tabs>
              <w:rPr>
                <w:b/>
                <w:noProof/>
                <w:lang w:val="ru-RU"/>
              </w:rPr>
            </w:pPr>
            <w:r w:rsidRPr="00F638AF">
              <w:rPr>
                <w:b/>
                <w:noProof/>
                <w:lang w:val="ru-RU"/>
              </w:rPr>
              <w:t>България</w:t>
            </w:r>
          </w:p>
          <w:p w14:paraId="7C3327C0" w14:textId="77777777" w:rsidR="00B61585" w:rsidRPr="00F638AF" w:rsidRDefault="00016F29" w:rsidP="008919D7">
            <w:pPr>
              <w:keepNext/>
              <w:keepLines/>
              <w:tabs>
                <w:tab w:val="left" w:pos="567"/>
              </w:tabs>
              <w:rPr>
                <w:noProof/>
                <w:lang w:val="ru-RU"/>
              </w:rPr>
            </w:pPr>
            <w:r w:rsidRPr="00F638AF">
              <w:rPr>
                <w:noProof/>
                <w:lang w:val="ru-RU"/>
              </w:rPr>
              <w:t>Рош България ЕООД</w:t>
            </w:r>
          </w:p>
          <w:p w14:paraId="7C3327C1" w14:textId="77777777" w:rsidR="00B61585" w:rsidRPr="00F638AF" w:rsidRDefault="00016F29" w:rsidP="008919D7">
            <w:pPr>
              <w:keepNext/>
              <w:keepLines/>
              <w:tabs>
                <w:tab w:val="left" w:pos="567"/>
              </w:tabs>
              <w:rPr>
                <w:noProof/>
                <w:lang w:val="ru-RU"/>
              </w:rPr>
            </w:pPr>
            <w:r w:rsidRPr="00F638AF">
              <w:rPr>
                <w:noProof/>
                <w:lang w:val="ru-RU"/>
              </w:rPr>
              <w:t>Тел: +359 2</w:t>
            </w:r>
            <w:r w:rsidR="00153FF8" w:rsidRPr="00083FCE">
              <w:rPr>
                <w:noProof/>
              </w:rPr>
              <w:t> </w:t>
            </w:r>
            <w:r w:rsidRPr="00F638AF">
              <w:rPr>
                <w:noProof/>
                <w:lang w:val="ru-RU"/>
              </w:rPr>
              <w:t>818 44 44</w:t>
            </w:r>
          </w:p>
          <w:p w14:paraId="7C3327C2" w14:textId="77777777" w:rsidR="00B61585" w:rsidRPr="00F638AF" w:rsidRDefault="00B61585" w:rsidP="008919D7">
            <w:pPr>
              <w:keepNext/>
              <w:keepLines/>
              <w:tabs>
                <w:tab w:val="left" w:pos="567"/>
              </w:tabs>
              <w:rPr>
                <w:b/>
                <w:noProof/>
                <w:lang w:val="ru-RU"/>
              </w:rPr>
            </w:pPr>
          </w:p>
        </w:tc>
        <w:tc>
          <w:tcPr>
            <w:tcW w:w="4590" w:type="dxa"/>
          </w:tcPr>
          <w:p w14:paraId="7C3327C3" w14:textId="77777777" w:rsidR="00B61585" w:rsidRPr="00F638AF" w:rsidRDefault="00016F29" w:rsidP="008919D7">
            <w:pPr>
              <w:keepNext/>
              <w:keepLines/>
              <w:tabs>
                <w:tab w:val="left" w:pos="567"/>
              </w:tabs>
              <w:suppressAutoHyphens/>
              <w:rPr>
                <w:b/>
                <w:noProof/>
                <w:lang w:val="de-DE"/>
              </w:rPr>
            </w:pPr>
            <w:r w:rsidRPr="00F638AF">
              <w:rPr>
                <w:b/>
                <w:noProof/>
                <w:lang w:val="de-DE"/>
              </w:rPr>
              <w:t>Luxembourg/Luxemburg</w:t>
            </w:r>
          </w:p>
          <w:p w14:paraId="7C3327C4" w14:textId="77777777" w:rsidR="00B61585" w:rsidRPr="00F638AF" w:rsidRDefault="00016F29" w:rsidP="008919D7">
            <w:pPr>
              <w:keepNext/>
              <w:keepLines/>
              <w:tabs>
                <w:tab w:val="left" w:pos="567"/>
              </w:tabs>
              <w:rPr>
                <w:noProof/>
                <w:lang w:val="de-DE"/>
              </w:rPr>
            </w:pPr>
            <w:r w:rsidRPr="00F638AF">
              <w:rPr>
                <w:noProof/>
                <w:lang w:val="de-DE"/>
              </w:rPr>
              <w:t>(Voir/siehe Belgique/Belgien)</w:t>
            </w:r>
          </w:p>
          <w:p w14:paraId="7C3327C5" w14:textId="77777777" w:rsidR="00B61585" w:rsidRPr="00F638AF" w:rsidRDefault="00B61585" w:rsidP="008919D7">
            <w:pPr>
              <w:keepNext/>
              <w:keepLines/>
              <w:tabs>
                <w:tab w:val="left" w:pos="567"/>
              </w:tabs>
              <w:suppressAutoHyphens/>
              <w:rPr>
                <w:b/>
                <w:noProof/>
                <w:lang w:val="de-DE"/>
              </w:rPr>
            </w:pPr>
          </w:p>
        </w:tc>
      </w:tr>
      <w:tr w:rsidR="003A788B" w14:paraId="7C3327CF" w14:textId="77777777" w:rsidTr="008919D7">
        <w:trPr>
          <w:cantSplit/>
        </w:trPr>
        <w:tc>
          <w:tcPr>
            <w:tcW w:w="4624" w:type="dxa"/>
          </w:tcPr>
          <w:p w14:paraId="7C3327C7" w14:textId="77777777" w:rsidR="00B61585" w:rsidRPr="00F638AF" w:rsidRDefault="00016F29" w:rsidP="008919D7">
            <w:pPr>
              <w:tabs>
                <w:tab w:val="left" w:pos="567"/>
              </w:tabs>
              <w:rPr>
                <w:b/>
                <w:noProof/>
                <w:lang w:val="de-DE"/>
              </w:rPr>
            </w:pPr>
            <w:r w:rsidRPr="00F638AF">
              <w:rPr>
                <w:b/>
                <w:noProof/>
                <w:lang w:val="de-DE"/>
              </w:rPr>
              <w:t>Česká republika</w:t>
            </w:r>
          </w:p>
          <w:p w14:paraId="7C3327C8" w14:textId="77777777" w:rsidR="00B61585" w:rsidRPr="00F638AF" w:rsidRDefault="00016F29" w:rsidP="008919D7">
            <w:pPr>
              <w:tabs>
                <w:tab w:val="left" w:pos="567"/>
              </w:tabs>
              <w:rPr>
                <w:noProof/>
                <w:lang w:val="de-DE"/>
              </w:rPr>
            </w:pPr>
            <w:r w:rsidRPr="00F638AF">
              <w:rPr>
                <w:noProof/>
                <w:lang w:val="de-DE"/>
              </w:rPr>
              <w:t>Roche s. r. o.</w:t>
            </w:r>
          </w:p>
          <w:p w14:paraId="7C3327C9" w14:textId="77777777" w:rsidR="00B61585" w:rsidRPr="00F638AF" w:rsidRDefault="00016F29" w:rsidP="008919D7">
            <w:pPr>
              <w:tabs>
                <w:tab w:val="left" w:pos="567"/>
              </w:tabs>
              <w:rPr>
                <w:noProof/>
                <w:lang w:val="de-DE"/>
              </w:rPr>
            </w:pPr>
            <w:r w:rsidRPr="00F638AF">
              <w:rPr>
                <w:noProof/>
                <w:lang w:val="de-DE"/>
              </w:rPr>
              <w:t xml:space="preserve">Tel: +420 </w:t>
            </w:r>
            <w:r w:rsidRPr="00F638AF">
              <w:rPr>
                <w:noProof/>
                <w:lang w:val="de-DE"/>
              </w:rPr>
              <w:noBreakHyphen/>
              <w:t xml:space="preserve"> 2 20382111</w:t>
            </w:r>
          </w:p>
          <w:p w14:paraId="7C3327CA" w14:textId="77777777" w:rsidR="00B61585" w:rsidRPr="00F638AF" w:rsidRDefault="00B61585" w:rsidP="008919D7">
            <w:pPr>
              <w:tabs>
                <w:tab w:val="left" w:pos="567"/>
              </w:tabs>
              <w:rPr>
                <w:b/>
                <w:noProof/>
                <w:lang w:val="de-DE"/>
              </w:rPr>
            </w:pPr>
          </w:p>
        </w:tc>
        <w:tc>
          <w:tcPr>
            <w:tcW w:w="4590" w:type="dxa"/>
          </w:tcPr>
          <w:p w14:paraId="7C3327CB" w14:textId="77777777" w:rsidR="00B61585" w:rsidRPr="00F638AF" w:rsidRDefault="00016F29" w:rsidP="008919D7">
            <w:pPr>
              <w:tabs>
                <w:tab w:val="left" w:pos="567"/>
              </w:tabs>
              <w:suppressAutoHyphens/>
              <w:rPr>
                <w:b/>
              </w:rPr>
            </w:pPr>
            <w:r w:rsidRPr="00F638AF">
              <w:rPr>
                <w:b/>
              </w:rPr>
              <w:t>Magyarország</w:t>
            </w:r>
          </w:p>
          <w:p w14:paraId="7C3327CC" w14:textId="77777777" w:rsidR="00B61585" w:rsidRPr="00F638AF" w:rsidRDefault="00016F29" w:rsidP="008919D7">
            <w:pPr>
              <w:tabs>
                <w:tab w:val="left" w:pos="567"/>
              </w:tabs>
            </w:pPr>
            <w:r w:rsidRPr="00F638AF">
              <w:t>Roche (Magyarország) Kft.</w:t>
            </w:r>
          </w:p>
          <w:p w14:paraId="7C3327CD" w14:textId="77777777" w:rsidR="00B61585" w:rsidRPr="00F638AF" w:rsidRDefault="00016F29" w:rsidP="008919D7">
            <w:pPr>
              <w:tabs>
                <w:tab w:val="left" w:pos="567"/>
              </w:tabs>
            </w:pPr>
            <w:r w:rsidRPr="00F638AF">
              <w:t xml:space="preserve">Tel: +36 </w:t>
            </w:r>
            <w:r w:rsidRPr="00F638AF">
              <w:noBreakHyphen/>
              <w:t xml:space="preserve"> 23 446 800</w:t>
            </w:r>
          </w:p>
          <w:p w14:paraId="7C3327CE" w14:textId="77777777" w:rsidR="00B61585" w:rsidRPr="00F638AF" w:rsidRDefault="00B61585" w:rsidP="008919D7">
            <w:pPr>
              <w:tabs>
                <w:tab w:val="left" w:pos="567"/>
              </w:tabs>
              <w:suppressAutoHyphens/>
              <w:rPr>
                <w:b/>
              </w:rPr>
            </w:pPr>
          </w:p>
        </w:tc>
      </w:tr>
      <w:tr w:rsidR="003A788B" w14:paraId="7C3327D7" w14:textId="77777777" w:rsidTr="008919D7">
        <w:trPr>
          <w:cantSplit/>
        </w:trPr>
        <w:tc>
          <w:tcPr>
            <w:tcW w:w="4624" w:type="dxa"/>
          </w:tcPr>
          <w:p w14:paraId="7C3327D0" w14:textId="77777777" w:rsidR="00B61585" w:rsidRPr="00F638AF" w:rsidRDefault="00016F29" w:rsidP="008919D7">
            <w:pPr>
              <w:tabs>
                <w:tab w:val="left" w:pos="567"/>
              </w:tabs>
              <w:rPr>
                <w:b/>
                <w:noProof/>
                <w:lang w:val="en-GB"/>
              </w:rPr>
            </w:pPr>
            <w:r w:rsidRPr="00F638AF">
              <w:rPr>
                <w:b/>
                <w:noProof/>
                <w:lang w:val="en-GB"/>
              </w:rPr>
              <w:t>Danmark</w:t>
            </w:r>
          </w:p>
          <w:p w14:paraId="7C3327D1" w14:textId="77777777" w:rsidR="00B61585" w:rsidRPr="00F638AF" w:rsidRDefault="00016F29" w:rsidP="008919D7">
            <w:pPr>
              <w:tabs>
                <w:tab w:val="left" w:pos="567"/>
                <w:tab w:val="center" w:pos="2204"/>
              </w:tabs>
              <w:rPr>
                <w:noProof/>
                <w:lang w:val="en-GB"/>
              </w:rPr>
            </w:pPr>
            <w:r w:rsidRPr="00F638AF">
              <w:rPr>
                <w:noProof/>
                <w:lang w:val="en-GB"/>
              </w:rPr>
              <w:t>Roche a/s</w:t>
            </w:r>
            <w:r w:rsidRPr="00F638AF">
              <w:rPr>
                <w:noProof/>
                <w:lang w:val="en-GB"/>
              </w:rPr>
              <w:tab/>
            </w:r>
          </w:p>
          <w:p w14:paraId="7C3327D2" w14:textId="77777777" w:rsidR="00B61585" w:rsidRPr="00F638AF" w:rsidRDefault="00016F29" w:rsidP="008919D7">
            <w:pPr>
              <w:tabs>
                <w:tab w:val="left" w:pos="567"/>
              </w:tabs>
              <w:rPr>
                <w:noProof/>
                <w:lang w:val="en-GB"/>
              </w:rPr>
            </w:pPr>
            <w:r w:rsidRPr="00F638AF">
              <w:rPr>
                <w:noProof/>
                <w:lang w:val="en-GB"/>
              </w:rPr>
              <w:t xml:space="preserve">Tlf: +45 </w:t>
            </w:r>
            <w:r w:rsidR="000A6DDA" w:rsidRPr="00F638AF">
              <w:rPr>
                <w:noProof/>
                <w:lang w:val="en-GB"/>
              </w:rPr>
              <w:noBreakHyphen/>
            </w:r>
            <w:r w:rsidRPr="00F638AF">
              <w:rPr>
                <w:noProof/>
                <w:lang w:val="en-GB"/>
              </w:rPr>
              <w:t xml:space="preserve"> 36 39 99 99</w:t>
            </w:r>
          </w:p>
          <w:p w14:paraId="7C3327D3" w14:textId="77777777" w:rsidR="00B61585" w:rsidRPr="00F638AF" w:rsidRDefault="00B61585" w:rsidP="008919D7">
            <w:pPr>
              <w:tabs>
                <w:tab w:val="left" w:pos="567"/>
              </w:tabs>
              <w:rPr>
                <w:b/>
                <w:noProof/>
                <w:lang w:val="en-GB"/>
              </w:rPr>
            </w:pPr>
          </w:p>
        </w:tc>
        <w:tc>
          <w:tcPr>
            <w:tcW w:w="4590" w:type="dxa"/>
          </w:tcPr>
          <w:p w14:paraId="7C3327D4" w14:textId="77777777" w:rsidR="00B61585" w:rsidRPr="00F638AF" w:rsidRDefault="00016F29" w:rsidP="008919D7">
            <w:pPr>
              <w:tabs>
                <w:tab w:val="left" w:pos="567"/>
              </w:tabs>
              <w:suppressAutoHyphens/>
              <w:rPr>
                <w:b/>
                <w:noProof/>
                <w:lang w:val="en-GB"/>
              </w:rPr>
            </w:pPr>
            <w:smartTag w:uri="urn:schemas-microsoft-com:office:smarttags" w:element="place">
              <w:smartTag w:uri="urn:schemas-microsoft-com:office:smarttags" w:element="country-region">
                <w:r w:rsidRPr="00F638AF">
                  <w:rPr>
                    <w:b/>
                    <w:noProof/>
                    <w:lang w:val="en-GB"/>
                  </w:rPr>
                  <w:t>Malta</w:t>
                </w:r>
              </w:smartTag>
            </w:smartTag>
          </w:p>
          <w:p w14:paraId="7C3327D5" w14:textId="77777777" w:rsidR="00B0361F" w:rsidRPr="00F638AF" w:rsidRDefault="00016F29" w:rsidP="00B0361F">
            <w:pPr>
              <w:tabs>
                <w:tab w:val="left" w:pos="567"/>
              </w:tabs>
              <w:rPr>
                <w:noProof/>
                <w:lang w:val="en-GB"/>
              </w:rPr>
            </w:pPr>
            <w:r w:rsidRPr="00F638AF">
              <w:rPr>
                <w:noProof/>
                <w:lang w:val="en-GB"/>
              </w:rPr>
              <w:t>(See Ireland)</w:t>
            </w:r>
          </w:p>
          <w:p w14:paraId="7C3327D6" w14:textId="77777777" w:rsidR="00B61585" w:rsidRPr="00F638AF" w:rsidRDefault="00016F29" w:rsidP="00B0361F">
            <w:pPr>
              <w:tabs>
                <w:tab w:val="left" w:pos="567"/>
              </w:tabs>
              <w:suppressAutoHyphens/>
              <w:rPr>
                <w:b/>
                <w:noProof/>
                <w:lang w:val="en-GB"/>
              </w:rPr>
            </w:pPr>
            <w:r w:rsidRPr="00F638AF">
              <w:rPr>
                <w:b/>
                <w:noProof/>
                <w:lang w:val="en-GB"/>
              </w:rPr>
              <w:t xml:space="preserve"> </w:t>
            </w:r>
          </w:p>
        </w:tc>
      </w:tr>
      <w:tr w:rsidR="003A788B" w14:paraId="7C3327E0" w14:textId="77777777" w:rsidTr="008919D7">
        <w:trPr>
          <w:cantSplit/>
        </w:trPr>
        <w:tc>
          <w:tcPr>
            <w:tcW w:w="4624" w:type="dxa"/>
          </w:tcPr>
          <w:p w14:paraId="7C3327D8" w14:textId="77777777" w:rsidR="00B61585" w:rsidRPr="00F638AF" w:rsidRDefault="00016F29" w:rsidP="008919D7">
            <w:pPr>
              <w:tabs>
                <w:tab w:val="left" w:pos="567"/>
              </w:tabs>
              <w:rPr>
                <w:b/>
                <w:noProof/>
                <w:lang w:val="de-DE"/>
              </w:rPr>
            </w:pPr>
            <w:r w:rsidRPr="00F638AF">
              <w:rPr>
                <w:b/>
                <w:noProof/>
                <w:lang w:val="de-DE"/>
              </w:rPr>
              <w:t>Deutschland</w:t>
            </w:r>
          </w:p>
          <w:p w14:paraId="7C3327D9" w14:textId="77777777" w:rsidR="00B61585" w:rsidRPr="00F638AF" w:rsidRDefault="00016F29" w:rsidP="008919D7">
            <w:pPr>
              <w:tabs>
                <w:tab w:val="left" w:pos="567"/>
              </w:tabs>
              <w:rPr>
                <w:noProof/>
                <w:lang w:val="de-DE"/>
              </w:rPr>
            </w:pPr>
            <w:r w:rsidRPr="00F638AF">
              <w:rPr>
                <w:noProof/>
                <w:lang w:val="de-DE"/>
              </w:rPr>
              <w:t>Roche Pharma AG</w:t>
            </w:r>
          </w:p>
          <w:p w14:paraId="7C3327DA" w14:textId="77777777" w:rsidR="00B61585" w:rsidRPr="00F638AF" w:rsidRDefault="00016F29" w:rsidP="008919D7">
            <w:pPr>
              <w:tabs>
                <w:tab w:val="left" w:pos="567"/>
              </w:tabs>
              <w:rPr>
                <w:noProof/>
                <w:lang w:val="de-DE"/>
              </w:rPr>
            </w:pPr>
            <w:r w:rsidRPr="00F638AF">
              <w:rPr>
                <w:noProof/>
                <w:lang w:val="de-DE"/>
              </w:rPr>
              <w:t>Tel: +49 (0) 7624 140</w:t>
            </w:r>
          </w:p>
          <w:p w14:paraId="7C3327DB" w14:textId="77777777" w:rsidR="00B61585" w:rsidRPr="00F638AF" w:rsidRDefault="00B61585" w:rsidP="008919D7">
            <w:pPr>
              <w:tabs>
                <w:tab w:val="left" w:pos="567"/>
              </w:tabs>
              <w:rPr>
                <w:b/>
                <w:noProof/>
                <w:lang w:val="de-DE"/>
              </w:rPr>
            </w:pPr>
          </w:p>
        </w:tc>
        <w:tc>
          <w:tcPr>
            <w:tcW w:w="4590" w:type="dxa"/>
          </w:tcPr>
          <w:p w14:paraId="7C3327DC" w14:textId="77777777" w:rsidR="00B61585" w:rsidRPr="00F638AF" w:rsidRDefault="00016F29" w:rsidP="008919D7">
            <w:pPr>
              <w:tabs>
                <w:tab w:val="left" w:pos="567"/>
              </w:tabs>
              <w:suppressAutoHyphens/>
              <w:rPr>
                <w:b/>
                <w:noProof/>
                <w:lang w:val="de-DE"/>
              </w:rPr>
            </w:pPr>
            <w:r w:rsidRPr="00F638AF">
              <w:rPr>
                <w:b/>
                <w:noProof/>
                <w:lang w:val="de-DE"/>
              </w:rPr>
              <w:t>Nederland</w:t>
            </w:r>
          </w:p>
          <w:p w14:paraId="7C3327DD" w14:textId="77777777" w:rsidR="00B61585" w:rsidRPr="00F638AF" w:rsidRDefault="00016F29" w:rsidP="008919D7">
            <w:pPr>
              <w:tabs>
                <w:tab w:val="left" w:pos="567"/>
              </w:tabs>
              <w:rPr>
                <w:noProof/>
                <w:lang w:val="de-DE"/>
              </w:rPr>
            </w:pPr>
            <w:r w:rsidRPr="00F638AF">
              <w:rPr>
                <w:noProof/>
                <w:lang w:val="de-DE"/>
              </w:rPr>
              <w:t>Roche Nederland B.V.</w:t>
            </w:r>
          </w:p>
          <w:p w14:paraId="7C3327DE" w14:textId="77777777" w:rsidR="00B61585" w:rsidRPr="00F638AF" w:rsidRDefault="00016F29" w:rsidP="008919D7">
            <w:pPr>
              <w:tabs>
                <w:tab w:val="left" w:pos="567"/>
              </w:tabs>
              <w:rPr>
                <w:noProof/>
                <w:lang w:val="en-GB"/>
              </w:rPr>
            </w:pPr>
            <w:r w:rsidRPr="00F638AF">
              <w:rPr>
                <w:noProof/>
                <w:lang w:val="en-GB"/>
              </w:rPr>
              <w:t>Tel: +31 (0) 348 438050</w:t>
            </w:r>
          </w:p>
          <w:p w14:paraId="7C3327DF" w14:textId="77777777" w:rsidR="00B61585" w:rsidRPr="00F638AF" w:rsidRDefault="00B61585" w:rsidP="008919D7">
            <w:pPr>
              <w:tabs>
                <w:tab w:val="left" w:pos="567"/>
              </w:tabs>
              <w:suppressAutoHyphens/>
              <w:rPr>
                <w:b/>
                <w:noProof/>
                <w:lang w:val="en-GB"/>
              </w:rPr>
            </w:pPr>
          </w:p>
        </w:tc>
      </w:tr>
      <w:tr w:rsidR="003A788B" w14:paraId="7C3327E9" w14:textId="77777777" w:rsidTr="008919D7">
        <w:trPr>
          <w:cantSplit/>
        </w:trPr>
        <w:tc>
          <w:tcPr>
            <w:tcW w:w="4624" w:type="dxa"/>
          </w:tcPr>
          <w:p w14:paraId="7C3327E1" w14:textId="77777777" w:rsidR="00B61585" w:rsidRPr="00F638AF" w:rsidRDefault="00016F29" w:rsidP="008919D7">
            <w:pPr>
              <w:tabs>
                <w:tab w:val="left" w:pos="567"/>
              </w:tabs>
              <w:rPr>
                <w:b/>
                <w:noProof/>
                <w:lang w:val="it-IT"/>
              </w:rPr>
            </w:pPr>
            <w:r w:rsidRPr="00F638AF">
              <w:rPr>
                <w:b/>
                <w:noProof/>
                <w:lang w:val="it-IT"/>
              </w:rPr>
              <w:t>Eesti</w:t>
            </w:r>
          </w:p>
          <w:p w14:paraId="7C3327E2" w14:textId="77777777" w:rsidR="00B61585" w:rsidRPr="00F638AF" w:rsidRDefault="00016F29" w:rsidP="008919D7">
            <w:pPr>
              <w:tabs>
                <w:tab w:val="left" w:pos="567"/>
              </w:tabs>
              <w:rPr>
                <w:noProof/>
                <w:lang w:val="it-IT"/>
              </w:rPr>
            </w:pPr>
            <w:r w:rsidRPr="00F638AF">
              <w:rPr>
                <w:noProof/>
                <w:lang w:val="it-IT"/>
              </w:rPr>
              <w:t>Roche Eesti OÜ</w:t>
            </w:r>
          </w:p>
          <w:p w14:paraId="7C3327E3" w14:textId="77777777" w:rsidR="00B61585" w:rsidRPr="00F638AF" w:rsidRDefault="00016F29" w:rsidP="008919D7">
            <w:pPr>
              <w:tabs>
                <w:tab w:val="left" w:pos="567"/>
              </w:tabs>
              <w:rPr>
                <w:noProof/>
                <w:lang w:val="it-IT"/>
              </w:rPr>
            </w:pPr>
            <w:r w:rsidRPr="00F638AF">
              <w:rPr>
                <w:noProof/>
                <w:lang w:val="it-IT"/>
              </w:rPr>
              <w:t xml:space="preserve">Tel: + 372 </w:t>
            </w:r>
            <w:r w:rsidRPr="00F638AF">
              <w:rPr>
                <w:noProof/>
                <w:lang w:val="it-IT"/>
              </w:rPr>
              <w:noBreakHyphen/>
              <w:t xml:space="preserve"> 6 177 380</w:t>
            </w:r>
          </w:p>
          <w:p w14:paraId="7C3327E4" w14:textId="77777777" w:rsidR="00B61585" w:rsidRPr="00F638AF" w:rsidRDefault="00B61585" w:rsidP="008919D7">
            <w:pPr>
              <w:tabs>
                <w:tab w:val="left" w:pos="567"/>
              </w:tabs>
              <w:rPr>
                <w:b/>
                <w:noProof/>
                <w:lang w:val="it-IT"/>
              </w:rPr>
            </w:pPr>
          </w:p>
        </w:tc>
        <w:tc>
          <w:tcPr>
            <w:tcW w:w="4590" w:type="dxa"/>
          </w:tcPr>
          <w:p w14:paraId="7C3327E5" w14:textId="77777777" w:rsidR="00B61585" w:rsidRPr="00F638AF" w:rsidRDefault="00016F29" w:rsidP="008919D7">
            <w:pPr>
              <w:tabs>
                <w:tab w:val="left" w:pos="567"/>
              </w:tabs>
              <w:suppressAutoHyphens/>
              <w:rPr>
                <w:b/>
                <w:noProof/>
                <w:lang w:val="en-GB"/>
              </w:rPr>
            </w:pPr>
            <w:r w:rsidRPr="00F638AF">
              <w:rPr>
                <w:b/>
                <w:noProof/>
                <w:lang w:val="en-GB"/>
              </w:rPr>
              <w:t>Norge</w:t>
            </w:r>
          </w:p>
          <w:p w14:paraId="7C3327E6" w14:textId="77777777" w:rsidR="00B61585" w:rsidRPr="00F638AF" w:rsidRDefault="00016F29" w:rsidP="008919D7">
            <w:pPr>
              <w:tabs>
                <w:tab w:val="left" w:pos="567"/>
              </w:tabs>
              <w:rPr>
                <w:noProof/>
                <w:lang w:val="en-GB"/>
              </w:rPr>
            </w:pPr>
            <w:r w:rsidRPr="00F638AF">
              <w:rPr>
                <w:noProof/>
                <w:lang w:val="en-GB"/>
              </w:rPr>
              <w:t xml:space="preserve">Roche </w:t>
            </w:r>
            <w:smartTag w:uri="urn:schemas-microsoft-com:office:smarttags" w:element="place">
              <w:smartTag w:uri="urn:schemas-microsoft-com:office:smarttags" w:element="City">
                <w:r w:rsidRPr="00F638AF">
                  <w:rPr>
                    <w:noProof/>
                    <w:lang w:val="en-GB"/>
                  </w:rPr>
                  <w:t>Norge</w:t>
                </w:r>
              </w:smartTag>
              <w:r w:rsidRPr="00F638AF">
                <w:rPr>
                  <w:noProof/>
                  <w:lang w:val="en-GB"/>
                </w:rPr>
                <w:t xml:space="preserve"> </w:t>
              </w:r>
              <w:smartTag w:uri="urn:schemas-microsoft-com:office:smarttags" w:element="State">
                <w:r w:rsidRPr="00F638AF">
                  <w:rPr>
                    <w:noProof/>
                    <w:lang w:val="en-GB"/>
                  </w:rPr>
                  <w:t>AS</w:t>
                </w:r>
              </w:smartTag>
            </w:smartTag>
          </w:p>
          <w:p w14:paraId="7C3327E7" w14:textId="77777777" w:rsidR="00B61585" w:rsidRPr="00F638AF" w:rsidRDefault="00016F29" w:rsidP="008919D7">
            <w:pPr>
              <w:tabs>
                <w:tab w:val="left" w:pos="567"/>
              </w:tabs>
              <w:rPr>
                <w:noProof/>
                <w:lang w:val="en-GB"/>
              </w:rPr>
            </w:pPr>
            <w:r w:rsidRPr="00F638AF">
              <w:rPr>
                <w:noProof/>
                <w:lang w:val="en-GB"/>
              </w:rPr>
              <w:t xml:space="preserve">Tlf: +47 </w:t>
            </w:r>
            <w:r w:rsidR="000A6DDA" w:rsidRPr="00F638AF">
              <w:rPr>
                <w:noProof/>
                <w:lang w:val="en-GB"/>
              </w:rPr>
              <w:noBreakHyphen/>
            </w:r>
            <w:r w:rsidRPr="00F638AF">
              <w:rPr>
                <w:noProof/>
                <w:lang w:val="en-GB"/>
              </w:rPr>
              <w:t xml:space="preserve"> 22 78 90 00</w:t>
            </w:r>
          </w:p>
          <w:p w14:paraId="7C3327E8" w14:textId="77777777" w:rsidR="00B61585" w:rsidRPr="00F638AF" w:rsidRDefault="00B61585" w:rsidP="008919D7">
            <w:pPr>
              <w:tabs>
                <w:tab w:val="left" w:pos="567"/>
              </w:tabs>
              <w:suppressAutoHyphens/>
              <w:rPr>
                <w:b/>
                <w:noProof/>
                <w:lang w:val="en-GB"/>
              </w:rPr>
            </w:pPr>
          </w:p>
        </w:tc>
      </w:tr>
      <w:tr w:rsidR="003A788B" w:rsidRPr="00833E56" w14:paraId="7C3327F2" w14:textId="77777777" w:rsidTr="008919D7">
        <w:trPr>
          <w:cantSplit/>
        </w:trPr>
        <w:tc>
          <w:tcPr>
            <w:tcW w:w="4624" w:type="dxa"/>
          </w:tcPr>
          <w:p w14:paraId="7C3327EA" w14:textId="77777777" w:rsidR="00B61585" w:rsidRPr="00F638AF" w:rsidRDefault="00016F29" w:rsidP="008919D7">
            <w:pPr>
              <w:tabs>
                <w:tab w:val="left" w:pos="567"/>
              </w:tabs>
              <w:rPr>
                <w:b/>
                <w:noProof/>
                <w:lang w:val="en-GB"/>
              </w:rPr>
            </w:pPr>
            <w:r w:rsidRPr="00F638AF">
              <w:rPr>
                <w:b/>
                <w:noProof/>
                <w:lang w:val="en-GB"/>
              </w:rPr>
              <w:t>Ελλάδα</w:t>
            </w:r>
          </w:p>
          <w:p w14:paraId="7C3327EB" w14:textId="77777777" w:rsidR="00B61585" w:rsidRPr="00F638AF" w:rsidRDefault="00016F29" w:rsidP="008919D7">
            <w:pPr>
              <w:tabs>
                <w:tab w:val="left" w:pos="567"/>
              </w:tabs>
              <w:rPr>
                <w:noProof/>
                <w:lang w:val="en-GB"/>
              </w:rPr>
            </w:pPr>
            <w:r w:rsidRPr="00F638AF">
              <w:rPr>
                <w:noProof/>
                <w:lang w:val="en-GB"/>
              </w:rPr>
              <w:t>Roche (</w:t>
            </w:r>
            <w:smartTag w:uri="urn:schemas-microsoft-com:office:smarttags" w:element="place">
              <w:r w:rsidRPr="00F638AF">
                <w:rPr>
                  <w:noProof/>
                  <w:lang w:val="en-GB"/>
                </w:rPr>
                <w:t>Hellas</w:t>
              </w:r>
            </w:smartTag>
            <w:r w:rsidRPr="00F638AF">
              <w:rPr>
                <w:noProof/>
                <w:lang w:val="en-GB"/>
              </w:rPr>
              <w:t xml:space="preserve">) A.E. </w:t>
            </w:r>
          </w:p>
          <w:p w14:paraId="7C3327EC" w14:textId="77777777" w:rsidR="00B61585" w:rsidRPr="00F638AF" w:rsidRDefault="00016F29" w:rsidP="008919D7">
            <w:pPr>
              <w:tabs>
                <w:tab w:val="left" w:pos="567"/>
              </w:tabs>
              <w:rPr>
                <w:noProof/>
                <w:lang w:val="en-GB"/>
              </w:rPr>
            </w:pPr>
            <w:r w:rsidRPr="00F638AF">
              <w:rPr>
                <w:noProof/>
                <w:lang w:val="en-GB"/>
              </w:rPr>
              <w:t>Τηλ: +30 210 61 66 100</w:t>
            </w:r>
          </w:p>
          <w:p w14:paraId="7C3327ED" w14:textId="77777777" w:rsidR="00B61585" w:rsidRPr="00F638AF" w:rsidRDefault="00B61585" w:rsidP="008919D7">
            <w:pPr>
              <w:tabs>
                <w:tab w:val="left" w:pos="567"/>
              </w:tabs>
              <w:rPr>
                <w:b/>
                <w:noProof/>
                <w:lang w:val="en-GB"/>
              </w:rPr>
            </w:pPr>
          </w:p>
        </w:tc>
        <w:tc>
          <w:tcPr>
            <w:tcW w:w="4590" w:type="dxa"/>
          </w:tcPr>
          <w:p w14:paraId="7C3327EE" w14:textId="77777777" w:rsidR="00B61585" w:rsidRPr="00F638AF" w:rsidRDefault="00016F29" w:rsidP="008919D7">
            <w:pPr>
              <w:tabs>
                <w:tab w:val="left" w:pos="567"/>
              </w:tabs>
              <w:suppressAutoHyphens/>
              <w:rPr>
                <w:b/>
                <w:noProof/>
                <w:lang w:val="de-DE"/>
              </w:rPr>
            </w:pPr>
            <w:r w:rsidRPr="00F638AF">
              <w:rPr>
                <w:b/>
                <w:noProof/>
                <w:lang w:val="de-DE"/>
              </w:rPr>
              <w:t>Österreich</w:t>
            </w:r>
          </w:p>
          <w:p w14:paraId="7C3327EF" w14:textId="77777777" w:rsidR="00B61585" w:rsidRPr="00F638AF" w:rsidRDefault="00016F29" w:rsidP="008919D7">
            <w:pPr>
              <w:tabs>
                <w:tab w:val="left" w:pos="567"/>
              </w:tabs>
              <w:rPr>
                <w:noProof/>
                <w:lang w:val="de-DE"/>
              </w:rPr>
            </w:pPr>
            <w:r w:rsidRPr="00F638AF">
              <w:rPr>
                <w:noProof/>
                <w:lang w:val="de-DE"/>
              </w:rPr>
              <w:t>Roche Austria GmbH</w:t>
            </w:r>
          </w:p>
          <w:p w14:paraId="7C3327F0" w14:textId="77777777" w:rsidR="00B61585" w:rsidRPr="00F638AF" w:rsidRDefault="00016F29" w:rsidP="008919D7">
            <w:pPr>
              <w:tabs>
                <w:tab w:val="left" w:pos="567"/>
              </w:tabs>
              <w:rPr>
                <w:noProof/>
                <w:lang w:val="de-DE"/>
              </w:rPr>
            </w:pPr>
            <w:r w:rsidRPr="00F638AF">
              <w:rPr>
                <w:noProof/>
                <w:lang w:val="de-DE"/>
              </w:rPr>
              <w:t>Tel: +43 (0) 1 27739</w:t>
            </w:r>
          </w:p>
          <w:p w14:paraId="7C3327F1" w14:textId="77777777" w:rsidR="00B61585" w:rsidRPr="00F638AF" w:rsidRDefault="00B61585" w:rsidP="008919D7">
            <w:pPr>
              <w:tabs>
                <w:tab w:val="left" w:pos="567"/>
              </w:tabs>
              <w:suppressAutoHyphens/>
              <w:rPr>
                <w:b/>
                <w:noProof/>
                <w:lang w:val="de-DE"/>
              </w:rPr>
            </w:pPr>
          </w:p>
        </w:tc>
      </w:tr>
      <w:tr w:rsidR="003A788B" w14:paraId="7C3327FB" w14:textId="77777777" w:rsidTr="008919D7">
        <w:trPr>
          <w:cantSplit/>
        </w:trPr>
        <w:tc>
          <w:tcPr>
            <w:tcW w:w="4624" w:type="dxa"/>
          </w:tcPr>
          <w:p w14:paraId="7C3327F3" w14:textId="77777777" w:rsidR="00B61585" w:rsidRPr="00F638AF" w:rsidRDefault="00016F29" w:rsidP="008919D7">
            <w:pPr>
              <w:tabs>
                <w:tab w:val="left" w:pos="567"/>
              </w:tabs>
              <w:rPr>
                <w:b/>
                <w:noProof/>
                <w:lang w:val="es-ES"/>
              </w:rPr>
            </w:pPr>
            <w:r w:rsidRPr="00F638AF">
              <w:rPr>
                <w:b/>
                <w:noProof/>
                <w:lang w:val="es-ES"/>
              </w:rPr>
              <w:t>España</w:t>
            </w:r>
          </w:p>
          <w:p w14:paraId="7C3327F4" w14:textId="77777777" w:rsidR="00B61585" w:rsidRPr="00F638AF" w:rsidRDefault="00016F29" w:rsidP="008919D7">
            <w:pPr>
              <w:tabs>
                <w:tab w:val="left" w:pos="567"/>
              </w:tabs>
              <w:rPr>
                <w:noProof/>
                <w:lang w:val="es-ES"/>
              </w:rPr>
            </w:pPr>
            <w:r w:rsidRPr="00F638AF">
              <w:rPr>
                <w:noProof/>
                <w:lang w:val="es-ES"/>
              </w:rPr>
              <w:t>Roche Farma S.A.</w:t>
            </w:r>
          </w:p>
          <w:p w14:paraId="7C3327F5" w14:textId="77777777" w:rsidR="00B61585" w:rsidRPr="00F638AF" w:rsidRDefault="00016F29" w:rsidP="008919D7">
            <w:pPr>
              <w:tabs>
                <w:tab w:val="left" w:pos="567"/>
              </w:tabs>
              <w:rPr>
                <w:noProof/>
                <w:lang w:val="en-GB"/>
              </w:rPr>
            </w:pPr>
            <w:r w:rsidRPr="00F638AF">
              <w:rPr>
                <w:noProof/>
                <w:lang w:val="en-GB"/>
              </w:rPr>
              <w:t xml:space="preserve">Tel: +34 </w:t>
            </w:r>
            <w:r w:rsidR="000A6DDA" w:rsidRPr="00F638AF">
              <w:rPr>
                <w:noProof/>
                <w:lang w:val="en-GB"/>
              </w:rPr>
              <w:noBreakHyphen/>
            </w:r>
            <w:r w:rsidRPr="00F638AF">
              <w:rPr>
                <w:noProof/>
                <w:lang w:val="en-GB"/>
              </w:rPr>
              <w:t xml:space="preserve"> 91 324 81 00</w:t>
            </w:r>
          </w:p>
          <w:p w14:paraId="7C3327F6" w14:textId="77777777" w:rsidR="00B61585" w:rsidRPr="00F638AF" w:rsidRDefault="00B61585" w:rsidP="008919D7">
            <w:pPr>
              <w:tabs>
                <w:tab w:val="left" w:pos="567"/>
              </w:tabs>
              <w:rPr>
                <w:b/>
                <w:noProof/>
                <w:lang w:val="en-GB"/>
              </w:rPr>
            </w:pPr>
          </w:p>
        </w:tc>
        <w:tc>
          <w:tcPr>
            <w:tcW w:w="4590" w:type="dxa"/>
          </w:tcPr>
          <w:p w14:paraId="7C3327F7" w14:textId="77777777" w:rsidR="00B61585" w:rsidRPr="00F638AF" w:rsidRDefault="00016F29" w:rsidP="008919D7">
            <w:pPr>
              <w:tabs>
                <w:tab w:val="left" w:pos="567"/>
              </w:tabs>
              <w:suppressAutoHyphens/>
              <w:rPr>
                <w:b/>
                <w:noProof/>
                <w:lang w:val="fr-FR"/>
              </w:rPr>
            </w:pPr>
            <w:r w:rsidRPr="00F638AF">
              <w:rPr>
                <w:b/>
                <w:noProof/>
                <w:lang w:val="fr-FR"/>
              </w:rPr>
              <w:t>Polska</w:t>
            </w:r>
          </w:p>
          <w:p w14:paraId="7C3327F8" w14:textId="77777777" w:rsidR="00B61585" w:rsidRPr="00F638AF" w:rsidRDefault="00016F29" w:rsidP="008919D7">
            <w:pPr>
              <w:tabs>
                <w:tab w:val="left" w:pos="567"/>
              </w:tabs>
              <w:rPr>
                <w:noProof/>
                <w:lang w:val="fr-FR"/>
              </w:rPr>
            </w:pPr>
            <w:r w:rsidRPr="00F638AF">
              <w:rPr>
                <w:noProof/>
                <w:lang w:val="fr-FR"/>
              </w:rPr>
              <w:t>Roche Polska Sp.z o.o.</w:t>
            </w:r>
          </w:p>
          <w:p w14:paraId="7C3327F9" w14:textId="77777777" w:rsidR="00B61585" w:rsidRPr="00F638AF" w:rsidRDefault="00016F29" w:rsidP="008919D7">
            <w:pPr>
              <w:tabs>
                <w:tab w:val="left" w:pos="567"/>
              </w:tabs>
              <w:rPr>
                <w:noProof/>
                <w:lang w:val="en-GB"/>
              </w:rPr>
            </w:pPr>
            <w:r w:rsidRPr="00F638AF">
              <w:rPr>
                <w:noProof/>
                <w:lang w:val="en-GB"/>
              </w:rPr>
              <w:t xml:space="preserve">Tel: +48 </w:t>
            </w:r>
            <w:r w:rsidR="000A6DDA" w:rsidRPr="00F638AF">
              <w:rPr>
                <w:noProof/>
                <w:lang w:val="en-GB"/>
              </w:rPr>
              <w:noBreakHyphen/>
            </w:r>
            <w:r w:rsidRPr="00F638AF">
              <w:rPr>
                <w:noProof/>
                <w:lang w:val="en-GB"/>
              </w:rPr>
              <w:t xml:space="preserve"> 22 345 18 88</w:t>
            </w:r>
          </w:p>
          <w:p w14:paraId="7C3327FA" w14:textId="77777777" w:rsidR="00B61585" w:rsidRPr="00F638AF" w:rsidRDefault="00B61585" w:rsidP="008919D7">
            <w:pPr>
              <w:tabs>
                <w:tab w:val="left" w:pos="567"/>
              </w:tabs>
              <w:suppressAutoHyphens/>
              <w:rPr>
                <w:b/>
                <w:noProof/>
                <w:lang w:val="en-GB"/>
              </w:rPr>
            </w:pPr>
          </w:p>
        </w:tc>
      </w:tr>
      <w:tr w:rsidR="003A788B" w14:paraId="7C332804" w14:textId="77777777" w:rsidTr="008919D7">
        <w:trPr>
          <w:cantSplit/>
        </w:trPr>
        <w:tc>
          <w:tcPr>
            <w:tcW w:w="4624" w:type="dxa"/>
          </w:tcPr>
          <w:p w14:paraId="7C3327FC" w14:textId="77777777" w:rsidR="00B61585" w:rsidRPr="00F638AF" w:rsidRDefault="00016F29" w:rsidP="008919D7">
            <w:pPr>
              <w:tabs>
                <w:tab w:val="left" w:pos="567"/>
              </w:tabs>
              <w:rPr>
                <w:b/>
                <w:noProof/>
                <w:lang w:val="en-GB"/>
              </w:rPr>
            </w:pPr>
            <w:smartTag w:uri="urn:schemas-microsoft-com:office:smarttags" w:element="place">
              <w:smartTag w:uri="urn:schemas-microsoft-com:office:smarttags" w:element="country-region">
                <w:r w:rsidRPr="00F638AF">
                  <w:rPr>
                    <w:b/>
                    <w:noProof/>
                    <w:lang w:val="en-GB"/>
                  </w:rPr>
                  <w:t>France</w:t>
                </w:r>
              </w:smartTag>
            </w:smartTag>
          </w:p>
          <w:p w14:paraId="7C3327FD" w14:textId="77777777" w:rsidR="00B61585" w:rsidRPr="00F638AF" w:rsidRDefault="00016F29" w:rsidP="008919D7">
            <w:pPr>
              <w:tabs>
                <w:tab w:val="left" w:pos="567"/>
              </w:tabs>
              <w:rPr>
                <w:noProof/>
                <w:lang w:val="en-GB"/>
              </w:rPr>
            </w:pPr>
            <w:r w:rsidRPr="00F638AF">
              <w:rPr>
                <w:noProof/>
                <w:lang w:val="en-GB"/>
              </w:rPr>
              <w:t>Roche</w:t>
            </w:r>
          </w:p>
          <w:p w14:paraId="7C3327FE" w14:textId="77777777" w:rsidR="00B61585" w:rsidRPr="00F638AF" w:rsidRDefault="00016F29" w:rsidP="008919D7">
            <w:pPr>
              <w:tabs>
                <w:tab w:val="left" w:pos="567"/>
              </w:tabs>
              <w:rPr>
                <w:noProof/>
                <w:lang w:val="en-GB"/>
              </w:rPr>
            </w:pPr>
            <w:r w:rsidRPr="00F638AF">
              <w:rPr>
                <w:noProof/>
                <w:lang w:val="en-GB"/>
              </w:rPr>
              <w:t>Tél: +33  (0)1 47 61 40 00</w:t>
            </w:r>
          </w:p>
          <w:p w14:paraId="7C3327FF" w14:textId="77777777" w:rsidR="00B61585" w:rsidRPr="00F638AF" w:rsidRDefault="00B61585" w:rsidP="008919D7">
            <w:pPr>
              <w:tabs>
                <w:tab w:val="left" w:pos="567"/>
              </w:tabs>
              <w:rPr>
                <w:b/>
                <w:noProof/>
                <w:lang w:val="en-GB"/>
              </w:rPr>
            </w:pPr>
          </w:p>
        </w:tc>
        <w:tc>
          <w:tcPr>
            <w:tcW w:w="4590" w:type="dxa"/>
          </w:tcPr>
          <w:p w14:paraId="7C332800" w14:textId="77777777" w:rsidR="00B61585" w:rsidRPr="00F638AF" w:rsidRDefault="00016F29" w:rsidP="008919D7">
            <w:pPr>
              <w:tabs>
                <w:tab w:val="left" w:pos="567"/>
              </w:tabs>
              <w:suppressAutoHyphens/>
              <w:rPr>
                <w:b/>
                <w:noProof/>
                <w:lang w:val="pt-BR"/>
              </w:rPr>
            </w:pPr>
            <w:r w:rsidRPr="00F638AF">
              <w:rPr>
                <w:b/>
                <w:noProof/>
                <w:lang w:val="pt-BR"/>
              </w:rPr>
              <w:t>Portugal</w:t>
            </w:r>
          </w:p>
          <w:p w14:paraId="7C332801" w14:textId="77777777" w:rsidR="00B61585" w:rsidRPr="00F638AF" w:rsidRDefault="00016F29" w:rsidP="008919D7">
            <w:pPr>
              <w:tabs>
                <w:tab w:val="left" w:pos="567"/>
              </w:tabs>
              <w:rPr>
                <w:noProof/>
                <w:lang w:val="pt-BR"/>
              </w:rPr>
            </w:pPr>
            <w:r w:rsidRPr="00F638AF">
              <w:rPr>
                <w:noProof/>
                <w:lang w:val="pt-BR"/>
              </w:rPr>
              <w:t>Roche Farmacêutica Química, Lda</w:t>
            </w:r>
          </w:p>
          <w:p w14:paraId="7C332802" w14:textId="77777777" w:rsidR="00B61585" w:rsidRPr="00F638AF" w:rsidRDefault="00016F29" w:rsidP="008919D7">
            <w:pPr>
              <w:tabs>
                <w:tab w:val="left" w:pos="567"/>
              </w:tabs>
              <w:rPr>
                <w:noProof/>
                <w:lang w:val="pt-BR"/>
              </w:rPr>
            </w:pPr>
            <w:r w:rsidRPr="00F638AF">
              <w:rPr>
                <w:noProof/>
                <w:lang w:val="pt-BR"/>
              </w:rPr>
              <w:t xml:space="preserve">Tel: +351 </w:t>
            </w:r>
            <w:r w:rsidRPr="00F638AF">
              <w:rPr>
                <w:noProof/>
                <w:lang w:val="pt-BR"/>
              </w:rPr>
              <w:noBreakHyphen/>
              <w:t xml:space="preserve"> 21 425 70 00</w:t>
            </w:r>
          </w:p>
          <w:p w14:paraId="7C332803" w14:textId="77777777" w:rsidR="00B61585" w:rsidRPr="00F638AF" w:rsidRDefault="00B61585" w:rsidP="008919D7">
            <w:pPr>
              <w:tabs>
                <w:tab w:val="left" w:pos="567"/>
              </w:tabs>
              <w:suppressAutoHyphens/>
              <w:rPr>
                <w:b/>
                <w:noProof/>
                <w:lang w:val="pt-BR"/>
              </w:rPr>
            </w:pPr>
          </w:p>
        </w:tc>
      </w:tr>
      <w:tr w:rsidR="003A788B" w14:paraId="7C33280D" w14:textId="77777777" w:rsidTr="008919D7">
        <w:trPr>
          <w:cantSplit/>
        </w:trPr>
        <w:tc>
          <w:tcPr>
            <w:tcW w:w="4624" w:type="dxa"/>
          </w:tcPr>
          <w:p w14:paraId="7C332805" w14:textId="77777777" w:rsidR="00B61585" w:rsidRPr="00F638AF" w:rsidRDefault="00016F29" w:rsidP="008919D7">
            <w:pPr>
              <w:tabs>
                <w:tab w:val="left" w:pos="567"/>
              </w:tabs>
              <w:rPr>
                <w:b/>
                <w:noProof/>
                <w:lang w:val="de-DE"/>
              </w:rPr>
            </w:pPr>
            <w:r w:rsidRPr="00F638AF">
              <w:rPr>
                <w:b/>
                <w:noProof/>
                <w:lang w:val="de-DE"/>
              </w:rPr>
              <w:t>Hrvatska</w:t>
            </w:r>
          </w:p>
          <w:p w14:paraId="7C332806" w14:textId="77777777" w:rsidR="00B61585" w:rsidRPr="00F638AF" w:rsidRDefault="00016F29" w:rsidP="008919D7">
            <w:pPr>
              <w:tabs>
                <w:tab w:val="left" w:pos="567"/>
              </w:tabs>
              <w:rPr>
                <w:noProof/>
                <w:lang w:val="de-DE"/>
              </w:rPr>
            </w:pPr>
            <w:r w:rsidRPr="00F638AF">
              <w:rPr>
                <w:noProof/>
                <w:lang w:val="de-DE"/>
              </w:rPr>
              <w:t>Roche d.o.o.</w:t>
            </w:r>
          </w:p>
          <w:p w14:paraId="7C332807" w14:textId="77777777" w:rsidR="00B61585" w:rsidRPr="00F638AF" w:rsidRDefault="00016F29" w:rsidP="008919D7">
            <w:pPr>
              <w:tabs>
                <w:tab w:val="left" w:pos="567"/>
              </w:tabs>
              <w:rPr>
                <w:noProof/>
                <w:lang w:val="en-GB"/>
              </w:rPr>
            </w:pPr>
            <w:r w:rsidRPr="00F638AF">
              <w:rPr>
                <w:noProof/>
                <w:lang w:val="en-GB"/>
              </w:rPr>
              <w:t>Tel: + 385 1 47 22 333</w:t>
            </w:r>
          </w:p>
          <w:p w14:paraId="7C332808" w14:textId="77777777" w:rsidR="00B61585" w:rsidRPr="00F638AF" w:rsidRDefault="00B61585" w:rsidP="008919D7">
            <w:pPr>
              <w:tabs>
                <w:tab w:val="left" w:pos="567"/>
              </w:tabs>
              <w:rPr>
                <w:b/>
                <w:noProof/>
                <w:lang w:val="en-GB"/>
              </w:rPr>
            </w:pPr>
          </w:p>
        </w:tc>
        <w:tc>
          <w:tcPr>
            <w:tcW w:w="4590" w:type="dxa"/>
          </w:tcPr>
          <w:p w14:paraId="7C332809" w14:textId="77777777" w:rsidR="00B61585" w:rsidRPr="00F638AF" w:rsidRDefault="00016F29" w:rsidP="008919D7">
            <w:pPr>
              <w:tabs>
                <w:tab w:val="left" w:pos="567"/>
              </w:tabs>
              <w:suppressAutoHyphens/>
              <w:rPr>
                <w:b/>
                <w:noProof/>
                <w:lang w:val="it-IT"/>
              </w:rPr>
            </w:pPr>
            <w:r w:rsidRPr="00F638AF">
              <w:rPr>
                <w:b/>
                <w:noProof/>
                <w:lang w:val="it-IT"/>
              </w:rPr>
              <w:t>România</w:t>
            </w:r>
          </w:p>
          <w:p w14:paraId="7C33280A" w14:textId="77777777" w:rsidR="00B61585" w:rsidRPr="00F638AF" w:rsidRDefault="00016F29" w:rsidP="008919D7">
            <w:pPr>
              <w:tabs>
                <w:tab w:val="left" w:pos="567"/>
              </w:tabs>
              <w:rPr>
                <w:noProof/>
                <w:lang w:val="it-IT"/>
              </w:rPr>
            </w:pPr>
            <w:r w:rsidRPr="00F638AF">
              <w:rPr>
                <w:noProof/>
                <w:lang w:val="it-IT"/>
              </w:rPr>
              <w:t>Roche România S.R.L.</w:t>
            </w:r>
          </w:p>
          <w:p w14:paraId="7C33280B" w14:textId="77777777" w:rsidR="00B61585" w:rsidRPr="00C50A4F" w:rsidRDefault="00016F29" w:rsidP="008919D7">
            <w:pPr>
              <w:tabs>
                <w:tab w:val="left" w:pos="567"/>
              </w:tabs>
              <w:rPr>
                <w:noProof/>
                <w:lang w:val="en-GB"/>
              </w:rPr>
            </w:pPr>
            <w:r w:rsidRPr="00F638AF">
              <w:rPr>
                <w:noProof/>
                <w:lang w:val="en-GB"/>
              </w:rPr>
              <w:t>Tel: +40 21 206 47 01</w:t>
            </w:r>
          </w:p>
          <w:p w14:paraId="7C33280C" w14:textId="77777777" w:rsidR="00B61585" w:rsidRPr="00C50A4F" w:rsidRDefault="00B61585" w:rsidP="008919D7">
            <w:pPr>
              <w:tabs>
                <w:tab w:val="left" w:pos="567"/>
              </w:tabs>
              <w:suppressAutoHyphens/>
              <w:rPr>
                <w:b/>
                <w:noProof/>
                <w:lang w:val="en-GB"/>
              </w:rPr>
            </w:pPr>
          </w:p>
        </w:tc>
      </w:tr>
      <w:tr w:rsidR="003A788B" w14:paraId="7C332816" w14:textId="77777777" w:rsidTr="008919D7">
        <w:trPr>
          <w:cantSplit/>
        </w:trPr>
        <w:tc>
          <w:tcPr>
            <w:tcW w:w="4624" w:type="dxa"/>
          </w:tcPr>
          <w:p w14:paraId="7C33280E" w14:textId="77777777" w:rsidR="00B61585" w:rsidRPr="00C50A4F" w:rsidRDefault="00016F29" w:rsidP="008919D7">
            <w:pPr>
              <w:tabs>
                <w:tab w:val="left" w:pos="567"/>
              </w:tabs>
              <w:rPr>
                <w:b/>
                <w:noProof/>
                <w:lang w:val="en-GB"/>
              </w:rPr>
            </w:pPr>
            <w:smartTag w:uri="urn:schemas-microsoft-com:office:smarttags" w:element="place">
              <w:smartTag w:uri="urn:schemas-microsoft-com:office:smarttags" w:element="country-region">
                <w:r w:rsidRPr="00C50A4F">
                  <w:rPr>
                    <w:b/>
                    <w:noProof/>
                    <w:lang w:val="en-GB"/>
                  </w:rPr>
                  <w:t>Ireland</w:t>
                </w:r>
              </w:smartTag>
            </w:smartTag>
          </w:p>
          <w:p w14:paraId="7C33280F" w14:textId="77777777" w:rsidR="00B61585" w:rsidRPr="00C50A4F" w:rsidRDefault="00016F29" w:rsidP="008919D7">
            <w:pPr>
              <w:tabs>
                <w:tab w:val="left" w:pos="567"/>
              </w:tabs>
              <w:rPr>
                <w:noProof/>
                <w:lang w:val="en-GB"/>
              </w:rPr>
            </w:pPr>
            <w:r w:rsidRPr="00C50A4F">
              <w:rPr>
                <w:noProof/>
                <w:lang w:val="en-GB"/>
              </w:rPr>
              <w:t>Roche Products (</w:t>
            </w:r>
            <w:smartTag w:uri="urn:schemas-microsoft-com:office:smarttags" w:element="place">
              <w:smartTag w:uri="urn:schemas-microsoft-com:office:smarttags" w:element="country-region">
                <w:r w:rsidRPr="00C50A4F">
                  <w:rPr>
                    <w:noProof/>
                    <w:lang w:val="en-GB"/>
                  </w:rPr>
                  <w:t>Ireland</w:t>
                </w:r>
              </w:smartTag>
            </w:smartTag>
            <w:r w:rsidRPr="00C50A4F">
              <w:rPr>
                <w:noProof/>
                <w:lang w:val="en-GB"/>
              </w:rPr>
              <w:t>) Ltd.</w:t>
            </w:r>
          </w:p>
          <w:p w14:paraId="7C332810" w14:textId="77777777" w:rsidR="00B61585" w:rsidRPr="00C50A4F" w:rsidRDefault="00016F29" w:rsidP="008919D7">
            <w:pPr>
              <w:tabs>
                <w:tab w:val="left" w:pos="567"/>
              </w:tabs>
              <w:rPr>
                <w:noProof/>
                <w:lang w:val="en-GB"/>
              </w:rPr>
            </w:pPr>
            <w:r w:rsidRPr="00C50A4F">
              <w:rPr>
                <w:noProof/>
                <w:lang w:val="en-GB"/>
              </w:rPr>
              <w:t>Tel: +353 (0) 1 469 0700</w:t>
            </w:r>
          </w:p>
          <w:p w14:paraId="7C332811" w14:textId="77777777" w:rsidR="00B61585" w:rsidRPr="00C50A4F" w:rsidRDefault="00B61585" w:rsidP="008919D7">
            <w:pPr>
              <w:tabs>
                <w:tab w:val="left" w:pos="567"/>
              </w:tabs>
              <w:rPr>
                <w:b/>
                <w:noProof/>
                <w:lang w:val="en-GB"/>
              </w:rPr>
            </w:pPr>
          </w:p>
        </w:tc>
        <w:tc>
          <w:tcPr>
            <w:tcW w:w="4590" w:type="dxa"/>
          </w:tcPr>
          <w:p w14:paraId="7C332812" w14:textId="77777777" w:rsidR="00B61585" w:rsidRPr="00461E33" w:rsidRDefault="00016F29" w:rsidP="008919D7">
            <w:pPr>
              <w:tabs>
                <w:tab w:val="left" w:pos="567"/>
              </w:tabs>
              <w:suppressAutoHyphens/>
              <w:rPr>
                <w:b/>
                <w:noProof/>
                <w:lang w:val="en-GB"/>
              </w:rPr>
            </w:pPr>
            <w:r w:rsidRPr="00461E33">
              <w:rPr>
                <w:b/>
                <w:noProof/>
                <w:lang w:val="en-GB"/>
              </w:rPr>
              <w:t>Slovenija</w:t>
            </w:r>
          </w:p>
          <w:p w14:paraId="7C332813" w14:textId="77777777" w:rsidR="00B61585" w:rsidRPr="00461E33" w:rsidRDefault="00016F29" w:rsidP="008919D7">
            <w:pPr>
              <w:tabs>
                <w:tab w:val="left" w:pos="567"/>
              </w:tabs>
              <w:rPr>
                <w:noProof/>
                <w:lang w:val="en-GB"/>
              </w:rPr>
            </w:pPr>
            <w:r w:rsidRPr="00461E33">
              <w:rPr>
                <w:noProof/>
                <w:lang w:val="en-GB"/>
              </w:rPr>
              <w:t>Roche farmacevtska družba d.o.o.</w:t>
            </w:r>
          </w:p>
          <w:p w14:paraId="7C332814" w14:textId="77777777" w:rsidR="00B61585" w:rsidRPr="00461E33" w:rsidRDefault="00016F29" w:rsidP="008919D7">
            <w:pPr>
              <w:tabs>
                <w:tab w:val="left" w:pos="567"/>
              </w:tabs>
              <w:rPr>
                <w:noProof/>
                <w:lang w:val="en-GB"/>
              </w:rPr>
            </w:pPr>
            <w:r w:rsidRPr="00461E33">
              <w:rPr>
                <w:noProof/>
                <w:lang w:val="en-GB"/>
              </w:rPr>
              <w:t xml:space="preserve">Tel: +386 </w:t>
            </w:r>
            <w:r w:rsidR="000A6DDA" w:rsidRPr="00461E33">
              <w:rPr>
                <w:noProof/>
                <w:lang w:val="en-GB"/>
              </w:rPr>
              <w:noBreakHyphen/>
            </w:r>
            <w:r w:rsidRPr="00461E33">
              <w:rPr>
                <w:noProof/>
                <w:lang w:val="en-GB"/>
              </w:rPr>
              <w:t xml:space="preserve"> 1 360 26 00</w:t>
            </w:r>
          </w:p>
          <w:p w14:paraId="7C332815" w14:textId="77777777" w:rsidR="00B61585" w:rsidRPr="00461E33" w:rsidRDefault="00B61585" w:rsidP="008919D7">
            <w:pPr>
              <w:tabs>
                <w:tab w:val="left" w:pos="567"/>
              </w:tabs>
              <w:suppressAutoHyphens/>
              <w:rPr>
                <w:b/>
                <w:noProof/>
                <w:lang w:val="en-GB"/>
              </w:rPr>
            </w:pPr>
          </w:p>
        </w:tc>
      </w:tr>
      <w:tr w:rsidR="003A788B" w14:paraId="7C332820" w14:textId="77777777" w:rsidTr="008919D7">
        <w:trPr>
          <w:cantSplit/>
        </w:trPr>
        <w:tc>
          <w:tcPr>
            <w:tcW w:w="4624" w:type="dxa"/>
          </w:tcPr>
          <w:p w14:paraId="7C332817" w14:textId="77777777" w:rsidR="00B61585" w:rsidRPr="00BA3E22" w:rsidRDefault="00016F29" w:rsidP="008919D7">
            <w:pPr>
              <w:tabs>
                <w:tab w:val="left" w:pos="567"/>
              </w:tabs>
              <w:rPr>
                <w:b/>
                <w:noProof/>
                <w:lang w:val="pt-PT"/>
              </w:rPr>
            </w:pPr>
            <w:r w:rsidRPr="00BA3E22">
              <w:rPr>
                <w:b/>
                <w:noProof/>
                <w:lang w:val="pt-PT"/>
              </w:rPr>
              <w:t xml:space="preserve">Ísland </w:t>
            </w:r>
          </w:p>
          <w:p w14:paraId="7C332818" w14:textId="77777777" w:rsidR="00B61585" w:rsidRPr="00BA3E22" w:rsidRDefault="00016F29" w:rsidP="008919D7">
            <w:pPr>
              <w:tabs>
                <w:tab w:val="left" w:pos="567"/>
              </w:tabs>
              <w:rPr>
                <w:noProof/>
                <w:lang w:val="pt-PT"/>
              </w:rPr>
            </w:pPr>
            <w:r w:rsidRPr="00BA3E22">
              <w:rPr>
                <w:noProof/>
                <w:lang w:val="pt-PT"/>
              </w:rPr>
              <w:t>Roche a/s</w:t>
            </w:r>
          </w:p>
          <w:p w14:paraId="7C332819" w14:textId="77777777" w:rsidR="00B61585" w:rsidRPr="00BA3E22" w:rsidRDefault="00016F29" w:rsidP="008919D7">
            <w:pPr>
              <w:tabs>
                <w:tab w:val="left" w:pos="567"/>
              </w:tabs>
              <w:rPr>
                <w:noProof/>
                <w:lang w:val="pt-PT"/>
              </w:rPr>
            </w:pPr>
            <w:r w:rsidRPr="00BA3E22">
              <w:rPr>
                <w:noProof/>
                <w:lang w:val="pt-PT"/>
              </w:rPr>
              <w:t>c/o Icepharma hf</w:t>
            </w:r>
          </w:p>
          <w:p w14:paraId="7C33281A" w14:textId="77777777" w:rsidR="00B61585" w:rsidRPr="00BA3E22" w:rsidRDefault="00016F29" w:rsidP="008919D7">
            <w:pPr>
              <w:tabs>
                <w:tab w:val="left" w:pos="567"/>
              </w:tabs>
              <w:rPr>
                <w:noProof/>
                <w:lang w:val="pt-PT"/>
              </w:rPr>
            </w:pPr>
            <w:r w:rsidRPr="00BA3E22">
              <w:rPr>
                <w:noProof/>
                <w:lang w:val="pt-PT"/>
              </w:rPr>
              <w:t>Sími: +354 540 8000</w:t>
            </w:r>
          </w:p>
          <w:p w14:paraId="7C33281B" w14:textId="77777777" w:rsidR="00B61585" w:rsidRPr="00BA3E22" w:rsidRDefault="00B61585" w:rsidP="008919D7">
            <w:pPr>
              <w:tabs>
                <w:tab w:val="left" w:pos="567"/>
              </w:tabs>
              <w:rPr>
                <w:b/>
                <w:noProof/>
                <w:lang w:val="pt-PT"/>
              </w:rPr>
            </w:pPr>
          </w:p>
        </w:tc>
        <w:tc>
          <w:tcPr>
            <w:tcW w:w="4590" w:type="dxa"/>
          </w:tcPr>
          <w:p w14:paraId="7C33281C" w14:textId="77777777" w:rsidR="00B61585" w:rsidRPr="00BA3E22" w:rsidRDefault="00016F29" w:rsidP="008919D7">
            <w:pPr>
              <w:tabs>
                <w:tab w:val="left" w:pos="567"/>
              </w:tabs>
              <w:suppressAutoHyphens/>
              <w:rPr>
                <w:b/>
                <w:noProof/>
                <w:lang w:val="it-IT"/>
              </w:rPr>
            </w:pPr>
            <w:r w:rsidRPr="00BA3E22">
              <w:rPr>
                <w:b/>
                <w:noProof/>
                <w:lang w:val="it-IT"/>
              </w:rPr>
              <w:t xml:space="preserve">Slovenská republika </w:t>
            </w:r>
          </w:p>
          <w:p w14:paraId="7C33281D" w14:textId="77777777" w:rsidR="00B61585" w:rsidRPr="00BA3E22" w:rsidRDefault="00016F29" w:rsidP="008919D7">
            <w:pPr>
              <w:tabs>
                <w:tab w:val="left" w:pos="567"/>
              </w:tabs>
              <w:rPr>
                <w:noProof/>
                <w:lang w:val="it-IT"/>
              </w:rPr>
            </w:pPr>
            <w:r w:rsidRPr="00BA3E22">
              <w:rPr>
                <w:noProof/>
                <w:lang w:val="it-IT"/>
              </w:rPr>
              <w:t>Roche Slovensko, s.r.o.</w:t>
            </w:r>
          </w:p>
          <w:p w14:paraId="7C33281E" w14:textId="77777777" w:rsidR="00B61585" w:rsidRPr="00461E33" w:rsidRDefault="00016F29" w:rsidP="008919D7">
            <w:pPr>
              <w:tabs>
                <w:tab w:val="left" w:pos="567"/>
              </w:tabs>
              <w:rPr>
                <w:noProof/>
                <w:lang w:val="en-GB"/>
              </w:rPr>
            </w:pPr>
            <w:r w:rsidRPr="00461E33">
              <w:rPr>
                <w:noProof/>
                <w:lang w:val="en-GB"/>
              </w:rPr>
              <w:t xml:space="preserve">Tel: +421 </w:t>
            </w:r>
            <w:r w:rsidR="000A6DDA" w:rsidRPr="00461E33">
              <w:rPr>
                <w:noProof/>
                <w:lang w:val="en-GB"/>
              </w:rPr>
              <w:noBreakHyphen/>
            </w:r>
            <w:r w:rsidRPr="00461E33">
              <w:rPr>
                <w:noProof/>
                <w:lang w:val="en-GB"/>
              </w:rPr>
              <w:t xml:space="preserve"> 2 52638201</w:t>
            </w:r>
          </w:p>
          <w:p w14:paraId="7C33281F" w14:textId="77777777" w:rsidR="00B61585" w:rsidRPr="00461E33" w:rsidRDefault="00B61585" w:rsidP="008919D7">
            <w:pPr>
              <w:tabs>
                <w:tab w:val="left" w:pos="567"/>
              </w:tabs>
              <w:suppressAutoHyphens/>
              <w:rPr>
                <w:b/>
                <w:noProof/>
                <w:lang w:val="en-GB"/>
              </w:rPr>
            </w:pPr>
          </w:p>
        </w:tc>
      </w:tr>
      <w:tr w:rsidR="003A788B" w:rsidRPr="00833E56" w14:paraId="7C332828" w14:textId="77777777" w:rsidTr="008919D7">
        <w:trPr>
          <w:cantSplit/>
        </w:trPr>
        <w:tc>
          <w:tcPr>
            <w:tcW w:w="4624" w:type="dxa"/>
          </w:tcPr>
          <w:p w14:paraId="7C332821" w14:textId="77777777" w:rsidR="00B61585" w:rsidRPr="00BA3E22" w:rsidRDefault="00016F29" w:rsidP="008919D7">
            <w:pPr>
              <w:tabs>
                <w:tab w:val="left" w:pos="567"/>
              </w:tabs>
              <w:rPr>
                <w:b/>
                <w:noProof/>
                <w:lang w:val="it-IT"/>
              </w:rPr>
            </w:pPr>
            <w:r w:rsidRPr="00BA3E22">
              <w:rPr>
                <w:b/>
                <w:noProof/>
                <w:lang w:val="it-IT"/>
              </w:rPr>
              <w:t>Italia</w:t>
            </w:r>
          </w:p>
          <w:p w14:paraId="7C332822" w14:textId="77777777" w:rsidR="00B61585" w:rsidRPr="00BA3E22" w:rsidRDefault="00016F29" w:rsidP="008919D7">
            <w:pPr>
              <w:tabs>
                <w:tab w:val="left" w:pos="567"/>
              </w:tabs>
              <w:rPr>
                <w:noProof/>
                <w:lang w:val="it-IT"/>
              </w:rPr>
            </w:pPr>
            <w:r w:rsidRPr="00BA3E22">
              <w:rPr>
                <w:noProof/>
                <w:lang w:val="it-IT"/>
              </w:rPr>
              <w:t>Roche S.p.A.</w:t>
            </w:r>
          </w:p>
          <w:p w14:paraId="7C332823" w14:textId="77777777" w:rsidR="00B61585" w:rsidRPr="00461E33" w:rsidRDefault="00016F29" w:rsidP="008919D7">
            <w:pPr>
              <w:tabs>
                <w:tab w:val="left" w:pos="567"/>
              </w:tabs>
              <w:rPr>
                <w:b/>
                <w:noProof/>
                <w:lang w:val="de-CH"/>
              </w:rPr>
            </w:pPr>
            <w:r w:rsidRPr="00461E33">
              <w:rPr>
                <w:noProof/>
                <w:lang w:val="de-CH"/>
              </w:rPr>
              <w:t xml:space="preserve">Tel: +39 </w:t>
            </w:r>
            <w:r w:rsidR="000A6DDA" w:rsidRPr="00461E33">
              <w:rPr>
                <w:noProof/>
                <w:lang w:val="de-CH"/>
              </w:rPr>
              <w:noBreakHyphen/>
            </w:r>
            <w:r w:rsidRPr="00461E33">
              <w:rPr>
                <w:noProof/>
                <w:lang w:val="de-CH"/>
              </w:rPr>
              <w:t xml:space="preserve"> 039 2471</w:t>
            </w:r>
          </w:p>
        </w:tc>
        <w:tc>
          <w:tcPr>
            <w:tcW w:w="4590" w:type="dxa"/>
          </w:tcPr>
          <w:p w14:paraId="7C332824" w14:textId="77777777" w:rsidR="00B61585" w:rsidRPr="00461E33" w:rsidRDefault="00016F29" w:rsidP="008919D7">
            <w:pPr>
              <w:tabs>
                <w:tab w:val="left" w:pos="567"/>
              </w:tabs>
              <w:suppressAutoHyphens/>
              <w:rPr>
                <w:b/>
                <w:noProof/>
                <w:lang w:val="de-DE"/>
              </w:rPr>
            </w:pPr>
            <w:r w:rsidRPr="00461E33">
              <w:rPr>
                <w:b/>
                <w:noProof/>
                <w:lang w:val="de-DE"/>
              </w:rPr>
              <w:t>Suomi/Finland</w:t>
            </w:r>
          </w:p>
          <w:p w14:paraId="7C332825" w14:textId="77777777" w:rsidR="00B61585" w:rsidRPr="00461E33" w:rsidRDefault="00016F29" w:rsidP="008919D7">
            <w:pPr>
              <w:tabs>
                <w:tab w:val="left" w:pos="567"/>
              </w:tabs>
              <w:rPr>
                <w:noProof/>
                <w:lang w:val="de-DE"/>
              </w:rPr>
            </w:pPr>
            <w:r w:rsidRPr="00461E33">
              <w:rPr>
                <w:noProof/>
                <w:lang w:val="de-DE"/>
              </w:rPr>
              <w:t xml:space="preserve">Roche Oy </w:t>
            </w:r>
          </w:p>
          <w:p w14:paraId="7C332826" w14:textId="77777777" w:rsidR="00B61585" w:rsidRPr="00461E33" w:rsidRDefault="00016F29" w:rsidP="008919D7">
            <w:pPr>
              <w:tabs>
                <w:tab w:val="left" w:pos="567"/>
              </w:tabs>
              <w:rPr>
                <w:noProof/>
                <w:lang w:val="de-DE"/>
              </w:rPr>
            </w:pPr>
            <w:r w:rsidRPr="00461E33">
              <w:rPr>
                <w:noProof/>
                <w:lang w:val="de-DE"/>
              </w:rPr>
              <w:t>Puh/Tel: +358 (0) 10 554 500</w:t>
            </w:r>
          </w:p>
          <w:p w14:paraId="7C332827" w14:textId="77777777" w:rsidR="00B61585" w:rsidRPr="00461E33" w:rsidRDefault="00B61585" w:rsidP="008919D7">
            <w:pPr>
              <w:tabs>
                <w:tab w:val="left" w:pos="567"/>
              </w:tabs>
              <w:suppressAutoHyphens/>
              <w:rPr>
                <w:b/>
                <w:noProof/>
                <w:lang w:val="de-DE"/>
              </w:rPr>
            </w:pPr>
          </w:p>
        </w:tc>
      </w:tr>
      <w:tr w:rsidR="003A788B" w14:paraId="7C332831" w14:textId="77777777" w:rsidTr="008919D7">
        <w:trPr>
          <w:cantSplit/>
        </w:trPr>
        <w:tc>
          <w:tcPr>
            <w:tcW w:w="4624" w:type="dxa"/>
          </w:tcPr>
          <w:p w14:paraId="7C332829" w14:textId="77777777" w:rsidR="00B61585" w:rsidRPr="00BB412D" w:rsidRDefault="00016F29" w:rsidP="008919D7">
            <w:pPr>
              <w:tabs>
                <w:tab w:val="left" w:pos="567"/>
              </w:tabs>
              <w:rPr>
                <w:b/>
                <w:noProof/>
                <w:lang w:val="de-DE"/>
              </w:rPr>
            </w:pPr>
            <w:r w:rsidRPr="00BB412D">
              <w:rPr>
                <w:b/>
                <w:noProof/>
                <w:lang w:val="de-DE"/>
              </w:rPr>
              <w:t>K</w:t>
            </w:r>
            <w:r w:rsidRPr="00461E33">
              <w:rPr>
                <w:b/>
                <w:noProof/>
                <w:lang w:val="en-GB"/>
              </w:rPr>
              <w:t>ύπρος</w:t>
            </w:r>
            <w:r w:rsidRPr="00BB412D">
              <w:rPr>
                <w:b/>
                <w:noProof/>
                <w:lang w:val="de-DE"/>
              </w:rPr>
              <w:t xml:space="preserve"> </w:t>
            </w:r>
          </w:p>
          <w:p w14:paraId="7C33282A" w14:textId="77777777" w:rsidR="00B61585" w:rsidRPr="00BB412D" w:rsidRDefault="00016F29" w:rsidP="008919D7">
            <w:pPr>
              <w:tabs>
                <w:tab w:val="left" w:pos="567"/>
              </w:tabs>
              <w:rPr>
                <w:noProof/>
                <w:lang w:val="de-DE"/>
              </w:rPr>
            </w:pPr>
            <w:r w:rsidRPr="00461E33">
              <w:rPr>
                <w:noProof/>
                <w:lang w:val="en-GB"/>
              </w:rPr>
              <w:t>Γ</w:t>
            </w:r>
            <w:r w:rsidRPr="00BB412D">
              <w:rPr>
                <w:noProof/>
                <w:lang w:val="de-DE"/>
              </w:rPr>
              <w:t>.</w:t>
            </w:r>
            <w:r w:rsidRPr="00461E33">
              <w:rPr>
                <w:noProof/>
                <w:lang w:val="en-GB"/>
              </w:rPr>
              <w:t>Α</w:t>
            </w:r>
            <w:r w:rsidRPr="00BB412D">
              <w:rPr>
                <w:noProof/>
                <w:lang w:val="de-DE"/>
              </w:rPr>
              <w:t>.</w:t>
            </w:r>
            <w:r w:rsidRPr="00461E33">
              <w:rPr>
                <w:noProof/>
                <w:lang w:val="en-GB"/>
              </w:rPr>
              <w:t>Σταμάτης</w:t>
            </w:r>
            <w:r w:rsidRPr="00BB412D">
              <w:rPr>
                <w:noProof/>
                <w:lang w:val="de-DE"/>
              </w:rPr>
              <w:t xml:space="preserve"> &amp; </w:t>
            </w:r>
            <w:r w:rsidRPr="00461E33">
              <w:rPr>
                <w:noProof/>
                <w:lang w:val="en-GB"/>
              </w:rPr>
              <w:t>Σια</w:t>
            </w:r>
            <w:r w:rsidRPr="00BB412D">
              <w:rPr>
                <w:noProof/>
                <w:lang w:val="de-DE"/>
              </w:rPr>
              <w:t xml:space="preserve"> </w:t>
            </w:r>
            <w:r w:rsidRPr="00461E33">
              <w:rPr>
                <w:noProof/>
                <w:lang w:val="en-GB"/>
              </w:rPr>
              <w:t>Λτδ</w:t>
            </w:r>
            <w:r w:rsidRPr="00BB412D">
              <w:rPr>
                <w:noProof/>
                <w:lang w:val="de-DE"/>
              </w:rPr>
              <w:t>.</w:t>
            </w:r>
          </w:p>
          <w:p w14:paraId="7C33282B" w14:textId="77777777" w:rsidR="00B61585" w:rsidRPr="00461E33" w:rsidRDefault="00016F29" w:rsidP="008919D7">
            <w:pPr>
              <w:tabs>
                <w:tab w:val="left" w:pos="567"/>
              </w:tabs>
              <w:rPr>
                <w:noProof/>
                <w:lang w:val="en-GB"/>
              </w:rPr>
            </w:pPr>
            <w:r w:rsidRPr="00461E33">
              <w:rPr>
                <w:noProof/>
                <w:lang w:val="en-GB"/>
              </w:rPr>
              <w:t xml:space="preserve">Τηλ: +357 </w:t>
            </w:r>
            <w:r w:rsidR="000A6DDA" w:rsidRPr="00461E33">
              <w:rPr>
                <w:noProof/>
                <w:lang w:val="en-GB"/>
              </w:rPr>
              <w:noBreakHyphen/>
            </w:r>
            <w:r w:rsidRPr="00461E33">
              <w:rPr>
                <w:noProof/>
                <w:lang w:val="en-GB"/>
              </w:rPr>
              <w:t xml:space="preserve"> 22 76 62 76</w:t>
            </w:r>
          </w:p>
          <w:p w14:paraId="7C33282C" w14:textId="77777777" w:rsidR="00B61585" w:rsidRPr="00461E33" w:rsidRDefault="00B61585" w:rsidP="008919D7">
            <w:pPr>
              <w:tabs>
                <w:tab w:val="left" w:pos="567"/>
              </w:tabs>
              <w:rPr>
                <w:b/>
                <w:noProof/>
                <w:lang w:val="en-GB"/>
              </w:rPr>
            </w:pPr>
          </w:p>
        </w:tc>
        <w:tc>
          <w:tcPr>
            <w:tcW w:w="4590" w:type="dxa"/>
          </w:tcPr>
          <w:p w14:paraId="7C33282D" w14:textId="77777777" w:rsidR="00B61585" w:rsidRPr="00461E33" w:rsidRDefault="00016F29" w:rsidP="008919D7">
            <w:pPr>
              <w:tabs>
                <w:tab w:val="left" w:pos="567"/>
              </w:tabs>
              <w:suppressAutoHyphens/>
              <w:rPr>
                <w:b/>
                <w:noProof/>
                <w:lang w:val="en-GB"/>
              </w:rPr>
            </w:pPr>
            <w:r w:rsidRPr="00461E33">
              <w:rPr>
                <w:b/>
                <w:noProof/>
                <w:lang w:val="en-GB"/>
              </w:rPr>
              <w:t>Sverige</w:t>
            </w:r>
          </w:p>
          <w:p w14:paraId="7C33282E" w14:textId="77777777" w:rsidR="00B61585" w:rsidRPr="00461E33" w:rsidRDefault="00016F29" w:rsidP="008919D7">
            <w:pPr>
              <w:tabs>
                <w:tab w:val="left" w:pos="567"/>
              </w:tabs>
              <w:rPr>
                <w:noProof/>
                <w:lang w:val="en-GB"/>
              </w:rPr>
            </w:pPr>
            <w:smartTag w:uri="urn:schemas-microsoft-com:office:smarttags" w:element="place">
              <w:smartTag w:uri="urn:schemas-microsoft-com:office:smarttags" w:element="City">
                <w:r w:rsidRPr="00461E33">
                  <w:rPr>
                    <w:noProof/>
                    <w:lang w:val="en-GB"/>
                  </w:rPr>
                  <w:t>Roche</w:t>
                </w:r>
              </w:smartTag>
              <w:r w:rsidRPr="00461E33">
                <w:rPr>
                  <w:noProof/>
                  <w:lang w:val="en-GB"/>
                </w:rPr>
                <w:t xml:space="preserve"> </w:t>
              </w:r>
              <w:smartTag w:uri="urn:schemas-microsoft-com:office:smarttags" w:element="State">
                <w:r w:rsidRPr="00461E33">
                  <w:rPr>
                    <w:noProof/>
                    <w:lang w:val="en-GB"/>
                  </w:rPr>
                  <w:t>AB</w:t>
                </w:r>
              </w:smartTag>
            </w:smartTag>
          </w:p>
          <w:p w14:paraId="7C33282F" w14:textId="77777777" w:rsidR="00B61585" w:rsidRPr="00461E33" w:rsidRDefault="00016F29" w:rsidP="008919D7">
            <w:pPr>
              <w:tabs>
                <w:tab w:val="left" w:pos="567"/>
              </w:tabs>
              <w:rPr>
                <w:noProof/>
                <w:lang w:val="en-GB"/>
              </w:rPr>
            </w:pPr>
            <w:r w:rsidRPr="00461E33">
              <w:rPr>
                <w:noProof/>
                <w:lang w:val="en-GB"/>
              </w:rPr>
              <w:t>Tel: +46 (0) 8 726 1200</w:t>
            </w:r>
          </w:p>
          <w:p w14:paraId="7C332830" w14:textId="77777777" w:rsidR="00B61585" w:rsidRPr="00461E33" w:rsidRDefault="00B61585" w:rsidP="008919D7">
            <w:pPr>
              <w:tabs>
                <w:tab w:val="left" w:pos="567"/>
              </w:tabs>
              <w:suppressAutoHyphens/>
              <w:rPr>
                <w:b/>
                <w:noProof/>
                <w:lang w:val="en-GB"/>
              </w:rPr>
            </w:pPr>
          </w:p>
        </w:tc>
      </w:tr>
      <w:tr w:rsidR="003A788B" w14:paraId="7C33283A" w14:textId="77777777" w:rsidTr="008919D7">
        <w:trPr>
          <w:cantSplit/>
        </w:trPr>
        <w:tc>
          <w:tcPr>
            <w:tcW w:w="4624" w:type="dxa"/>
          </w:tcPr>
          <w:p w14:paraId="7C332832" w14:textId="77777777" w:rsidR="00B61585" w:rsidRPr="00BA3E22" w:rsidRDefault="00016F29" w:rsidP="008919D7">
            <w:pPr>
              <w:tabs>
                <w:tab w:val="left" w:pos="567"/>
              </w:tabs>
              <w:rPr>
                <w:b/>
                <w:noProof/>
                <w:lang w:val="it-IT"/>
              </w:rPr>
            </w:pPr>
            <w:r w:rsidRPr="00BA3E22">
              <w:rPr>
                <w:b/>
                <w:noProof/>
                <w:lang w:val="it-IT"/>
              </w:rPr>
              <w:t>Latvija</w:t>
            </w:r>
          </w:p>
          <w:p w14:paraId="7C332833" w14:textId="77777777" w:rsidR="00B61585" w:rsidRPr="00BA3E22" w:rsidRDefault="00016F29" w:rsidP="008919D7">
            <w:pPr>
              <w:tabs>
                <w:tab w:val="left" w:pos="567"/>
              </w:tabs>
              <w:rPr>
                <w:noProof/>
                <w:lang w:val="it-IT"/>
              </w:rPr>
            </w:pPr>
            <w:r w:rsidRPr="00BA3E22">
              <w:rPr>
                <w:noProof/>
                <w:lang w:val="it-IT"/>
              </w:rPr>
              <w:t>Roche Latvija SIA</w:t>
            </w:r>
          </w:p>
          <w:p w14:paraId="7C332834" w14:textId="77777777" w:rsidR="00B61585" w:rsidRPr="00BA3E22" w:rsidRDefault="00016F29" w:rsidP="008919D7">
            <w:pPr>
              <w:tabs>
                <w:tab w:val="left" w:pos="567"/>
              </w:tabs>
              <w:rPr>
                <w:noProof/>
                <w:lang w:val="it-IT"/>
              </w:rPr>
            </w:pPr>
            <w:r w:rsidRPr="00BA3E22">
              <w:rPr>
                <w:noProof/>
                <w:lang w:val="it-IT"/>
              </w:rPr>
              <w:t xml:space="preserve">Tel: +371 </w:t>
            </w:r>
            <w:r w:rsidRPr="00BA3E22">
              <w:rPr>
                <w:noProof/>
                <w:lang w:val="it-IT"/>
              </w:rPr>
              <w:noBreakHyphen/>
              <w:t xml:space="preserve"> 6 7039831</w:t>
            </w:r>
          </w:p>
          <w:p w14:paraId="7C332835" w14:textId="77777777" w:rsidR="00B61585" w:rsidRPr="00BA3E22" w:rsidRDefault="00B61585" w:rsidP="008919D7">
            <w:pPr>
              <w:tabs>
                <w:tab w:val="left" w:pos="567"/>
              </w:tabs>
              <w:rPr>
                <w:b/>
                <w:noProof/>
                <w:lang w:val="it-IT"/>
              </w:rPr>
            </w:pPr>
          </w:p>
        </w:tc>
        <w:tc>
          <w:tcPr>
            <w:tcW w:w="4590" w:type="dxa"/>
          </w:tcPr>
          <w:p w14:paraId="7C332836" w14:textId="77777777" w:rsidR="00B61585" w:rsidRPr="00461E33" w:rsidRDefault="00016F29" w:rsidP="008919D7">
            <w:pPr>
              <w:tabs>
                <w:tab w:val="left" w:pos="567"/>
              </w:tabs>
              <w:suppressAutoHyphens/>
              <w:rPr>
                <w:b/>
                <w:noProof/>
                <w:lang w:val="en-GB"/>
              </w:rPr>
            </w:pPr>
            <w:smartTag w:uri="urn:schemas-microsoft-com:office:smarttags" w:element="place">
              <w:smartTag w:uri="urn:schemas-microsoft-com:office:smarttags" w:element="country-region">
                <w:r w:rsidRPr="00461E33">
                  <w:rPr>
                    <w:b/>
                    <w:noProof/>
                    <w:lang w:val="en-GB"/>
                  </w:rPr>
                  <w:t>United Kingdom</w:t>
                </w:r>
              </w:smartTag>
            </w:smartTag>
          </w:p>
          <w:p w14:paraId="7C332837" w14:textId="77777777" w:rsidR="00B61585" w:rsidRPr="00461E33" w:rsidRDefault="00016F29" w:rsidP="008919D7">
            <w:pPr>
              <w:tabs>
                <w:tab w:val="left" w:pos="567"/>
              </w:tabs>
              <w:rPr>
                <w:noProof/>
                <w:lang w:val="en-GB"/>
              </w:rPr>
            </w:pPr>
            <w:r w:rsidRPr="00461E33">
              <w:rPr>
                <w:noProof/>
                <w:lang w:val="en-GB"/>
              </w:rPr>
              <w:t>Roche Products Ltd.</w:t>
            </w:r>
          </w:p>
          <w:p w14:paraId="7C332838" w14:textId="77777777" w:rsidR="00B61585" w:rsidRPr="00461E33" w:rsidRDefault="00016F29" w:rsidP="008919D7">
            <w:pPr>
              <w:tabs>
                <w:tab w:val="left" w:pos="567"/>
              </w:tabs>
              <w:rPr>
                <w:noProof/>
                <w:lang w:val="en-GB"/>
              </w:rPr>
            </w:pPr>
            <w:r w:rsidRPr="00461E33">
              <w:rPr>
                <w:noProof/>
                <w:lang w:val="en-GB"/>
              </w:rPr>
              <w:t>Tel: +44 (0) 1707 366000</w:t>
            </w:r>
          </w:p>
          <w:p w14:paraId="7C332839" w14:textId="77777777" w:rsidR="00B61585" w:rsidRPr="00461E33" w:rsidRDefault="00B61585" w:rsidP="008919D7">
            <w:pPr>
              <w:tabs>
                <w:tab w:val="left" w:pos="567"/>
              </w:tabs>
              <w:suppressAutoHyphens/>
              <w:rPr>
                <w:b/>
                <w:noProof/>
                <w:lang w:val="en-GB"/>
              </w:rPr>
            </w:pPr>
          </w:p>
        </w:tc>
      </w:tr>
    </w:tbl>
    <w:p w14:paraId="7C33283B" w14:textId="77777777" w:rsidR="00B61585" w:rsidRPr="00F332AF" w:rsidRDefault="00B61585" w:rsidP="00B61585">
      <w:pPr>
        <w:tabs>
          <w:tab w:val="left" w:pos="567"/>
        </w:tabs>
        <w:rPr>
          <w:b/>
          <w:lang w:val="en-GB"/>
        </w:rPr>
      </w:pPr>
    </w:p>
    <w:p w14:paraId="7C33283C" w14:textId="77777777" w:rsidR="00B61585" w:rsidRPr="00C50A4F" w:rsidRDefault="00016F29" w:rsidP="00B61585">
      <w:pPr>
        <w:keepNext/>
        <w:keepLines/>
        <w:outlineLvl w:val="0"/>
        <w:rPr>
          <w:b/>
          <w:szCs w:val="22"/>
          <w:lang w:val="en-GB"/>
        </w:rPr>
      </w:pPr>
      <w:r w:rsidRPr="00C50A4F">
        <w:rPr>
          <w:b/>
          <w:szCs w:val="22"/>
          <w:lang w:val="en-GB"/>
        </w:rPr>
        <w:t>This leaflet was last revised in</w:t>
      </w:r>
    </w:p>
    <w:p w14:paraId="7C33283D" w14:textId="77777777" w:rsidR="00B61585" w:rsidRPr="00C50A4F" w:rsidRDefault="00B61585" w:rsidP="00BA3E22">
      <w:pPr>
        <w:rPr>
          <w:lang w:val="en-GB"/>
        </w:rPr>
      </w:pPr>
    </w:p>
    <w:p w14:paraId="7C33283E" w14:textId="77777777" w:rsidR="00B61585" w:rsidRPr="00C50A4F" w:rsidRDefault="00016F29" w:rsidP="00B61585">
      <w:pPr>
        <w:keepNext/>
        <w:keepLines/>
        <w:numPr>
          <w:ilvl w:val="12"/>
          <w:numId w:val="0"/>
        </w:numPr>
        <w:ind w:right="-2"/>
        <w:rPr>
          <w:b/>
          <w:noProof/>
          <w:lang w:val="en-GB"/>
        </w:rPr>
      </w:pPr>
      <w:r w:rsidRPr="00C50A4F">
        <w:rPr>
          <w:b/>
          <w:noProof/>
          <w:lang w:val="en-GB"/>
        </w:rPr>
        <w:t>Other sources of information</w:t>
      </w:r>
    </w:p>
    <w:p w14:paraId="7C33283F" w14:textId="77777777" w:rsidR="00B61585" w:rsidRPr="00C50A4F" w:rsidRDefault="00B61585" w:rsidP="00B61585">
      <w:pPr>
        <w:keepNext/>
        <w:keepLines/>
        <w:numPr>
          <w:ilvl w:val="12"/>
          <w:numId w:val="0"/>
        </w:numPr>
        <w:ind w:right="-2"/>
        <w:rPr>
          <w:iCs/>
          <w:noProof/>
          <w:szCs w:val="22"/>
          <w:lang w:val="en-GB"/>
        </w:rPr>
      </w:pPr>
    </w:p>
    <w:p w14:paraId="7C332840" w14:textId="77777777" w:rsidR="00B61585" w:rsidRPr="00C50A4F" w:rsidRDefault="00016F29" w:rsidP="00B61585">
      <w:pPr>
        <w:keepNext/>
        <w:keepLines/>
        <w:numPr>
          <w:ilvl w:val="12"/>
          <w:numId w:val="0"/>
        </w:numPr>
        <w:ind w:right="-2"/>
        <w:rPr>
          <w:noProof/>
          <w:szCs w:val="22"/>
          <w:lang w:val="en-GB"/>
        </w:rPr>
      </w:pPr>
      <w:r w:rsidRPr="00C50A4F">
        <w:rPr>
          <w:iCs/>
          <w:noProof/>
          <w:szCs w:val="22"/>
          <w:lang w:val="en-GB"/>
        </w:rPr>
        <w:t xml:space="preserve">Detailed information on this medicine is available on the European Medicines Agency web site: </w:t>
      </w:r>
      <w:hyperlink r:id="rId23" w:history="1">
        <w:r w:rsidRPr="00C50A4F">
          <w:rPr>
            <w:rStyle w:val="Hyperlink"/>
            <w:szCs w:val="22"/>
            <w:lang w:val="en-GB"/>
          </w:rPr>
          <w:t>http://www.ema.europa.eu</w:t>
        </w:r>
      </w:hyperlink>
      <w:r w:rsidRPr="00C50A4F">
        <w:rPr>
          <w:noProof/>
          <w:color w:val="0000FF"/>
          <w:szCs w:val="22"/>
          <w:lang w:val="en-GB"/>
        </w:rPr>
        <w:t>.</w:t>
      </w:r>
      <w:r w:rsidRPr="00C50A4F">
        <w:rPr>
          <w:iCs/>
          <w:noProof/>
          <w:szCs w:val="22"/>
          <w:lang w:val="en-GB"/>
        </w:rPr>
        <w:t xml:space="preserve"> </w:t>
      </w:r>
    </w:p>
    <w:p w14:paraId="7C332841" w14:textId="77777777" w:rsidR="00B61585" w:rsidRPr="00C50A4F" w:rsidRDefault="00B61585" w:rsidP="00B61585">
      <w:pPr>
        <w:keepNext/>
        <w:keepLines/>
        <w:numPr>
          <w:ilvl w:val="12"/>
          <w:numId w:val="0"/>
        </w:numPr>
        <w:ind w:right="-2"/>
        <w:rPr>
          <w:noProof/>
          <w:szCs w:val="22"/>
          <w:lang w:val="en-GB"/>
        </w:rPr>
      </w:pPr>
    </w:p>
    <w:p w14:paraId="7C332842" w14:textId="77777777" w:rsidR="00B61585" w:rsidRPr="00C50A4F" w:rsidRDefault="00016F29" w:rsidP="00B61585">
      <w:pPr>
        <w:keepNext/>
        <w:keepLines/>
        <w:rPr>
          <w:noProof/>
          <w:lang w:val="en-GB"/>
        </w:rPr>
      </w:pPr>
      <w:r w:rsidRPr="00C50A4F">
        <w:rPr>
          <w:noProof/>
          <w:lang w:val="en-GB"/>
        </w:rPr>
        <w:t>This leaflet is available in all EU/EEA languages on the European Medicines Agency website.</w:t>
      </w:r>
    </w:p>
    <w:p w14:paraId="7C332843" w14:textId="77777777" w:rsidR="00B61585" w:rsidRPr="00C50A4F" w:rsidRDefault="00B61585" w:rsidP="00BA3E22">
      <w:pPr>
        <w:rPr>
          <w:lang w:val="en-GB"/>
        </w:rPr>
      </w:pPr>
    </w:p>
    <w:p w14:paraId="7C332844" w14:textId="77777777" w:rsidR="00B61585" w:rsidRPr="003C313A" w:rsidRDefault="00016F29" w:rsidP="006B49B7">
      <w:pPr>
        <w:jc w:val="center"/>
        <w:outlineLvl w:val="0"/>
        <w:rPr>
          <w:b/>
          <w:szCs w:val="22"/>
          <w:lang w:val="en-GB"/>
        </w:rPr>
      </w:pPr>
      <w:r w:rsidRPr="00C50A4F">
        <w:rPr>
          <w:lang w:val="en-GB"/>
        </w:rPr>
        <w:br w:type="page"/>
      </w:r>
      <w:r w:rsidR="006B49B7" w:rsidRPr="00C50A4F">
        <w:rPr>
          <w:b/>
          <w:szCs w:val="22"/>
          <w:lang w:val="en-GB"/>
        </w:rPr>
        <w:t xml:space="preserve"> </w:t>
      </w:r>
      <w:r w:rsidRPr="003C313A">
        <w:rPr>
          <w:b/>
          <w:szCs w:val="22"/>
          <w:lang w:val="en-GB"/>
        </w:rPr>
        <w:t xml:space="preserve">Package leaflet: Information for the patient </w:t>
      </w:r>
    </w:p>
    <w:p w14:paraId="7C332845" w14:textId="77777777" w:rsidR="00B61585" w:rsidRPr="003C313A" w:rsidRDefault="00B61585" w:rsidP="00B61585">
      <w:pPr>
        <w:jc w:val="center"/>
        <w:rPr>
          <w:b/>
          <w:szCs w:val="22"/>
          <w:lang w:val="en-GB"/>
        </w:rPr>
      </w:pPr>
    </w:p>
    <w:p w14:paraId="7C332846" w14:textId="77777777" w:rsidR="00B61585" w:rsidRPr="003C313A" w:rsidRDefault="00016F29" w:rsidP="00B61585">
      <w:pPr>
        <w:jc w:val="center"/>
        <w:outlineLvl w:val="0"/>
        <w:rPr>
          <w:b/>
          <w:szCs w:val="22"/>
          <w:lang w:val="en-GB"/>
        </w:rPr>
      </w:pPr>
      <w:r w:rsidRPr="003C313A">
        <w:rPr>
          <w:b/>
          <w:szCs w:val="22"/>
          <w:lang w:val="en-GB"/>
        </w:rPr>
        <w:t xml:space="preserve">MabThera 1400 mg solution for subcutaneous injection </w:t>
      </w:r>
    </w:p>
    <w:p w14:paraId="7C332847" w14:textId="77777777" w:rsidR="00B61585" w:rsidRPr="003C313A" w:rsidRDefault="00016F29" w:rsidP="00B61585">
      <w:pPr>
        <w:jc w:val="center"/>
        <w:rPr>
          <w:szCs w:val="22"/>
          <w:lang w:val="en-GB"/>
        </w:rPr>
      </w:pPr>
      <w:r w:rsidRPr="003C313A">
        <w:rPr>
          <w:szCs w:val="22"/>
          <w:lang w:val="en-GB"/>
        </w:rPr>
        <w:t xml:space="preserve">rituximab </w:t>
      </w:r>
    </w:p>
    <w:p w14:paraId="7C332848" w14:textId="77777777" w:rsidR="00B61585" w:rsidRPr="003C313A" w:rsidRDefault="00B61585" w:rsidP="00B61585">
      <w:pPr>
        <w:rPr>
          <w:bCs/>
          <w:caps/>
          <w:szCs w:val="22"/>
          <w:lang w:val="en-GB"/>
        </w:rPr>
      </w:pPr>
    </w:p>
    <w:p w14:paraId="7C332849" w14:textId="77777777" w:rsidR="00B61585" w:rsidRPr="003C313A" w:rsidRDefault="00016F29" w:rsidP="00B61585">
      <w:pPr>
        <w:outlineLvl w:val="0"/>
        <w:rPr>
          <w:b/>
          <w:szCs w:val="22"/>
          <w:lang w:val="en-GB"/>
        </w:rPr>
      </w:pPr>
      <w:r w:rsidRPr="003C313A">
        <w:rPr>
          <w:b/>
          <w:szCs w:val="22"/>
          <w:lang w:val="en-GB"/>
        </w:rPr>
        <w:t>Read all of this leaflet carefully before you are given this medicine because it contains important information for you.</w:t>
      </w:r>
    </w:p>
    <w:p w14:paraId="7C33284A" w14:textId="77777777" w:rsidR="00B61585" w:rsidRPr="00137FEB" w:rsidRDefault="00016F29" w:rsidP="00B61585">
      <w:pPr>
        <w:tabs>
          <w:tab w:val="left" w:pos="567"/>
        </w:tabs>
        <w:ind w:left="567" w:hanging="567"/>
        <w:rPr>
          <w:szCs w:val="22"/>
          <w:lang w:val="en-GB"/>
        </w:rPr>
      </w:pPr>
      <w:r w:rsidRPr="005214E1">
        <w:rPr>
          <w:rFonts w:ascii="Symbol" w:hAnsi="Symbol"/>
          <w:lang w:val="en-GB"/>
        </w:rPr>
        <w:sym w:font="Symbol" w:char="F0B7"/>
      </w:r>
      <w:r w:rsidRPr="003C313A">
        <w:rPr>
          <w:szCs w:val="22"/>
          <w:lang w:val="en-GB"/>
        </w:rPr>
        <w:tab/>
      </w:r>
      <w:r w:rsidRPr="00137FEB">
        <w:rPr>
          <w:szCs w:val="22"/>
          <w:lang w:val="en-GB"/>
        </w:rPr>
        <w:t>Keep this leaflet. You may need to read it again.</w:t>
      </w:r>
    </w:p>
    <w:p w14:paraId="7C33284B" w14:textId="77777777" w:rsidR="00B61585" w:rsidRPr="00137FEB" w:rsidRDefault="00016F29" w:rsidP="00B61585">
      <w:pPr>
        <w:tabs>
          <w:tab w:val="left" w:pos="567"/>
        </w:tabs>
        <w:ind w:left="567" w:hanging="567"/>
        <w:rPr>
          <w:szCs w:val="22"/>
          <w:lang w:val="en-GB"/>
        </w:rPr>
      </w:pPr>
      <w:r w:rsidRPr="005214E1">
        <w:rPr>
          <w:rFonts w:ascii="Symbol" w:hAnsi="Symbol"/>
          <w:lang w:val="en-GB"/>
        </w:rPr>
        <w:sym w:font="Symbol" w:char="F0B7"/>
      </w:r>
      <w:r w:rsidRPr="003C313A">
        <w:rPr>
          <w:szCs w:val="22"/>
          <w:lang w:val="en-GB"/>
        </w:rPr>
        <w:tab/>
      </w:r>
      <w:r w:rsidRPr="00137FEB">
        <w:rPr>
          <w:szCs w:val="22"/>
          <w:lang w:val="en-GB"/>
        </w:rPr>
        <w:t>If you have any further questions, ask your doctor, pharmacist or nurse.</w:t>
      </w:r>
    </w:p>
    <w:p w14:paraId="7C33284C" w14:textId="77777777" w:rsidR="00B61585" w:rsidRPr="000400ED" w:rsidRDefault="00016F29" w:rsidP="00B61585">
      <w:pPr>
        <w:tabs>
          <w:tab w:val="left" w:pos="567"/>
        </w:tabs>
        <w:ind w:left="567" w:hanging="567"/>
        <w:rPr>
          <w:szCs w:val="22"/>
          <w:lang w:val="en-GB"/>
        </w:rPr>
      </w:pPr>
      <w:r w:rsidRPr="005214E1">
        <w:rPr>
          <w:rFonts w:ascii="Symbol" w:hAnsi="Symbol"/>
          <w:lang w:val="en-GB"/>
        </w:rPr>
        <w:sym w:font="Symbol" w:char="F0B7"/>
      </w:r>
      <w:r w:rsidRPr="003C313A">
        <w:rPr>
          <w:szCs w:val="22"/>
          <w:lang w:val="en-GB"/>
        </w:rPr>
        <w:tab/>
      </w:r>
      <w:r w:rsidRPr="00137FEB">
        <w:rPr>
          <w:szCs w:val="22"/>
          <w:lang w:val="en-GB"/>
        </w:rPr>
        <w:t xml:space="preserve">If you get any side effects, talk to your doctor, pharmacist or nurse. This includes any possible side effects not listed in this leaflet. </w:t>
      </w:r>
      <w:r w:rsidRPr="00D239C4">
        <w:rPr>
          <w:szCs w:val="22"/>
          <w:lang w:val="en-GB"/>
        </w:rPr>
        <w:t>See section 4.</w:t>
      </w:r>
    </w:p>
    <w:p w14:paraId="7C33284D" w14:textId="77777777" w:rsidR="00B61585" w:rsidRPr="00D3771E" w:rsidRDefault="00B61585" w:rsidP="00B61585">
      <w:pPr>
        <w:ind w:right="-2"/>
        <w:rPr>
          <w:lang w:val="en-GB" w:eastAsia="en-US"/>
        </w:rPr>
      </w:pPr>
    </w:p>
    <w:p w14:paraId="7C33284E" w14:textId="77777777" w:rsidR="00B61585" w:rsidRPr="00D50019" w:rsidRDefault="00016F29" w:rsidP="00B61585">
      <w:pPr>
        <w:tabs>
          <w:tab w:val="left" w:pos="567"/>
        </w:tabs>
        <w:outlineLvl w:val="0"/>
        <w:rPr>
          <w:szCs w:val="22"/>
          <w:lang w:val="en-GB" w:eastAsia="en-US"/>
        </w:rPr>
      </w:pPr>
      <w:r w:rsidRPr="009F47AE">
        <w:rPr>
          <w:b/>
          <w:szCs w:val="22"/>
          <w:lang w:val="en-GB" w:eastAsia="en-US"/>
        </w:rPr>
        <w:t>What is in this leaflet:</w:t>
      </w:r>
    </w:p>
    <w:p w14:paraId="7C33284F" w14:textId="77777777" w:rsidR="00B61585" w:rsidRPr="009A4E5A" w:rsidRDefault="00016F29" w:rsidP="00B61585">
      <w:pPr>
        <w:tabs>
          <w:tab w:val="left" w:pos="567"/>
        </w:tabs>
        <w:ind w:left="567" w:hanging="567"/>
        <w:rPr>
          <w:szCs w:val="22"/>
          <w:lang w:val="en-GB" w:eastAsia="en-US"/>
        </w:rPr>
      </w:pPr>
      <w:r w:rsidRPr="009A4E5A">
        <w:rPr>
          <w:szCs w:val="22"/>
          <w:lang w:val="en-GB" w:eastAsia="en-US"/>
        </w:rPr>
        <w:t>1.</w:t>
      </w:r>
      <w:r w:rsidRPr="009A4E5A">
        <w:rPr>
          <w:szCs w:val="22"/>
          <w:lang w:val="en-GB" w:eastAsia="en-US"/>
        </w:rPr>
        <w:tab/>
        <w:t>What MabThera is and what it is used for</w:t>
      </w:r>
    </w:p>
    <w:p w14:paraId="7C332850" w14:textId="77777777" w:rsidR="00B61585" w:rsidRPr="009A4E5A" w:rsidRDefault="00016F29" w:rsidP="00B61585">
      <w:pPr>
        <w:tabs>
          <w:tab w:val="left" w:pos="567"/>
        </w:tabs>
        <w:ind w:left="567" w:hanging="567"/>
        <w:rPr>
          <w:szCs w:val="22"/>
          <w:lang w:val="en-GB" w:eastAsia="en-US"/>
        </w:rPr>
      </w:pPr>
      <w:r w:rsidRPr="009A4E5A">
        <w:rPr>
          <w:szCs w:val="22"/>
          <w:lang w:val="en-GB" w:eastAsia="en-US"/>
        </w:rPr>
        <w:t>2.</w:t>
      </w:r>
      <w:r w:rsidRPr="009A4E5A">
        <w:rPr>
          <w:szCs w:val="22"/>
          <w:lang w:val="en-GB" w:eastAsia="en-US"/>
        </w:rPr>
        <w:tab/>
        <w:t xml:space="preserve">What you need to know before you are given MabThera </w:t>
      </w:r>
    </w:p>
    <w:p w14:paraId="7C332851" w14:textId="77777777" w:rsidR="00B61585" w:rsidRPr="00ED3BF4" w:rsidRDefault="00016F29" w:rsidP="00B61585">
      <w:pPr>
        <w:tabs>
          <w:tab w:val="left" w:pos="567"/>
        </w:tabs>
        <w:ind w:left="567" w:hanging="567"/>
        <w:rPr>
          <w:szCs w:val="22"/>
          <w:lang w:val="en-GB" w:eastAsia="en-US"/>
        </w:rPr>
      </w:pPr>
      <w:r w:rsidRPr="00ED3BF4">
        <w:rPr>
          <w:szCs w:val="22"/>
          <w:lang w:val="en-GB" w:eastAsia="en-US"/>
        </w:rPr>
        <w:t>3.</w:t>
      </w:r>
      <w:r w:rsidRPr="00ED3BF4">
        <w:rPr>
          <w:szCs w:val="22"/>
          <w:lang w:val="en-GB" w:eastAsia="en-US"/>
        </w:rPr>
        <w:tab/>
        <w:t>How MabThera is given</w:t>
      </w:r>
    </w:p>
    <w:p w14:paraId="7C332852" w14:textId="77777777" w:rsidR="00B61585" w:rsidRPr="00FC61B8" w:rsidRDefault="00016F29" w:rsidP="00B61585">
      <w:pPr>
        <w:tabs>
          <w:tab w:val="left" w:pos="567"/>
        </w:tabs>
        <w:ind w:left="567" w:hanging="567"/>
        <w:rPr>
          <w:szCs w:val="22"/>
          <w:lang w:val="en-GB" w:eastAsia="en-US"/>
        </w:rPr>
      </w:pPr>
      <w:r w:rsidRPr="00FC61B8">
        <w:rPr>
          <w:szCs w:val="22"/>
          <w:lang w:val="en-GB" w:eastAsia="en-US"/>
        </w:rPr>
        <w:t>4.</w:t>
      </w:r>
      <w:r w:rsidRPr="00FC61B8">
        <w:rPr>
          <w:szCs w:val="22"/>
          <w:lang w:val="en-GB" w:eastAsia="en-US"/>
        </w:rPr>
        <w:tab/>
        <w:t>Possible side effects</w:t>
      </w:r>
    </w:p>
    <w:p w14:paraId="7C332853" w14:textId="77777777" w:rsidR="00B61585" w:rsidRPr="00CD7883" w:rsidRDefault="00016F29" w:rsidP="00B61585">
      <w:pPr>
        <w:tabs>
          <w:tab w:val="left" w:pos="567"/>
        </w:tabs>
        <w:ind w:left="567" w:hanging="567"/>
        <w:rPr>
          <w:szCs w:val="22"/>
          <w:lang w:val="en-GB" w:eastAsia="en-US"/>
        </w:rPr>
      </w:pPr>
      <w:r w:rsidRPr="00FC61B8">
        <w:rPr>
          <w:szCs w:val="22"/>
          <w:lang w:val="en-GB" w:eastAsia="en-US"/>
        </w:rPr>
        <w:t>5.</w:t>
      </w:r>
      <w:r w:rsidRPr="00FC61B8">
        <w:rPr>
          <w:szCs w:val="22"/>
          <w:lang w:val="en-GB" w:eastAsia="en-US"/>
        </w:rPr>
        <w:tab/>
        <w:t xml:space="preserve">How to store MabThera </w:t>
      </w:r>
    </w:p>
    <w:p w14:paraId="7C332854" w14:textId="77777777" w:rsidR="00B61585" w:rsidRPr="00CD7883" w:rsidRDefault="00016F29" w:rsidP="00B61585">
      <w:pPr>
        <w:tabs>
          <w:tab w:val="left" w:pos="567"/>
        </w:tabs>
        <w:ind w:left="567" w:hanging="567"/>
        <w:rPr>
          <w:lang w:val="en-GB" w:eastAsia="en-US"/>
        </w:rPr>
      </w:pPr>
      <w:r w:rsidRPr="00CD7883">
        <w:rPr>
          <w:szCs w:val="22"/>
          <w:lang w:val="en-GB" w:eastAsia="en-US"/>
        </w:rPr>
        <w:t>6.</w:t>
      </w:r>
      <w:r w:rsidRPr="00CD7883">
        <w:rPr>
          <w:szCs w:val="22"/>
          <w:lang w:val="en-GB" w:eastAsia="en-US"/>
        </w:rPr>
        <w:tab/>
        <w:t>Contents of the pack and other information</w:t>
      </w:r>
    </w:p>
    <w:p w14:paraId="7C332855" w14:textId="77777777" w:rsidR="00B61585" w:rsidRPr="00CD7883" w:rsidRDefault="00B61585" w:rsidP="00B61585">
      <w:pPr>
        <w:rPr>
          <w:bCs/>
          <w:caps/>
          <w:szCs w:val="22"/>
          <w:lang w:val="en-GB"/>
        </w:rPr>
      </w:pPr>
    </w:p>
    <w:p w14:paraId="7C332856" w14:textId="77777777" w:rsidR="00B61585" w:rsidRPr="00DE32D5" w:rsidRDefault="00B61585" w:rsidP="00B61585">
      <w:pPr>
        <w:rPr>
          <w:bCs/>
          <w:caps/>
          <w:szCs w:val="22"/>
          <w:lang w:val="en-GB"/>
        </w:rPr>
      </w:pPr>
    </w:p>
    <w:p w14:paraId="7C332857" w14:textId="77777777" w:rsidR="00B61585" w:rsidRPr="00870B51" w:rsidRDefault="00016F29" w:rsidP="00B61585">
      <w:pPr>
        <w:rPr>
          <w:b/>
          <w:sz w:val="24"/>
          <w:lang w:val="en-GB" w:eastAsia="en-US"/>
        </w:rPr>
      </w:pPr>
      <w:r w:rsidRPr="0012747B">
        <w:rPr>
          <w:b/>
          <w:sz w:val="24"/>
          <w:szCs w:val="22"/>
          <w:lang w:val="en-GB" w:eastAsia="en-US"/>
        </w:rPr>
        <w:t>1.</w:t>
      </w:r>
      <w:r w:rsidRPr="0012747B">
        <w:rPr>
          <w:b/>
          <w:sz w:val="24"/>
          <w:szCs w:val="22"/>
          <w:lang w:val="en-GB" w:eastAsia="en-US"/>
        </w:rPr>
        <w:tab/>
      </w:r>
      <w:r w:rsidRPr="009C488C">
        <w:rPr>
          <w:b/>
          <w:sz w:val="24"/>
          <w:szCs w:val="22"/>
          <w:lang w:val="en-GB" w:eastAsia="en-US"/>
        </w:rPr>
        <w:t>What MabThera is and what it is used for</w:t>
      </w:r>
    </w:p>
    <w:p w14:paraId="7C332858" w14:textId="77777777" w:rsidR="00B61585" w:rsidRPr="00EA11D5" w:rsidRDefault="00B61585" w:rsidP="00B61585">
      <w:pPr>
        <w:rPr>
          <w:b/>
          <w:szCs w:val="22"/>
          <w:lang w:val="en-GB"/>
        </w:rPr>
      </w:pPr>
    </w:p>
    <w:p w14:paraId="7C332859" w14:textId="77777777" w:rsidR="00B61585" w:rsidRPr="00B0192B" w:rsidRDefault="00016F29" w:rsidP="00B61585">
      <w:pPr>
        <w:rPr>
          <w:b/>
          <w:szCs w:val="22"/>
          <w:lang w:val="en-GB"/>
        </w:rPr>
      </w:pPr>
      <w:r w:rsidRPr="00B0192B">
        <w:rPr>
          <w:b/>
          <w:szCs w:val="22"/>
          <w:lang w:val="en-GB"/>
        </w:rPr>
        <w:t>What MabThera is</w:t>
      </w:r>
    </w:p>
    <w:p w14:paraId="7C33285A" w14:textId="77777777" w:rsidR="00B61585" w:rsidRPr="00461E33" w:rsidRDefault="00016F29" w:rsidP="00B61585">
      <w:pPr>
        <w:rPr>
          <w:szCs w:val="22"/>
          <w:lang w:val="en-GB"/>
        </w:rPr>
      </w:pPr>
      <w:r w:rsidRPr="00461E33">
        <w:rPr>
          <w:szCs w:val="22"/>
          <w:lang w:val="en-GB"/>
        </w:rPr>
        <w:t>MabThera contains the active substance “rituximab”. This is a type of protein called a “monoclonal antibody”. It sticks to the surface of a type of white blood cell called “B</w:t>
      </w:r>
      <w:r w:rsidR="000A6DDA" w:rsidRPr="00461E33">
        <w:rPr>
          <w:szCs w:val="22"/>
          <w:lang w:val="en-GB"/>
        </w:rPr>
        <w:noBreakHyphen/>
      </w:r>
      <w:r w:rsidRPr="00461E33">
        <w:rPr>
          <w:szCs w:val="22"/>
          <w:lang w:val="en-GB"/>
        </w:rPr>
        <w:t>Lymphocyte”. When rituximab sticks to the surface of this cell, the cell dies.</w:t>
      </w:r>
    </w:p>
    <w:p w14:paraId="7C33285B" w14:textId="77777777" w:rsidR="00B61585" w:rsidRPr="00461E33" w:rsidRDefault="00016F29" w:rsidP="00B61585">
      <w:pPr>
        <w:rPr>
          <w:szCs w:val="22"/>
          <w:lang w:val="en-GB" w:eastAsia="en-US"/>
        </w:rPr>
      </w:pPr>
      <w:r w:rsidRPr="00461E33">
        <w:rPr>
          <w:szCs w:val="22"/>
          <w:lang w:val="en-GB" w:eastAsia="en-US"/>
        </w:rPr>
        <w:t>MabThera is available as a medicine given as a drip (called MabThera 100 mg or MabThera 500 mg, concentrate for solution for infusion) and as a medicine for injection under your skin (called MabThera 1400 mg</w:t>
      </w:r>
      <w:r w:rsidR="0052346B" w:rsidRPr="00461E33">
        <w:rPr>
          <w:szCs w:val="22"/>
          <w:lang w:val="en-GB" w:eastAsia="en-US"/>
        </w:rPr>
        <w:t xml:space="preserve"> or MabThera 1600 mg</w:t>
      </w:r>
      <w:r w:rsidRPr="00461E33">
        <w:rPr>
          <w:szCs w:val="22"/>
          <w:lang w:val="en-GB" w:eastAsia="en-US"/>
        </w:rPr>
        <w:t>, solution for subcutaneous injection).</w:t>
      </w:r>
    </w:p>
    <w:p w14:paraId="7C33285C" w14:textId="77777777" w:rsidR="00BD6117" w:rsidRPr="00461E33" w:rsidRDefault="00BD6117" w:rsidP="00B61585">
      <w:pPr>
        <w:rPr>
          <w:szCs w:val="22"/>
          <w:lang w:val="en-GB" w:eastAsia="en-US"/>
        </w:rPr>
      </w:pPr>
    </w:p>
    <w:p w14:paraId="7C33285D" w14:textId="77777777" w:rsidR="00B61585" w:rsidRPr="00461E33" w:rsidRDefault="00016F29" w:rsidP="00B61585">
      <w:pPr>
        <w:rPr>
          <w:b/>
          <w:szCs w:val="22"/>
          <w:lang w:val="en-GB"/>
        </w:rPr>
      </w:pPr>
      <w:r w:rsidRPr="00461E33">
        <w:rPr>
          <w:b/>
          <w:szCs w:val="22"/>
          <w:lang w:val="en-GB"/>
        </w:rPr>
        <w:t>What MabThera is used for</w:t>
      </w:r>
    </w:p>
    <w:p w14:paraId="7C33285E" w14:textId="77777777" w:rsidR="00B61585" w:rsidRPr="00461E33" w:rsidRDefault="00016F29" w:rsidP="00B61585">
      <w:pPr>
        <w:numPr>
          <w:ilvl w:val="12"/>
          <w:numId w:val="0"/>
        </w:numPr>
        <w:rPr>
          <w:szCs w:val="22"/>
          <w:lang w:val="en-GB" w:eastAsia="en-US"/>
        </w:rPr>
      </w:pPr>
      <w:r w:rsidRPr="00461E33">
        <w:rPr>
          <w:szCs w:val="22"/>
          <w:lang w:val="en-GB"/>
        </w:rPr>
        <w:t>MabThera</w:t>
      </w:r>
      <w:r w:rsidR="0052346B" w:rsidRPr="00461E33">
        <w:rPr>
          <w:szCs w:val="22"/>
          <w:lang w:val="en-GB"/>
        </w:rPr>
        <w:t xml:space="preserve"> 1400 mg</w:t>
      </w:r>
      <w:r w:rsidRPr="00461E33">
        <w:rPr>
          <w:szCs w:val="22"/>
          <w:lang w:val="en-GB"/>
        </w:rPr>
        <w:t xml:space="preserve"> is used to treat </w:t>
      </w:r>
      <w:r w:rsidRPr="00461E33">
        <w:rPr>
          <w:szCs w:val="22"/>
          <w:lang w:val="en-GB" w:eastAsia="en-US"/>
        </w:rPr>
        <w:t>Non</w:t>
      </w:r>
      <w:r w:rsidR="000A6DDA" w:rsidRPr="00461E33">
        <w:rPr>
          <w:szCs w:val="22"/>
          <w:lang w:val="en-GB" w:eastAsia="en-US"/>
        </w:rPr>
        <w:noBreakHyphen/>
      </w:r>
      <w:r w:rsidRPr="00461E33">
        <w:rPr>
          <w:szCs w:val="22"/>
          <w:lang w:val="en-GB" w:eastAsia="en-US"/>
        </w:rPr>
        <w:t>Hodgkin’s lymphoma in adults.</w:t>
      </w:r>
    </w:p>
    <w:p w14:paraId="7C33285F" w14:textId="77777777" w:rsidR="00B61585" w:rsidRPr="00461E33" w:rsidRDefault="00016F29" w:rsidP="00B61585">
      <w:pPr>
        <w:tabs>
          <w:tab w:val="left" w:pos="567"/>
        </w:tabs>
        <w:ind w:left="567" w:hanging="567"/>
        <w:rPr>
          <w:szCs w:val="22"/>
          <w:lang w:val="en-GB" w:eastAsia="en-US"/>
        </w:rPr>
      </w:pPr>
      <w:r w:rsidRPr="005214E1">
        <w:rPr>
          <w:rFonts w:ascii="Symbol" w:hAnsi="Symbol"/>
          <w:lang w:val="en-GB"/>
        </w:rPr>
        <w:sym w:font="Symbol" w:char="F0B7"/>
      </w:r>
      <w:r w:rsidRPr="00461E33">
        <w:rPr>
          <w:szCs w:val="22"/>
          <w:lang w:val="en-GB"/>
        </w:rPr>
        <w:tab/>
      </w:r>
      <w:r w:rsidRPr="00461E33">
        <w:rPr>
          <w:szCs w:val="22"/>
          <w:lang w:val="en-GB" w:eastAsia="en-US"/>
        </w:rPr>
        <w:t>This is a disease of the lymph tissue (part of the immune system) that affects a type of white blood cell called B</w:t>
      </w:r>
      <w:r w:rsidR="000A6DDA" w:rsidRPr="00461E33">
        <w:rPr>
          <w:szCs w:val="22"/>
          <w:lang w:val="en-GB" w:eastAsia="en-US"/>
        </w:rPr>
        <w:noBreakHyphen/>
      </w:r>
      <w:r w:rsidRPr="00461E33">
        <w:rPr>
          <w:szCs w:val="22"/>
          <w:lang w:val="en-GB" w:eastAsia="en-US"/>
        </w:rPr>
        <w:t>Lymphocytes.</w:t>
      </w:r>
    </w:p>
    <w:p w14:paraId="7C332860" w14:textId="77777777" w:rsidR="00B61585" w:rsidRPr="001F63EB" w:rsidRDefault="00B61585" w:rsidP="00B61585">
      <w:pPr>
        <w:rPr>
          <w:szCs w:val="22"/>
          <w:lang w:val="en-GB" w:eastAsia="en-US"/>
        </w:rPr>
      </w:pPr>
    </w:p>
    <w:p w14:paraId="7C332861" w14:textId="77777777" w:rsidR="00B61585" w:rsidRPr="00461E33" w:rsidRDefault="00016F29" w:rsidP="00B61585">
      <w:pPr>
        <w:rPr>
          <w:szCs w:val="22"/>
          <w:lang w:val="en-GB" w:eastAsia="en-US"/>
        </w:rPr>
      </w:pPr>
      <w:r w:rsidRPr="00461E33">
        <w:rPr>
          <w:szCs w:val="22"/>
          <w:lang w:val="en-GB" w:eastAsia="en-US"/>
        </w:rPr>
        <w:t xml:space="preserve">MabThera </w:t>
      </w:r>
      <w:r w:rsidR="00B30AA0" w:rsidRPr="00461E33">
        <w:rPr>
          <w:szCs w:val="22"/>
          <w:lang w:val="en-GB" w:eastAsia="en-US"/>
        </w:rPr>
        <w:t xml:space="preserve">1400 mg </w:t>
      </w:r>
      <w:r w:rsidRPr="00461E33">
        <w:rPr>
          <w:szCs w:val="22"/>
          <w:lang w:val="en-GB" w:eastAsia="en-US"/>
        </w:rPr>
        <w:t xml:space="preserve">can be given alone or with other medicines called “chemotherapy”. </w:t>
      </w:r>
    </w:p>
    <w:p w14:paraId="7C332862" w14:textId="77777777" w:rsidR="00B30AA0" w:rsidRPr="00461E33" w:rsidRDefault="00B30AA0" w:rsidP="00B61585">
      <w:pPr>
        <w:numPr>
          <w:ilvl w:val="12"/>
          <w:numId w:val="0"/>
        </w:numPr>
        <w:rPr>
          <w:szCs w:val="22"/>
          <w:lang w:val="en-GB" w:eastAsia="en-US"/>
        </w:rPr>
      </w:pPr>
    </w:p>
    <w:p w14:paraId="7C332863" w14:textId="77777777" w:rsidR="00B61585" w:rsidRPr="00461E33" w:rsidRDefault="00016F29" w:rsidP="00B61585">
      <w:pPr>
        <w:numPr>
          <w:ilvl w:val="12"/>
          <w:numId w:val="0"/>
        </w:numPr>
        <w:rPr>
          <w:szCs w:val="22"/>
          <w:lang w:val="en-GB" w:eastAsia="en-US"/>
        </w:rPr>
      </w:pPr>
      <w:r w:rsidRPr="00461E33">
        <w:rPr>
          <w:szCs w:val="22"/>
          <w:lang w:val="en-GB" w:eastAsia="en-US"/>
        </w:rPr>
        <w:t>You will always be given MabThera as a drip (intra</w:t>
      </w:r>
      <w:r w:rsidR="000A6DDA" w:rsidRPr="00461E33">
        <w:rPr>
          <w:szCs w:val="22"/>
          <w:lang w:val="en-GB" w:eastAsia="en-US"/>
        </w:rPr>
        <w:noBreakHyphen/>
      </w:r>
      <w:r w:rsidRPr="00461E33">
        <w:rPr>
          <w:szCs w:val="22"/>
          <w:lang w:val="en-GB" w:eastAsia="en-US"/>
        </w:rPr>
        <w:t xml:space="preserve">venous infusion) at the start of your treatment. </w:t>
      </w:r>
    </w:p>
    <w:p w14:paraId="7C332864" w14:textId="77777777" w:rsidR="00B61585" w:rsidRPr="00461E33" w:rsidRDefault="00B61585" w:rsidP="00B61585">
      <w:pPr>
        <w:numPr>
          <w:ilvl w:val="12"/>
          <w:numId w:val="0"/>
        </w:numPr>
        <w:rPr>
          <w:szCs w:val="22"/>
          <w:lang w:val="en-GB" w:eastAsia="en-US"/>
        </w:rPr>
      </w:pPr>
    </w:p>
    <w:p w14:paraId="7C332865" w14:textId="77777777" w:rsidR="00B61585" w:rsidRPr="00461E33" w:rsidRDefault="00016F29" w:rsidP="00B61585">
      <w:pPr>
        <w:numPr>
          <w:ilvl w:val="12"/>
          <w:numId w:val="0"/>
        </w:numPr>
        <w:rPr>
          <w:szCs w:val="22"/>
          <w:lang w:val="en-GB" w:eastAsia="en-US"/>
        </w:rPr>
      </w:pPr>
      <w:r w:rsidRPr="00461E33">
        <w:rPr>
          <w:szCs w:val="22"/>
          <w:lang w:val="en-GB" w:eastAsia="en-US"/>
        </w:rPr>
        <w:t>After this, you will be given MabThera as an injection under your skin. Your doctor will decide when to start MabThera injections.</w:t>
      </w:r>
    </w:p>
    <w:p w14:paraId="7C332866" w14:textId="77777777" w:rsidR="00B61585" w:rsidRPr="00461E33" w:rsidRDefault="00B61585" w:rsidP="00B61585">
      <w:pPr>
        <w:numPr>
          <w:ilvl w:val="12"/>
          <w:numId w:val="0"/>
        </w:numPr>
        <w:rPr>
          <w:szCs w:val="22"/>
          <w:lang w:val="en-GB" w:eastAsia="en-US"/>
        </w:rPr>
      </w:pPr>
    </w:p>
    <w:p w14:paraId="7C332867" w14:textId="77777777" w:rsidR="00B61585" w:rsidRPr="00FC61B8" w:rsidRDefault="00016F29" w:rsidP="00B61585">
      <w:pPr>
        <w:numPr>
          <w:ilvl w:val="12"/>
          <w:numId w:val="0"/>
        </w:numPr>
        <w:rPr>
          <w:szCs w:val="22"/>
          <w:lang w:val="en-GB" w:eastAsia="en-US"/>
        </w:rPr>
      </w:pPr>
      <w:r w:rsidRPr="00461E33">
        <w:rPr>
          <w:szCs w:val="22"/>
          <w:lang w:val="en-GB" w:eastAsia="en-US"/>
        </w:rPr>
        <w:t>In patients where the treatment is working, MabThera may be used as a maintenance treatment for 2</w:t>
      </w:r>
      <w:r w:rsidRPr="00ED3BF4">
        <w:rPr>
          <w:szCs w:val="22"/>
          <w:lang w:val="en-GB" w:eastAsia="en-US"/>
        </w:rPr>
        <w:t xml:space="preserve"> years after completing the initial treat</w:t>
      </w:r>
      <w:r w:rsidRPr="00FC61B8">
        <w:rPr>
          <w:szCs w:val="22"/>
          <w:lang w:val="en-GB" w:eastAsia="en-US"/>
        </w:rPr>
        <w:t>ment.</w:t>
      </w:r>
    </w:p>
    <w:p w14:paraId="7C332868" w14:textId="77777777" w:rsidR="00B61585" w:rsidRPr="00FC61B8" w:rsidRDefault="00B61585" w:rsidP="00B61585">
      <w:pPr>
        <w:rPr>
          <w:szCs w:val="22"/>
          <w:lang w:val="en-GB"/>
        </w:rPr>
      </w:pPr>
    </w:p>
    <w:p w14:paraId="7C332869" w14:textId="77777777" w:rsidR="00B61585" w:rsidRPr="00CD7883" w:rsidRDefault="00B61585" w:rsidP="00B61585">
      <w:pPr>
        <w:tabs>
          <w:tab w:val="left" w:pos="3980"/>
        </w:tabs>
        <w:rPr>
          <w:szCs w:val="22"/>
          <w:lang w:val="en-GB"/>
        </w:rPr>
      </w:pPr>
    </w:p>
    <w:p w14:paraId="7C33286A" w14:textId="77777777" w:rsidR="00B61585" w:rsidRPr="00CD7883" w:rsidRDefault="00016F29" w:rsidP="00B61585">
      <w:pPr>
        <w:tabs>
          <w:tab w:val="left" w:pos="567"/>
        </w:tabs>
        <w:outlineLvl w:val="0"/>
        <w:rPr>
          <w:b/>
          <w:sz w:val="24"/>
          <w:szCs w:val="22"/>
          <w:lang w:val="en-GB" w:eastAsia="en-US"/>
        </w:rPr>
      </w:pPr>
      <w:r w:rsidRPr="00CD7883">
        <w:rPr>
          <w:b/>
          <w:sz w:val="24"/>
          <w:szCs w:val="22"/>
          <w:lang w:val="en-GB" w:eastAsia="en-US"/>
        </w:rPr>
        <w:t>2</w:t>
      </w:r>
      <w:r w:rsidRPr="00CD7883">
        <w:rPr>
          <w:b/>
          <w:sz w:val="24"/>
          <w:szCs w:val="22"/>
          <w:lang w:val="en-GB" w:eastAsia="en-US"/>
        </w:rPr>
        <w:tab/>
        <w:t>What you need to know before you are given MabThera</w:t>
      </w:r>
    </w:p>
    <w:p w14:paraId="7C33286B" w14:textId="77777777" w:rsidR="00B61585" w:rsidRPr="00CD7883" w:rsidRDefault="00B61585" w:rsidP="00B61585">
      <w:pPr>
        <w:tabs>
          <w:tab w:val="left" w:pos="567"/>
        </w:tabs>
        <w:outlineLvl w:val="0"/>
        <w:rPr>
          <w:b/>
          <w:sz w:val="24"/>
          <w:szCs w:val="22"/>
          <w:lang w:val="en-GB" w:eastAsia="en-US"/>
        </w:rPr>
      </w:pPr>
    </w:p>
    <w:p w14:paraId="7C33286C" w14:textId="77777777" w:rsidR="00B61585" w:rsidRPr="00DE32D5" w:rsidRDefault="00016F29" w:rsidP="00B61585">
      <w:pPr>
        <w:tabs>
          <w:tab w:val="left" w:pos="567"/>
        </w:tabs>
        <w:outlineLvl w:val="0"/>
        <w:rPr>
          <w:szCs w:val="22"/>
          <w:lang w:val="en-GB" w:eastAsia="en-US"/>
        </w:rPr>
      </w:pPr>
      <w:r w:rsidRPr="00DE32D5">
        <w:rPr>
          <w:b/>
          <w:szCs w:val="22"/>
          <w:lang w:val="en-GB" w:eastAsia="en-US"/>
        </w:rPr>
        <w:t>Do not have MabThera if:</w:t>
      </w:r>
    </w:p>
    <w:p w14:paraId="7C33286D" w14:textId="77777777" w:rsidR="00B61585" w:rsidRPr="003C313A" w:rsidRDefault="00016F29" w:rsidP="00B61585">
      <w:pPr>
        <w:tabs>
          <w:tab w:val="left" w:pos="567"/>
        </w:tabs>
        <w:ind w:left="567" w:hanging="567"/>
        <w:rPr>
          <w:szCs w:val="22"/>
          <w:lang w:val="en-GB"/>
        </w:rPr>
      </w:pPr>
      <w:r w:rsidRPr="005214E1">
        <w:rPr>
          <w:rFonts w:ascii="Symbol" w:hAnsi="Symbol"/>
          <w:lang w:val="en-GB"/>
        </w:rPr>
        <w:sym w:font="Symbol" w:char="F0B7"/>
      </w:r>
      <w:r w:rsidRPr="003C313A">
        <w:rPr>
          <w:szCs w:val="22"/>
          <w:lang w:val="en-GB"/>
        </w:rPr>
        <w:tab/>
        <w:t>you are allergic to rituximab, other proteins which are like rituximab, or any of the other ingredients of this medicine (listed in section 6)</w:t>
      </w:r>
    </w:p>
    <w:p w14:paraId="7C33286E" w14:textId="77777777" w:rsidR="00B61585" w:rsidRPr="003C313A" w:rsidRDefault="00016F29" w:rsidP="00B61585">
      <w:pPr>
        <w:tabs>
          <w:tab w:val="left" w:pos="567"/>
        </w:tabs>
        <w:ind w:left="567" w:hanging="567"/>
        <w:rPr>
          <w:szCs w:val="22"/>
          <w:lang w:val="en-GB"/>
        </w:rPr>
      </w:pPr>
      <w:r w:rsidRPr="005214E1">
        <w:rPr>
          <w:rFonts w:ascii="Symbol" w:hAnsi="Symbol"/>
          <w:lang w:val="en-GB"/>
        </w:rPr>
        <w:sym w:font="Symbol" w:char="F0B7"/>
      </w:r>
      <w:r w:rsidRPr="003C313A">
        <w:rPr>
          <w:szCs w:val="22"/>
          <w:lang w:val="en-GB"/>
        </w:rPr>
        <w:tab/>
        <w:t xml:space="preserve">you are allergic to hyaluronidase (an enzyme that helps to increase the absorption of injected </w:t>
      </w:r>
      <w:r w:rsidRPr="003C313A">
        <w:rPr>
          <w:szCs w:val="22"/>
          <w:lang w:val="en-GB"/>
        </w:rPr>
        <w:tab/>
        <w:t xml:space="preserve">active substance) </w:t>
      </w:r>
    </w:p>
    <w:p w14:paraId="7C33286F" w14:textId="77777777" w:rsidR="00B61585" w:rsidRPr="003C313A" w:rsidRDefault="00016F29" w:rsidP="00B61585">
      <w:pPr>
        <w:tabs>
          <w:tab w:val="left" w:pos="567"/>
        </w:tabs>
        <w:ind w:left="567" w:hanging="567"/>
        <w:rPr>
          <w:szCs w:val="22"/>
          <w:lang w:val="en-GB"/>
        </w:rPr>
      </w:pPr>
      <w:r w:rsidRPr="005214E1">
        <w:rPr>
          <w:rFonts w:ascii="Symbol" w:hAnsi="Symbol"/>
          <w:lang w:val="en-GB"/>
        </w:rPr>
        <w:sym w:font="Symbol" w:char="F0B7"/>
      </w:r>
      <w:r w:rsidRPr="003C313A">
        <w:rPr>
          <w:szCs w:val="22"/>
          <w:lang w:val="en-GB"/>
        </w:rPr>
        <w:tab/>
        <w:t>you have a severe active infection at the moment</w:t>
      </w:r>
    </w:p>
    <w:p w14:paraId="7C332870" w14:textId="77777777" w:rsidR="00B61585" w:rsidRPr="003C313A" w:rsidRDefault="00016F29" w:rsidP="00B61585">
      <w:pPr>
        <w:tabs>
          <w:tab w:val="left" w:pos="567"/>
        </w:tabs>
        <w:ind w:left="567" w:hanging="567"/>
        <w:rPr>
          <w:szCs w:val="22"/>
          <w:lang w:val="en-GB"/>
        </w:rPr>
      </w:pPr>
      <w:r w:rsidRPr="005214E1">
        <w:rPr>
          <w:rFonts w:ascii="Symbol" w:hAnsi="Symbol"/>
          <w:lang w:val="en-GB"/>
        </w:rPr>
        <w:sym w:font="Symbol" w:char="F0B7"/>
      </w:r>
      <w:r w:rsidRPr="003C313A">
        <w:rPr>
          <w:szCs w:val="22"/>
          <w:lang w:val="en-GB"/>
        </w:rPr>
        <w:tab/>
        <w:t>you have a weak immune system.</w:t>
      </w:r>
    </w:p>
    <w:p w14:paraId="7C332871" w14:textId="77777777" w:rsidR="00B61585" w:rsidRPr="003C313A" w:rsidRDefault="00B61585" w:rsidP="00B61585">
      <w:pPr>
        <w:rPr>
          <w:szCs w:val="22"/>
          <w:lang w:val="en-GB" w:eastAsia="en-US"/>
        </w:rPr>
      </w:pPr>
    </w:p>
    <w:p w14:paraId="7C332872" w14:textId="77777777" w:rsidR="00B61585" w:rsidRPr="003C313A" w:rsidRDefault="00016F29" w:rsidP="00B61585">
      <w:pPr>
        <w:rPr>
          <w:szCs w:val="22"/>
          <w:lang w:val="en-GB" w:eastAsia="en-US"/>
        </w:rPr>
      </w:pPr>
      <w:r w:rsidRPr="003C313A">
        <w:rPr>
          <w:szCs w:val="22"/>
          <w:lang w:val="en-GB" w:eastAsia="en-US"/>
        </w:rPr>
        <w:t>Do not have MabThera if any of the above apply to you. If you are not sure, talk to your doctor, pharmacist or nurse before you are given MabThera.</w:t>
      </w:r>
    </w:p>
    <w:p w14:paraId="7C332873" w14:textId="77777777" w:rsidR="00B61585" w:rsidRPr="003C313A" w:rsidRDefault="00016F29" w:rsidP="00B61585">
      <w:pPr>
        <w:rPr>
          <w:szCs w:val="22"/>
          <w:lang w:val="en-GB" w:eastAsia="en-US"/>
        </w:rPr>
      </w:pPr>
      <w:r w:rsidRPr="003C313A">
        <w:rPr>
          <w:szCs w:val="22"/>
          <w:lang w:val="en-GB" w:eastAsia="en-US"/>
        </w:rPr>
        <w:t xml:space="preserve"> </w:t>
      </w:r>
    </w:p>
    <w:p w14:paraId="7C332874" w14:textId="77777777" w:rsidR="00B61585" w:rsidRPr="003C313A" w:rsidRDefault="00016F29" w:rsidP="00B61585">
      <w:pPr>
        <w:tabs>
          <w:tab w:val="left" w:pos="567"/>
        </w:tabs>
        <w:ind w:left="567" w:hanging="567"/>
        <w:outlineLvl w:val="0"/>
        <w:rPr>
          <w:b/>
          <w:szCs w:val="22"/>
          <w:lang w:val="en-GB" w:eastAsia="en-US"/>
        </w:rPr>
      </w:pPr>
      <w:r w:rsidRPr="003C313A">
        <w:rPr>
          <w:b/>
          <w:szCs w:val="22"/>
          <w:lang w:val="en-GB" w:eastAsia="en-US"/>
        </w:rPr>
        <w:t>Warnings and precautions</w:t>
      </w:r>
    </w:p>
    <w:p w14:paraId="7C332875" w14:textId="77777777" w:rsidR="00B61585" w:rsidRPr="003C313A" w:rsidRDefault="00016F29" w:rsidP="00B61585">
      <w:pPr>
        <w:tabs>
          <w:tab w:val="left" w:pos="567"/>
        </w:tabs>
        <w:ind w:left="567" w:hanging="567"/>
        <w:outlineLvl w:val="0"/>
        <w:rPr>
          <w:szCs w:val="22"/>
          <w:lang w:val="en-GB" w:eastAsia="en-US"/>
        </w:rPr>
      </w:pPr>
      <w:r w:rsidRPr="003C313A">
        <w:rPr>
          <w:szCs w:val="22"/>
          <w:lang w:val="en-GB" w:eastAsia="en-US"/>
        </w:rPr>
        <w:t>Talk to your doctor, pharmacist or nurse before you are given MabThera if:</w:t>
      </w:r>
    </w:p>
    <w:p w14:paraId="7C332876" w14:textId="77777777" w:rsidR="00B61585" w:rsidRPr="00137FEB" w:rsidRDefault="00016F29" w:rsidP="00B61585">
      <w:pPr>
        <w:tabs>
          <w:tab w:val="left" w:pos="567"/>
        </w:tabs>
        <w:ind w:left="567" w:hanging="567"/>
        <w:rPr>
          <w:szCs w:val="22"/>
          <w:lang w:val="en-GB" w:eastAsia="en-US"/>
        </w:rPr>
      </w:pPr>
      <w:r w:rsidRPr="005214E1">
        <w:rPr>
          <w:rFonts w:ascii="Symbol" w:hAnsi="Symbol"/>
          <w:lang w:val="en-GB"/>
        </w:rPr>
        <w:sym w:font="Symbol" w:char="F0B7"/>
      </w:r>
      <w:r w:rsidRPr="00137FEB">
        <w:rPr>
          <w:szCs w:val="22"/>
          <w:lang w:val="en-GB" w:eastAsia="en-US"/>
        </w:rPr>
        <w:tab/>
        <w:t>you have ever had or might now have a hepatitis infection. This is because in a few cases, MabThera could cause hepatitis B to become active again, which can be fatal in very rare cases. Patients who have ever had hepatitis B infection will be carefully checked by their doctor for signs of this infection</w:t>
      </w:r>
    </w:p>
    <w:p w14:paraId="7C332877" w14:textId="77777777" w:rsidR="00B61585" w:rsidRPr="00137FEB" w:rsidRDefault="00016F29" w:rsidP="00B61585">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eastAsia="en-US"/>
        </w:rPr>
        <w:tab/>
      </w:r>
      <w:r w:rsidRPr="00137FEB">
        <w:rPr>
          <w:szCs w:val="22"/>
          <w:lang w:val="en-GB" w:eastAsia="en-US"/>
        </w:rPr>
        <w:t xml:space="preserve">you have ever had heart problems (such as angina, palpitations or heart failure) or breathing problems. </w:t>
      </w:r>
    </w:p>
    <w:p w14:paraId="7C332878" w14:textId="77777777" w:rsidR="00B61585" w:rsidRPr="00137FEB" w:rsidRDefault="00B61585" w:rsidP="00B61585">
      <w:pPr>
        <w:tabs>
          <w:tab w:val="left" w:pos="567"/>
        </w:tabs>
        <w:rPr>
          <w:szCs w:val="22"/>
          <w:lang w:val="en-GB" w:eastAsia="en-US"/>
        </w:rPr>
      </w:pPr>
    </w:p>
    <w:p w14:paraId="7C332879" w14:textId="77777777" w:rsidR="00B61585" w:rsidRPr="00D239C4" w:rsidRDefault="00016F29" w:rsidP="00B61585">
      <w:pPr>
        <w:tabs>
          <w:tab w:val="left" w:pos="567"/>
        </w:tabs>
        <w:rPr>
          <w:szCs w:val="22"/>
          <w:lang w:val="en-GB" w:eastAsia="en-US"/>
        </w:rPr>
      </w:pPr>
      <w:r w:rsidRPr="00137FEB">
        <w:rPr>
          <w:szCs w:val="22"/>
          <w:lang w:val="en-GB" w:eastAsia="en-US"/>
        </w:rPr>
        <w:t xml:space="preserve">If any of the above apply to you (or </w:t>
      </w:r>
      <w:r w:rsidRPr="00D239C4">
        <w:rPr>
          <w:szCs w:val="22"/>
          <w:lang w:val="en-GB" w:eastAsia="en-US"/>
        </w:rPr>
        <w:t>you are not sure), talk to your doctor, pharmacist or nurse before you are given MabThera. Your doctor may need to take special care of you during your treatment with MabThera.</w:t>
      </w:r>
    </w:p>
    <w:p w14:paraId="7C33287A" w14:textId="77777777" w:rsidR="00B61585" w:rsidRPr="000400ED" w:rsidRDefault="00B61585" w:rsidP="00B61585">
      <w:pPr>
        <w:tabs>
          <w:tab w:val="left" w:pos="567"/>
        </w:tabs>
        <w:rPr>
          <w:szCs w:val="22"/>
          <w:lang w:val="en-GB" w:eastAsia="en-US"/>
        </w:rPr>
      </w:pPr>
    </w:p>
    <w:p w14:paraId="7C33287B" w14:textId="77777777" w:rsidR="00B61585" w:rsidRPr="00D50019" w:rsidRDefault="00016F29" w:rsidP="00B61585">
      <w:pPr>
        <w:tabs>
          <w:tab w:val="left" w:pos="567"/>
        </w:tabs>
        <w:rPr>
          <w:b/>
          <w:szCs w:val="22"/>
          <w:lang w:val="en-GB" w:eastAsia="en-US"/>
        </w:rPr>
      </w:pPr>
      <w:r w:rsidRPr="001976F0">
        <w:rPr>
          <w:b/>
          <w:szCs w:val="22"/>
          <w:lang w:val="en-GB" w:eastAsia="en-US"/>
        </w:rPr>
        <w:t xml:space="preserve">Children and </w:t>
      </w:r>
      <w:r w:rsidRPr="00D3771E">
        <w:rPr>
          <w:b/>
          <w:szCs w:val="22"/>
          <w:lang w:val="en-GB" w:eastAsia="en-US"/>
        </w:rPr>
        <w:t>adolescents</w:t>
      </w:r>
    </w:p>
    <w:p w14:paraId="7C33287C" w14:textId="77777777" w:rsidR="00B61585" w:rsidRPr="009A4E5A" w:rsidRDefault="00016F29" w:rsidP="00B61585">
      <w:pPr>
        <w:tabs>
          <w:tab w:val="left" w:pos="567"/>
        </w:tabs>
        <w:rPr>
          <w:szCs w:val="22"/>
          <w:lang w:val="en-GB" w:eastAsia="en-US"/>
        </w:rPr>
      </w:pPr>
      <w:r w:rsidRPr="009A4E5A">
        <w:rPr>
          <w:szCs w:val="22"/>
          <w:lang w:val="en-GB" w:eastAsia="en-US"/>
        </w:rPr>
        <w:t xml:space="preserve">Talk to your doctor, pharmacist or nurse before you are given this medicine if you, or your child, are under 18 years of age. This is because there is not much information about the use of MabThera in children and </w:t>
      </w:r>
      <w:r w:rsidR="00110DB5">
        <w:rPr>
          <w:szCs w:val="22"/>
          <w:lang w:val="en-GB" w:eastAsia="en-US"/>
        </w:rPr>
        <w:t>adolescent</w:t>
      </w:r>
      <w:r w:rsidR="000320CC">
        <w:rPr>
          <w:szCs w:val="22"/>
          <w:lang w:val="en-GB" w:eastAsia="en-US"/>
        </w:rPr>
        <w:t>s</w:t>
      </w:r>
      <w:r w:rsidRPr="009A4E5A">
        <w:rPr>
          <w:szCs w:val="22"/>
          <w:lang w:val="en-GB" w:eastAsia="en-US"/>
        </w:rPr>
        <w:t>.</w:t>
      </w:r>
    </w:p>
    <w:p w14:paraId="7C33287D" w14:textId="77777777" w:rsidR="00B61585" w:rsidRPr="009A4E5A" w:rsidRDefault="00B61585" w:rsidP="00B61585">
      <w:pPr>
        <w:tabs>
          <w:tab w:val="left" w:pos="567"/>
        </w:tabs>
        <w:rPr>
          <w:b/>
          <w:szCs w:val="22"/>
          <w:lang w:val="en-GB" w:eastAsia="en-US"/>
        </w:rPr>
      </w:pPr>
    </w:p>
    <w:p w14:paraId="7C33287E" w14:textId="77777777" w:rsidR="00B61585" w:rsidRPr="00FC61B8" w:rsidRDefault="00016F29" w:rsidP="00B61585">
      <w:pPr>
        <w:numPr>
          <w:ilvl w:val="12"/>
          <w:numId w:val="0"/>
        </w:numPr>
        <w:ind w:right="-2"/>
        <w:rPr>
          <w:lang w:val="en-GB" w:eastAsia="en-US"/>
        </w:rPr>
      </w:pPr>
      <w:r w:rsidRPr="00ED3BF4">
        <w:rPr>
          <w:b/>
          <w:lang w:val="en-GB" w:eastAsia="en-US"/>
        </w:rPr>
        <w:t xml:space="preserve">Other medicines </w:t>
      </w:r>
      <w:r w:rsidRPr="00FC61B8">
        <w:rPr>
          <w:b/>
          <w:szCs w:val="22"/>
          <w:lang w:val="en-GB" w:eastAsia="en-US"/>
        </w:rPr>
        <w:t xml:space="preserve">and MabThera </w:t>
      </w:r>
    </w:p>
    <w:p w14:paraId="7C33287F" w14:textId="77777777" w:rsidR="00B61585" w:rsidRPr="00CD7883" w:rsidRDefault="00016F29" w:rsidP="00B61585">
      <w:pPr>
        <w:rPr>
          <w:szCs w:val="22"/>
          <w:lang w:val="en-GB" w:eastAsia="en-US"/>
        </w:rPr>
      </w:pPr>
      <w:r w:rsidRPr="00FC61B8">
        <w:rPr>
          <w:szCs w:val="22"/>
          <w:lang w:val="en-GB" w:eastAsia="en-US"/>
        </w:rPr>
        <w:t xml:space="preserve">Tell </w:t>
      </w:r>
      <w:r w:rsidRPr="00CD7883">
        <w:rPr>
          <w:lang w:val="en-GB" w:eastAsia="en-US"/>
        </w:rPr>
        <w:t>your doctor</w:t>
      </w:r>
      <w:r w:rsidRPr="00CD7883">
        <w:rPr>
          <w:szCs w:val="22"/>
          <w:lang w:val="en-GB" w:eastAsia="en-US"/>
        </w:rPr>
        <w:t xml:space="preserve">, pharmacist or nurse if you are taking, have recently taken or might take any other medicines. This includes medicines obtained without a prescription and herbal medicines. This is because MabThera can affect the way some other medicines work. Also some other medicines can affect the way MabThera works. </w:t>
      </w:r>
    </w:p>
    <w:p w14:paraId="7C332880" w14:textId="77777777" w:rsidR="00B61585" w:rsidRPr="00DE32D5" w:rsidRDefault="00B61585" w:rsidP="00B61585">
      <w:pPr>
        <w:rPr>
          <w:szCs w:val="22"/>
          <w:lang w:val="en-GB" w:eastAsia="en-US"/>
        </w:rPr>
      </w:pPr>
    </w:p>
    <w:p w14:paraId="7C332881" w14:textId="77777777" w:rsidR="00B61585" w:rsidRPr="0012747B" w:rsidRDefault="00016F29" w:rsidP="00B61585">
      <w:pPr>
        <w:rPr>
          <w:lang w:val="en-GB" w:eastAsia="en-US"/>
        </w:rPr>
      </w:pPr>
      <w:r w:rsidRPr="00DE32D5">
        <w:rPr>
          <w:szCs w:val="22"/>
          <w:lang w:val="en-GB" w:eastAsia="en-US"/>
        </w:rPr>
        <w:t>In particular, tell your doctor:</w:t>
      </w:r>
    </w:p>
    <w:p w14:paraId="7C332882" w14:textId="77777777" w:rsidR="00B61585" w:rsidRPr="00137FEB" w:rsidRDefault="00016F29" w:rsidP="00B61585">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eastAsia="en-US"/>
        </w:rPr>
        <w:tab/>
      </w:r>
      <w:r w:rsidRPr="00137FEB">
        <w:rPr>
          <w:szCs w:val="22"/>
          <w:lang w:val="en-GB" w:eastAsia="en-US"/>
        </w:rPr>
        <w:t>if you are taking medicines for high blood pressure. You may be asked not to take these other medicines 12 hours before you are given MabThera. This is because some people have a fall in their blood pressure while they are being given MabThera</w:t>
      </w:r>
    </w:p>
    <w:p w14:paraId="7C332883" w14:textId="77777777" w:rsidR="00B61585" w:rsidRPr="007C3CDA" w:rsidRDefault="00016F29" w:rsidP="00B61585">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eastAsia="en-US"/>
        </w:rPr>
        <w:tab/>
      </w:r>
      <w:r w:rsidRPr="00137FEB">
        <w:rPr>
          <w:szCs w:val="22"/>
          <w:lang w:val="en-GB" w:eastAsia="en-US"/>
        </w:rPr>
        <w:t xml:space="preserve">if you have ever taken medicines which affect your immune system – such as chemotherapy or </w:t>
      </w:r>
      <w:r w:rsidRPr="007C3CDA">
        <w:rPr>
          <w:szCs w:val="22"/>
          <w:lang w:val="en-GB" w:eastAsia="en-US"/>
        </w:rPr>
        <w:t>immune</w:t>
      </w:r>
      <w:r w:rsidR="000A6DDA" w:rsidRPr="007C3CDA">
        <w:rPr>
          <w:szCs w:val="22"/>
          <w:lang w:val="en-GB" w:eastAsia="en-US"/>
        </w:rPr>
        <w:noBreakHyphen/>
      </w:r>
      <w:r w:rsidRPr="007C3CDA">
        <w:rPr>
          <w:szCs w:val="22"/>
          <w:lang w:val="en-GB" w:eastAsia="en-US"/>
        </w:rPr>
        <w:t>suppressive medicines.</w:t>
      </w:r>
    </w:p>
    <w:p w14:paraId="7C332884" w14:textId="77777777" w:rsidR="00B61585" w:rsidRPr="00137FEB" w:rsidRDefault="00B61585" w:rsidP="00B61585">
      <w:pPr>
        <w:tabs>
          <w:tab w:val="left" w:pos="567"/>
        </w:tabs>
        <w:rPr>
          <w:szCs w:val="22"/>
          <w:lang w:val="en-GB" w:eastAsia="en-US"/>
        </w:rPr>
      </w:pPr>
    </w:p>
    <w:p w14:paraId="7C332885" w14:textId="77777777" w:rsidR="00B61585" w:rsidRPr="00D239C4" w:rsidRDefault="00016F29" w:rsidP="00B61585">
      <w:pPr>
        <w:tabs>
          <w:tab w:val="left" w:pos="567"/>
        </w:tabs>
        <w:rPr>
          <w:szCs w:val="22"/>
          <w:lang w:val="en-GB" w:eastAsia="en-US"/>
        </w:rPr>
      </w:pPr>
      <w:r w:rsidRPr="00137FEB">
        <w:rPr>
          <w:szCs w:val="22"/>
          <w:lang w:val="en-GB" w:eastAsia="en-US"/>
        </w:rPr>
        <w:t>If any of the above apply to you (or you are not sure), talk to your doctor, ph</w:t>
      </w:r>
      <w:r w:rsidRPr="00D239C4">
        <w:rPr>
          <w:szCs w:val="22"/>
          <w:lang w:val="en-GB" w:eastAsia="en-US"/>
        </w:rPr>
        <w:t>armacist or nurse before you are given MabThera.</w:t>
      </w:r>
    </w:p>
    <w:p w14:paraId="7C332886" w14:textId="77777777" w:rsidR="00B61585" w:rsidRPr="000400ED" w:rsidRDefault="00B61585" w:rsidP="00B61585">
      <w:pPr>
        <w:tabs>
          <w:tab w:val="left" w:pos="567"/>
        </w:tabs>
        <w:rPr>
          <w:szCs w:val="22"/>
          <w:lang w:val="en-GB" w:eastAsia="en-US"/>
        </w:rPr>
      </w:pPr>
    </w:p>
    <w:p w14:paraId="7C332887" w14:textId="77777777" w:rsidR="00B61585" w:rsidRPr="007C3CDA" w:rsidRDefault="00016F29" w:rsidP="00B61585">
      <w:pPr>
        <w:outlineLvl w:val="0"/>
        <w:rPr>
          <w:b/>
          <w:szCs w:val="22"/>
          <w:lang w:val="en-GB"/>
        </w:rPr>
      </w:pPr>
      <w:r w:rsidRPr="007C3CDA">
        <w:rPr>
          <w:b/>
          <w:szCs w:val="22"/>
          <w:lang w:val="en-GB"/>
        </w:rPr>
        <w:t>Pregnancy and breast</w:t>
      </w:r>
      <w:r w:rsidR="000A6DDA" w:rsidRPr="007C3CDA">
        <w:rPr>
          <w:b/>
          <w:szCs w:val="22"/>
          <w:lang w:val="en-GB"/>
        </w:rPr>
        <w:noBreakHyphen/>
      </w:r>
      <w:r w:rsidRPr="007C3CDA">
        <w:rPr>
          <w:b/>
          <w:szCs w:val="22"/>
          <w:lang w:val="en-GB"/>
        </w:rPr>
        <w:t xml:space="preserve">feeding </w:t>
      </w:r>
    </w:p>
    <w:p w14:paraId="7C332888" w14:textId="77777777" w:rsidR="00B61585" w:rsidRPr="009A4E5A" w:rsidRDefault="00016F29" w:rsidP="00B61585">
      <w:pPr>
        <w:rPr>
          <w:szCs w:val="22"/>
          <w:lang w:val="en-GB"/>
        </w:rPr>
      </w:pPr>
      <w:r w:rsidRPr="00D50019">
        <w:rPr>
          <w:szCs w:val="22"/>
          <w:lang w:val="en-GB"/>
        </w:rPr>
        <w:t>You must tell your doctor or nurse if you are pregnant, think that you might be pregnant or are planning to become pregnant. This is because MabThera can cross the pl</w:t>
      </w:r>
      <w:r w:rsidRPr="009A4E5A">
        <w:rPr>
          <w:szCs w:val="22"/>
          <w:lang w:val="en-GB"/>
        </w:rPr>
        <w:t>acenta and may affect your baby.</w:t>
      </w:r>
    </w:p>
    <w:p w14:paraId="7C332889" w14:textId="77777777" w:rsidR="00B61585" w:rsidRPr="009A4E5A" w:rsidRDefault="00016F29" w:rsidP="00B61585">
      <w:pPr>
        <w:rPr>
          <w:szCs w:val="22"/>
          <w:lang w:val="en-GB"/>
        </w:rPr>
      </w:pPr>
      <w:r w:rsidRPr="009A4E5A">
        <w:rPr>
          <w:szCs w:val="22"/>
          <w:lang w:val="en-GB"/>
        </w:rPr>
        <w:t>If you can get pregnant, you and your partner must use an effective method of contraception while using MabThera. You must also do this for 12 months after your last treatment with MabThera.</w:t>
      </w:r>
    </w:p>
    <w:p w14:paraId="7C33288A" w14:textId="77777777" w:rsidR="00B61585" w:rsidRPr="007C3CDA" w:rsidRDefault="00016F29" w:rsidP="00B61585">
      <w:pPr>
        <w:rPr>
          <w:szCs w:val="22"/>
          <w:lang w:val="en-GB"/>
        </w:rPr>
      </w:pPr>
      <w:r w:rsidRPr="007C3CDA">
        <w:rPr>
          <w:szCs w:val="22"/>
          <w:lang w:val="en-GB"/>
        </w:rPr>
        <w:t>Do not breast</w:t>
      </w:r>
      <w:r w:rsidR="000A6DDA" w:rsidRPr="007C3CDA">
        <w:rPr>
          <w:szCs w:val="22"/>
          <w:lang w:val="en-GB"/>
        </w:rPr>
        <w:noBreakHyphen/>
      </w:r>
      <w:r w:rsidRPr="007C3CDA">
        <w:rPr>
          <w:szCs w:val="22"/>
          <w:lang w:val="en-GB"/>
        </w:rPr>
        <w:t>feed while you are being treated with MabThera. Also do not breast</w:t>
      </w:r>
      <w:r w:rsidR="000A6DDA" w:rsidRPr="007C3CDA">
        <w:rPr>
          <w:szCs w:val="22"/>
          <w:lang w:val="en-GB"/>
        </w:rPr>
        <w:noBreakHyphen/>
      </w:r>
      <w:r w:rsidRPr="007C3CDA">
        <w:rPr>
          <w:szCs w:val="22"/>
          <w:lang w:val="en-GB"/>
        </w:rPr>
        <w:t>feed for 12 months after your last treatment with MabThera. This is because MabThera may pass into breast milk.</w:t>
      </w:r>
    </w:p>
    <w:p w14:paraId="7C33288B" w14:textId="77777777" w:rsidR="00B61585" w:rsidRPr="00FC61B8" w:rsidRDefault="00B61585" w:rsidP="00B61585">
      <w:pPr>
        <w:keepNext/>
        <w:outlineLvl w:val="0"/>
        <w:rPr>
          <w:b/>
          <w:szCs w:val="22"/>
          <w:lang w:val="en-GB"/>
        </w:rPr>
      </w:pPr>
    </w:p>
    <w:p w14:paraId="7C33288C" w14:textId="77777777" w:rsidR="00B61585" w:rsidRPr="00FC61B8" w:rsidRDefault="00016F29" w:rsidP="00B61585">
      <w:pPr>
        <w:keepNext/>
        <w:outlineLvl w:val="0"/>
        <w:rPr>
          <w:b/>
          <w:szCs w:val="22"/>
          <w:lang w:val="en-GB"/>
        </w:rPr>
      </w:pPr>
      <w:r w:rsidRPr="00FC61B8">
        <w:rPr>
          <w:b/>
          <w:szCs w:val="22"/>
          <w:lang w:val="en-GB"/>
        </w:rPr>
        <w:t>Driving and using machines</w:t>
      </w:r>
    </w:p>
    <w:p w14:paraId="7C33288D" w14:textId="77777777" w:rsidR="00B61585" w:rsidRPr="00CD7883" w:rsidRDefault="00016F29" w:rsidP="00B61585">
      <w:pPr>
        <w:outlineLvl w:val="0"/>
        <w:rPr>
          <w:bCs/>
          <w:szCs w:val="22"/>
          <w:lang w:val="en-GB"/>
        </w:rPr>
      </w:pPr>
      <w:r w:rsidRPr="00CD7883">
        <w:rPr>
          <w:szCs w:val="22"/>
          <w:lang w:val="en-GB"/>
        </w:rPr>
        <w:t>It is not known whether MabThera has an effect on you being able to drive or use any tools or machines.</w:t>
      </w:r>
    </w:p>
    <w:p w14:paraId="7C33288E" w14:textId="77777777" w:rsidR="00783341" w:rsidRDefault="00783341" w:rsidP="00783341">
      <w:pPr>
        <w:rPr>
          <w:bCs/>
          <w:szCs w:val="22"/>
          <w:u w:val="single"/>
          <w:lang w:val="en-GB"/>
        </w:rPr>
      </w:pPr>
    </w:p>
    <w:p w14:paraId="7C33288F" w14:textId="77777777" w:rsidR="00783341" w:rsidRPr="00AA7B51" w:rsidRDefault="00016F29" w:rsidP="00783341">
      <w:pPr>
        <w:rPr>
          <w:b/>
          <w:bCs/>
          <w:szCs w:val="22"/>
          <w:lang w:val="en-GB"/>
        </w:rPr>
      </w:pPr>
      <w:r w:rsidRPr="00AA7B51">
        <w:rPr>
          <w:b/>
          <w:bCs/>
          <w:szCs w:val="22"/>
          <w:lang w:val="en-GB"/>
        </w:rPr>
        <w:t>Sodium</w:t>
      </w:r>
    </w:p>
    <w:p w14:paraId="7C332890" w14:textId="77777777" w:rsidR="00B61585" w:rsidRPr="00CD7883" w:rsidRDefault="00016F29" w:rsidP="00783341">
      <w:pPr>
        <w:rPr>
          <w:bCs/>
          <w:szCs w:val="22"/>
          <w:lang w:val="en-GB"/>
        </w:rPr>
      </w:pPr>
      <w:r>
        <w:rPr>
          <w:bCs/>
          <w:szCs w:val="22"/>
          <w:lang w:val="en-GB"/>
        </w:rPr>
        <w:t xml:space="preserve">MabThera 1400 mg contains less than 1 mmol </w:t>
      </w:r>
      <w:r w:rsidRPr="00D4598C">
        <w:rPr>
          <w:bCs/>
          <w:szCs w:val="22"/>
          <w:lang w:val="en-GB"/>
        </w:rPr>
        <w:t xml:space="preserve">sodium </w:t>
      </w:r>
      <w:r w:rsidR="00083FCE" w:rsidRPr="00D4598C">
        <w:rPr>
          <w:bCs/>
          <w:szCs w:val="22"/>
          <w:lang w:val="en-GB"/>
        </w:rPr>
        <w:t>(</w:t>
      </w:r>
      <w:r w:rsidR="00083FCE" w:rsidRPr="00D4598C">
        <w:rPr>
          <w:color w:val="222222"/>
          <w:szCs w:val="22"/>
          <w:shd w:val="clear" w:color="auto" w:fill="FFFFFF"/>
        </w:rPr>
        <w:t xml:space="preserve">main component of the cooking/table salt) </w:t>
      </w:r>
      <w:r w:rsidRPr="00D4598C">
        <w:rPr>
          <w:bCs/>
          <w:szCs w:val="22"/>
          <w:lang w:val="en-GB"/>
        </w:rPr>
        <w:t>per</w:t>
      </w:r>
      <w:r>
        <w:rPr>
          <w:bCs/>
          <w:szCs w:val="22"/>
          <w:lang w:val="en-GB"/>
        </w:rPr>
        <w:t xml:space="preserve"> dose, i.e. it is essentially sodium-free.</w:t>
      </w:r>
    </w:p>
    <w:p w14:paraId="7C332891" w14:textId="77777777" w:rsidR="00B61585" w:rsidRDefault="00B61585" w:rsidP="00B61585">
      <w:pPr>
        <w:rPr>
          <w:bCs/>
          <w:szCs w:val="22"/>
          <w:lang w:val="en-GB"/>
        </w:rPr>
      </w:pPr>
    </w:p>
    <w:p w14:paraId="7C332892" w14:textId="77777777" w:rsidR="002E14CF" w:rsidRPr="00DE32D5" w:rsidRDefault="002E14CF" w:rsidP="00B61585">
      <w:pPr>
        <w:rPr>
          <w:bCs/>
          <w:szCs w:val="22"/>
          <w:lang w:val="en-GB"/>
        </w:rPr>
      </w:pPr>
    </w:p>
    <w:p w14:paraId="7C332893" w14:textId="77777777" w:rsidR="00B61585" w:rsidRPr="0012747B" w:rsidRDefault="00016F29" w:rsidP="00EF26AD">
      <w:pPr>
        <w:keepNext/>
        <w:keepLines/>
        <w:tabs>
          <w:tab w:val="left" w:pos="567"/>
        </w:tabs>
        <w:rPr>
          <w:b/>
          <w:sz w:val="24"/>
          <w:szCs w:val="22"/>
          <w:lang w:val="en-GB" w:eastAsia="en-US"/>
        </w:rPr>
      </w:pPr>
      <w:r w:rsidRPr="00DE32D5">
        <w:rPr>
          <w:b/>
          <w:sz w:val="24"/>
          <w:szCs w:val="22"/>
          <w:lang w:val="en-GB" w:eastAsia="en-US"/>
        </w:rPr>
        <w:t>3</w:t>
      </w:r>
      <w:r w:rsidRPr="00DE32D5">
        <w:rPr>
          <w:b/>
          <w:sz w:val="24"/>
          <w:szCs w:val="22"/>
          <w:lang w:val="en-GB" w:eastAsia="en-US"/>
        </w:rPr>
        <w:tab/>
        <w:t>How MabThera is given</w:t>
      </w:r>
    </w:p>
    <w:p w14:paraId="7C332894" w14:textId="77777777" w:rsidR="00B61585" w:rsidRPr="009C488C" w:rsidRDefault="00B61585" w:rsidP="00EF26AD">
      <w:pPr>
        <w:keepNext/>
        <w:keepLines/>
        <w:tabs>
          <w:tab w:val="left" w:pos="567"/>
        </w:tabs>
        <w:rPr>
          <w:b/>
          <w:szCs w:val="22"/>
          <w:lang w:val="en-GB" w:eastAsia="en-US"/>
        </w:rPr>
      </w:pPr>
    </w:p>
    <w:p w14:paraId="7C332895" w14:textId="77777777" w:rsidR="00B61585" w:rsidRPr="00870B51" w:rsidRDefault="00016F29" w:rsidP="00EF26AD">
      <w:pPr>
        <w:keepNext/>
        <w:keepLines/>
        <w:tabs>
          <w:tab w:val="left" w:pos="567"/>
        </w:tabs>
        <w:rPr>
          <w:b/>
          <w:szCs w:val="22"/>
          <w:lang w:val="en-GB" w:eastAsia="en-US"/>
        </w:rPr>
      </w:pPr>
      <w:r w:rsidRPr="00870B51">
        <w:rPr>
          <w:b/>
          <w:szCs w:val="22"/>
          <w:lang w:val="en-GB" w:eastAsia="en-US"/>
        </w:rPr>
        <w:t>How it is given</w:t>
      </w:r>
    </w:p>
    <w:p w14:paraId="7C332896" w14:textId="77777777" w:rsidR="00B61585" w:rsidRPr="00B0192B" w:rsidRDefault="00016F29" w:rsidP="00B61585">
      <w:pPr>
        <w:tabs>
          <w:tab w:val="left" w:pos="567"/>
        </w:tabs>
        <w:rPr>
          <w:szCs w:val="22"/>
          <w:lang w:val="en-GB" w:eastAsia="en-US"/>
        </w:rPr>
      </w:pPr>
      <w:r w:rsidRPr="00EA11D5">
        <w:rPr>
          <w:szCs w:val="22"/>
          <w:lang w:val="en-GB" w:eastAsia="en-US"/>
        </w:rPr>
        <w:t>MabThera will be given to you by a doctor or nurse who is experienced in the use of this treatment. They will watch you closely while you are being given this me</w:t>
      </w:r>
      <w:r w:rsidRPr="00B0192B">
        <w:rPr>
          <w:szCs w:val="22"/>
          <w:lang w:val="en-GB" w:eastAsia="en-US"/>
        </w:rPr>
        <w:t>dicine. This is in case you get any side effects.</w:t>
      </w:r>
    </w:p>
    <w:p w14:paraId="7C332897" w14:textId="77777777" w:rsidR="00B61585" w:rsidRPr="00295A1D" w:rsidRDefault="00B61585" w:rsidP="00B61585">
      <w:pPr>
        <w:tabs>
          <w:tab w:val="left" w:pos="567"/>
        </w:tabs>
        <w:rPr>
          <w:szCs w:val="22"/>
          <w:lang w:val="en-GB" w:eastAsia="en-US"/>
        </w:rPr>
      </w:pPr>
    </w:p>
    <w:p w14:paraId="7C332898" w14:textId="77777777" w:rsidR="00B61585" w:rsidRPr="007C3CDA" w:rsidRDefault="00016F29" w:rsidP="00B61585">
      <w:pPr>
        <w:tabs>
          <w:tab w:val="left" w:pos="567"/>
        </w:tabs>
        <w:rPr>
          <w:szCs w:val="22"/>
          <w:lang w:val="en-GB" w:eastAsia="en-US"/>
        </w:rPr>
      </w:pPr>
      <w:r w:rsidRPr="007C3CDA">
        <w:rPr>
          <w:szCs w:val="22"/>
          <w:lang w:val="en-GB" w:eastAsia="en-US"/>
        </w:rPr>
        <w:t>You will always be given MabThera as a drip (intra</w:t>
      </w:r>
      <w:r w:rsidR="000A6DDA" w:rsidRPr="007C3CDA">
        <w:rPr>
          <w:szCs w:val="22"/>
          <w:lang w:val="en-GB" w:eastAsia="en-US"/>
        </w:rPr>
        <w:noBreakHyphen/>
      </w:r>
      <w:r w:rsidRPr="007C3CDA">
        <w:rPr>
          <w:szCs w:val="22"/>
          <w:lang w:val="en-GB" w:eastAsia="en-US"/>
        </w:rPr>
        <w:t xml:space="preserve">venous infusion) at the start of your treatment. </w:t>
      </w:r>
    </w:p>
    <w:p w14:paraId="7C332899" w14:textId="77777777" w:rsidR="00B61585" w:rsidRPr="007C3CDA" w:rsidRDefault="00B61585" w:rsidP="00B61585">
      <w:pPr>
        <w:tabs>
          <w:tab w:val="left" w:pos="567"/>
        </w:tabs>
        <w:rPr>
          <w:szCs w:val="22"/>
          <w:lang w:val="en-GB" w:eastAsia="en-US"/>
        </w:rPr>
      </w:pPr>
    </w:p>
    <w:p w14:paraId="7C33289A" w14:textId="77777777" w:rsidR="00B61585" w:rsidRPr="003C313A" w:rsidRDefault="00016F29" w:rsidP="00B61585">
      <w:pPr>
        <w:tabs>
          <w:tab w:val="left" w:pos="567"/>
        </w:tabs>
        <w:rPr>
          <w:szCs w:val="22"/>
          <w:lang w:val="en-GB" w:eastAsia="en-US"/>
        </w:rPr>
      </w:pPr>
      <w:r w:rsidRPr="007C3CDA">
        <w:rPr>
          <w:szCs w:val="22"/>
          <w:lang w:val="en-GB" w:eastAsia="en-US"/>
        </w:rPr>
        <w:t xml:space="preserve">After this, you will be given MabThera as an injection under your skin </w:t>
      </w:r>
      <w:r w:rsidRPr="007C3CDA">
        <w:rPr>
          <w:lang w:val="en-GB"/>
        </w:rPr>
        <w:t>(</w:t>
      </w:r>
      <w:r w:rsidRPr="007C3CDA">
        <w:rPr>
          <w:szCs w:val="22"/>
          <w:lang w:val="en-GB" w:eastAsia="en-US"/>
        </w:rPr>
        <w:t>subcutaneous injection)</w:t>
      </w:r>
      <w:r w:rsidRPr="007C3CDA">
        <w:rPr>
          <w:lang w:val="en-GB"/>
        </w:rPr>
        <w:t xml:space="preserve"> over</w:t>
      </w:r>
      <w:r w:rsidRPr="003C313A">
        <w:rPr>
          <w:lang w:val="en-GB"/>
        </w:rPr>
        <w:t xml:space="preserve"> approximately 5 minutes</w:t>
      </w:r>
      <w:r w:rsidRPr="003C313A">
        <w:rPr>
          <w:szCs w:val="22"/>
          <w:lang w:val="en-GB" w:eastAsia="en-US"/>
        </w:rPr>
        <w:t>.</w:t>
      </w:r>
      <w:r w:rsidR="008769D2">
        <w:rPr>
          <w:szCs w:val="22"/>
          <w:lang w:val="en-GB" w:eastAsia="en-US"/>
        </w:rPr>
        <w:t xml:space="preserve"> </w:t>
      </w:r>
      <w:r w:rsidR="008769D2" w:rsidRPr="008042C2">
        <w:rPr>
          <w:szCs w:val="22"/>
          <w:lang w:val="en-GB"/>
        </w:rPr>
        <w:t>There is a peel-off sticker on the glass vial that specifies the medication. Your doctor or nurse will place the sticker on the syringe before injection.</w:t>
      </w:r>
      <w:r w:rsidR="008769D2">
        <w:rPr>
          <w:szCs w:val="22"/>
          <w:lang w:val="en-GB"/>
        </w:rPr>
        <w:t xml:space="preserve">  </w:t>
      </w:r>
    </w:p>
    <w:p w14:paraId="7C33289B" w14:textId="77777777" w:rsidR="00B61585" w:rsidRPr="003C313A" w:rsidRDefault="00B61585" w:rsidP="00B61585">
      <w:pPr>
        <w:tabs>
          <w:tab w:val="left" w:pos="567"/>
        </w:tabs>
        <w:rPr>
          <w:szCs w:val="22"/>
          <w:lang w:val="en-GB" w:eastAsia="en-US"/>
        </w:rPr>
      </w:pPr>
    </w:p>
    <w:p w14:paraId="7C33289C" w14:textId="77777777" w:rsidR="00B61585" w:rsidRPr="003C313A" w:rsidRDefault="00016F29" w:rsidP="00B61585">
      <w:pPr>
        <w:tabs>
          <w:tab w:val="left" w:pos="567"/>
        </w:tabs>
        <w:rPr>
          <w:szCs w:val="22"/>
          <w:lang w:val="en-GB" w:eastAsia="en-US"/>
        </w:rPr>
      </w:pPr>
      <w:r w:rsidRPr="003C313A">
        <w:rPr>
          <w:szCs w:val="22"/>
          <w:lang w:val="en-GB" w:eastAsia="en-US"/>
        </w:rPr>
        <w:t>Your doctor will decide when to start MabThera injections.</w:t>
      </w:r>
    </w:p>
    <w:p w14:paraId="7C33289D" w14:textId="77777777" w:rsidR="00B61585" w:rsidRPr="003C313A" w:rsidRDefault="00B61585" w:rsidP="00B61585">
      <w:pPr>
        <w:tabs>
          <w:tab w:val="left" w:pos="567"/>
        </w:tabs>
        <w:rPr>
          <w:szCs w:val="22"/>
          <w:lang w:val="en-GB" w:eastAsia="en-US"/>
        </w:rPr>
      </w:pPr>
    </w:p>
    <w:p w14:paraId="7C33289E" w14:textId="77777777" w:rsidR="00B61585" w:rsidRPr="003C313A" w:rsidRDefault="00016F29" w:rsidP="00B61585">
      <w:pPr>
        <w:tabs>
          <w:tab w:val="left" w:pos="567"/>
        </w:tabs>
        <w:rPr>
          <w:rFonts w:eastAsia="SimSun"/>
          <w:szCs w:val="22"/>
          <w:lang w:val="en-GB" w:eastAsia="zh-CN"/>
        </w:rPr>
      </w:pPr>
      <w:r w:rsidRPr="003C313A">
        <w:rPr>
          <w:szCs w:val="22"/>
          <w:lang w:val="en-GB" w:eastAsia="en-US"/>
        </w:rPr>
        <w:t>When injected under your skin, it is given in the stomach area,</w:t>
      </w:r>
      <w:r w:rsidRPr="003C313A">
        <w:rPr>
          <w:rFonts w:eastAsia="SimSun"/>
          <w:szCs w:val="22"/>
          <w:lang w:val="en-GB" w:eastAsia="zh-CN"/>
        </w:rPr>
        <w:t xml:space="preserve"> not in other sites of the body, and not into areas of the stomach where the skin is red, bruised, tender, hard or where there are moles or scars.</w:t>
      </w:r>
    </w:p>
    <w:p w14:paraId="7C33289F" w14:textId="77777777" w:rsidR="00B61585" w:rsidRPr="003C313A" w:rsidRDefault="00B61585" w:rsidP="00B61585">
      <w:pPr>
        <w:tabs>
          <w:tab w:val="left" w:pos="567"/>
        </w:tabs>
        <w:rPr>
          <w:szCs w:val="22"/>
          <w:lang w:val="en-GB" w:eastAsia="en-US"/>
        </w:rPr>
      </w:pPr>
    </w:p>
    <w:p w14:paraId="7C3328A0" w14:textId="77777777" w:rsidR="00B61585" w:rsidRPr="003C313A" w:rsidRDefault="00016F29" w:rsidP="00B61585">
      <w:pPr>
        <w:tabs>
          <w:tab w:val="left" w:pos="567"/>
        </w:tabs>
        <w:rPr>
          <w:b/>
          <w:szCs w:val="22"/>
          <w:lang w:val="en-GB" w:eastAsia="en-US"/>
        </w:rPr>
      </w:pPr>
      <w:r w:rsidRPr="003C313A">
        <w:rPr>
          <w:b/>
          <w:szCs w:val="22"/>
          <w:lang w:val="en-GB" w:eastAsia="en-US"/>
        </w:rPr>
        <w:t>Medicines given before each MabThera administration</w:t>
      </w:r>
    </w:p>
    <w:p w14:paraId="7C3328A1" w14:textId="77777777" w:rsidR="00B61585" w:rsidRPr="003C313A" w:rsidRDefault="00016F29" w:rsidP="00B61585">
      <w:pPr>
        <w:tabs>
          <w:tab w:val="left" w:pos="567"/>
        </w:tabs>
        <w:rPr>
          <w:szCs w:val="22"/>
          <w:lang w:val="en-GB" w:eastAsia="en-US"/>
        </w:rPr>
      </w:pPr>
      <w:r w:rsidRPr="007C3CDA">
        <w:rPr>
          <w:szCs w:val="22"/>
          <w:lang w:val="en-GB" w:eastAsia="en-US"/>
        </w:rPr>
        <w:t>Before you are given MabThera, you will be given other medicines (pre</w:t>
      </w:r>
      <w:r w:rsidR="000A6DDA" w:rsidRPr="007C3CDA">
        <w:rPr>
          <w:szCs w:val="22"/>
          <w:lang w:val="en-GB" w:eastAsia="en-US"/>
        </w:rPr>
        <w:noBreakHyphen/>
      </w:r>
      <w:r w:rsidRPr="007C3CDA">
        <w:rPr>
          <w:szCs w:val="22"/>
          <w:lang w:val="en-GB" w:eastAsia="en-US"/>
        </w:rPr>
        <w:t>medication) to prevent or</w:t>
      </w:r>
      <w:r w:rsidRPr="003C313A">
        <w:rPr>
          <w:szCs w:val="22"/>
          <w:lang w:val="en-GB" w:eastAsia="en-US"/>
        </w:rPr>
        <w:t xml:space="preserve"> reduce possible side effects.</w:t>
      </w:r>
    </w:p>
    <w:p w14:paraId="7C3328A2" w14:textId="77777777" w:rsidR="00B61585" w:rsidRPr="003C313A" w:rsidRDefault="00B61585" w:rsidP="00B61585">
      <w:pPr>
        <w:tabs>
          <w:tab w:val="left" w:pos="567"/>
        </w:tabs>
        <w:rPr>
          <w:szCs w:val="22"/>
          <w:lang w:val="en-GB" w:eastAsia="en-US"/>
        </w:rPr>
      </w:pPr>
    </w:p>
    <w:p w14:paraId="7C3328A3" w14:textId="77777777" w:rsidR="00B61585" w:rsidRPr="003C313A" w:rsidRDefault="00016F29" w:rsidP="00B61585">
      <w:pPr>
        <w:tabs>
          <w:tab w:val="left" w:pos="567"/>
        </w:tabs>
        <w:rPr>
          <w:b/>
          <w:bCs/>
          <w:szCs w:val="22"/>
          <w:lang w:val="en-GB"/>
        </w:rPr>
      </w:pPr>
      <w:r w:rsidRPr="003C313A">
        <w:rPr>
          <w:b/>
          <w:bCs/>
          <w:szCs w:val="22"/>
          <w:lang w:val="en-GB"/>
        </w:rPr>
        <w:t>How much and how often you will receive your treatment</w:t>
      </w:r>
    </w:p>
    <w:p w14:paraId="7C3328A4" w14:textId="77777777" w:rsidR="00B61585" w:rsidRPr="003C313A" w:rsidRDefault="00B61585" w:rsidP="00B61585">
      <w:pPr>
        <w:tabs>
          <w:tab w:val="left" w:pos="567"/>
        </w:tabs>
        <w:ind w:left="720"/>
        <w:rPr>
          <w:szCs w:val="22"/>
          <w:lang w:val="en-GB"/>
        </w:rPr>
      </w:pPr>
    </w:p>
    <w:p w14:paraId="7C3328A5" w14:textId="77777777" w:rsidR="00B61585" w:rsidRPr="00D239C4" w:rsidRDefault="00016F29" w:rsidP="00B61585">
      <w:pPr>
        <w:ind w:left="924" w:hanging="567"/>
        <w:rPr>
          <w:szCs w:val="22"/>
          <w:lang w:val="en-GB"/>
        </w:rPr>
      </w:pPr>
      <w:r w:rsidRPr="005214E1">
        <w:rPr>
          <w:rFonts w:ascii="Symbol" w:hAnsi="Symbol"/>
          <w:lang w:val="en-GB"/>
        </w:rPr>
        <w:sym w:font="Symbol" w:char="F0B7"/>
      </w:r>
      <w:r w:rsidRPr="003C313A">
        <w:rPr>
          <w:szCs w:val="22"/>
          <w:lang w:val="en-GB"/>
        </w:rPr>
        <w:tab/>
      </w:r>
      <w:r w:rsidRPr="00137FEB">
        <w:rPr>
          <w:szCs w:val="22"/>
          <w:lang w:val="en-GB"/>
        </w:rPr>
        <w:t xml:space="preserve">MabThera will be given to you on the same day as your chemotherapy. This is usually given </w:t>
      </w:r>
      <w:r w:rsidRPr="00D239C4">
        <w:rPr>
          <w:szCs w:val="22"/>
          <w:lang w:val="en-GB"/>
        </w:rPr>
        <w:t>every 3 weeks up to 8 times.</w:t>
      </w:r>
    </w:p>
    <w:p w14:paraId="7C3328A6" w14:textId="77777777" w:rsidR="00B61585" w:rsidRPr="00137FEB" w:rsidRDefault="00016F29" w:rsidP="00AA7B51">
      <w:pPr>
        <w:ind w:left="924" w:hanging="567"/>
        <w:rPr>
          <w:b/>
          <w:szCs w:val="22"/>
          <w:lang w:val="en-GB"/>
        </w:rPr>
      </w:pPr>
      <w:r w:rsidRPr="005214E1">
        <w:rPr>
          <w:rFonts w:ascii="Symbol" w:hAnsi="Symbol"/>
          <w:lang w:val="en-GB"/>
        </w:rPr>
        <w:sym w:font="Symbol" w:char="F0B7"/>
      </w:r>
      <w:r w:rsidRPr="003C313A">
        <w:rPr>
          <w:szCs w:val="22"/>
          <w:lang w:val="en-GB"/>
        </w:rPr>
        <w:tab/>
      </w:r>
      <w:r w:rsidRPr="00137FEB">
        <w:rPr>
          <w:szCs w:val="22"/>
          <w:lang w:val="en-GB"/>
        </w:rPr>
        <w:t>If you respond well to treatment, you may be given MabThera as a maintenance treatment every</w:t>
      </w:r>
      <w:r w:rsidR="00783341">
        <w:rPr>
          <w:szCs w:val="22"/>
          <w:lang w:val="en-GB"/>
        </w:rPr>
        <w:t xml:space="preserve"> </w:t>
      </w:r>
      <w:r w:rsidRPr="00137FEB">
        <w:rPr>
          <w:szCs w:val="22"/>
          <w:lang w:val="en-GB"/>
        </w:rPr>
        <w:t xml:space="preserve">2 or 3 months for two years. </w:t>
      </w:r>
    </w:p>
    <w:p w14:paraId="7C3328A7" w14:textId="77777777" w:rsidR="00B61585" w:rsidRPr="00D50019" w:rsidRDefault="00016F29" w:rsidP="00B61585">
      <w:pPr>
        <w:rPr>
          <w:b/>
          <w:szCs w:val="22"/>
          <w:lang w:val="en-GB"/>
        </w:rPr>
      </w:pPr>
      <w:r w:rsidRPr="00D239C4">
        <w:rPr>
          <w:szCs w:val="22"/>
          <w:lang w:val="en-GB"/>
        </w:rPr>
        <w:tab/>
      </w:r>
      <w:r w:rsidRPr="000400ED">
        <w:rPr>
          <w:szCs w:val="22"/>
          <w:lang w:val="en-GB"/>
        </w:rPr>
        <w:t>Your doctor may change this, depen</w:t>
      </w:r>
      <w:r w:rsidRPr="001976F0">
        <w:rPr>
          <w:szCs w:val="22"/>
          <w:lang w:val="en-GB"/>
        </w:rPr>
        <w:t xml:space="preserve">ding on how you </w:t>
      </w:r>
      <w:r w:rsidRPr="00D3771E">
        <w:rPr>
          <w:bCs/>
          <w:szCs w:val="22"/>
          <w:lang w:val="en-GB"/>
        </w:rPr>
        <w:t>respond to the medicine</w:t>
      </w:r>
      <w:r w:rsidRPr="009F47AE">
        <w:rPr>
          <w:szCs w:val="22"/>
          <w:lang w:val="en-GB"/>
        </w:rPr>
        <w:t>.</w:t>
      </w:r>
    </w:p>
    <w:p w14:paraId="7C3328A8" w14:textId="77777777" w:rsidR="00B61585" w:rsidRPr="009A4E5A" w:rsidRDefault="00B61585" w:rsidP="00B61585">
      <w:pPr>
        <w:numPr>
          <w:ilvl w:val="12"/>
          <w:numId w:val="0"/>
        </w:numPr>
        <w:ind w:right="-2"/>
        <w:rPr>
          <w:szCs w:val="22"/>
          <w:lang w:val="en-GB"/>
        </w:rPr>
      </w:pPr>
    </w:p>
    <w:p w14:paraId="7C3328A9" w14:textId="77777777" w:rsidR="00B61585" w:rsidRPr="00ED3BF4" w:rsidRDefault="00016F29" w:rsidP="00B61585">
      <w:pPr>
        <w:numPr>
          <w:ilvl w:val="12"/>
          <w:numId w:val="0"/>
        </w:numPr>
        <w:ind w:right="-2"/>
        <w:rPr>
          <w:lang w:val="en-GB" w:eastAsia="en-US"/>
        </w:rPr>
      </w:pPr>
      <w:r w:rsidRPr="009A4E5A">
        <w:rPr>
          <w:szCs w:val="22"/>
          <w:lang w:val="en-GB"/>
        </w:rPr>
        <w:t>If you have any further questions on the use of this medicine, ask your doctor, pharmacist or nurse.</w:t>
      </w:r>
    </w:p>
    <w:p w14:paraId="7C3328AA" w14:textId="77777777" w:rsidR="00B61585" w:rsidRPr="00FC61B8" w:rsidRDefault="00B61585" w:rsidP="00B61585">
      <w:pPr>
        <w:numPr>
          <w:ilvl w:val="12"/>
          <w:numId w:val="0"/>
        </w:numPr>
        <w:rPr>
          <w:lang w:val="en-GB" w:eastAsia="en-US"/>
        </w:rPr>
      </w:pPr>
    </w:p>
    <w:p w14:paraId="7C3328AB" w14:textId="77777777" w:rsidR="00B61585" w:rsidRPr="00FC61B8" w:rsidRDefault="00B61585" w:rsidP="00B61585">
      <w:pPr>
        <w:numPr>
          <w:ilvl w:val="12"/>
          <w:numId w:val="0"/>
        </w:numPr>
        <w:rPr>
          <w:lang w:val="en-GB" w:eastAsia="en-US"/>
        </w:rPr>
      </w:pPr>
    </w:p>
    <w:p w14:paraId="7C3328AC" w14:textId="77777777" w:rsidR="00B61585" w:rsidRPr="00CD7883" w:rsidRDefault="00016F29" w:rsidP="00B61585">
      <w:pPr>
        <w:rPr>
          <w:b/>
          <w:sz w:val="24"/>
          <w:szCs w:val="22"/>
          <w:lang w:val="en-GB" w:eastAsia="en-US"/>
        </w:rPr>
      </w:pPr>
      <w:r w:rsidRPr="00CD7883">
        <w:rPr>
          <w:b/>
          <w:sz w:val="24"/>
          <w:szCs w:val="22"/>
          <w:lang w:val="en-GB" w:eastAsia="en-US"/>
        </w:rPr>
        <w:t>4</w:t>
      </w:r>
      <w:r w:rsidRPr="00CD7883">
        <w:rPr>
          <w:b/>
          <w:sz w:val="24"/>
          <w:szCs w:val="22"/>
          <w:lang w:val="en-GB" w:eastAsia="en-US"/>
        </w:rPr>
        <w:tab/>
        <w:t>Possible side effects</w:t>
      </w:r>
    </w:p>
    <w:p w14:paraId="7C3328AD" w14:textId="77777777" w:rsidR="00B61585" w:rsidRPr="00CD7883" w:rsidRDefault="00B61585" w:rsidP="00B61585">
      <w:pPr>
        <w:rPr>
          <w:szCs w:val="22"/>
          <w:lang w:val="en-GB"/>
        </w:rPr>
      </w:pPr>
    </w:p>
    <w:p w14:paraId="7C3328AE" w14:textId="77777777" w:rsidR="00B61585" w:rsidRPr="00DE32D5" w:rsidRDefault="00016F29" w:rsidP="00B61585">
      <w:pPr>
        <w:rPr>
          <w:szCs w:val="22"/>
          <w:lang w:val="en-GB"/>
        </w:rPr>
      </w:pPr>
      <w:r w:rsidRPr="00CD7883">
        <w:rPr>
          <w:szCs w:val="22"/>
          <w:lang w:val="en-GB"/>
        </w:rPr>
        <w:t xml:space="preserve">Like all medicines, this medicine can cause side effects, although not everybody gets </w:t>
      </w:r>
      <w:r w:rsidRPr="00DE32D5">
        <w:rPr>
          <w:szCs w:val="22"/>
          <w:lang w:val="en-GB"/>
        </w:rPr>
        <w:t xml:space="preserve">them. </w:t>
      </w:r>
    </w:p>
    <w:p w14:paraId="7C3328AF" w14:textId="77777777" w:rsidR="00B61585" w:rsidRPr="00DE32D5" w:rsidRDefault="00B61585" w:rsidP="00B61585">
      <w:pPr>
        <w:rPr>
          <w:szCs w:val="22"/>
          <w:lang w:val="en-GB"/>
        </w:rPr>
      </w:pPr>
    </w:p>
    <w:p w14:paraId="7C3328B0" w14:textId="77777777" w:rsidR="00B61585" w:rsidRPr="0012747B" w:rsidRDefault="00016F29" w:rsidP="00B61585">
      <w:pPr>
        <w:rPr>
          <w:szCs w:val="22"/>
          <w:lang w:val="en-GB"/>
        </w:rPr>
      </w:pPr>
      <w:r w:rsidRPr="0012747B">
        <w:rPr>
          <w:szCs w:val="22"/>
          <w:lang w:val="en-GB"/>
        </w:rPr>
        <w:t>Most side effects are mild to moderate but some may be serious and need treatment. Rarely, some of these side effects have been fatal.</w:t>
      </w:r>
    </w:p>
    <w:p w14:paraId="7C3328B1" w14:textId="77777777" w:rsidR="00B61585" w:rsidRPr="009C488C" w:rsidRDefault="00B61585" w:rsidP="00B61585">
      <w:pPr>
        <w:rPr>
          <w:szCs w:val="22"/>
          <w:lang w:val="en-GB"/>
        </w:rPr>
      </w:pPr>
    </w:p>
    <w:p w14:paraId="7C3328B2" w14:textId="77777777" w:rsidR="00B61585" w:rsidRPr="00870B51" w:rsidRDefault="00016F29" w:rsidP="00B61585">
      <w:pPr>
        <w:outlineLvl w:val="0"/>
        <w:rPr>
          <w:b/>
          <w:bCs/>
          <w:szCs w:val="22"/>
          <w:lang w:val="en-GB"/>
        </w:rPr>
      </w:pPr>
      <w:r w:rsidRPr="00870B51">
        <w:rPr>
          <w:b/>
          <w:bCs/>
          <w:szCs w:val="22"/>
          <w:lang w:val="en-GB"/>
        </w:rPr>
        <w:t>Reactions where the medicine is injected</w:t>
      </w:r>
    </w:p>
    <w:p w14:paraId="7C3328B3" w14:textId="77777777" w:rsidR="00B61585" w:rsidRPr="00EA11D5" w:rsidRDefault="00016F29" w:rsidP="00B61585">
      <w:pPr>
        <w:outlineLvl w:val="0"/>
        <w:rPr>
          <w:rFonts w:cs="Arial"/>
          <w:lang w:val="en-GB"/>
        </w:rPr>
      </w:pPr>
      <w:r w:rsidRPr="00EA11D5">
        <w:rPr>
          <w:rFonts w:cs="Arial"/>
          <w:lang w:val="en-GB"/>
        </w:rPr>
        <w:t xml:space="preserve">Many patients get some local side effects where MabThera is injected. These include: pain, swelling, bruising, bleeding, skin redness, itching and rash. </w:t>
      </w:r>
    </w:p>
    <w:p w14:paraId="7C3328B4" w14:textId="77777777" w:rsidR="00B61585" w:rsidRPr="00B0192B" w:rsidRDefault="00016F29" w:rsidP="00B61585">
      <w:pPr>
        <w:rPr>
          <w:szCs w:val="22"/>
          <w:lang w:val="en-GB"/>
        </w:rPr>
      </w:pPr>
      <w:r w:rsidRPr="00B0192B">
        <w:rPr>
          <w:szCs w:val="22"/>
          <w:lang w:val="en-GB"/>
        </w:rPr>
        <w:t>Your doctor may decide to stop your MabThera treatment if these reactions are serious.</w:t>
      </w:r>
    </w:p>
    <w:p w14:paraId="7C3328B5" w14:textId="77777777" w:rsidR="00B61585" w:rsidRPr="00295A1D" w:rsidRDefault="00B61585" w:rsidP="00B61585">
      <w:pPr>
        <w:rPr>
          <w:szCs w:val="22"/>
          <w:lang w:val="en-GB"/>
        </w:rPr>
      </w:pPr>
    </w:p>
    <w:p w14:paraId="7C3328B6" w14:textId="77777777" w:rsidR="00B61585" w:rsidRPr="001C0303" w:rsidRDefault="00016F29" w:rsidP="00B61585">
      <w:pPr>
        <w:outlineLvl w:val="0"/>
        <w:rPr>
          <w:b/>
          <w:lang w:val="en-GB"/>
        </w:rPr>
      </w:pPr>
      <w:r w:rsidRPr="001C0303">
        <w:rPr>
          <w:b/>
          <w:lang w:val="en-GB"/>
        </w:rPr>
        <w:t>Infections</w:t>
      </w:r>
    </w:p>
    <w:p w14:paraId="7C3328B7" w14:textId="77777777" w:rsidR="00B61585" w:rsidRPr="001C0303" w:rsidRDefault="00016F29" w:rsidP="00B61585">
      <w:pPr>
        <w:rPr>
          <w:b/>
          <w:lang w:val="en-GB"/>
        </w:rPr>
      </w:pPr>
      <w:r w:rsidRPr="001C0303">
        <w:rPr>
          <w:b/>
          <w:szCs w:val="22"/>
          <w:lang w:val="en-GB"/>
        </w:rPr>
        <w:t xml:space="preserve">Tell your doctor immediately </w:t>
      </w:r>
      <w:r w:rsidRPr="001C0303">
        <w:rPr>
          <w:b/>
          <w:lang w:val="en-GB"/>
        </w:rPr>
        <w:t>if you get signs of an infection including:</w:t>
      </w:r>
    </w:p>
    <w:p w14:paraId="7C3328B8" w14:textId="77777777" w:rsidR="00B61585" w:rsidRPr="00137FEB" w:rsidRDefault="00016F29" w:rsidP="00B61585">
      <w:pPr>
        <w:tabs>
          <w:tab w:val="left" w:pos="567"/>
        </w:tabs>
        <w:ind w:left="567" w:hanging="567"/>
        <w:outlineLvl w:val="0"/>
        <w:rPr>
          <w:rFonts w:cs="Arial"/>
          <w:lang w:val="en-GB"/>
        </w:rPr>
      </w:pPr>
      <w:r w:rsidRPr="005214E1">
        <w:rPr>
          <w:rFonts w:ascii="Symbol" w:hAnsi="Symbol"/>
          <w:lang w:val="en-GB"/>
        </w:rPr>
        <w:sym w:font="Symbol" w:char="F0B7"/>
      </w:r>
      <w:r w:rsidRPr="003C313A">
        <w:rPr>
          <w:szCs w:val="22"/>
          <w:lang w:val="en-GB"/>
        </w:rPr>
        <w:tab/>
      </w:r>
      <w:r w:rsidRPr="00137FEB">
        <w:rPr>
          <w:rFonts w:cs="Arial"/>
          <w:lang w:val="en-GB"/>
        </w:rPr>
        <w:t>fever, cough, sore throat, burning pain when passing urine or feeling weak or generally unwell</w:t>
      </w:r>
    </w:p>
    <w:p w14:paraId="7C3328B9" w14:textId="77777777" w:rsidR="00B61585" w:rsidRPr="00137FEB" w:rsidRDefault="00016F29" w:rsidP="00B61585">
      <w:pPr>
        <w:tabs>
          <w:tab w:val="left" w:pos="567"/>
        </w:tabs>
        <w:ind w:left="567" w:hanging="567"/>
        <w:outlineLvl w:val="0"/>
        <w:rPr>
          <w:rFonts w:cs="Arial"/>
          <w:lang w:val="en-GB"/>
        </w:rPr>
      </w:pPr>
      <w:r w:rsidRPr="005214E1">
        <w:rPr>
          <w:rFonts w:ascii="Symbol" w:hAnsi="Symbol"/>
          <w:lang w:val="en-GB"/>
        </w:rPr>
        <w:sym w:font="Symbol" w:char="F0B7"/>
      </w:r>
      <w:r w:rsidRPr="003C313A">
        <w:rPr>
          <w:szCs w:val="22"/>
          <w:lang w:val="en-GB"/>
        </w:rPr>
        <w:tab/>
      </w:r>
      <w:r w:rsidRPr="00137FEB">
        <w:rPr>
          <w:rFonts w:cs="Arial"/>
          <w:lang w:val="en-GB"/>
        </w:rPr>
        <w:t>memory loss, trouble thinking, difficulty walking or sight loss – these may be due to a very rare, serious brain infection, which has been fatal (Progressive Multifocal Leukoencephalopathy or PML).</w:t>
      </w:r>
    </w:p>
    <w:p w14:paraId="7C3328BA" w14:textId="77777777" w:rsidR="00B61585" w:rsidRPr="00137FEB" w:rsidRDefault="00016F29" w:rsidP="00B61585">
      <w:pPr>
        <w:outlineLvl w:val="0"/>
        <w:rPr>
          <w:rFonts w:cs="Arial"/>
          <w:lang w:val="en-GB"/>
        </w:rPr>
      </w:pPr>
      <w:r w:rsidRPr="00137FEB">
        <w:rPr>
          <w:rFonts w:cs="Arial"/>
          <w:lang w:val="en-GB"/>
        </w:rPr>
        <w:t>You might get infections more easily during your treatment with MabThera. These are often colds, but there have been cases of pneumonia or urinary infections. These are listed below under “Other side effects”.</w:t>
      </w:r>
    </w:p>
    <w:p w14:paraId="7C3328BB" w14:textId="77777777" w:rsidR="00B61585" w:rsidRPr="00D239C4" w:rsidRDefault="00B61585" w:rsidP="00B61585">
      <w:pPr>
        <w:rPr>
          <w:szCs w:val="22"/>
          <w:lang w:val="en-GB"/>
        </w:rPr>
      </w:pPr>
    </w:p>
    <w:p w14:paraId="7C3328BC" w14:textId="77777777" w:rsidR="00B61585" w:rsidRPr="001976F0" w:rsidRDefault="00016F29" w:rsidP="00B61585">
      <w:pPr>
        <w:keepNext/>
        <w:outlineLvl w:val="0"/>
        <w:rPr>
          <w:b/>
          <w:szCs w:val="22"/>
          <w:lang w:val="en-GB"/>
        </w:rPr>
      </w:pPr>
      <w:r w:rsidRPr="000400ED">
        <w:rPr>
          <w:b/>
          <w:szCs w:val="22"/>
          <w:lang w:val="en-GB"/>
        </w:rPr>
        <w:t>Other</w:t>
      </w:r>
      <w:r w:rsidRPr="001976F0">
        <w:rPr>
          <w:b/>
          <w:szCs w:val="22"/>
          <w:lang w:val="en-GB"/>
        </w:rPr>
        <w:t xml:space="preserve"> side effects include:</w:t>
      </w:r>
    </w:p>
    <w:p w14:paraId="7C3328BD" w14:textId="77777777" w:rsidR="00B61585" w:rsidRPr="00D3771E" w:rsidRDefault="00B61585" w:rsidP="00B61585">
      <w:pPr>
        <w:keepNext/>
        <w:outlineLvl w:val="0"/>
        <w:rPr>
          <w:b/>
          <w:szCs w:val="22"/>
          <w:lang w:val="en-GB"/>
        </w:rPr>
      </w:pPr>
    </w:p>
    <w:p w14:paraId="7C3328BE" w14:textId="77777777" w:rsidR="00B61585" w:rsidRPr="003C313A" w:rsidRDefault="00016F29" w:rsidP="00B61585">
      <w:pPr>
        <w:rPr>
          <w:b/>
          <w:szCs w:val="22"/>
          <w:lang w:val="en-GB" w:eastAsia="en-US"/>
        </w:rPr>
      </w:pPr>
      <w:r w:rsidRPr="009F47AE">
        <w:rPr>
          <w:b/>
          <w:iCs/>
          <w:lang w:val="en-GB"/>
        </w:rPr>
        <w:t>Very common</w:t>
      </w:r>
      <w:r w:rsidRPr="00D50019">
        <w:rPr>
          <w:b/>
          <w:iCs/>
          <w:lang w:val="en-GB"/>
        </w:rPr>
        <w:t xml:space="preserve"> </w:t>
      </w:r>
      <w:r w:rsidRPr="003C313A">
        <w:rPr>
          <w:b/>
          <w:szCs w:val="22"/>
          <w:lang w:val="en-GB" w:eastAsia="en-US"/>
        </w:rPr>
        <w:t>side effects (may affect more than 1 in 10 people):</w:t>
      </w:r>
    </w:p>
    <w:p w14:paraId="7C3328BF" w14:textId="77777777" w:rsidR="00B61585" w:rsidRPr="00137FEB" w:rsidRDefault="00016F29" w:rsidP="00B61585">
      <w:pPr>
        <w:tabs>
          <w:tab w:val="left" w:pos="567"/>
        </w:tabs>
        <w:ind w:left="568" w:hangingChars="258" w:hanging="568"/>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bacterial or viral infections, bronchitis</w:t>
      </w:r>
    </w:p>
    <w:p w14:paraId="7C3328C0" w14:textId="77777777" w:rsidR="00B61585" w:rsidRPr="00137FEB" w:rsidRDefault="00016F29" w:rsidP="00B61585">
      <w:pPr>
        <w:tabs>
          <w:tab w:val="left" w:pos="567"/>
        </w:tabs>
        <w:ind w:left="568" w:hangingChars="258" w:hanging="568"/>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low number of white blood cells with or without fever or blood cells called “platelets”</w:t>
      </w:r>
    </w:p>
    <w:p w14:paraId="7C3328C1" w14:textId="77777777" w:rsidR="00B61585" w:rsidRPr="00137FEB" w:rsidRDefault="00016F29" w:rsidP="00B61585">
      <w:pPr>
        <w:tabs>
          <w:tab w:val="left" w:pos="567"/>
        </w:tabs>
        <w:ind w:left="568" w:hangingChars="258" w:hanging="568"/>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feeling sick (nausea)</w:t>
      </w:r>
    </w:p>
    <w:p w14:paraId="7C3328C2" w14:textId="77777777" w:rsidR="00B61585" w:rsidRPr="00137FEB" w:rsidRDefault="00016F29" w:rsidP="00B61585">
      <w:pPr>
        <w:tabs>
          <w:tab w:val="left" w:pos="567"/>
        </w:tabs>
        <w:ind w:left="568" w:hangingChars="258" w:hanging="568"/>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bald spots on the scalp, chills, headache</w:t>
      </w:r>
    </w:p>
    <w:p w14:paraId="7C3328C3" w14:textId="77777777" w:rsidR="00B61585" w:rsidRPr="007C3CDA" w:rsidRDefault="00016F29" w:rsidP="00B61585">
      <w:pPr>
        <w:tabs>
          <w:tab w:val="left" w:pos="567"/>
        </w:tabs>
        <w:ind w:left="568" w:hangingChars="258" w:hanging="568"/>
        <w:rPr>
          <w:szCs w:val="22"/>
          <w:lang w:val="en-GB" w:eastAsia="en-US"/>
        </w:rPr>
      </w:pPr>
      <w:r w:rsidRPr="005214E1">
        <w:rPr>
          <w:rFonts w:ascii="Symbol" w:hAnsi="Symbol"/>
          <w:lang w:val="en-GB"/>
        </w:rPr>
        <w:sym w:font="Symbol" w:char="F0B7"/>
      </w:r>
      <w:r w:rsidRPr="007C3CDA">
        <w:rPr>
          <w:szCs w:val="22"/>
          <w:lang w:val="en-GB"/>
        </w:rPr>
        <w:tab/>
      </w:r>
      <w:r w:rsidRPr="007C3CDA">
        <w:rPr>
          <w:szCs w:val="22"/>
          <w:lang w:val="en-GB" w:eastAsia="en-US"/>
        </w:rPr>
        <w:t>lower immunity – because of lower levels of anti</w:t>
      </w:r>
      <w:r w:rsidR="000A6DDA" w:rsidRPr="007C3CDA">
        <w:rPr>
          <w:szCs w:val="22"/>
          <w:lang w:val="en-GB" w:eastAsia="en-US"/>
        </w:rPr>
        <w:noBreakHyphen/>
      </w:r>
      <w:r w:rsidRPr="007C3CDA">
        <w:rPr>
          <w:szCs w:val="22"/>
          <w:lang w:val="en-GB" w:eastAsia="en-US"/>
        </w:rPr>
        <w:t>bodies called “immunoglobulins” (IgG) in the blood which help protect against infection.</w:t>
      </w:r>
    </w:p>
    <w:p w14:paraId="7C3328C4" w14:textId="77777777" w:rsidR="00B61585" w:rsidRPr="007C3CDA" w:rsidRDefault="00B61585" w:rsidP="00B61585">
      <w:pPr>
        <w:rPr>
          <w:b/>
          <w:iCs/>
          <w:lang w:val="en-GB"/>
        </w:rPr>
      </w:pPr>
    </w:p>
    <w:p w14:paraId="7C3328C5" w14:textId="77777777" w:rsidR="00B61585" w:rsidRPr="003C313A" w:rsidRDefault="00016F29" w:rsidP="00B61585">
      <w:pPr>
        <w:rPr>
          <w:b/>
          <w:iCs/>
          <w:lang w:val="en-GB"/>
        </w:rPr>
      </w:pPr>
      <w:r w:rsidRPr="00137FEB">
        <w:rPr>
          <w:b/>
          <w:iCs/>
          <w:lang w:val="en-GB"/>
        </w:rPr>
        <w:t>Common</w:t>
      </w:r>
      <w:r w:rsidRPr="003C313A">
        <w:rPr>
          <w:b/>
          <w:iCs/>
          <w:lang w:val="en-GB"/>
        </w:rPr>
        <w:t xml:space="preserve"> side effects (may affect up to 1 in 10 people):</w:t>
      </w:r>
    </w:p>
    <w:p w14:paraId="7C3328C6" w14:textId="77777777" w:rsidR="00B61585" w:rsidRPr="00D239C4" w:rsidRDefault="00016F29" w:rsidP="00B61585">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infections of the blood (sepsis), pneumonia, shingles</w:t>
      </w:r>
      <w:r w:rsidRPr="00D239C4">
        <w:rPr>
          <w:szCs w:val="22"/>
          <w:lang w:val="en-GB" w:eastAsia="en-US"/>
        </w:rPr>
        <w:t>, cold, bronchial tube infections, fungal infections, infections of unknown origin, sinus inflammation, hepatitis B</w:t>
      </w:r>
    </w:p>
    <w:p w14:paraId="7C3328C7" w14:textId="77777777" w:rsidR="00B61585" w:rsidRPr="00137FEB" w:rsidRDefault="00016F29" w:rsidP="00B61585">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 xml:space="preserve">low number of red blood cells (anaemia), low number of all blood cells </w:t>
      </w:r>
    </w:p>
    <w:p w14:paraId="7C3328C8" w14:textId="77777777" w:rsidR="00B61585" w:rsidRPr="00137FEB" w:rsidRDefault="00016F29" w:rsidP="00B61585">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 xml:space="preserve">allergic reactions (hypersensitivity), </w:t>
      </w:r>
    </w:p>
    <w:p w14:paraId="7C3328C9" w14:textId="77777777" w:rsidR="00B61585" w:rsidRPr="00137FEB" w:rsidRDefault="00016F29" w:rsidP="00B61585">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high blood sugar level, weight loss, swelling in the face and body, high levels of the enzyme “LDH” in the blood, low calcium levels in the blood</w:t>
      </w:r>
    </w:p>
    <w:p w14:paraId="7C3328CA" w14:textId="77777777" w:rsidR="00B61585" w:rsidRPr="00137FEB" w:rsidRDefault="00016F29" w:rsidP="00B61585">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unusual feelings of the skin – such as numbness, tingling, pricking, burning, a creeping skin feeling, reduced sense of touch</w:t>
      </w:r>
    </w:p>
    <w:p w14:paraId="7C3328CB" w14:textId="77777777" w:rsidR="00B61585" w:rsidRPr="00137FEB" w:rsidRDefault="00016F29" w:rsidP="00B61585">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feeling restless, problems falling asleep</w:t>
      </w:r>
    </w:p>
    <w:p w14:paraId="7C3328CC" w14:textId="77777777" w:rsidR="00B61585" w:rsidRPr="00137FEB" w:rsidRDefault="00016F29" w:rsidP="00B61585">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becoming very red in the face and other areas of the skin as a consequence of dilation of the blood vessels</w:t>
      </w:r>
    </w:p>
    <w:p w14:paraId="7C3328CD" w14:textId="77777777" w:rsidR="00B61585" w:rsidRPr="00137FEB" w:rsidRDefault="00016F29" w:rsidP="00B61585">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feeling dizzy or anxious</w:t>
      </w:r>
    </w:p>
    <w:p w14:paraId="7C3328CE" w14:textId="77777777" w:rsidR="00B61585" w:rsidRPr="00137FEB" w:rsidRDefault="00016F29" w:rsidP="00B61585">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producing more tears, tear duct problems, inflamed eye (conjunctivitis)</w:t>
      </w:r>
    </w:p>
    <w:p w14:paraId="7C3328CF" w14:textId="77777777" w:rsidR="00B61585" w:rsidRPr="00137FEB" w:rsidRDefault="00016F29" w:rsidP="00B61585">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ringing sound in the ears, ear pain</w:t>
      </w:r>
    </w:p>
    <w:p w14:paraId="7C3328D0" w14:textId="77777777" w:rsidR="00B61585" w:rsidRPr="00137FEB" w:rsidRDefault="00016F29" w:rsidP="00B61585">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heart problems – such as heart attack, uneven or fast heart rate</w:t>
      </w:r>
    </w:p>
    <w:p w14:paraId="7C3328D1" w14:textId="77777777" w:rsidR="00B61585" w:rsidRPr="00137FEB" w:rsidRDefault="00016F29" w:rsidP="00B61585">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high or low blood pressure (low blood pressure especially when standing upright)</w:t>
      </w:r>
    </w:p>
    <w:p w14:paraId="7C3328D2" w14:textId="77777777" w:rsidR="00B61585" w:rsidRPr="00137FEB" w:rsidRDefault="00016F29" w:rsidP="00B61585">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tightening of the muscles in the airways which causes wheezing (bronchospasm), inflammation, irritation in the lungs, throat or sinuses, being short of breath, runny nose</w:t>
      </w:r>
    </w:p>
    <w:p w14:paraId="7C3328D3" w14:textId="77777777" w:rsidR="00B61585" w:rsidRPr="00137FEB" w:rsidRDefault="00016F29" w:rsidP="00B61585">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being sick (vomiting), diarrhoea, pain in the stomach, irritation or ulcers in the throat and mouth, problems swallowing, constipation, indigestion</w:t>
      </w:r>
    </w:p>
    <w:p w14:paraId="7C3328D4" w14:textId="77777777" w:rsidR="00B61585" w:rsidRPr="00137FEB" w:rsidRDefault="00016F29" w:rsidP="00B61585">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eating disorders, not eating enough, leading to weight loss</w:t>
      </w:r>
    </w:p>
    <w:p w14:paraId="7C3328D5" w14:textId="77777777" w:rsidR="00B61585" w:rsidRPr="00137FEB" w:rsidRDefault="00016F29" w:rsidP="00B61585">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hives, increased sweating, night sweats</w:t>
      </w:r>
    </w:p>
    <w:p w14:paraId="7C3328D6" w14:textId="77777777" w:rsidR="00B61585" w:rsidRPr="00137FEB" w:rsidRDefault="00016F29" w:rsidP="00B61585">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muscle problems – such as tight muscles, joint or muscle pain, back and neck pain</w:t>
      </w:r>
    </w:p>
    <w:p w14:paraId="7C3328D7" w14:textId="77777777" w:rsidR="00B61585" w:rsidRPr="00137FEB" w:rsidRDefault="00016F29" w:rsidP="00B61585">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tumour pain</w:t>
      </w:r>
    </w:p>
    <w:p w14:paraId="7C3328D8" w14:textId="77777777" w:rsidR="00B61585" w:rsidRPr="00137FEB" w:rsidRDefault="00016F29" w:rsidP="00B61585">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general discomfort or feeling uneasy or tired, shaking, signs of flu</w:t>
      </w:r>
    </w:p>
    <w:p w14:paraId="7C3328D9" w14:textId="77777777" w:rsidR="00B61585" w:rsidRPr="007C3CDA" w:rsidRDefault="00016F29" w:rsidP="00B61585">
      <w:pPr>
        <w:tabs>
          <w:tab w:val="left" w:pos="567"/>
        </w:tabs>
        <w:ind w:left="567" w:hanging="567"/>
        <w:rPr>
          <w:szCs w:val="22"/>
          <w:lang w:val="en-GB" w:eastAsia="en-US"/>
        </w:rPr>
      </w:pPr>
      <w:r w:rsidRPr="005214E1">
        <w:rPr>
          <w:rFonts w:ascii="Symbol" w:hAnsi="Symbol"/>
          <w:lang w:val="en-GB"/>
        </w:rPr>
        <w:sym w:font="Symbol" w:char="F0B7"/>
      </w:r>
      <w:r w:rsidRPr="007C3CDA">
        <w:rPr>
          <w:szCs w:val="22"/>
          <w:lang w:val="en-GB"/>
        </w:rPr>
        <w:tab/>
      </w:r>
      <w:r w:rsidRPr="007C3CDA">
        <w:rPr>
          <w:szCs w:val="22"/>
          <w:lang w:val="en-GB" w:eastAsia="en-US"/>
        </w:rPr>
        <w:t>multiple</w:t>
      </w:r>
      <w:r w:rsidR="000A6DDA" w:rsidRPr="007C3CDA">
        <w:rPr>
          <w:szCs w:val="22"/>
          <w:lang w:val="en-GB" w:eastAsia="en-US"/>
        </w:rPr>
        <w:noBreakHyphen/>
      </w:r>
      <w:r w:rsidRPr="007C3CDA">
        <w:rPr>
          <w:szCs w:val="22"/>
          <w:lang w:val="en-GB" w:eastAsia="en-US"/>
        </w:rPr>
        <w:t>organ failure.</w:t>
      </w:r>
    </w:p>
    <w:p w14:paraId="7C3328DA" w14:textId="77777777" w:rsidR="00B61585" w:rsidRPr="00137FEB" w:rsidRDefault="00B61585" w:rsidP="00B61585">
      <w:pPr>
        <w:keepNext/>
        <w:keepLines/>
        <w:rPr>
          <w:b/>
          <w:snapToGrid w:val="0"/>
          <w:lang w:val="en-GB" w:eastAsia="en-US"/>
        </w:rPr>
      </w:pPr>
    </w:p>
    <w:p w14:paraId="7C3328DB" w14:textId="77777777" w:rsidR="00B61585" w:rsidRPr="003C313A" w:rsidRDefault="00016F29" w:rsidP="00B61585">
      <w:pPr>
        <w:rPr>
          <w:b/>
          <w:iCs/>
          <w:lang w:val="en-GB"/>
        </w:rPr>
      </w:pPr>
      <w:r w:rsidRPr="003C313A">
        <w:rPr>
          <w:b/>
          <w:iCs/>
          <w:lang w:val="en-GB"/>
        </w:rPr>
        <w:t>Uncommon side effects (may affect up to 1 in 100 people):</w:t>
      </w:r>
    </w:p>
    <w:p w14:paraId="7C3328DC" w14:textId="77777777" w:rsidR="00B61585" w:rsidRPr="00137FEB" w:rsidRDefault="00016F29" w:rsidP="00B61585">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blood clotting problems, decrease of red blood cell production and increase of red blood cell destruction (aplastic haemolytic anaemia), swollen or enlarged lymph nodes</w:t>
      </w:r>
    </w:p>
    <w:p w14:paraId="7C3328DD" w14:textId="77777777" w:rsidR="00B61585" w:rsidRPr="00137FEB" w:rsidRDefault="00016F29" w:rsidP="00B61585">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low mood and loss of interest or enjoyment in doing things, feeling nervous</w:t>
      </w:r>
    </w:p>
    <w:p w14:paraId="7C3328DE" w14:textId="77777777" w:rsidR="00B61585" w:rsidRPr="00137FEB" w:rsidRDefault="00016F29" w:rsidP="00B61585">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zh-TW"/>
        </w:rPr>
        <w:t>taste problems – such as</w:t>
      </w:r>
      <w:r w:rsidRPr="00137FEB">
        <w:rPr>
          <w:rFonts w:ascii="Calibri" w:hAnsi="Calibri" w:cs="Calibri"/>
          <w:szCs w:val="22"/>
          <w:lang w:val="en-GB" w:eastAsia="zh-TW"/>
        </w:rPr>
        <w:t xml:space="preserve"> </w:t>
      </w:r>
      <w:r w:rsidRPr="00137FEB">
        <w:rPr>
          <w:szCs w:val="22"/>
          <w:lang w:val="en-GB" w:eastAsia="en-US"/>
        </w:rPr>
        <w:t>changes in the way things taste</w:t>
      </w:r>
    </w:p>
    <w:p w14:paraId="7C3328DF" w14:textId="77777777" w:rsidR="00B61585" w:rsidRPr="00137FEB" w:rsidRDefault="00016F29" w:rsidP="00B61585">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heart problems – such as reduced heart rate or chest pain (angina)</w:t>
      </w:r>
    </w:p>
    <w:p w14:paraId="7C3328E0" w14:textId="77777777" w:rsidR="00B61585" w:rsidRPr="00137FEB" w:rsidRDefault="00016F29" w:rsidP="00B61585">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asthma, too little oxygen reaching the body organs</w:t>
      </w:r>
    </w:p>
    <w:p w14:paraId="7C3328E1" w14:textId="77777777" w:rsidR="00B61585" w:rsidRPr="00137FEB" w:rsidRDefault="00016F29" w:rsidP="00B61585">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swelling of the stomach.</w:t>
      </w:r>
    </w:p>
    <w:p w14:paraId="7C3328E2" w14:textId="77777777" w:rsidR="00B61585" w:rsidRPr="00137FEB" w:rsidRDefault="00B61585" w:rsidP="00B61585">
      <w:pPr>
        <w:keepNext/>
        <w:keepLines/>
        <w:rPr>
          <w:b/>
          <w:snapToGrid w:val="0"/>
          <w:lang w:val="en-GB" w:eastAsia="en-US"/>
        </w:rPr>
      </w:pPr>
    </w:p>
    <w:p w14:paraId="7C3328E3" w14:textId="77777777" w:rsidR="00B61585" w:rsidRPr="003C313A" w:rsidRDefault="00016F29" w:rsidP="00B61585">
      <w:pPr>
        <w:rPr>
          <w:b/>
          <w:iCs/>
          <w:lang w:val="en-GB"/>
        </w:rPr>
      </w:pPr>
      <w:r w:rsidRPr="003C313A">
        <w:rPr>
          <w:b/>
          <w:iCs/>
          <w:lang w:val="en-GB"/>
        </w:rPr>
        <w:t>Very rare side effects (may affect up to 1 in 10, 000 people):</w:t>
      </w:r>
    </w:p>
    <w:p w14:paraId="7C3328E4" w14:textId="77777777" w:rsidR="00B61585" w:rsidRPr="00137FEB" w:rsidRDefault="00016F29" w:rsidP="00B61585">
      <w:pPr>
        <w:tabs>
          <w:tab w:val="left" w:pos="567"/>
        </w:tabs>
        <w:ind w:left="567" w:hanging="567"/>
        <w:rPr>
          <w:szCs w:val="22"/>
          <w:lang w:val="en-GB" w:eastAsia="en-US"/>
        </w:rPr>
      </w:pPr>
      <w:r w:rsidRPr="005214E1">
        <w:rPr>
          <w:rFonts w:ascii="Symbol" w:hAnsi="Symbol"/>
          <w:lang w:val="en-GB"/>
        </w:rPr>
        <w:sym w:font="Symbol" w:char="F0B7"/>
      </w:r>
      <w:r w:rsidRPr="007C3CDA">
        <w:rPr>
          <w:szCs w:val="22"/>
          <w:lang w:val="en-GB"/>
        </w:rPr>
        <w:tab/>
      </w:r>
      <w:r w:rsidRPr="007C3CDA">
        <w:rPr>
          <w:szCs w:val="22"/>
          <w:lang w:val="en-GB" w:eastAsia="en-US"/>
        </w:rPr>
        <w:t>short term increase in the amount of some types of anti</w:t>
      </w:r>
      <w:r w:rsidR="000A6DDA" w:rsidRPr="007C3CDA">
        <w:rPr>
          <w:szCs w:val="22"/>
          <w:lang w:val="en-GB" w:eastAsia="en-US"/>
        </w:rPr>
        <w:noBreakHyphen/>
      </w:r>
      <w:r w:rsidRPr="007C3CDA">
        <w:rPr>
          <w:szCs w:val="22"/>
          <w:lang w:val="en-GB" w:eastAsia="en-US"/>
        </w:rPr>
        <w:t>bodies in the blood (called immunoglobulins – IgM), chemical disturbances in the blood caused by break</w:t>
      </w:r>
      <w:r w:rsidR="000A6DDA" w:rsidRPr="007C3CDA">
        <w:rPr>
          <w:szCs w:val="22"/>
          <w:lang w:val="en-GB" w:eastAsia="en-US"/>
        </w:rPr>
        <w:noBreakHyphen/>
      </w:r>
      <w:r w:rsidRPr="007C3CDA">
        <w:rPr>
          <w:szCs w:val="22"/>
          <w:lang w:val="en-GB" w:eastAsia="en-US"/>
        </w:rPr>
        <w:t>down of dying</w:t>
      </w:r>
      <w:r w:rsidRPr="00137FEB">
        <w:rPr>
          <w:szCs w:val="22"/>
          <w:lang w:val="en-GB" w:eastAsia="en-US"/>
        </w:rPr>
        <w:t xml:space="preserve"> cancer cells</w:t>
      </w:r>
    </w:p>
    <w:p w14:paraId="7C3328E5" w14:textId="77777777" w:rsidR="00B61585" w:rsidRPr="00137FEB" w:rsidRDefault="00016F29" w:rsidP="00B61585">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nerve damage in arms and legs, paralysed face</w:t>
      </w:r>
    </w:p>
    <w:p w14:paraId="7C3328E6" w14:textId="77777777" w:rsidR="00B61585" w:rsidRPr="00137FEB" w:rsidRDefault="00016F29" w:rsidP="00B61585">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heart failure</w:t>
      </w:r>
    </w:p>
    <w:p w14:paraId="7C3328E7" w14:textId="77777777" w:rsidR="00B61585" w:rsidRPr="00137FEB" w:rsidRDefault="00016F29" w:rsidP="00B61585">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inflammation of blood vessels including those leading to skin symptoms</w:t>
      </w:r>
    </w:p>
    <w:p w14:paraId="7C3328E8" w14:textId="77777777" w:rsidR="00B61585" w:rsidRPr="00137FEB" w:rsidRDefault="00016F29" w:rsidP="00B61585">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respiratory failure</w:t>
      </w:r>
    </w:p>
    <w:p w14:paraId="7C3328E9" w14:textId="77777777" w:rsidR="00B61585" w:rsidRPr="007C3CDA" w:rsidRDefault="00016F29" w:rsidP="00B61585">
      <w:pPr>
        <w:tabs>
          <w:tab w:val="left" w:pos="567"/>
        </w:tabs>
        <w:ind w:left="567" w:hanging="567"/>
        <w:rPr>
          <w:szCs w:val="22"/>
          <w:lang w:val="en-GB" w:eastAsia="en-US"/>
        </w:rPr>
      </w:pPr>
      <w:r w:rsidRPr="005214E1">
        <w:rPr>
          <w:rFonts w:ascii="Symbol" w:hAnsi="Symbol"/>
          <w:lang w:val="en-GB"/>
        </w:rPr>
        <w:sym w:font="Symbol" w:char="F0B7"/>
      </w:r>
      <w:r w:rsidRPr="007C3CDA">
        <w:rPr>
          <w:szCs w:val="22"/>
          <w:lang w:val="en-GB"/>
        </w:rPr>
        <w:tab/>
      </w:r>
      <w:r w:rsidRPr="007C3CDA">
        <w:rPr>
          <w:szCs w:val="22"/>
          <w:lang w:val="en-GB" w:eastAsia="en-US"/>
        </w:rPr>
        <w:t>damage to the intestinal wall (perforation)</w:t>
      </w:r>
    </w:p>
    <w:p w14:paraId="7C3328EA" w14:textId="77777777" w:rsidR="00B61585" w:rsidRPr="007C3CDA" w:rsidRDefault="00016F29" w:rsidP="00B61585">
      <w:pPr>
        <w:tabs>
          <w:tab w:val="left" w:pos="567"/>
        </w:tabs>
        <w:ind w:left="567" w:hanging="567"/>
        <w:rPr>
          <w:szCs w:val="22"/>
          <w:lang w:val="en-GB" w:eastAsia="en-US"/>
        </w:rPr>
      </w:pPr>
      <w:r w:rsidRPr="005214E1">
        <w:rPr>
          <w:rFonts w:ascii="Symbol" w:hAnsi="Symbol"/>
          <w:lang w:val="en-GB"/>
        </w:rPr>
        <w:sym w:font="Symbol" w:char="F0B7"/>
      </w:r>
      <w:r w:rsidRPr="007C3CDA">
        <w:rPr>
          <w:szCs w:val="22"/>
          <w:lang w:val="en-GB"/>
        </w:rPr>
        <w:tab/>
      </w:r>
      <w:r w:rsidRPr="007C3CDA">
        <w:rPr>
          <w:szCs w:val="22"/>
          <w:lang w:val="en-GB" w:eastAsia="en-US"/>
        </w:rPr>
        <w:t>severe skin problems causing blisters that can be life</w:t>
      </w:r>
      <w:r w:rsidR="000A6DDA" w:rsidRPr="007C3CDA">
        <w:rPr>
          <w:szCs w:val="22"/>
          <w:lang w:val="en-GB" w:eastAsia="en-US"/>
        </w:rPr>
        <w:noBreakHyphen/>
      </w:r>
      <w:r w:rsidRPr="007C3CDA">
        <w:rPr>
          <w:szCs w:val="22"/>
          <w:lang w:val="en-GB" w:eastAsia="en-US"/>
        </w:rPr>
        <w:t xml:space="preserve">threatening </w:t>
      </w:r>
    </w:p>
    <w:p w14:paraId="7C3328EB" w14:textId="77777777" w:rsidR="00B61585" w:rsidRPr="007C3CDA" w:rsidRDefault="00016F29" w:rsidP="00B61585">
      <w:pPr>
        <w:tabs>
          <w:tab w:val="left" w:pos="567"/>
        </w:tabs>
        <w:ind w:left="567" w:hanging="567"/>
        <w:rPr>
          <w:szCs w:val="22"/>
          <w:lang w:val="en-GB" w:eastAsia="en-US"/>
        </w:rPr>
      </w:pPr>
      <w:r w:rsidRPr="005214E1">
        <w:rPr>
          <w:rFonts w:ascii="Symbol" w:hAnsi="Symbol"/>
          <w:lang w:val="en-GB"/>
        </w:rPr>
        <w:sym w:font="Symbol" w:char="F0B7"/>
      </w:r>
      <w:r w:rsidRPr="007C3CDA">
        <w:rPr>
          <w:szCs w:val="22"/>
          <w:lang w:val="en-GB"/>
        </w:rPr>
        <w:tab/>
      </w:r>
      <w:r w:rsidRPr="007C3CDA">
        <w:rPr>
          <w:szCs w:val="22"/>
          <w:lang w:val="en-GB" w:eastAsia="en-US"/>
        </w:rPr>
        <w:t>kidney failure</w:t>
      </w:r>
    </w:p>
    <w:p w14:paraId="7C3328EC" w14:textId="77777777" w:rsidR="00B61585" w:rsidRPr="00D239C4" w:rsidRDefault="00016F29" w:rsidP="00B61585">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Severe vision loss (sign of brain nerve</w:t>
      </w:r>
      <w:r w:rsidRPr="001C0303">
        <w:rPr>
          <w:szCs w:val="22"/>
          <w:lang w:val="en-GB" w:eastAsia="en-US"/>
        </w:rPr>
        <w:t>s</w:t>
      </w:r>
      <w:r w:rsidRPr="00137FEB">
        <w:rPr>
          <w:szCs w:val="22"/>
          <w:lang w:val="en-GB" w:eastAsia="en-US"/>
        </w:rPr>
        <w:t xml:space="preserve"> damage).</w:t>
      </w:r>
    </w:p>
    <w:p w14:paraId="7C3328ED" w14:textId="77777777" w:rsidR="00B61585" w:rsidRPr="000400ED" w:rsidRDefault="00B61585" w:rsidP="00B61585">
      <w:pPr>
        <w:rPr>
          <w:szCs w:val="22"/>
          <w:lang w:val="en-GB" w:eastAsia="en-US"/>
        </w:rPr>
      </w:pPr>
    </w:p>
    <w:p w14:paraId="7C3328EE" w14:textId="77777777" w:rsidR="00B61585" w:rsidRPr="003C313A" w:rsidRDefault="00016F29" w:rsidP="00B61585">
      <w:pPr>
        <w:rPr>
          <w:b/>
          <w:iCs/>
          <w:lang w:val="en-GB"/>
        </w:rPr>
      </w:pPr>
      <w:r w:rsidRPr="003C313A">
        <w:rPr>
          <w:b/>
          <w:iCs/>
          <w:lang w:val="en-GB"/>
        </w:rPr>
        <w:t>Not known (it is not known how often these side effects happen):</w:t>
      </w:r>
    </w:p>
    <w:p w14:paraId="7C3328EF" w14:textId="77777777" w:rsidR="00B61585" w:rsidRPr="00137FEB" w:rsidRDefault="00016F29" w:rsidP="00B61585">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a reduction in white blood cells which does not happen straight away</w:t>
      </w:r>
    </w:p>
    <w:p w14:paraId="7C3328F0" w14:textId="77777777" w:rsidR="00B61585" w:rsidRPr="00137FEB" w:rsidRDefault="00016F29" w:rsidP="00B61585">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reduced platelets number just after the infusion – this can be reversed, but can be fatal in rare cases</w:t>
      </w:r>
    </w:p>
    <w:p w14:paraId="7C3328F1" w14:textId="77777777" w:rsidR="00B61585" w:rsidRPr="00137FEB" w:rsidRDefault="00016F29" w:rsidP="00B61585">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 xml:space="preserve">hearing loss, loss of other senses. </w:t>
      </w:r>
    </w:p>
    <w:p w14:paraId="7C3328F2" w14:textId="77777777" w:rsidR="00B61585" w:rsidRPr="00137FEB" w:rsidRDefault="00B61585" w:rsidP="00B61585">
      <w:pPr>
        <w:autoSpaceDE w:val="0"/>
        <w:autoSpaceDN w:val="0"/>
        <w:adjustRightInd w:val="0"/>
        <w:rPr>
          <w:rFonts w:ascii="TimesNewRoman" w:hAnsi="TimesNewRoman" w:cs="TimesNewRoman"/>
          <w:szCs w:val="22"/>
          <w:lang w:val="en-GB" w:eastAsia="en-GB"/>
        </w:rPr>
      </w:pPr>
    </w:p>
    <w:p w14:paraId="7C3328F3" w14:textId="77777777" w:rsidR="00B61585" w:rsidRPr="00843244" w:rsidRDefault="00016F29" w:rsidP="00B61585">
      <w:pPr>
        <w:autoSpaceDE w:val="0"/>
        <w:autoSpaceDN w:val="0"/>
        <w:adjustRightInd w:val="0"/>
        <w:rPr>
          <w:szCs w:val="22"/>
          <w:lang w:val="en-GB"/>
        </w:rPr>
      </w:pPr>
      <w:r w:rsidRPr="00843244">
        <w:rPr>
          <w:szCs w:val="22"/>
          <w:lang w:val="en-GB" w:eastAsia="en-GB"/>
        </w:rPr>
        <w:t xml:space="preserve">MabThera may also cause changes in laboratory tests carried out by your doctor. </w:t>
      </w:r>
    </w:p>
    <w:p w14:paraId="7C3328F4" w14:textId="77777777" w:rsidR="00B61585" w:rsidRPr="000400ED" w:rsidRDefault="00B61585" w:rsidP="00B61585">
      <w:pPr>
        <w:rPr>
          <w:szCs w:val="22"/>
          <w:lang w:val="en-GB"/>
        </w:rPr>
      </w:pPr>
    </w:p>
    <w:p w14:paraId="7C3328F5" w14:textId="77777777" w:rsidR="00B61585" w:rsidRPr="00D3771E" w:rsidRDefault="00016F29" w:rsidP="00B61585">
      <w:pPr>
        <w:rPr>
          <w:szCs w:val="22"/>
          <w:lang w:val="en-GB"/>
        </w:rPr>
      </w:pPr>
      <w:r w:rsidRPr="001976F0">
        <w:rPr>
          <w:szCs w:val="22"/>
          <w:lang w:val="en-GB"/>
        </w:rPr>
        <w:t>If you are having MabThera with oth</w:t>
      </w:r>
      <w:r w:rsidRPr="00D3771E">
        <w:rPr>
          <w:szCs w:val="22"/>
          <w:lang w:val="en-GB"/>
        </w:rPr>
        <w:t>er medicines, some of the side effects you may get may be due to the other medicines.</w:t>
      </w:r>
    </w:p>
    <w:p w14:paraId="7C3328F6" w14:textId="77777777" w:rsidR="00B61585" w:rsidRPr="009F47AE" w:rsidRDefault="00B61585" w:rsidP="00B61585">
      <w:pPr>
        <w:rPr>
          <w:b/>
          <w:szCs w:val="22"/>
          <w:lang w:val="en-GB"/>
        </w:rPr>
      </w:pPr>
    </w:p>
    <w:p w14:paraId="7C3328F7" w14:textId="77777777" w:rsidR="00B61585" w:rsidRPr="00C17ED3" w:rsidRDefault="00016F29" w:rsidP="00B61585">
      <w:pPr>
        <w:rPr>
          <w:szCs w:val="22"/>
          <w:u w:val="single"/>
          <w:lang w:val="en-GB"/>
        </w:rPr>
      </w:pPr>
      <w:r w:rsidRPr="00C17ED3">
        <w:rPr>
          <w:szCs w:val="22"/>
          <w:u w:val="single"/>
          <w:lang w:val="en-GB"/>
        </w:rPr>
        <w:t>Reporting of side effects</w:t>
      </w:r>
    </w:p>
    <w:p w14:paraId="7C3328F8" w14:textId="77777777" w:rsidR="00B61585" w:rsidRPr="00137FEB" w:rsidRDefault="00016F29" w:rsidP="00B61585">
      <w:pPr>
        <w:rPr>
          <w:b/>
          <w:szCs w:val="22"/>
          <w:lang w:val="en-GB"/>
        </w:rPr>
      </w:pPr>
      <w:r w:rsidRPr="00C17ED3">
        <w:rPr>
          <w:szCs w:val="22"/>
          <w:lang w:val="en-GB"/>
        </w:rPr>
        <w:t xml:space="preserve">If you get any side effects talk to your doctor, pharmacist or nurse. This includes any possible side effects not listed in this leaflet. You can also report side effects directly via </w:t>
      </w:r>
      <w:r w:rsidRPr="00C17ED3">
        <w:rPr>
          <w:szCs w:val="22"/>
          <w:shd w:val="clear" w:color="auto" w:fill="BFBFBF"/>
          <w:lang w:val="en-GB"/>
        </w:rPr>
        <w:t xml:space="preserve">the national reporting system listed in </w:t>
      </w:r>
      <w:hyperlink r:id="rId24" w:history="1">
        <w:r w:rsidRPr="00AB0348">
          <w:rPr>
            <w:rStyle w:val="Hyperlink"/>
            <w:highlight w:val="lightGray"/>
            <w:lang w:val="en-GB"/>
          </w:rPr>
          <w:t>Append</w:t>
        </w:r>
        <w:bookmarkStart w:id="17" w:name="_Hlt531783609"/>
        <w:r w:rsidRPr="00AB0348">
          <w:rPr>
            <w:rStyle w:val="Hyperlink"/>
            <w:highlight w:val="lightGray"/>
            <w:lang w:val="en-GB"/>
          </w:rPr>
          <w:t>i</w:t>
        </w:r>
        <w:bookmarkEnd w:id="17"/>
        <w:r w:rsidRPr="00AB0348">
          <w:rPr>
            <w:rStyle w:val="Hyperlink"/>
            <w:highlight w:val="lightGray"/>
            <w:lang w:val="en-GB"/>
          </w:rPr>
          <w:t>x V</w:t>
        </w:r>
      </w:hyperlink>
      <w:r w:rsidRPr="00C17ED3">
        <w:rPr>
          <w:szCs w:val="22"/>
          <w:lang w:val="en-GB"/>
        </w:rPr>
        <w:t>. By reporting side effects you can help provide more information on the safety of this medicine.</w:t>
      </w:r>
    </w:p>
    <w:p w14:paraId="7C3328F9" w14:textId="77777777" w:rsidR="00B61585" w:rsidRPr="00D239C4" w:rsidRDefault="00B61585" w:rsidP="00B61585">
      <w:pPr>
        <w:numPr>
          <w:ilvl w:val="12"/>
          <w:numId w:val="0"/>
        </w:numPr>
        <w:ind w:right="-2"/>
        <w:rPr>
          <w:lang w:val="en-GB" w:eastAsia="en-US"/>
        </w:rPr>
      </w:pPr>
    </w:p>
    <w:p w14:paraId="7C3328FA" w14:textId="77777777" w:rsidR="00B61585" w:rsidRPr="000400ED" w:rsidRDefault="00B61585" w:rsidP="00B61585">
      <w:pPr>
        <w:numPr>
          <w:ilvl w:val="12"/>
          <w:numId w:val="0"/>
        </w:numPr>
        <w:ind w:right="-2"/>
        <w:rPr>
          <w:lang w:val="en-GB" w:eastAsia="en-US"/>
        </w:rPr>
      </w:pPr>
    </w:p>
    <w:p w14:paraId="7C3328FB" w14:textId="77777777" w:rsidR="00B61585" w:rsidRPr="00D3771E" w:rsidRDefault="00016F29" w:rsidP="00B61585">
      <w:pPr>
        <w:numPr>
          <w:ilvl w:val="12"/>
          <w:numId w:val="0"/>
        </w:numPr>
        <w:ind w:right="-2"/>
        <w:rPr>
          <w:b/>
          <w:sz w:val="24"/>
          <w:szCs w:val="22"/>
          <w:lang w:val="en-GB" w:eastAsia="en-US"/>
        </w:rPr>
      </w:pPr>
      <w:r w:rsidRPr="001976F0">
        <w:rPr>
          <w:b/>
          <w:sz w:val="24"/>
          <w:szCs w:val="22"/>
          <w:lang w:val="en-GB" w:eastAsia="en-US"/>
        </w:rPr>
        <w:t>5</w:t>
      </w:r>
      <w:r w:rsidRPr="001976F0">
        <w:rPr>
          <w:b/>
          <w:sz w:val="24"/>
          <w:szCs w:val="22"/>
          <w:lang w:val="en-GB" w:eastAsia="en-US"/>
        </w:rPr>
        <w:tab/>
        <w:t>How to store MabThera</w:t>
      </w:r>
    </w:p>
    <w:p w14:paraId="7C3328FC" w14:textId="77777777" w:rsidR="00B61585" w:rsidRPr="009F47AE" w:rsidRDefault="00B61585" w:rsidP="00B61585">
      <w:pPr>
        <w:numPr>
          <w:ilvl w:val="12"/>
          <w:numId w:val="0"/>
        </w:numPr>
        <w:ind w:right="-2"/>
        <w:rPr>
          <w:lang w:val="en-GB" w:eastAsia="en-US"/>
        </w:rPr>
      </w:pPr>
    </w:p>
    <w:p w14:paraId="7C3328FD" w14:textId="77777777" w:rsidR="00B61585" w:rsidRPr="00D50019" w:rsidRDefault="00016F29" w:rsidP="00B61585">
      <w:pPr>
        <w:numPr>
          <w:ilvl w:val="12"/>
          <w:numId w:val="0"/>
        </w:numPr>
        <w:ind w:right="-2"/>
        <w:rPr>
          <w:lang w:val="en-GB" w:eastAsia="en-US"/>
        </w:rPr>
      </w:pPr>
      <w:r w:rsidRPr="00D50019">
        <w:rPr>
          <w:lang w:val="en-GB" w:eastAsia="en-US"/>
        </w:rPr>
        <w:t>Keep this medicine out of the sight and reach of children.</w:t>
      </w:r>
    </w:p>
    <w:p w14:paraId="7C3328FE" w14:textId="77777777" w:rsidR="00B61585" w:rsidRPr="009A4E5A" w:rsidRDefault="00B61585" w:rsidP="00B61585">
      <w:pPr>
        <w:tabs>
          <w:tab w:val="left" w:pos="567"/>
        </w:tabs>
        <w:rPr>
          <w:szCs w:val="22"/>
          <w:lang w:val="en-GB" w:eastAsia="en-US"/>
        </w:rPr>
      </w:pPr>
    </w:p>
    <w:p w14:paraId="7C3328FF" w14:textId="77777777" w:rsidR="00B61585" w:rsidRPr="00FC61B8" w:rsidRDefault="00016F29" w:rsidP="00B61585">
      <w:pPr>
        <w:tabs>
          <w:tab w:val="left" w:pos="567"/>
        </w:tabs>
        <w:rPr>
          <w:szCs w:val="22"/>
          <w:lang w:val="en-GB" w:eastAsia="en-US"/>
        </w:rPr>
      </w:pPr>
      <w:r w:rsidRPr="009A4E5A">
        <w:rPr>
          <w:szCs w:val="22"/>
          <w:lang w:val="en-GB" w:eastAsia="en-US"/>
        </w:rPr>
        <w:t>Do not use this medicine after the expiry date which is stated on the carton after EXP. The expiry date refers to the la</w:t>
      </w:r>
      <w:r w:rsidRPr="00FC61B8">
        <w:rPr>
          <w:szCs w:val="22"/>
          <w:lang w:val="en-GB" w:eastAsia="en-US"/>
        </w:rPr>
        <w:t>st day of that month.</w:t>
      </w:r>
    </w:p>
    <w:p w14:paraId="7C332900" w14:textId="77777777" w:rsidR="00B61585" w:rsidRPr="00FC61B8" w:rsidRDefault="00B61585" w:rsidP="00B61585">
      <w:pPr>
        <w:tabs>
          <w:tab w:val="left" w:pos="567"/>
        </w:tabs>
        <w:rPr>
          <w:szCs w:val="22"/>
          <w:lang w:val="en-GB" w:eastAsia="en-US"/>
        </w:rPr>
      </w:pPr>
    </w:p>
    <w:p w14:paraId="7C332901" w14:textId="77777777" w:rsidR="00B61585" w:rsidRPr="00FC61B8" w:rsidRDefault="00016F29" w:rsidP="00B61585">
      <w:pPr>
        <w:tabs>
          <w:tab w:val="left" w:pos="567"/>
        </w:tabs>
        <w:rPr>
          <w:szCs w:val="22"/>
          <w:lang w:val="en-GB" w:eastAsia="en-US"/>
        </w:rPr>
      </w:pPr>
      <w:r w:rsidRPr="00FC61B8">
        <w:rPr>
          <w:szCs w:val="22"/>
          <w:lang w:val="en-GB" w:eastAsia="en-US"/>
        </w:rPr>
        <w:t>Store in a refrigerator (2 °C to 8 °C). Do not freeze. Keep the container in the outer carton in order to protect from light.</w:t>
      </w:r>
    </w:p>
    <w:p w14:paraId="7C332902" w14:textId="77777777" w:rsidR="00B61585" w:rsidRPr="00CD7883" w:rsidRDefault="00B61585" w:rsidP="00B61585">
      <w:pPr>
        <w:tabs>
          <w:tab w:val="left" w:pos="567"/>
        </w:tabs>
        <w:rPr>
          <w:szCs w:val="22"/>
          <w:lang w:val="en-GB" w:eastAsia="en-US"/>
        </w:rPr>
      </w:pPr>
    </w:p>
    <w:p w14:paraId="7C332903" w14:textId="77777777" w:rsidR="00B61585" w:rsidRPr="00CD7883" w:rsidRDefault="00016F29" w:rsidP="00B61585">
      <w:pPr>
        <w:tabs>
          <w:tab w:val="left" w:pos="567"/>
        </w:tabs>
        <w:ind w:right="-2"/>
        <w:rPr>
          <w:lang w:val="en-GB" w:eastAsia="en-US"/>
        </w:rPr>
      </w:pPr>
      <w:r w:rsidRPr="00CD7883">
        <w:rPr>
          <w:lang w:val="en-GB" w:eastAsia="en-US"/>
        </w:rPr>
        <w:t>Do not throw away any medicines via wastewater or household waste. Ask your pharmacist how to throw away medicines you no longer use. These measures will help protect the environment.</w:t>
      </w:r>
    </w:p>
    <w:p w14:paraId="7C332904" w14:textId="77777777" w:rsidR="00B61585" w:rsidRPr="00CD7883" w:rsidRDefault="00B61585" w:rsidP="00B61585">
      <w:pPr>
        <w:numPr>
          <w:ilvl w:val="12"/>
          <w:numId w:val="0"/>
        </w:numPr>
        <w:ind w:right="-2"/>
        <w:rPr>
          <w:lang w:val="en-GB" w:eastAsia="en-US"/>
        </w:rPr>
      </w:pPr>
    </w:p>
    <w:p w14:paraId="7C332905" w14:textId="77777777" w:rsidR="00B61585" w:rsidRPr="00DE32D5" w:rsidRDefault="00B61585" w:rsidP="00B61585">
      <w:pPr>
        <w:numPr>
          <w:ilvl w:val="12"/>
          <w:numId w:val="0"/>
        </w:numPr>
        <w:ind w:right="-2"/>
        <w:rPr>
          <w:lang w:val="en-GB" w:eastAsia="en-US"/>
        </w:rPr>
      </w:pPr>
    </w:p>
    <w:p w14:paraId="7C332906" w14:textId="77777777" w:rsidR="00B61585" w:rsidRPr="0012747B" w:rsidRDefault="00016F29" w:rsidP="00B61585">
      <w:pPr>
        <w:outlineLvl w:val="0"/>
        <w:rPr>
          <w:b/>
          <w:sz w:val="24"/>
          <w:szCs w:val="22"/>
          <w:lang w:val="en-GB" w:eastAsia="en-US"/>
        </w:rPr>
      </w:pPr>
      <w:r w:rsidRPr="00DE32D5">
        <w:rPr>
          <w:b/>
          <w:sz w:val="24"/>
          <w:szCs w:val="22"/>
          <w:lang w:val="en-GB" w:eastAsia="en-US"/>
        </w:rPr>
        <w:t>6</w:t>
      </w:r>
      <w:r w:rsidRPr="00DE32D5">
        <w:rPr>
          <w:b/>
          <w:sz w:val="24"/>
          <w:szCs w:val="22"/>
          <w:lang w:val="en-GB" w:eastAsia="en-US"/>
        </w:rPr>
        <w:tab/>
        <w:t>Contents of the pack and other information</w:t>
      </w:r>
    </w:p>
    <w:p w14:paraId="7C332907" w14:textId="77777777" w:rsidR="00B61585" w:rsidRPr="009C488C" w:rsidRDefault="00B61585" w:rsidP="00B61585">
      <w:pPr>
        <w:outlineLvl w:val="0"/>
        <w:rPr>
          <w:b/>
          <w:bCs/>
          <w:szCs w:val="22"/>
          <w:lang w:val="en-GB"/>
        </w:rPr>
      </w:pPr>
    </w:p>
    <w:p w14:paraId="7C332908" w14:textId="77777777" w:rsidR="00B61585" w:rsidRPr="00295A1D" w:rsidRDefault="00016F29" w:rsidP="00B61585">
      <w:pPr>
        <w:outlineLvl w:val="0"/>
        <w:rPr>
          <w:b/>
          <w:bCs/>
          <w:szCs w:val="22"/>
          <w:lang w:val="en-GB"/>
        </w:rPr>
      </w:pPr>
      <w:r w:rsidRPr="00870B51">
        <w:rPr>
          <w:b/>
          <w:bCs/>
          <w:szCs w:val="22"/>
          <w:lang w:val="en-GB"/>
        </w:rPr>
        <w:t>What MabTh</w:t>
      </w:r>
      <w:r w:rsidRPr="00EA11D5">
        <w:rPr>
          <w:b/>
          <w:bCs/>
          <w:szCs w:val="22"/>
          <w:lang w:val="en-GB"/>
        </w:rPr>
        <w:t xml:space="preserve">era </w:t>
      </w:r>
      <w:r w:rsidRPr="00EA11D5">
        <w:rPr>
          <w:b/>
          <w:szCs w:val="22"/>
          <w:lang w:val="en-GB"/>
        </w:rPr>
        <w:t>1400 mg</w:t>
      </w:r>
      <w:r w:rsidRPr="00B0192B">
        <w:rPr>
          <w:b/>
          <w:szCs w:val="22"/>
          <w:lang w:val="en-GB"/>
        </w:rPr>
        <w:t xml:space="preserve"> solution for subcutaneous injection</w:t>
      </w:r>
      <w:r w:rsidRPr="00295A1D">
        <w:rPr>
          <w:b/>
          <w:bCs/>
          <w:szCs w:val="22"/>
          <w:lang w:val="en-GB"/>
        </w:rPr>
        <w:t xml:space="preserve"> contains</w:t>
      </w:r>
    </w:p>
    <w:p w14:paraId="7C332909" w14:textId="77777777" w:rsidR="00B61585" w:rsidRPr="00D50019" w:rsidRDefault="00016F29" w:rsidP="00B61585">
      <w:pPr>
        <w:tabs>
          <w:tab w:val="left" w:pos="567"/>
        </w:tabs>
        <w:ind w:left="357" w:hanging="35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The active ingredient is rituximab. Each vial contains 1400 mg/11.</w:t>
      </w:r>
      <w:r w:rsidRPr="00D239C4">
        <w:rPr>
          <w:szCs w:val="22"/>
          <w:lang w:val="en-GB" w:eastAsia="en-US"/>
        </w:rPr>
        <w:t>7 mL</w:t>
      </w:r>
      <w:r w:rsidRPr="000400ED">
        <w:rPr>
          <w:szCs w:val="22"/>
          <w:lang w:val="en-GB" w:eastAsia="en-US"/>
        </w:rPr>
        <w:t xml:space="preserve"> of rituximab</w:t>
      </w:r>
      <w:r w:rsidRPr="00D50019">
        <w:rPr>
          <w:szCs w:val="22"/>
          <w:lang w:val="en-GB" w:eastAsia="en-US"/>
        </w:rPr>
        <w:t>.</w:t>
      </w:r>
    </w:p>
    <w:p w14:paraId="7C33290A" w14:textId="77777777" w:rsidR="00B61585" w:rsidRPr="009A4E5A" w:rsidRDefault="00016F29" w:rsidP="00B61585">
      <w:pPr>
        <w:tabs>
          <w:tab w:val="left" w:pos="567"/>
        </w:tabs>
        <w:ind w:left="567"/>
        <w:rPr>
          <w:szCs w:val="22"/>
          <w:lang w:val="en-GB" w:eastAsia="en-US"/>
        </w:rPr>
      </w:pPr>
      <w:r w:rsidRPr="009A4E5A">
        <w:rPr>
          <w:szCs w:val="22"/>
          <w:lang w:val="en-GB" w:eastAsia="en-GB"/>
        </w:rPr>
        <w:t>Each mL contains 120 mg of rituximab.</w:t>
      </w:r>
    </w:p>
    <w:p w14:paraId="7C33290B" w14:textId="77777777" w:rsidR="00B61585" w:rsidRPr="00FC61B8" w:rsidRDefault="00B61585" w:rsidP="00B61585">
      <w:pPr>
        <w:rPr>
          <w:szCs w:val="22"/>
          <w:lang w:val="en-GB" w:eastAsia="en-US"/>
        </w:rPr>
      </w:pPr>
    </w:p>
    <w:p w14:paraId="7C33290C" w14:textId="77777777" w:rsidR="00B61585" w:rsidRPr="007C3CDA" w:rsidRDefault="00016F29" w:rsidP="00B61585">
      <w:pPr>
        <w:tabs>
          <w:tab w:val="left" w:pos="567"/>
        </w:tabs>
        <w:ind w:left="357" w:hanging="357"/>
        <w:rPr>
          <w:szCs w:val="22"/>
          <w:lang w:val="en-GB" w:eastAsia="en-US"/>
        </w:rPr>
      </w:pPr>
      <w:r w:rsidRPr="005214E1">
        <w:rPr>
          <w:rFonts w:ascii="Symbol" w:hAnsi="Symbol"/>
          <w:lang w:val="en-GB"/>
        </w:rPr>
        <w:sym w:font="Symbol" w:char="F0B7"/>
      </w:r>
      <w:r w:rsidRPr="007C3CDA">
        <w:rPr>
          <w:szCs w:val="22"/>
          <w:lang w:val="en-GB"/>
        </w:rPr>
        <w:tab/>
      </w:r>
      <w:r w:rsidRPr="007C3CDA">
        <w:rPr>
          <w:szCs w:val="22"/>
          <w:lang w:val="en-GB" w:eastAsia="en-US"/>
        </w:rPr>
        <w:t>The other ingredients are recombinant human hyaluronidase (rHuPH20), L</w:t>
      </w:r>
      <w:r w:rsidR="000A6DDA" w:rsidRPr="007C3CDA">
        <w:rPr>
          <w:szCs w:val="22"/>
          <w:lang w:val="en-GB" w:eastAsia="en-US"/>
        </w:rPr>
        <w:noBreakHyphen/>
      </w:r>
      <w:r w:rsidRPr="007C3CDA">
        <w:rPr>
          <w:szCs w:val="22"/>
          <w:lang w:val="en-GB" w:eastAsia="en-US"/>
        </w:rPr>
        <w:t>histidine, L</w:t>
      </w:r>
      <w:r w:rsidR="000A6DDA" w:rsidRPr="007C3CDA">
        <w:rPr>
          <w:szCs w:val="22"/>
          <w:lang w:val="en-GB" w:eastAsia="en-US"/>
        </w:rPr>
        <w:noBreakHyphen/>
      </w:r>
      <w:r w:rsidRPr="007C3CDA">
        <w:rPr>
          <w:szCs w:val="22"/>
          <w:lang w:val="en-GB" w:eastAsia="en-US"/>
        </w:rPr>
        <w:t xml:space="preserve">histidine hydrochloride monohydrate, </w:t>
      </w:r>
      <w:r w:rsidR="007830E0" w:rsidRPr="007C3CDA">
        <w:rPr>
          <w:rFonts w:ascii="Symbol" w:hAnsi="Symbol"/>
          <w:szCs w:val="22"/>
          <w:lang w:val="en-GB" w:eastAsia="en-US"/>
        </w:rPr>
        <w:sym w:font="Symbol" w:char="F061"/>
      </w:r>
      <w:r w:rsidR="007830E0" w:rsidRPr="007C3CDA">
        <w:rPr>
          <w:szCs w:val="22"/>
          <w:lang w:val="en-GB" w:eastAsia="en-US"/>
        </w:rPr>
        <w:t>,</w:t>
      </w:r>
      <w:r w:rsidR="007830E0" w:rsidRPr="007C3CDA">
        <w:rPr>
          <w:rFonts w:ascii="Symbol" w:hAnsi="Symbol"/>
          <w:szCs w:val="22"/>
          <w:lang w:val="en-GB" w:eastAsia="en-US"/>
        </w:rPr>
        <w:sym w:font="Symbol" w:char="F061"/>
      </w:r>
      <w:r w:rsidR="000A6DDA" w:rsidRPr="007C3CDA">
        <w:rPr>
          <w:szCs w:val="22"/>
          <w:lang w:val="en-GB" w:eastAsia="en-US"/>
        </w:rPr>
        <w:noBreakHyphen/>
      </w:r>
      <w:r w:rsidRPr="007C3CDA">
        <w:rPr>
          <w:szCs w:val="22"/>
          <w:lang w:val="en-GB" w:eastAsia="en-US"/>
        </w:rPr>
        <w:t>trehalose dihydrate, L</w:t>
      </w:r>
      <w:r w:rsidR="000A6DDA" w:rsidRPr="007C3CDA">
        <w:rPr>
          <w:szCs w:val="22"/>
          <w:lang w:val="en-GB" w:eastAsia="en-US"/>
        </w:rPr>
        <w:noBreakHyphen/>
      </w:r>
      <w:r w:rsidRPr="007C3CDA">
        <w:rPr>
          <w:szCs w:val="22"/>
          <w:lang w:val="en-GB" w:eastAsia="en-US"/>
        </w:rPr>
        <w:t>methionine, polysorbate 80 and water for injections.</w:t>
      </w:r>
    </w:p>
    <w:p w14:paraId="7C33290D" w14:textId="77777777" w:rsidR="00B61585" w:rsidRPr="00137FEB" w:rsidRDefault="00B61585" w:rsidP="00B61585">
      <w:pPr>
        <w:numPr>
          <w:ilvl w:val="12"/>
          <w:numId w:val="0"/>
        </w:numPr>
        <w:ind w:right="-2"/>
        <w:outlineLvl w:val="0"/>
        <w:rPr>
          <w:b/>
          <w:bCs/>
          <w:lang w:val="en-GB"/>
        </w:rPr>
      </w:pPr>
    </w:p>
    <w:p w14:paraId="7C33290E" w14:textId="77777777" w:rsidR="00B61585" w:rsidRPr="00D50019" w:rsidRDefault="00016F29" w:rsidP="00B61585">
      <w:pPr>
        <w:numPr>
          <w:ilvl w:val="12"/>
          <w:numId w:val="0"/>
        </w:numPr>
        <w:ind w:right="-2"/>
        <w:outlineLvl w:val="0"/>
        <w:rPr>
          <w:b/>
          <w:bCs/>
          <w:lang w:val="en-GB"/>
        </w:rPr>
      </w:pPr>
      <w:r w:rsidRPr="00D239C4">
        <w:rPr>
          <w:b/>
          <w:bCs/>
          <w:lang w:val="en-GB"/>
        </w:rPr>
        <w:t xml:space="preserve">What MabThera </w:t>
      </w:r>
      <w:r w:rsidRPr="000400ED">
        <w:rPr>
          <w:b/>
          <w:szCs w:val="22"/>
          <w:lang w:val="en-GB"/>
        </w:rPr>
        <w:t>1400 mg</w:t>
      </w:r>
      <w:r w:rsidRPr="00D3771E">
        <w:rPr>
          <w:b/>
          <w:szCs w:val="22"/>
          <w:lang w:val="en-GB"/>
        </w:rPr>
        <w:t xml:space="preserve"> solution for subcutaneous injection</w:t>
      </w:r>
      <w:r w:rsidRPr="009F47AE">
        <w:rPr>
          <w:b/>
          <w:bCs/>
          <w:lang w:val="en-GB"/>
        </w:rPr>
        <w:t xml:space="preserve"> looks like and contents of the pack</w:t>
      </w:r>
    </w:p>
    <w:p w14:paraId="7C33290F" w14:textId="77777777" w:rsidR="00B97E6E" w:rsidRPr="007C3CDA" w:rsidRDefault="00016F29" w:rsidP="00B97E6E">
      <w:pPr>
        <w:rPr>
          <w:szCs w:val="22"/>
          <w:lang w:val="en-GB"/>
        </w:rPr>
      </w:pPr>
      <w:r w:rsidRPr="009A4E5A">
        <w:rPr>
          <w:szCs w:val="22"/>
          <w:lang w:val="en-GB"/>
        </w:rPr>
        <w:t xml:space="preserve">MabThera is a ready to use, clear to opalescent, colourless to yellowish liquid, supplied as a solution for subcutaneous injection in a colourless glass vial </w:t>
      </w:r>
      <w:r w:rsidRPr="00FC61B8">
        <w:rPr>
          <w:szCs w:val="22"/>
          <w:lang w:val="en-GB" w:eastAsia="en-US"/>
        </w:rPr>
        <w:t xml:space="preserve">with a butyl rubber stopper with aluminium over </w:t>
      </w:r>
      <w:r w:rsidRPr="007C3CDA">
        <w:rPr>
          <w:szCs w:val="22"/>
          <w:lang w:val="en-GB" w:eastAsia="en-US"/>
        </w:rPr>
        <w:t>seal and a pink plastic flip</w:t>
      </w:r>
      <w:r w:rsidR="000A6DDA" w:rsidRPr="007C3CDA">
        <w:rPr>
          <w:szCs w:val="22"/>
          <w:lang w:val="en-GB" w:eastAsia="en-US"/>
        </w:rPr>
        <w:noBreakHyphen/>
      </w:r>
      <w:r w:rsidRPr="007C3CDA">
        <w:rPr>
          <w:szCs w:val="22"/>
          <w:lang w:val="en-GB" w:eastAsia="en-US"/>
        </w:rPr>
        <w:t>off disk</w:t>
      </w:r>
      <w:r w:rsidRPr="007C3CDA">
        <w:rPr>
          <w:szCs w:val="22"/>
          <w:lang w:val="en-GB"/>
        </w:rPr>
        <w:t xml:space="preserve">. </w:t>
      </w:r>
    </w:p>
    <w:p w14:paraId="7C332910" w14:textId="77777777" w:rsidR="00B61585" w:rsidRPr="00CD7883" w:rsidRDefault="00B61585" w:rsidP="00B61585">
      <w:pPr>
        <w:tabs>
          <w:tab w:val="left" w:pos="567"/>
        </w:tabs>
        <w:rPr>
          <w:b/>
          <w:szCs w:val="22"/>
          <w:lang w:val="en-GB"/>
        </w:rPr>
      </w:pPr>
    </w:p>
    <w:p w14:paraId="7C332911" w14:textId="77777777" w:rsidR="00B61585" w:rsidRPr="00870B51" w:rsidRDefault="00016F29" w:rsidP="00063D4E">
      <w:pPr>
        <w:keepNext/>
        <w:keepLines/>
        <w:tabs>
          <w:tab w:val="left" w:pos="567"/>
        </w:tabs>
        <w:rPr>
          <w:b/>
          <w:szCs w:val="22"/>
          <w:lang w:val="en-GB" w:eastAsia="en-US"/>
        </w:rPr>
      </w:pPr>
      <w:r w:rsidRPr="00CD7883">
        <w:rPr>
          <w:szCs w:val="22"/>
          <w:lang w:val="en-GB"/>
        </w:rPr>
        <w:t>Each vial contains 1400 mg/11.7 mL</w:t>
      </w:r>
      <w:r w:rsidRPr="00DE32D5">
        <w:rPr>
          <w:szCs w:val="22"/>
          <w:lang w:val="en-GB"/>
        </w:rPr>
        <w:t xml:space="preserve"> of rituximab</w:t>
      </w:r>
      <w:r w:rsidRPr="009C488C">
        <w:rPr>
          <w:szCs w:val="22"/>
          <w:lang w:val="en-GB"/>
        </w:rPr>
        <w:t>. Each carton contains one vial.</w:t>
      </w:r>
      <w:r w:rsidRPr="00870B51">
        <w:rPr>
          <w:b/>
          <w:szCs w:val="22"/>
          <w:lang w:val="en-GB" w:eastAsia="en-US"/>
        </w:rPr>
        <w:t xml:space="preserve"> </w:t>
      </w:r>
    </w:p>
    <w:p w14:paraId="7C332912" w14:textId="77777777" w:rsidR="00B61585" w:rsidRPr="00EA11D5" w:rsidRDefault="00B61585" w:rsidP="00063D4E">
      <w:pPr>
        <w:keepNext/>
        <w:keepLines/>
        <w:tabs>
          <w:tab w:val="left" w:pos="567"/>
        </w:tabs>
        <w:rPr>
          <w:b/>
          <w:szCs w:val="22"/>
          <w:lang w:val="en-GB" w:eastAsia="en-US"/>
        </w:rPr>
      </w:pPr>
    </w:p>
    <w:p w14:paraId="7C332913" w14:textId="77777777" w:rsidR="00B61585" w:rsidRPr="00295A1D" w:rsidRDefault="00016F29">
      <w:pPr>
        <w:keepNext/>
        <w:keepLines/>
        <w:outlineLvl w:val="0"/>
        <w:rPr>
          <w:szCs w:val="22"/>
          <w:lang w:val="en-GB"/>
        </w:rPr>
      </w:pPr>
      <w:r w:rsidRPr="00B0192B">
        <w:rPr>
          <w:b/>
          <w:bCs/>
          <w:lang w:val="en-GB"/>
        </w:rPr>
        <w:t>Marketing Authorisation Holder</w:t>
      </w:r>
    </w:p>
    <w:p w14:paraId="7C332914" w14:textId="77777777" w:rsidR="00B0361F" w:rsidRPr="00896D93" w:rsidRDefault="00016F29">
      <w:pPr>
        <w:keepNext/>
        <w:keepLines/>
      </w:pPr>
      <w:r w:rsidRPr="00896D93">
        <w:t xml:space="preserve">Roche Registration GmbH </w:t>
      </w:r>
    </w:p>
    <w:p w14:paraId="7C332915" w14:textId="77777777" w:rsidR="00B0361F" w:rsidRPr="00383DC8" w:rsidRDefault="00016F29" w:rsidP="00E454FF">
      <w:pPr>
        <w:keepNext/>
        <w:keepLines/>
      </w:pPr>
      <w:r w:rsidRPr="00383DC8">
        <w:t>Emil-Barell-Strasse 1</w:t>
      </w:r>
    </w:p>
    <w:p w14:paraId="7C332916" w14:textId="77777777" w:rsidR="00B0361F" w:rsidRPr="00383DC8" w:rsidRDefault="00016F29" w:rsidP="00B0361F">
      <w:r w:rsidRPr="00383DC8">
        <w:t>79639 Grenzach-Wyhlen</w:t>
      </w:r>
    </w:p>
    <w:p w14:paraId="7C332917" w14:textId="77777777" w:rsidR="00B0361F" w:rsidRPr="00383DC8" w:rsidRDefault="00016F29" w:rsidP="00B0361F">
      <w:r w:rsidRPr="00383DC8">
        <w:t>Germany</w:t>
      </w:r>
    </w:p>
    <w:p w14:paraId="7C332918" w14:textId="77777777" w:rsidR="00B61585" w:rsidRPr="00383DC8" w:rsidRDefault="00B61585" w:rsidP="00B61585">
      <w:pPr>
        <w:keepNext/>
        <w:keepLines/>
        <w:rPr>
          <w:b/>
          <w:szCs w:val="22"/>
        </w:rPr>
      </w:pPr>
    </w:p>
    <w:p w14:paraId="7C332919" w14:textId="77777777" w:rsidR="00B61585" w:rsidRPr="005214E1" w:rsidRDefault="00016F29" w:rsidP="00B61585">
      <w:pPr>
        <w:keepNext/>
        <w:keepLines/>
        <w:rPr>
          <w:b/>
        </w:rPr>
      </w:pPr>
      <w:r w:rsidRPr="005214E1">
        <w:rPr>
          <w:b/>
        </w:rPr>
        <w:t>Manufacturer</w:t>
      </w:r>
    </w:p>
    <w:p w14:paraId="7C33291A" w14:textId="77777777" w:rsidR="00B61585" w:rsidRPr="00383DC8" w:rsidRDefault="00016F29" w:rsidP="00B61585">
      <w:pPr>
        <w:keepNext/>
        <w:keepLines/>
        <w:numPr>
          <w:ilvl w:val="12"/>
          <w:numId w:val="0"/>
        </w:numPr>
        <w:outlineLvl w:val="0"/>
        <w:rPr>
          <w:lang w:val="de-CH"/>
        </w:rPr>
      </w:pPr>
      <w:r w:rsidRPr="00383DC8">
        <w:rPr>
          <w:szCs w:val="22"/>
          <w:lang w:val="de-CH"/>
        </w:rPr>
        <w:t>Roche Pharma</w:t>
      </w:r>
      <w:r w:rsidRPr="00383DC8">
        <w:rPr>
          <w:lang w:val="de-CH"/>
        </w:rPr>
        <w:t xml:space="preserve"> AG</w:t>
      </w:r>
    </w:p>
    <w:p w14:paraId="7C33291B" w14:textId="77777777" w:rsidR="00B61585" w:rsidRPr="009D3FC0" w:rsidRDefault="00016F29" w:rsidP="00B61585">
      <w:pPr>
        <w:keepNext/>
        <w:keepLines/>
        <w:numPr>
          <w:ilvl w:val="12"/>
          <w:numId w:val="0"/>
        </w:numPr>
        <w:rPr>
          <w:lang w:val="de-DE"/>
        </w:rPr>
      </w:pPr>
      <w:r w:rsidRPr="009D3FC0">
        <w:rPr>
          <w:lang w:val="de-DE"/>
        </w:rPr>
        <w:t>Emil</w:t>
      </w:r>
      <w:r w:rsidR="000A6DDA" w:rsidRPr="009D3FC0">
        <w:rPr>
          <w:lang w:val="de-DE"/>
        </w:rPr>
        <w:noBreakHyphen/>
      </w:r>
      <w:r w:rsidRPr="009D3FC0">
        <w:rPr>
          <w:lang w:val="de-DE"/>
        </w:rPr>
        <w:t>Barell</w:t>
      </w:r>
      <w:r w:rsidR="000A6DDA" w:rsidRPr="009D3FC0">
        <w:rPr>
          <w:lang w:val="de-DE"/>
        </w:rPr>
        <w:noBreakHyphen/>
      </w:r>
      <w:r w:rsidRPr="009D3FC0">
        <w:rPr>
          <w:lang w:val="de-DE"/>
        </w:rPr>
        <w:t>Str. 1</w:t>
      </w:r>
    </w:p>
    <w:p w14:paraId="7C33291C" w14:textId="77777777" w:rsidR="00B61585" w:rsidRPr="00383DC8" w:rsidRDefault="00016F29" w:rsidP="00B61585">
      <w:pPr>
        <w:keepNext/>
        <w:keepLines/>
        <w:numPr>
          <w:ilvl w:val="12"/>
          <w:numId w:val="0"/>
        </w:numPr>
      </w:pPr>
      <w:r w:rsidRPr="00383DC8">
        <w:t>D</w:t>
      </w:r>
      <w:r w:rsidR="000A6DDA" w:rsidRPr="00383DC8">
        <w:noBreakHyphen/>
      </w:r>
      <w:r w:rsidRPr="00383DC8">
        <w:t>79639 Grenzach</w:t>
      </w:r>
      <w:r w:rsidR="000A6DDA" w:rsidRPr="00383DC8">
        <w:noBreakHyphen/>
      </w:r>
      <w:r w:rsidRPr="00383DC8">
        <w:t>Wyhlen</w:t>
      </w:r>
    </w:p>
    <w:p w14:paraId="7C33291D" w14:textId="77777777" w:rsidR="00B61585" w:rsidRPr="009D3FC0" w:rsidRDefault="00016F29" w:rsidP="00B61585">
      <w:pPr>
        <w:keepNext/>
        <w:keepLines/>
        <w:numPr>
          <w:ilvl w:val="12"/>
          <w:numId w:val="0"/>
        </w:numPr>
        <w:rPr>
          <w:lang w:val="en-GB"/>
        </w:rPr>
      </w:pPr>
      <w:r w:rsidRPr="009D3FC0">
        <w:rPr>
          <w:lang w:val="en-GB"/>
        </w:rPr>
        <w:t>Germany</w:t>
      </w:r>
    </w:p>
    <w:p w14:paraId="7C33291E" w14:textId="77777777" w:rsidR="00B61585" w:rsidRPr="003C313A" w:rsidRDefault="00B61585" w:rsidP="00B61585">
      <w:pPr>
        <w:rPr>
          <w:szCs w:val="22"/>
          <w:lang w:val="en-GB"/>
        </w:rPr>
      </w:pPr>
    </w:p>
    <w:p w14:paraId="7C33291F" w14:textId="77777777" w:rsidR="00B61585" w:rsidRPr="003C313A" w:rsidRDefault="00016F29" w:rsidP="00B61585">
      <w:pPr>
        <w:rPr>
          <w:szCs w:val="22"/>
          <w:lang w:val="en-GB"/>
        </w:rPr>
      </w:pPr>
      <w:r w:rsidRPr="003C313A">
        <w:rPr>
          <w:szCs w:val="22"/>
          <w:lang w:val="en-GB"/>
        </w:rPr>
        <w:t>For any information about this medicine, please contact the local representative of the Marketing Authorisation Holder:</w:t>
      </w:r>
    </w:p>
    <w:tbl>
      <w:tblPr>
        <w:tblW w:w="0" w:type="auto"/>
        <w:tblInd w:w="-34" w:type="dxa"/>
        <w:shd w:val="clear" w:color="auto" w:fill="FFFFFF"/>
        <w:tblLayout w:type="fixed"/>
        <w:tblLook w:val="0000" w:firstRow="0" w:lastRow="0" w:firstColumn="0" w:lastColumn="0" w:noHBand="0" w:noVBand="0"/>
      </w:tblPr>
      <w:tblGrid>
        <w:gridCol w:w="4624"/>
        <w:gridCol w:w="4590"/>
      </w:tblGrid>
      <w:tr w:rsidR="003A788B" w14:paraId="7C332928" w14:textId="77777777" w:rsidTr="008919D7">
        <w:trPr>
          <w:cantSplit/>
        </w:trPr>
        <w:tc>
          <w:tcPr>
            <w:tcW w:w="4624" w:type="dxa"/>
            <w:shd w:val="clear" w:color="auto" w:fill="FFFFFF"/>
          </w:tcPr>
          <w:p w14:paraId="7C332920" w14:textId="77777777" w:rsidR="00B61585" w:rsidRPr="004705FC" w:rsidRDefault="00016F29" w:rsidP="008919D7">
            <w:pPr>
              <w:tabs>
                <w:tab w:val="left" w:pos="567"/>
              </w:tabs>
              <w:rPr>
                <w:b/>
                <w:noProof/>
                <w:lang w:val="fr-FR"/>
              </w:rPr>
            </w:pPr>
            <w:r w:rsidRPr="004705FC">
              <w:rPr>
                <w:b/>
                <w:noProof/>
                <w:lang w:val="fr-FR"/>
              </w:rPr>
              <w:t>België/Belgique/Belgien</w:t>
            </w:r>
          </w:p>
          <w:p w14:paraId="7C332921" w14:textId="77777777" w:rsidR="00B61585" w:rsidRPr="004705FC" w:rsidRDefault="00016F29" w:rsidP="008919D7">
            <w:pPr>
              <w:tabs>
                <w:tab w:val="left" w:pos="567"/>
              </w:tabs>
              <w:rPr>
                <w:noProof/>
                <w:lang w:val="fr-FR"/>
              </w:rPr>
            </w:pPr>
            <w:r w:rsidRPr="004705FC">
              <w:rPr>
                <w:noProof/>
                <w:lang w:val="fr-FR"/>
              </w:rPr>
              <w:t>N.V. Roche S.A.</w:t>
            </w:r>
          </w:p>
          <w:p w14:paraId="7C332922" w14:textId="77777777" w:rsidR="00B61585" w:rsidRPr="0053610E" w:rsidRDefault="00016F29" w:rsidP="008919D7">
            <w:pPr>
              <w:tabs>
                <w:tab w:val="left" w:pos="567"/>
              </w:tabs>
              <w:rPr>
                <w:noProof/>
                <w:lang w:val="fr-FR"/>
              </w:rPr>
            </w:pPr>
            <w:r w:rsidRPr="0053610E">
              <w:rPr>
                <w:noProof/>
                <w:lang w:val="fr-FR"/>
              </w:rPr>
              <w:t>Tél/Tel: +32 (0) 2 525 82 11</w:t>
            </w:r>
          </w:p>
          <w:p w14:paraId="7C332923" w14:textId="77777777" w:rsidR="00B61585" w:rsidRPr="0053610E" w:rsidRDefault="00B61585" w:rsidP="008919D7">
            <w:pPr>
              <w:tabs>
                <w:tab w:val="left" w:pos="567"/>
              </w:tabs>
              <w:rPr>
                <w:b/>
                <w:noProof/>
                <w:lang w:val="fr-FR"/>
              </w:rPr>
            </w:pPr>
          </w:p>
        </w:tc>
        <w:tc>
          <w:tcPr>
            <w:tcW w:w="4590" w:type="dxa"/>
            <w:shd w:val="clear" w:color="auto" w:fill="FFFFFF"/>
          </w:tcPr>
          <w:p w14:paraId="7C332924" w14:textId="77777777" w:rsidR="00B61585" w:rsidRPr="004705FC" w:rsidRDefault="00016F29" w:rsidP="008919D7">
            <w:pPr>
              <w:tabs>
                <w:tab w:val="left" w:pos="567"/>
              </w:tabs>
              <w:suppressAutoHyphens/>
              <w:rPr>
                <w:b/>
                <w:noProof/>
                <w:lang w:val="fr-FR"/>
              </w:rPr>
            </w:pPr>
            <w:r w:rsidRPr="004705FC">
              <w:rPr>
                <w:b/>
                <w:noProof/>
                <w:lang w:val="fr-FR"/>
              </w:rPr>
              <w:t>Lietuva</w:t>
            </w:r>
          </w:p>
          <w:p w14:paraId="7C332925" w14:textId="77777777" w:rsidR="00B61585" w:rsidRPr="004705FC" w:rsidRDefault="00016F29" w:rsidP="008919D7">
            <w:pPr>
              <w:tabs>
                <w:tab w:val="left" w:pos="567"/>
              </w:tabs>
              <w:rPr>
                <w:noProof/>
                <w:lang w:val="fr-FR"/>
              </w:rPr>
            </w:pPr>
            <w:r w:rsidRPr="004705FC">
              <w:rPr>
                <w:noProof/>
                <w:lang w:val="fr-FR"/>
              </w:rPr>
              <w:t>UAB “Roche Lietuva”</w:t>
            </w:r>
          </w:p>
          <w:p w14:paraId="7C332926" w14:textId="77777777" w:rsidR="00B61585" w:rsidRPr="004705FC" w:rsidRDefault="00016F29" w:rsidP="008919D7">
            <w:pPr>
              <w:tabs>
                <w:tab w:val="left" w:pos="567"/>
              </w:tabs>
              <w:rPr>
                <w:noProof/>
                <w:lang w:val="fr-FR"/>
              </w:rPr>
            </w:pPr>
            <w:r w:rsidRPr="004705FC">
              <w:rPr>
                <w:noProof/>
                <w:lang w:val="fr-FR"/>
              </w:rPr>
              <w:t>Tel: +370 5 2546799</w:t>
            </w:r>
          </w:p>
          <w:p w14:paraId="7C332927" w14:textId="77777777" w:rsidR="00B61585" w:rsidRPr="004705FC" w:rsidRDefault="00B61585" w:rsidP="008919D7">
            <w:pPr>
              <w:tabs>
                <w:tab w:val="left" w:pos="567"/>
              </w:tabs>
              <w:suppressAutoHyphens/>
              <w:rPr>
                <w:b/>
                <w:noProof/>
                <w:lang w:val="fr-FR"/>
              </w:rPr>
            </w:pPr>
          </w:p>
        </w:tc>
      </w:tr>
      <w:tr w:rsidR="003A788B" w:rsidRPr="00833E56" w14:paraId="7C332930" w14:textId="77777777" w:rsidTr="008919D7">
        <w:trPr>
          <w:cantSplit/>
        </w:trPr>
        <w:tc>
          <w:tcPr>
            <w:tcW w:w="4624" w:type="dxa"/>
            <w:shd w:val="clear" w:color="auto" w:fill="FFFFFF"/>
          </w:tcPr>
          <w:p w14:paraId="7C332929" w14:textId="77777777" w:rsidR="00B61585" w:rsidRPr="003467B7" w:rsidRDefault="00016F29" w:rsidP="008919D7">
            <w:pPr>
              <w:tabs>
                <w:tab w:val="left" w:pos="567"/>
              </w:tabs>
              <w:rPr>
                <w:b/>
                <w:noProof/>
                <w:lang w:val="ru-RU"/>
              </w:rPr>
            </w:pPr>
            <w:r w:rsidRPr="003467B7">
              <w:rPr>
                <w:b/>
                <w:noProof/>
                <w:lang w:val="ru-RU"/>
              </w:rPr>
              <w:t>България</w:t>
            </w:r>
          </w:p>
          <w:p w14:paraId="7C33292A" w14:textId="77777777" w:rsidR="00B61585" w:rsidRPr="003467B7" w:rsidRDefault="00016F29" w:rsidP="008919D7">
            <w:pPr>
              <w:tabs>
                <w:tab w:val="left" w:pos="567"/>
              </w:tabs>
              <w:rPr>
                <w:noProof/>
                <w:lang w:val="ru-RU"/>
              </w:rPr>
            </w:pPr>
            <w:r w:rsidRPr="003467B7">
              <w:rPr>
                <w:noProof/>
                <w:lang w:val="ru-RU"/>
              </w:rPr>
              <w:t>Рош България ЕООД</w:t>
            </w:r>
          </w:p>
          <w:p w14:paraId="7C33292B" w14:textId="77777777" w:rsidR="00B61585" w:rsidRPr="003467B7" w:rsidRDefault="00016F29" w:rsidP="008919D7">
            <w:pPr>
              <w:tabs>
                <w:tab w:val="left" w:pos="567"/>
              </w:tabs>
              <w:rPr>
                <w:noProof/>
                <w:lang w:val="ru-RU"/>
              </w:rPr>
            </w:pPr>
            <w:r w:rsidRPr="003467B7">
              <w:rPr>
                <w:noProof/>
                <w:lang w:val="ru-RU"/>
              </w:rPr>
              <w:t>Тел: +359 2</w:t>
            </w:r>
            <w:r w:rsidR="00153FF8" w:rsidRPr="00083FCE">
              <w:rPr>
                <w:noProof/>
              </w:rPr>
              <w:t> </w:t>
            </w:r>
            <w:r w:rsidRPr="003467B7">
              <w:rPr>
                <w:noProof/>
                <w:lang w:val="ru-RU"/>
              </w:rPr>
              <w:t>818 44 44</w:t>
            </w:r>
          </w:p>
          <w:p w14:paraId="7C33292C" w14:textId="77777777" w:rsidR="00B61585" w:rsidRPr="003467B7" w:rsidRDefault="00B61585" w:rsidP="008919D7">
            <w:pPr>
              <w:tabs>
                <w:tab w:val="left" w:pos="567"/>
              </w:tabs>
              <w:rPr>
                <w:b/>
                <w:noProof/>
                <w:lang w:val="ru-RU"/>
              </w:rPr>
            </w:pPr>
          </w:p>
        </w:tc>
        <w:tc>
          <w:tcPr>
            <w:tcW w:w="4590" w:type="dxa"/>
            <w:shd w:val="clear" w:color="auto" w:fill="FFFFFF"/>
          </w:tcPr>
          <w:p w14:paraId="7C33292D" w14:textId="77777777" w:rsidR="00B61585" w:rsidRPr="0053610E" w:rsidRDefault="00016F29" w:rsidP="008919D7">
            <w:pPr>
              <w:tabs>
                <w:tab w:val="left" w:pos="567"/>
              </w:tabs>
              <w:suppressAutoHyphens/>
              <w:rPr>
                <w:b/>
                <w:noProof/>
                <w:lang w:val="de-DE"/>
              </w:rPr>
            </w:pPr>
            <w:r w:rsidRPr="0053610E">
              <w:rPr>
                <w:b/>
                <w:noProof/>
                <w:lang w:val="de-DE"/>
              </w:rPr>
              <w:t>Luxembourg/Luxemburg</w:t>
            </w:r>
          </w:p>
          <w:p w14:paraId="7C33292E" w14:textId="77777777" w:rsidR="00B61585" w:rsidRPr="0053610E" w:rsidRDefault="00016F29" w:rsidP="008919D7">
            <w:pPr>
              <w:tabs>
                <w:tab w:val="left" w:pos="567"/>
              </w:tabs>
              <w:rPr>
                <w:noProof/>
                <w:lang w:val="de-DE"/>
              </w:rPr>
            </w:pPr>
            <w:r w:rsidRPr="0053610E">
              <w:rPr>
                <w:noProof/>
                <w:lang w:val="de-DE"/>
              </w:rPr>
              <w:t>(Voir/siehe Belgique/Belgien)</w:t>
            </w:r>
          </w:p>
          <w:p w14:paraId="7C33292F" w14:textId="77777777" w:rsidR="00B61585" w:rsidRPr="0053610E" w:rsidRDefault="00B61585" w:rsidP="008919D7">
            <w:pPr>
              <w:tabs>
                <w:tab w:val="left" w:pos="567"/>
              </w:tabs>
              <w:suppressAutoHyphens/>
              <w:rPr>
                <w:b/>
                <w:noProof/>
                <w:lang w:val="de-DE"/>
              </w:rPr>
            </w:pPr>
          </w:p>
        </w:tc>
      </w:tr>
      <w:tr w:rsidR="003A788B" w14:paraId="7C332939" w14:textId="77777777" w:rsidTr="008919D7">
        <w:trPr>
          <w:cantSplit/>
        </w:trPr>
        <w:tc>
          <w:tcPr>
            <w:tcW w:w="4624" w:type="dxa"/>
            <w:shd w:val="clear" w:color="auto" w:fill="FFFFFF"/>
          </w:tcPr>
          <w:p w14:paraId="7C332931" w14:textId="77777777" w:rsidR="00B61585" w:rsidRPr="009D3FC0" w:rsidRDefault="00016F29" w:rsidP="008919D7">
            <w:pPr>
              <w:tabs>
                <w:tab w:val="left" w:pos="567"/>
              </w:tabs>
              <w:rPr>
                <w:b/>
                <w:noProof/>
                <w:lang w:val="de-DE"/>
              </w:rPr>
            </w:pPr>
            <w:r w:rsidRPr="009D3FC0">
              <w:rPr>
                <w:b/>
                <w:noProof/>
                <w:lang w:val="de-DE"/>
              </w:rPr>
              <w:t>Česká republika</w:t>
            </w:r>
          </w:p>
          <w:p w14:paraId="7C332932" w14:textId="77777777" w:rsidR="00B61585" w:rsidRPr="009D3FC0" w:rsidRDefault="00016F29" w:rsidP="008919D7">
            <w:pPr>
              <w:tabs>
                <w:tab w:val="left" w:pos="567"/>
              </w:tabs>
              <w:rPr>
                <w:noProof/>
                <w:lang w:val="de-DE"/>
              </w:rPr>
            </w:pPr>
            <w:r w:rsidRPr="009D3FC0">
              <w:rPr>
                <w:noProof/>
                <w:lang w:val="de-DE"/>
              </w:rPr>
              <w:t>Roche s. r. o.</w:t>
            </w:r>
          </w:p>
          <w:p w14:paraId="7C332933" w14:textId="77777777" w:rsidR="00B61585" w:rsidRPr="00383DC8" w:rsidRDefault="00016F29" w:rsidP="008919D7">
            <w:pPr>
              <w:tabs>
                <w:tab w:val="left" w:pos="567"/>
              </w:tabs>
              <w:rPr>
                <w:noProof/>
                <w:lang w:val="de-DE"/>
              </w:rPr>
            </w:pPr>
            <w:r w:rsidRPr="00383DC8">
              <w:rPr>
                <w:noProof/>
                <w:lang w:val="de-DE"/>
              </w:rPr>
              <w:t xml:space="preserve">Tel: +420 </w:t>
            </w:r>
            <w:r w:rsidRPr="00383DC8">
              <w:rPr>
                <w:noProof/>
                <w:lang w:val="de-DE"/>
              </w:rPr>
              <w:noBreakHyphen/>
              <w:t xml:space="preserve"> 2 20382111</w:t>
            </w:r>
          </w:p>
          <w:p w14:paraId="7C332934" w14:textId="77777777" w:rsidR="00B61585" w:rsidRPr="00383DC8" w:rsidRDefault="00B61585" w:rsidP="008919D7">
            <w:pPr>
              <w:tabs>
                <w:tab w:val="left" w:pos="567"/>
              </w:tabs>
              <w:rPr>
                <w:b/>
                <w:noProof/>
                <w:lang w:val="de-DE"/>
              </w:rPr>
            </w:pPr>
          </w:p>
        </w:tc>
        <w:tc>
          <w:tcPr>
            <w:tcW w:w="4590" w:type="dxa"/>
            <w:shd w:val="clear" w:color="auto" w:fill="FFFFFF"/>
          </w:tcPr>
          <w:p w14:paraId="7C332935" w14:textId="77777777" w:rsidR="00B61585" w:rsidRPr="00F638AF" w:rsidRDefault="00016F29" w:rsidP="008919D7">
            <w:pPr>
              <w:tabs>
                <w:tab w:val="left" w:pos="567"/>
              </w:tabs>
              <w:suppressAutoHyphens/>
              <w:rPr>
                <w:b/>
              </w:rPr>
            </w:pPr>
            <w:r w:rsidRPr="00F638AF">
              <w:rPr>
                <w:b/>
              </w:rPr>
              <w:t>Magyarország</w:t>
            </w:r>
          </w:p>
          <w:p w14:paraId="7C332936" w14:textId="77777777" w:rsidR="00B61585" w:rsidRPr="00F638AF" w:rsidRDefault="00016F29" w:rsidP="008919D7">
            <w:pPr>
              <w:tabs>
                <w:tab w:val="left" w:pos="567"/>
              </w:tabs>
            </w:pPr>
            <w:r w:rsidRPr="00F638AF">
              <w:t>Roche (Magyarország) Kft.</w:t>
            </w:r>
          </w:p>
          <w:p w14:paraId="7C332937" w14:textId="77777777" w:rsidR="00B61585" w:rsidRPr="00F638AF" w:rsidRDefault="00016F29" w:rsidP="008919D7">
            <w:pPr>
              <w:tabs>
                <w:tab w:val="left" w:pos="567"/>
              </w:tabs>
            </w:pPr>
            <w:r w:rsidRPr="00F638AF">
              <w:t xml:space="preserve">Tel: +36 </w:t>
            </w:r>
            <w:r w:rsidRPr="00F638AF">
              <w:noBreakHyphen/>
              <w:t xml:space="preserve"> 23 446 800</w:t>
            </w:r>
          </w:p>
          <w:p w14:paraId="7C332938" w14:textId="77777777" w:rsidR="00B61585" w:rsidRPr="00F638AF" w:rsidRDefault="00B61585" w:rsidP="008919D7">
            <w:pPr>
              <w:tabs>
                <w:tab w:val="left" w:pos="567"/>
              </w:tabs>
              <w:suppressAutoHyphens/>
              <w:rPr>
                <w:b/>
              </w:rPr>
            </w:pPr>
          </w:p>
        </w:tc>
      </w:tr>
      <w:tr w:rsidR="003A788B" w14:paraId="7C332941" w14:textId="77777777" w:rsidTr="008919D7">
        <w:trPr>
          <w:cantSplit/>
        </w:trPr>
        <w:tc>
          <w:tcPr>
            <w:tcW w:w="4624" w:type="dxa"/>
            <w:shd w:val="clear" w:color="auto" w:fill="FFFFFF"/>
          </w:tcPr>
          <w:p w14:paraId="7C33293A" w14:textId="77777777" w:rsidR="00B61585" w:rsidRPr="009D3FC0" w:rsidRDefault="00016F29" w:rsidP="008919D7">
            <w:pPr>
              <w:tabs>
                <w:tab w:val="left" w:pos="567"/>
              </w:tabs>
              <w:rPr>
                <w:b/>
                <w:noProof/>
                <w:lang w:val="en-GB"/>
              </w:rPr>
            </w:pPr>
            <w:r w:rsidRPr="009D3FC0">
              <w:rPr>
                <w:b/>
                <w:noProof/>
                <w:lang w:val="en-GB"/>
              </w:rPr>
              <w:t>Danmark</w:t>
            </w:r>
          </w:p>
          <w:p w14:paraId="7C33293B" w14:textId="77777777" w:rsidR="00B61585" w:rsidRPr="009D3FC0" w:rsidRDefault="00016F29" w:rsidP="008919D7">
            <w:pPr>
              <w:tabs>
                <w:tab w:val="left" w:pos="567"/>
                <w:tab w:val="center" w:pos="2204"/>
              </w:tabs>
              <w:rPr>
                <w:noProof/>
                <w:lang w:val="en-GB"/>
              </w:rPr>
            </w:pPr>
            <w:r w:rsidRPr="009D3FC0">
              <w:rPr>
                <w:noProof/>
                <w:lang w:val="en-GB"/>
              </w:rPr>
              <w:t>Roche a/s</w:t>
            </w:r>
            <w:r w:rsidRPr="009D3FC0">
              <w:rPr>
                <w:noProof/>
                <w:lang w:val="en-GB"/>
              </w:rPr>
              <w:tab/>
            </w:r>
          </w:p>
          <w:p w14:paraId="7C33293C" w14:textId="77777777" w:rsidR="00B61585" w:rsidRPr="009D3FC0" w:rsidRDefault="00016F29" w:rsidP="008919D7">
            <w:pPr>
              <w:tabs>
                <w:tab w:val="left" w:pos="567"/>
              </w:tabs>
              <w:rPr>
                <w:noProof/>
                <w:lang w:val="en-GB"/>
              </w:rPr>
            </w:pPr>
            <w:r w:rsidRPr="009D3FC0">
              <w:rPr>
                <w:noProof/>
                <w:lang w:val="en-GB"/>
              </w:rPr>
              <w:t xml:space="preserve">Tlf: +45 </w:t>
            </w:r>
            <w:r w:rsidR="000A6DDA" w:rsidRPr="009D3FC0">
              <w:rPr>
                <w:noProof/>
                <w:lang w:val="en-GB"/>
              </w:rPr>
              <w:noBreakHyphen/>
            </w:r>
            <w:r w:rsidRPr="009D3FC0">
              <w:rPr>
                <w:noProof/>
                <w:lang w:val="en-GB"/>
              </w:rPr>
              <w:t xml:space="preserve"> 36 39 99 99</w:t>
            </w:r>
          </w:p>
          <w:p w14:paraId="7C33293D" w14:textId="77777777" w:rsidR="00B61585" w:rsidRPr="009D3FC0" w:rsidRDefault="00B61585" w:rsidP="008919D7">
            <w:pPr>
              <w:tabs>
                <w:tab w:val="left" w:pos="567"/>
              </w:tabs>
              <w:rPr>
                <w:b/>
                <w:noProof/>
                <w:lang w:val="en-GB"/>
              </w:rPr>
            </w:pPr>
          </w:p>
        </w:tc>
        <w:tc>
          <w:tcPr>
            <w:tcW w:w="4590" w:type="dxa"/>
            <w:shd w:val="clear" w:color="auto" w:fill="FFFFFF"/>
          </w:tcPr>
          <w:p w14:paraId="7C33293E" w14:textId="77777777" w:rsidR="00B61585" w:rsidRPr="009D3FC0" w:rsidRDefault="00016F29" w:rsidP="008919D7">
            <w:pPr>
              <w:tabs>
                <w:tab w:val="left" w:pos="567"/>
              </w:tabs>
              <w:suppressAutoHyphens/>
              <w:rPr>
                <w:b/>
                <w:noProof/>
                <w:lang w:val="en-GB"/>
              </w:rPr>
            </w:pPr>
            <w:r w:rsidRPr="009D3FC0">
              <w:rPr>
                <w:b/>
                <w:noProof/>
                <w:lang w:val="en-GB"/>
              </w:rPr>
              <w:t>Malta</w:t>
            </w:r>
          </w:p>
          <w:p w14:paraId="7C33293F" w14:textId="77777777" w:rsidR="00B0361F" w:rsidRPr="00885E37" w:rsidRDefault="00016F29" w:rsidP="00B0361F">
            <w:pPr>
              <w:tabs>
                <w:tab w:val="left" w:pos="567"/>
              </w:tabs>
              <w:rPr>
                <w:noProof/>
                <w:lang w:val="en-GB"/>
              </w:rPr>
            </w:pPr>
            <w:r w:rsidRPr="00885E37">
              <w:rPr>
                <w:noProof/>
                <w:lang w:val="en-GB"/>
              </w:rPr>
              <w:t xml:space="preserve">(See </w:t>
            </w:r>
            <w:r>
              <w:rPr>
                <w:noProof/>
                <w:lang w:val="en-GB"/>
              </w:rPr>
              <w:t>Ireland</w:t>
            </w:r>
            <w:r w:rsidRPr="00885E37">
              <w:rPr>
                <w:noProof/>
                <w:lang w:val="en-GB"/>
              </w:rPr>
              <w:t>)</w:t>
            </w:r>
          </w:p>
          <w:p w14:paraId="7C332940" w14:textId="77777777" w:rsidR="00B61585" w:rsidRPr="009D3FC0" w:rsidRDefault="00016F29" w:rsidP="00B0361F">
            <w:pPr>
              <w:tabs>
                <w:tab w:val="left" w:pos="567"/>
              </w:tabs>
              <w:suppressAutoHyphens/>
              <w:rPr>
                <w:b/>
                <w:noProof/>
                <w:lang w:val="en-GB"/>
              </w:rPr>
            </w:pPr>
            <w:r w:rsidRPr="009D3FC0">
              <w:rPr>
                <w:b/>
                <w:noProof/>
                <w:lang w:val="en-GB"/>
              </w:rPr>
              <w:t xml:space="preserve"> </w:t>
            </w:r>
          </w:p>
        </w:tc>
      </w:tr>
      <w:tr w:rsidR="003A788B" w14:paraId="7C33294A" w14:textId="77777777" w:rsidTr="008919D7">
        <w:trPr>
          <w:cantSplit/>
        </w:trPr>
        <w:tc>
          <w:tcPr>
            <w:tcW w:w="4624" w:type="dxa"/>
            <w:shd w:val="clear" w:color="auto" w:fill="FFFFFF"/>
          </w:tcPr>
          <w:p w14:paraId="7C332942" w14:textId="77777777" w:rsidR="00B61585" w:rsidRPr="009D3FC0" w:rsidRDefault="00016F29" w:rsidP="008919D7">
            <w:pPr>
              <w:tabs>
                <w:tab w:val="left" w:pos="567"/>
              </w:tabs>
              <w:rPr>
                <w:b/>
                <w:noProof/>
                <w:lang w:val="de-DE"/>
              </w:rPr>
            </w:pPr>
            <w:r w:rsidRPr="009D3FC0">
              <w:rPr>
                <w:b/>
                <w:noProof/>
                <w:lang w:val="de-DE"/>
              </w:rPr>
              <w:t>Deutschland</w:t>
            </w:r>
          </w:p>
          <w:p w14:paraId="7C332943" w14:textId="77777777" w:rsidR="00B61585" w:rsidRPr="009D3FC0" w:rsidRDefault="00016F29" w:rsidP="008919D7">
            <w:pPr>
              <w:tabs>
                <w:tab w:val="left" w:pos="567"/>
              </w:tabs>
              <w:rPr>
                <w:noProof/>
                <w:lang w:val="de-DE"/>
              </w:rPr>
            </w:pPr>
            <w:r w:rsidRPr="009D3FC0">
              <w:rPr>
                <w:noProof/>
                <w:lang w:val="de-DE"/>
              </w:rPr>
              <w:t>Roche Pharma AG</w:t>
            </w:r>
          </w:p>
          <w:p w14:paraId="7C332944" w14:textId="77777777" w:rsidR="00B61585" w:rsidRPr="009D3FC0" w:rsidRDefault="00016F29" w:rsidP="008919D7">
            <w:pPr>
              <w:tabs>
                <w:tab w:val="left" w:pos="567"/>
              </w:tabs>
              <w:rPr>
                <w:noProof/>
                <w:lang w:val="de-DE"/>
              </w:rPr>
            </w:pPr>
            <w:r w:rsidRPr="009D3FC0">
              <w:rPr>
                <w:noProof/>
                <w:lang w:val="de-DE"/>
              </w:rPr>
              <w:t>Tel: +49 (0) 7624 140</w:t>
            </w:r>
          </w:p>
          <w:p w14:paraId="7C332945" w14:textId="77777777" w:rsidR="00B61585" w:rsidRPr="009D3FC0" w:rsidRDefault="00B61585" w:rsidP="008919D7">
            <w:pPr>
              <w:tabs>
                <w:tab w:val="left" w:pos="567"/>
              </w:tabs>
              <w:rPr>
                <w:b/>
                <w:noProof/>
                <w:lang w:val="de-DE"/>
              </w:rPr>
            </w:pPr>
          </w:p>
        </w:tc>
        <w:tc>
          <w:tcPr>
            <w:tcW w:w="4590" w:type="dxa"/>
            <w:shd w:val="clear" w:color="auto" w:fill="FFFFFF"/>
          </w:tcPr>
          <w:p w14:paraId="7C332946" w14:textId="77777777" w:rsidR="00B61585" w:rsidRPr="009D3FC0" w:rsidRDefault="00016F29" w:rsidP="008919D7">
            <w:pPr>
              <w:tabs>
                <w:tab w:val="left" w:pos="567"/>
              </w:tabs>
              <w:suppressAutoHyphens/>
              <w:rPr>
                <w:b/>
                <w:noProof/>
                <w:lang w:val="de-DE"/>
              </w:rPr>
            </w:pPr>
            <w:r w:rsidRPr="009D3FC0">
              <w:rPr>
                <w:b/>
                <w:noProof/>
                <w:lang w:val="de-DE"/>
              </w:rPr>
              <w:t>Nederland</w:t>
            </w:r>
          </w:p>
          <w:p w14:paraId="7C332947" w14:textId="77777777" w:rsidR="00B61585" w:rsidRPr="009D3FC0" w:rsidRDefault="00016F29" w:rsidP="008919D7">
            <w:pPr>
              <w:tabs>
                <w:tab w:val="left" w:pos="567"/>
              </w:tabs>
              <w:rPr>
                <w:noProof/>
                <w:lang w:val="de-DE"/>
              </w:rPr>
            </w:pPr>
            <w:r w:rsidRPr="009D3FC0">
              <w:rPr>
                <w:noProof/>
                <w:lang w:val="de-DE"/>
              </w:rPr>
              <w:t>Roche Nederland B.V.</w:t>
            </w:r>
          </w:p>
          <w:p w14:paraId="7C332948" w14:textId="77777777" w:rsidR="00B61585" w:rsidRPr="009D3FC0" w:rsidRDefault="00016F29" w:rsidP="008919D7">
            <w:pPr>
              <w:tabs>
                <w:tab w:val="left" w:pos="567"/>
              </w:tabs>
              <w:rPr>
                <w:noProof/>
                <w:lang w:val="en-GB"/>
              </w:rPr>
            </w:pPr>
            <w:r w:rsidRPr="009D3FC0">
              <w:rPr>
                <w:noProof/>
                <w:lang w:val="en-GB"/>
              </w:rPr>
              <w:t>Tel: +31 (0) 348 438050</w:t>
            </w:r>
          </w:p>
          <w:p w14:paraId="7C332949" w14:textId="77777777" w:rsidR="00B61585" w:rsidRPr="009D3FC0" w:rsidRDefault="00B61585" w:rsidP="008919D7">
            <w:pPr>
              <w:tabs>
                <w:tab w:val="left" w:pos="567"/>
              </w:tabs>
              <w:suppressAutoHyphens/>
              <w:rPr>
                <w:b/>
                <w:noProof/>
                <w:lang w:val="en-GB"/>
              </w:rPr>
            </w:pPr>
          </w:p>
        </w:tc>
      </w:tr>
      <w:tr w:rsidR="003A788B" w14:paraId="7C332953" w14:textId="77777777" w:rsidTr="008919D7">
        <w:trPr>
          <w:cantSplit/>
        </w:trPr>
        <w:tc>
          <w:tcPr>
            <w:tcW w:w="4624" w:type="dxa"/>
            <w:shd w:val="clear" w:color="auto" w:fill="FFFFFF"/>
          </w:tcPr>
          <w:p w14:paraId="7C33294B" w14:textId="77777777" w:rsidR="00B61585" w:rsidRPr="00383DC8" w:rsidRDefault="00016F29" w:rsidP="008919D7">
            <w:pPr>
              <w:tabs>
                <w:tab w:val="left" w:pos="567"/>
              </w:tabs>
              <w:rPr>
                <w:b/>
                <w:noProof/>
                <w:lang w:val="it-IT"/>
              </w:rPr>
            </w:pPr>
            <w:r w:rsidRPr="00383DC8">
              <w:rPr>
                <w:b/>
                <w:noProof/>
                <w:lang w:val="it-IT"/>
              </w:rPr>
              <w:t>Eesti</w:t>
            </w:r>
          </w:p>
          <w:p w14:paraId="7C33294C" w14:textId="77777777" w:rsidR="00B61585" w:rsidRPr="00383DC8" w:rsidRDefault="00016F29" w:rsidP="008919D7">
            <w:pPr>
              <w:tabs>
                <w:tab w:val="left" w:pos="567"/>
              </w:tabs>
              <w:rPr>
                <w:noProof/>
                <w:lang w:val="it-IT"/>
              </w:rPr>
            </w:pPr>
            <w:r w:rsidRPr="00383DC8">
              <w:rPr>
                <w:noProof/>
                <w:lang w:val="it-IT"/>
              </w:rPr>
              <w:t>Roche Eesti OÜ</w:t>
            </w:r>
          </w:p>
          <w:p w14:paraId="7C33294D" w14:textId="77777777" w:rsidR="00B61585" w:rsidRPr="00383DC8" w:rsidRDefault="00016F29" w:rsidP="008919D7">
            <w:pPr>
              <w:tabs>
                <w:tab w:val="left" w:pos="567"/>
              </w:tabs>
              <w:rPr>
                <w:noProof/>
                <w:lang w:val="it-IT"/>
              </w:rPr>
            </w:pPr>
            <w:r w:rsidRPr="00383DC8">
              <w:rPr>
                <w:noProof/>
                <w:lang w:val="it-IT"/>
              </w:rPr>
              <w:t xml:space="preserve">Tel: + 372 </w:t>
            </w:r>
            <w:r w:rsidRPr="00383DC8">
              <w:rPr>
                <w:noProof/>
                <w:lang w:val="it-IT"/>
              </w:rPr>
              <w:noBreakHyphen/>
              <w:t xml:space="preserve"> 6 177 380</w:t>
            </w:r>
          </w:p>
          <w:p w14:paraId="7C33294E" w14:textId="77777777" w:rsidR="00B61585" w:rsidRPr="00383DC8" w:rsidRDefault="00B61585" w:rsidP="008919D7">
            <w:pPr>
              <w:tabs>
                <w:tab w:val="left" w:pos="567"/>
              </w:tabs>
              <w:rPr>
                <w:b/>
                <w:noProof/>
                <w:lang w:val="it-IT"/>
              </w:rPr>
            </w:pPr>
          </w:p>
        </w:tc>
        <w:tc>
          <w:tcPr>
            <w:tcW w:w="4590" w:type="dxa"/>
            <w:shd w:val="clear" w:color="auto" w:fill="FFFFFF"/>
          </w:tcPr>
          <w:p w14:paraId="7C33294F" w14:textId="77777777" w:rsidR="00B61585" w:rsidRPr="009D3FC0" w:rsidRDefault="00016F29" w:rsidP="008919D7">
            <w:pPr>
              <w:tabs>
                <w:tab w:val="left" w:pos="567"/>
              </w:tabs>
              <w:suppressAutoHyphens/>
              <w:rPr>
                <w:b/>
                <w:noProof/>
                <w:lang w:val="en-GB"/>
              </w:rPr>
            </w:pPr>
            <w:r w:rsidRPr="009D3FC0">
              <w:rPr>
                <w:b/>
                <w:noProof/>
                <w:lang w:val="en-GB"/>
              </w:rPr>
              <w:t>Norge</w:t>
            </w:r>
          </w:p>
          <w:p w14:paraId="7C332950" w14:textId="77777777" w:rsidR="00B61585" w:rsidRPr="009D3FC0" w:rsidRDefault="00016F29" w:rsidP="008919D7">
            <w:pPr>
              <w:tabs>
                <w:tab w:val="left" w:pos="567"/>
              </w:tabs>
              <w:rPr>
                <w:noProof/>
                <w:lang w:val="en-GB"/>
              </w:rPr>
            </w:pPr>
            <w:r w:rsidRPr="009D3FC0">
              <w:rPr>
                <w:noProof/>
                <w:lang w:val="en-GB"/>
              </w:rPr>
              <w:t>Roche Norge AS</w:t>
            </w:r>
          </w:p>
          <w:p w14:paraId="7C332951" w14:textId="77777777" w:rsidR="00B61585" w:rsidRPr="009D3FC0" w:rsidRDefault="00016F29" w:rsidP="008919D7">
            <w:pPr>
              <w:tabs>
                <w:tab w:val="left" w:pos="567"/>
              </w:tabs>
              <w:rPr>
                <w:noProof/>
                <w:lang w:val="en-GB"/>
              </w:rPr>
            </w:pPr>
            <w:r w:rsidRPr="009D3FC0">
              <w:rPr>
                <w:noProof/>
                <w:lang w:val="en-GB"/>
              </w:rPr>
              <w:t xml:space="preserve">Tlf: +47 </w:t>
            </w:r>
            <w:r w:rsidR="000A6DDA" w:rsidRPr="009D3FC0">
              <w:rPr>
                <w:noProof/>
                <w:lang w:val="en-GB"/>
              </w:rPr>
              <w:noBreakHyphen/>
            </w:r>
            <w:r w:rsidRPr="009D3FC0">
              <w:rPr>
                <w:noProof/>
                <w:lang w:val="en-GB"/>
              </w:rPr>
              <w:t xml:space="preserve"> 22 78 90 00</w:t>
            </w:r>
          </w:p>
          <w:p w14:paraId="7C332952" w14:textId="77777777" w:rsidR="00B61585" w:rsidRPr="009D3FC0" w:rsidRDefault="00B61585" w:rsidP="008919D7">
            <w:pPr>
              <w:tabs>
                <w:tab w:val="left" w:pos="567"/>
              </w:tabs>
              <w:suppressAutoHyphens/>
              <w:rPr>
                <w:b/>
                <w:noProof/>
                <w:lang w:val="en-GB"/>
              </w:rPr>
            </w:pPr>
          </w:p>
        </w:tc>
      </w:tr>
      <w:tr w:rsidR="003A788B" w:rsidRPr="00833E56" w14:paraId="7C33295C" w14:textId="77777777" w:rsidTr="008919D7">
        <w:trPr>
          <w:cantSplit/>
        </w:trPr>
        <w:tc>
          <w:tcPr>
            <w:tcW w:w="4624" w:type="dxa"/>
            <w:shd w:val="clear" w:color="auto" w:fill="FFFFFF"/>
          </w:tcPr>
          <w:p w14:paraId="7C332954" w14:textId="77777777" w:rsidR="00B61585" w:rsidRPr="009D3FC0" w:rsidRDefault="00016F29" w:rsidP="008919D7">
            <w:pPr>
              <w:tabs>
                <w:tab w:val="left" w:pos="567"/>
              </w:tabs>
              <w:rPr>
                <w:b/>
                <w:noProof/>
                <w:lang w:val="en-GB"/>
              </w:rPr>
            </w:pPr>
            <w:r w:rsidRPr="009D3FC0">
              <w:rPr>
                <w:b/>
                <w:noProof/>
                <w:lang w:val="en-GB"/>
              </w:rPr>
              <w:t>Ελλάδα</w:t>
            </w:r>
          </w:p>
          <w:p w14:paraId="7C332955" w14:textId="77777777" w:rsidR="00B61585" w:rsidRPr="009D3FC0" w:rsidRDefault="00016F29" w:rsidP="008919D7">
            <w:pPr>
              <w:tabs>
                <w:tab w:val="left" w:pos="567"/>
              </w:tabs>
              <w:rPr>
                <w:noProof/>
                <w:lang w:val="en-GB"/>
              </w:rPr>
            </w:pPr>
            <w:r w:rsidRPr="009D3FC0">
              <w:rPr>
                <w:noProof/>
                <w:lang w:val="en-GB"/>
              </w:rPr>
              <w:t xml:space="preserve">Roche (Hellas) A.E. </w:t>
            </w:r>
          </w:p>
          <w:p w14:paraId="7C332956" w14:textId="77777777" w:rsidR="00B61585" w:rsidRPr="009D3FC0" w:rsidRDefault="00016F29" w:rsidP="008919D7">
            <w:pPr>
              <w:tabs>
                <w:tab w:val="left" w:pos="567"/>
              </w:tabs>
              <w:rPr>
                <w:noProof/>
                <w:lang w:val="en-GB"/>
              </w:rPr>
            </w:pPr>
            <w:r w:rsidRPr="009D3FC0">
              <w:rPr>
                <w:noProof/>
                <w:lang w:val="en-GB"/>
              </w:rPr>
              <w:t>Τηλ: +30 210 61 66 100</w:t>
            </w:r>
          </w:p>
          <w:p w14:paraId="7C332957" w14:textId="77777777" w:rsidR="00B61585" w:rsidRPr="009D3FC0" w:rsidRDefault="00B61585" w:rsidP="008919D7">
            <w:pPr>
              <w:tabs>
                <w:tab w:val="left" w:pos="567"/>
              </w:tabs>
              <w:rPr>
                <w:b/>
                <w:noProof/>
                <w:lang w:val="en-GB"/>
              </w:rPr>
            </w:pPr>
          </w:p>
        </w:tc>
        <w:tc>
          <w:tcPr>
            <w:tcW w:w="4590" w:type="dxa"/>
            <w:shd w:val="clear" w:color="auto" w:fill="FFFFFF"/>
          </w:tcPr>
          <w:p w14:paraId="7C332958" w14:textId="77777777" w:rsidR="00B61585" w:rsidRPr="009D3FC0" w:rsidRDefault="00016F29" w:rsidP="008919D7">
            <w:pPr>
              <w:tabs>
                <w:tab w:val="left" w:pos="567"/>
              </w:tabs>
              <w:suppressAutoHyphens/>
              <w:rPr>
                <w:b/>
                <w:noProof/>
                <w:lang w:val="de-DE"/>
              </w:rPr>
            </w:pPr>
            <w:r w:rsidRPr="009D3FC0">
              <w:rPr>
                <w:b/>
                <w:noProof/>
                <w:lang w:val="de-DE"/>
              </w:rPr>
              <w:t>Österreich</w:t>
            </w:r>
          </w:p>
          <w:p w14:paraId="7C332959" w14:textId="77777777" w:rsidR="00B61585" w:rsidRPr="009D3FC0" w:rsidRDefault="00016F29" w:rsidP="008919D7">
            <w:pPr>
              <w:tabs>
                <w:tab w:val="left" w:pos="567"/>
              </w:tabs>
              <w:rPr>
                <w:noProof/>
                <w:lang w:val="de-DE"/>
              </w:rPr>
            </w:pPr>
            <w:r w:rsidRPr="009D3FC0">
              <w:rPr>
                <w:noProof/>
                <w:lang w:val="de-DE"/>
              </w:rPr>
              <w:t>Roche Austria GmbH</w:t>
            </w:r>
          </w:p>
          <w:p w14:paraId="7C33295A" w14:textId="77777777" w:rsidR="00B61585" w:rsidRPr="009D3FC0" w:rsidRDefault="00016F29" w:rsidP="008919D7">
            <w:pPr>
              <w:tabs>
                <w:tab w:val="left" w:pos="567"/>
              </w:tabs>
              <w:rPr>
                <w:noProof/>
                <w:lang w:val="de-DE"/>
              </w:rPr>
            </w:pPr>
            <w:r w:rsidRPr="009D3FC0">
              <w:rPr>
                <w:noProof/>
                <w:lang w:val="de-DE"/>
              </w:rPr>
              <w:t>Tel: +43 (0) 1 27739</w:t>
            </w:r>
          </w:p>
          <w:p w14:paraId="7C33295B" w14:textId="77777777" w:rsidR="00B61585" w:rsidRPr="009D3FC0" w:rsidRDefault="00B61585" w:rsidP="008919D7">
            <w:pPr>
              <w:tabs>
                <w:tab w:val="left" w:pos="567"/>
              </w:tabs>
              <w:suppressAutoHyphens/>
              <w:rPr>
                <w:b/>
                <w:noProof/>
                <w:lang w:val="de-DE"/>
              </w:rPr>
            </w:pPr>
          </w:p>
        </w:tc>
      </w:tr>
      <w:tr w:rsidR="003A788B" w14:paraId="7C332965" w14:textId="77777777" w:rsidTr="008919D7">
        <w:trPr>
          <w:cantSplit/>
        </w:trPr>
        <w:tc>
          <w:tcPr>
            <w:tcW w:w="4624" w:type="dxa"/>
            <w:shd w:val="clear" w:color="auto" w:fill="FFFFFF"/>
          </w:tcPr>
          <w:p w14:paraId="7C33295D" w14:textId="77777777" w:rsidR="00B61585" w:rsidRPr="009D3FC0" w:rsidRDefault="00016F29" w:rsidP="008919D7">
            <w:pPr>
              <w:tabs>
                <w:tab w:val="left" w:pos="567"/>
              </w:tabs>
              <w:rPr>
                <w:b/>
                <w:noProof/>
                <w:lang w:val="es-ES"/>
              </w:rPr>
            </w:pPr>
            <w:r w:rsidRPr="009D3FC0">
              <w:rPr>
                <w:b/>
                <w:noProof/>
                <w:lang w:val="es-ES"/>
              </w:rPr>
              <w:t>España</w:t>
            </w:r>
          </w:p>
          <w:p w14:paraId="7C33295E" w14:textId="77777777" w:rsidR="00B61585" w:rsidRPr="009D3FC0" w:rsidRDefault="00016F29" w:rsidP="008919D7">
            <w:pPr>
              <w:tabs>
                <w:tab w:val="left" w:pos="567"/>
              </w:tabs>
              <w:rPr>
                <w:noProof/>
                <w:lang w:val="es-ES"/>
              </w:rPr>
            </w:pPr>
            <w:r w:rsidRPr="009D3FC0">
              <w:rPr>
                <w:noProof/>
                <w:lang w:val="es-ES"/>
              </w:rPr>
              <w:t>Roche Farma S.A.</w:t>
            </w:r>
          </w:p>
          <w:p w14:paraId="7C33295F" w14:textId="77777777" w:rsidR="00B61585" w:rsidRPr="009D3FC0" w:rsidRDefault="00016F29" w:rsidP="008919D7">
            <w:pPr>
              <w:tabs>
                <w:tab w:val="left" w:pos="567"/>
              </w:tabs>
              <w:rPr>
                <w:noProof/>
                <w:lang w:val="en-GB"/>
              </w:rPr>
            </w:pPr>
            <w:r w:rsidRPr="009D3FC0">
              <w:rPr>
                <w:noProof/>
                <w:lang w:val="en-GB"/>
              </w:rPr>
              <w:t xml:space="preserve">Tel: +34 </w:t>
            </w:r>
            <w:r w:rsidR="000A6DDA" w:rsidRPr="009D3FC0">
              <w:rPr>
                <w:noProof/>
                <w:lang w:val="en-GB"/>
              </w:rPr>
              <w:noBreakHyphen/>
            </w:r>
            <w:r w:rsidRPr="009D3FC0">
              <w:rPr>
                <w:noProof/>
                <w:lang w:val="en-GB"/>
              </w:rPr>
              <w:t xml:space="preserve"> 91 324 81 00</w:t>
            </w:r>
          </w:p>
          <w:p w14:paraId="7C332960" w14:textId="77777777" w:rsidR="00B61585" w:rsidRPr="009D3FC0" w:rsidRDefault="00B61585" w:rsidP="008919D7">
            <w:pPr>
              <w:tabs>
                <w:tab w:val="left" w:pos="567"/>
              </w:tabs>
              <w:rPr>
                <w:b/>
                <w:noProof/>
                <w:lang w:val="en-GB"/>
              </w:rPr>
            </w:pPr>
          </w:p>
        </w:tc>
        <w:tc>
          <w:tcPr>
            <w:tcW w:w="4590" w:type="dxa"/>
            <w:shd w:val="clear" w:color="auto" w:fill="FFFFFF"/>
          </w:tcPr>
          <w:p w14:paraId="7C332961" w14:textId="77777777" w:rsidR="00B61585" w:rsidRPr="009D3FC0" w:rsidRDefault="00016F29" w:rsidP="008919D7">
            <w:pPr>
              <w:tabs>
                <w:tab w:val="left" w:pos="567"/>
              </w:tabs>
              <w:suppressAutoHyphens/>
              <w:rPr>
                <w:b/>
                <w:noProof/>
                <w:lang w:val="fr-FR"/>
              </w:rPr>
            </w:pPr>
            <w:r w:rsidRPr="009D3FC0">
              <w:rPr>
                <w:b/>
                <w:noProof/>
                <w:lang w:val="fr-FR"/>
              </w:rPr>
              <w:t>Polska</w:t>
            </w:r>
          </w:p>
          <w:p w14:paraId="7C332962" w14:textId="77777777" w:rsidR="00B61585" w:rsidRPr="009D3FC0" w:rsidRDefault="00016F29" w:rsidP="008919D7">
            <w:pPr>
              <w:tabs>
                <w:tab w:val="left" w:pos="567"/>
              </w:tabs>
              <w:rPr>
                <w:noProof/>
                <w:lang w:val="fr-FR"/>
              </w:rPr>
            </w:pPr>
            <w:r w:rsidRPr="009D3FC0">
              <w:rPr>
                <w:noProof/>
                <w:lang w:val="fr-FR"/>
              </w:rPr>
              <w:t>Roche Polska Sp.z o.o.</w:t>
            </w:r>
          </w:p>
          <w:p w14:paraId="7C332963" w14:textId="77777777" w:rsidR="00B61585" w:rsidRPr="009D3FC0" w:rsidRDefault="00016F29" w:rsidP="008919D7">
            <w:pPr>
              <w:tabs>
                <w:tab w:val="left" w:pos="567"/>
              </w:tabs>
              <w:rPr>
                <w:noProof/>
                <w:lang w:val="en-GB"/>
              </w:rPr>
            </w:pPr>
            <w:r w:rsidRPr="009D3FC0">
              <w:rPr>
                <w:noProof/>
                <w:lang w:val="en-GB"/>
              </w:rPr>
              <w:t xml:space="preserve">Tel: +48 </w:t>
            </w:r>
            <w:r w:rsidR="000A6DDA" w:rsidRPr="009D3FC0">
              <w:rPr>
                <w:noProof/>
                <w:lang w:val="en-GB"/>
              </w:rPr>
              <w:noBreakHyphen/>
            </w:r>
            <w:r w:rsidRPr="009D3FC0">
              <w:rPr>
                <w:noProof/>
                <w:lang w:val="en-GB"/>
              </w:rPr>
              <w:t xml:space="preserve"> 22 345 18 88</w:t>
            </w:r>
          </w:p>
          <w:p w14:paraId="7C332964" w14:textId="77777777" w:rsidR="00B61585" w:rsidRPr="009D3FC0" w:rsidRDefault="00B61585" w:rsidP="008919D7">
            <w:pPr>
              <w:tabs>
                <w:tab w:val="left" w:pos="567"/>
              </w:tabs>
              <w:suppressAutoHyphens/>
              <w:rPr>
                <w:b/>
                <w:noProof/>
                <w:lang w:val="en-GB"/>
              </w:rPr>
            </w:pPr>
          </w:p>
        </w:tc>
      </w:tr>
      <w:tr w:rsidR="003A788B" w14:paraId="7C33296E" w14:textId="77777777" w:rsidTr="008919D7">
        <w:trPr>
          <w:cantSplit/>
        </w:trPr>
        <w:tc>
          <w:tcPr>
            <w:tcW w:w="4624" w:type="dxa"/>
            <w:shd w:val="clear" w:color="auto" w:fill="FFFFFF"/>
          </w:tcPr>
          <w:p w14:paraId="7C332966" w14:textId="77777777" w:rsidR="00B61585" w:rsidRPr="009D3FC0" w:rsidRDefault="00016F29" w:rsidP="008919D7">
            <w:pPr>
              <w:tabs>
                <w:tab w:val="left" w:pos="567"/>
              </w:tabs>
              <w:rPr>
                <w:b/>
                <w:noProof/>
                <w:lang w:val="en-GB"/>
              </w:rPr>
            </w:pPr>
            <w:r w:rsidRPr="009D3FC0">
              <w:rPr>
                <w:b/>
                <w:noProof/>
                <w:lang w:val="en-GB"/>
              </w:rPr>
              <w:t>France</w:t>
            </w:r>
          </w:p>
          <w:p w14:paraId="7C332967" w14:textId="77777777" w:rsidR="00B61585" w:rsidRPr="009D3FC0" w:rsidRDefault="00016F29" w:rsidP="008919D7">
            <w:pPr>
              <w:tabs>
                <w:tab w:val="left" w:pos="567"/>
              </w:tabs>
              <w:rPr>
                <w:noProof/>
                <w:lang w:val="en-GB"/>
              </w:rPr>
            </w:pPr>
            <w:r w:rsidRPr="009D3FC0">
              <w:rPr>
                <w:noProof/>
                <w:lang w:val="en-GB"/>
              </w:rPr>
              <w:t>Roche</w:t>
            </w:r>
          </w:p>
          <w:p w14:paraId="7C332968" w14:textId="77777777" w:rsidR="00B61585" w:rsidRPr="009D3FC0" w:rsidRDefault="00016F29" w:rsidP="008919D7">
            <w:pPr>
              <w:tabs>
                <w:tab w:val="left" w:pos="567"/>
              </w:tabs>
              <w:rPr>
                <w:noProof/>
                <w:lang w:val="en-GB"/>
              </w:rPr>
            </w:pPr>
            <w:r w:rsidRPr="009D3FC0">
              <w:rPr>
                <w:noProof/>
                <w:lang w:val="en-GB"/>
              </w:rPr>
              <w:t>Tél: +33  (0)1 47 61 40 00</w:t>
            </w:r>
          </w:p>
          <w:p w14:paraId="7C332969" w14:textId="77777777" w:rsidR="00B61585" w:rsidRPr="009D3FC0" w:rsidRDefault="00B61585" w:rsidP="008919D7">
            <w:pPr>
              <w:tabs>
                <w:tab w:val="left" w:pos="567"/>
              </w:tabs>
              <w:rPr>
                <w:b/>
                <w:noProof/>
                <w:lang w:val="en-GB"/>
              </w:rPr>
            </w:pPr>
          </w:p>
        </w:tc>
        <w:tc>
          <w:tcPr>
            <w:tcW w:w="4590" w:type="dxa"/>
            <w:shd w:val="clear" w:color="auto" w:fill="FFFFFF"/>
          </w:tcPr>
          <w:p w14:paraId="7C33296A" w14:textId="77777777" w:rsidR="00B61585" w:rsidRPr="00383DC8" w:rsidRDefault="00016F29" w:rsidP="008919D7">
            <w:pPr>
              <w:tabs>
                <w:tab w:val="left" w:pos="567"/>
              </w:tabs>
              <w:suppressAutoHyphens/>
              <w:rPr>
                <w:b/>
                <w:noProof/>
                <w:lang w:val="pt-BR"/>
              </w:rPr>
            </w:pPr>
            <w:r w:rsidRPr="00383DC8">
              <w:rPr>
                <w:b/>
                <w:noProof/>
                <w:lang w:val="pt-BR"/>
              </w:rPr>
              <w:t>Portugal</w:t>
            </w:r>
          </w:p>
          <w:p w14:paraId="7C33296B" w14:textId="77777777" w:rsidR="00B61585" w:rsidRPr="00383DC8" w:rsidRDefault="00016F29" w:rsidP="008919D7">
            <w:pPr>
              <w:tabs>
                <w:tab w:val="left" w:pos="567"/>
              </w:tabs>
              <w:rPr>
                <w:noProof/>
                <w:lang w:val="pt-BR"/>
              </w:rPr>
            </w:pPr>
            <w:r w:rsidRPr="00383DC8">
              <w:rPr>
                <w:noProof/>
                <w:lang w:val="pt-BR"/>
              </w:rPr>
              <w:t>Roche Farmacêutica Química, Lda</w:t>
            </w:r>
          </w:p>
          <w:p w14:paraId="7C33296C" w14:textId="77777777" w:rsidR="00B61585" w:rsidRPr="00383DC8" w:rsidRDefault="00016F29" w:rsidP="008919D7">
            <w:pPr>
              <w:tabs>
                <w:tab w:val="left" w:pos="567"/>
              </w:tabs>
              <w:rPr>
                <w:noProof/>
                <w:lang w:val="pt-BR"/>
              </w:rPr>
            </w:pPr>
            <w:r w:rsidRPr="00383DC8">
              <w:rPr>
                <w:noProof/>
                <w:lang w:val="pt-BR"/>
              </w:rPr>
              <w:t xml:space="preserve">Tel: +351 </w:t>
            </w:r>
            <w:r w:rsidRPr="00383DC8">
              <w:rPr>
                <w:noProof/>
                <w:lang w:val="pt-BR"/>
              </w:rPr>
              <w:noBreakHyphen/>
              <w:t xml:space="preserve"> 21 425 70 00</w:t>
            </w:r>
          </w:p>
          <w:p w14:paraId="7C33296D" w14:textId="77777777" w:rsidR="00B61585" w:rsidRPr="00383DC8" w:rsidRDefault="00B61585" w:rsidP="008919D7">
            <w:pPr>
              <w:tabs>
                <w:tab w:val="left" w:pos="567"/>
              </w:tabs>
              <w:suppressAutoHyphens/>
              <w:rPr>
                <w:b/>
                <w:noProof/>
                <w:lang w:val="pt-BR"/>
              </w:rPr>
            </w:pPr>
          </w:p>
        </w:tc>
      </w:tr>
      <w:tr w:rsidR="003A788B" w14:paraId="7C332977" w14:textId="77777777" w:rsidTr="008919D7">
        <w:trPr>
          <w:cantSplit/>
        </w:trPr>
        <w:tc>
          <w:tcPr>
            <w:tcW w:w="4624" w:type="dxa"/>
            <w:shd w:val="clear" w:color="auto" w:fill="auto"/>
          </w:tcPr>
          <w:p w14:paraId="7C33296F" w14:textId="77777777" w:rsidR="00B61585" w:rsidRPr="009D3FC0" w:rsidRDefault="00016F29" w:rsidP="008919D7">
            <w:pPr>
              <w:tabs>
                <w:tab w:val="left" w:pos="567"/>
              </w:tabs>
              <w:rPr>
                <w:b/>
                <w:noProof/>
                <w:lang w:val="de-DE"/>
              </w:rPr>
            </w:pPr>
            <w:r w:rsidRPr="009D3FC0">
              <w:rPr>
                <w:b/>
                <w:noProof/>
                <w:lang w:val="de-DE"/>
              </w:rPr>
              <w:t>Hrvatska</w:t>
            </w:r>
          </w:p>
          <w:p w14:paraId="7C332970" w14:textId="77777777" w:rsidR="00B61585" w:rsidRPr="009D3FC0" w:rsidRDefault="00016F29" w:rsidP="008919D7">
            <w:pPr>
              <w:tabs>
                <w:tab w:val="left" w:pos="567"/>
              </w:tabs>
              <w:rPr>
                <w:noProof/>
                <w:lang w:val="de-DE"/>
              </w:rPr>
            </w:pPr>
            <w:r w:rsidRPr="009D3FC0">
              <w:rPr>
                <w:noProof/>
                <w:lang w:val="de-DE"/>
              </w:rPr>
              <w:t>Roche d.o.o.</w:t>
            </w:r>
          </w:p>
          <w:p w14:paraId="7C332971" w14:textId="77777777" w:rsidR="00B61585" w:rsidRPr="009D3FC0" w:rsidRDefault="00016F29" w:rsidP="008919D7">
            <w:pPr>
              <w:tabs>
                <w:tab w:val="left" w:pos="567"/>
              </w:tabs>
              <w:rPr>
                <w:noProof/>
                <w:lang w:val="en-GB"/>
              </w:rPr>
            </w:pPr>
            <w:r w:rsidRPr="009D3FC0">
              <w:rPr>
                <w:noProof/>
                <w:lang w:val="en-GB"/>
              </w:rPr>
              <w:t>Tel: + 385 1 47 22 333</w:t>
            </w:r>
          </w:p>
          <w:p w14:paraId="7C332972" w14:textId="77777777" w:rsidR="00B61585" w:rsidRPr="009D3FC0" w:rsidRDefault="00B61585" w:rsidP="008919D7">
            <w:pPr>
              <w:tabs>
                <w:tab w:val="left" w:pos="567"/>
              </w:tabs>
              <w:rPr>
                <w:b/>
                <w:noProof/>
                <w:lang w:val="en-GB"/>
              </w:rPr>
            </w:pPr>
          </w:p>
        </w:tc>
        <w:tc>
          <w:tcPr>
            <w:tcW w:w="4590" w:type="dxa"/>
            <w:shd w:val="clear" w:color="auto" w:fill="FFFFFF"/>
          </w:tcPr>
          <w:p w14:paraId="7C332973" w14:textId="77777777" w:rsidR="00B61585" w:rsidRPr="00383DC8" w:rsidRDefault="00016F29" w:rsidP="008919D7">
            <w:pPr>
              <w:tabs>
                <w:tab w:val="left" w:pos="567"/>
              </w:tabs>
              <w:suppressAutoHyphens/>
              <w:rPr>
                <w:b/>
                <w:noProof/>
                <w:lang w:val="it-IT"/>
              </w:rPr>
            </w:pPr>
            <w:r w:rsidRPr="00383DC8">
              <w:rPr>
                <w:b/>
                <w:noProof/>
                <w:lang w:val="it-IT"/>
              </w:rPr>
              <w:t>România</w:t>
            </w:r>
          </w:p>
          <w:p w14:paraId="7C332974" w14:textId="77777777" w:rsidR="00B61585" w:rsidRPr="00383DC8" w:rsidRDefault="00016F29" w:rsidP="008919D7">
            <w:pPr>
              <w:tabs>
                <w:tab w:val="left" w:pos="567"/>
              </w:tabs>
              <w:rPr>
                <w:noProof/>
                <w:lang w:val="it-IT"/>
              </w:rPr>
            </w:pPr>
            <w:r w:rsidRPr="00383DC8">
              <w:rPr>
                <w:noProof/>
                <w:lang w:val="it-IT"/>
              </w:rPr>
              <w:t>Roche România S.R.L.</w:t>
            </w:r>
          </w:p>
          <w:p w14:paraId="7C332975" w14:textId="77777777" w:rsidR="00B61585" w:rsidRPr="009D3FC0" w:rsidRDefault="00016F29" w:rsidP="008919D7">
            <w:pPr>
              <w:tabs>
                <w:tab w:val="left" w:pos="567"/>
              </w:tabs>
              <w:rPr>
                <w:noProof/>
                <w:lang w:val="en-GB"/>
              </w:rPr>
            </w:pPr>
            <w:r w:rsidRPr="009D3FC0">
              <w:rPr>
                <w:noProof/>
                <w:lang w:val="en-GB"/>
              </w:rPr>
              <w:t>Tel: +40 21 206 47 01</w:t>
            </w:r>
          </w:p>
          <w:p w14:paraId="7C332976" w14:textId="77777777" w:rsidR="00B61585" w:rsidRPr="009D3FC0" w:rsidRDefault="00B61585" w:rsidP="008919D7">
            <w:pPr>
              <w:tabs>
                <w:tab w:val="left" w:pos="567"/>
              </w:tabs>
              <w:suppressAutoHyphens/>
              <w:rPr>
                <w:b/>
                <w:noProof/>
                <w:lang w:val="en-GB"/>
              </w:rPr>
            </w:pPr>
          </w:p>
        </w:tc>
      </w:tr>
      <w:tr w:rsidR="003A788B" w14:paraId="7C332980" w14:textId="77777777" w:rsidTr="008919D7">
        <w:trPr>
          <w:cantSplit/>
        </w:trPr>
        <w:tc>
          <w:tcPr>
            <w:tcW w:w="4624" w:type="dxa"/>
            <w:shd w:val="clear" w:color="auto" w:fill="FFFFFF"/>
          </w:tcPr>
          <w:p w14:paraId="7C332978" w14:textId="77777777" w:rsidR="00B61585" w:rsidRPr="009D3FC0" w:rsidRDefault="00016F29" w:rsidP="008919D7">
            <w:pPr>
              <w:tabs>
                <w:tab w:val="left" w:pos="567"/>
              </w:tabs>
              <w:rPr>
                <w:b/>
                <w:noProof/>
                <w:lang w:val="en-GB"/>
              </w:rPr>
            </w:pPr>
            <w:r w:rsidRPr="009D3FC0">
              <w:rPr>
                <w:b/>
                <w:noProof/>
                <w:lang w:val="en-GB"/>
              </w:rPr>
              <w:t>Ireland</w:t>
            </w:r>
          </w:p>
          <w:p w14:paraId="7C332979" w14:textId="77777777" w:rsidR="00B61585" w:rsidRPr="009D3FC0" w:rsidRDefault="00016F29" w:rsidP="008919D7">
            <w:pPr>
              <w:tabs>
                <w:tab w:val="left" w:pos="567"/>
              </w:tabs>
              <w:rPr>
                <w:noProof/>
                <w:lang w:val="en-GB"/>
              </w:rPr>
            </w:pPr>
            <w:r w:rsidRPr="009D3FC0">
              <w:rPr>
                <w:noProof/>
                <w:lang w:val="en-GB"/>
              </w:rPr>
              <w:t>Roche Products (Ireland) Ltd.</w:t>
            </w:r>
          </w:p>
          <w:p w14:paraId="7C33297A" w14:textId="77777777" w:rsidR="00B61585" w:rsidRPr="009D3FC0" w:rsidRDefault="00016F29" w:rsidP="008919D7">
            <w:pPr>
              <w:tabs>
                <w:tab w:val="left" w:pos="567"/>
              </w:tabs>
              <w:rPr>
                <w:noProof/>
                <w:lang w:val="en-GB"/>
              </w:rPr>
            </w:pPr>
            <w:r w:rsidRPr="009D3FC0">
              <w:rPr>
                <w:noProof/>
                <w:lang w:val="en-GB"/>
              </w:rPr>
              <w:t>Tel: +353 (0) 1 469 0700</w:t>
            </w:r>
          </w:p>
          <w:p w14:paraId="7C33297B" w14:textId="77777777" w:rsidR="00B61585" w:rsidRPr="009D3FC0" w:rsidRDefault="00B61585" w:rsidP="008919D7">
            <w:pPr>
              <w:tabs>
                <w:tab w:val="left" w:pos="567"/>
              </w:tabs>
              <w:rPr>
                <w:b/>
                <w:noProof/>
                <w:lang w:val="en-GB"/>
              </w:rPr>
            </w:pPr>
          </w:p>
        </w:tc>
        <w:tc>
          <w:tcPr>
            <w:tcW w:w="4590" w:type="dxa"/>
            <w:shd w:val="clear" w:color="auto" w:fill="FFFFFF"/>
          </w:tcPr>
          <w:p w14:paraId="7C33297C" w14:textId="77777777" w:rsidR="00B61585" w:rsidRPr="009D3FC0" w:rsidRDefault="00016F29" w:rsidP="008919D7">
            <w:pPr>
              <w:tabs>
                <w:tab w:val="left" w:pos="567"/>
              </w:tabs>
              <w:suppressAutoHyphens/>
              <w:rPr>
                <w:b/>
                <w:noProof/>
                <w:lang w:val="en-GB"/>
              </w:rPr>
            </w:pPr>
            <w:r w:rsidRPr="009D3FC0">
              <w:rPr>
                <w:b/>
                <w:noProof/>
                <w:lang w:val="en-GB"/>
              </w:rPr>
              <w:t>Slovenija</w:t>
            </w:r>
          </w:p>
          <w:p w14:paraId="7C33297D" w14:textId="77777777" w:rsidR="00B61585" w:rsidRPr="009D3FC0" w:rsidRDefault="00016F29" w:rsidP="008919D7">
            <w:pPr>
              <w:tabs>
                <w:tab w:val="left" w:pos="567"/>
              </w:tabs>
              <w:rPr>
                <w:noProof/>
                <w:lang w:val="en-GB"/>
              </w:rPr>
            </w:pPr>
            <w:r w:rsidRPr="009D3FC0">
              <w:rPr>
                <w:noProof/>
                <w:lang w:val="en-GB"/>
              </w:rPr>
              <w:t>Roche farmacevtska družba d.o.o.</w:t>
            </w:r>
          </w:p>
          <w:p w14:paraId="7C33297E" w14:textId="77777777" w:rsidR="00B61585" w:rsidRPr="009D3FC0" w:rsidRDefault="00016F29" w:rsidP="008919D7">
            <w:pPr>
              <w:tabs>
                <w:tab w:val="left" w:pos="567"/>
              </w:tabs>
              <w:rPr>
                <w:noProof/>
                <w:lang w:val="en-GB"/>
              </w:rPr>
            </w:pPr>
            <w:r w:rsidRPr="009D3FC0">
              <w:rPr>
                <w:noProof/>
                <w:lang w:val="en-GB"/>
              </w:rPr>
              <w:t xml:space="preserve">Tel: +386 </w:t>
            </w:r>
            <w:r w:rsidR="000A6DDA" w:rsidRPr="009D3FC0">
              <w:rPr>
                <w:noProof/>
                <w:lang w:val="en-GB"/>
              </w:rPr>
              <w:noBreakHyphen/>
            </w:r>
            <w:r w:rsidRPr="009D3FC0">
              <w:rPr>
                <w:noProof/>
                <w:lang w:val="en-GB"/>
              </w:rPr>
              <w:t xml:space="preserve"> 1 360 26 00</w:t>
            </w:r>
          </w:p>
          <w:p w14:paraId="7C33297F" w14:textId="77777777" w:rsidR="00B61585" w:rsidRPr="009D3FC0" w:rsidRDefault="00B61585" w:rsidP="008919D7">
            <w:pPr>
              <w:tabs>
                <w:tab w:val="left" w:pos="567"/>
              </w:tabs>
              <w:suppressAutoHyphens/>
              <w:rPr>
                <w:b/>
                <w:noProof/>
                <w:lang w:val="en-GB"/>
              </w:rPr>
            </w:pPr>
          </w:p>
        </w:tc>
      </w:tr>
      <w:tr w:rsidR="003A788B" w14:paraId="7C33298A" w14:textId="77777777" w:rsidTr="008919D7">
        <w:trPr>
          <w:cantSplit/>
        </w:trPr>
        <w:tc>
          <w:tcPr>
            <w:tcW w:w="4624" w:type="dxa"/>
            <w:shd w:val="clear" w:color="auto" w:fill="FFFFFF"/>
          </w:tcPr>
          <w:p w14:paraId="7C332981" w14:textId="77777777" w:rsidR="00B61585" w:rsidRPr="00383DC8" w:rsidRDefault="00016F29" w:rsidP="008919D7">
            <w:pPr>
              <w:tabs>
                <w:tab w:val="left" w:pos="567"/>
              </w:tabs>
              <w:rPr>
                <w:b/>
                <w:noProof/>
                <w:lang w:val="pt-PT"/>
              </w:rPr>
            </w:pPr>
            <w:r w:rsidRPr="00383DC8">
              <w:rPr>
                <w:b/>
                <w:noProof/>
                <w:lang w:val="pt-PT"/>
              </w:rPr>
              <w:t xml:space="preserve">Ísland </w:t>
            </w:r>
          </w:p>
          <w:p w14:paraId="7C332982" w14:textId="77777777" w:rsidR="00B61585" w:rsidRPr="00383DC8" w:rsidRDefault="00016F29" w:rsidP="008919D7">
            <w:pPr>
              <w:tabs>
                <w:tab w:val="left" w:pos="567"/>
              </w:tabs>
              <w:rPr>
                <w:noProof/>
                <w:lang w:val="pt-PT"/>
              </w:rPr>
            </w:pPr>
            <w:r w:rsidRPr="00383DC8">
              <w:rPr>
                <w:noProof/>
                <w:lang w:val="pt-PT"/>
              </w:rPr>
              <w:t>Roche a/s</w:t>
            </w:r>
          </w:p>
          <w:p w14:paraId="7C332983" w14:textId="77777777" w:rsidR="00B61585" w:rsidRPr="00383DC8" w:rsidRDefault="00016F29" w:rsidP="008919D7">
            <w:pPr>
              <w:tabs>
                <w:tab w:val="left" w:pos="567"/>
              </w:tabs>
              <w:rPr>
                <w:noProof/>
                <w:lang w:val="pt-PT"/>
              </w:rPr>
            </w:pPr>
            <w:r w:rsidRPr="00383DC8">
              <w:rPr>
                <w:noProof/>
                <w:lang w:val="pt-PT"/>
              </w:rPr>
              <w:t>c/o Icepharma hf</w:t>
            </w:r>
          </w:p>
          <w:p w14:paraId="7C332984" w14:textId="77777777" w:rsidR="00B61585" w:rsidRPr="00383DC8" w:rsidRDefault="00016F29" w:rsidP="008919D7">
            <w:pPr>
              <w:tabs>
                <w:tab w:val="left" w:pos="567"/>
              </w:tabs>
              <w:rPr>
                <w:noProof/>
                <w:lang w:val="pt-PT"/>
              </w:rPr>
            </w:pPr>
            <w:r w:rsidRPr="00383DC8">
              <w:rPr>
                <w:noProof/>
                <w:lang w:val="pt-PT"/>
              </w:rPr>
              <w:t>Sími: +354 540 8000</w:t>
            </w:r>
          </w:p>
          <w:p w14:paraId="7C332985" w14:textId="77777777" w:rsidR="00B61585" w:rsidRPr="00383DC8" w:rsidRDefault="00B61585" w:rsidP="008919D7">
            <w:pPr>
              <w:tabs>
                <w:tab w:val="left" w:pos="567"/>
              </w:tabs>
              <w:rPr>
                <w:b/>
                <w:noProof/>
                <w:lang w:val="pt-PT"/>
              </w:rPr>
            </w:pPr>
          </w:p>
        </w:tc>
        <w:tc>
          <w:tcPr>
            <w:tcW w:w="4590" w:type="dxa"/>
            <w:shd w:val="clear" w:color="auto" w:fill="FFFFFF"/>
          </w:tcPr>
          <w:p w14:paraId="7C332986" w14:textId="77777777" w:rsidR="00B61585" w:rsidRPr="00383DC8" w:rsidRDefault="00016F29" w:rsidP="008919D7">
            <w:pPr>
              <w:tabs>
                <w:tab w:val="left" w:pos="567"/>
              </w:tabs>
              <w:suppressAutoHyphens/>
              <w:rPr>
                <w:b/>
                <w:noProof/>
                <w:lang w:val="it-IT"/>
              </w:rPr>
            </w:pPr>
            <w:r w:rsidRPr="00383DC8">
              <w:rPr>
                <w:b/>
                <w:noProof/>
                <w:lang w:val="it-IT"/>
              </w:rPr>
              <w:t xml:space="preserve">Slovenská republika </w:t>
            </w:r>
          </w:p>
          <w:p w14:paraId="7C332987" w14:textId="77777777" w:rsidR="00B61585" w:rsidRPr="00383DC8" w:rsidRDefault="00016F29" w:rsidP="008919D7">
            <w:pPr>
              <w:tabs>
                <w:tab w:val="left" w:pos="567"/>
              </w:tabs>
              <w:rPr>
                <w:noProof/>
                <w:lang w:val="it-IT"/>
              </w:rPr>
            </w:pPr>
            <w:r w:rsidRPr="00383DC8">
              <w:rPr>
                <w:noProof/>
                <w:lang w:val="it-IT"/>
              </w:rPr>
              <w:t>Roche Slovensko, s.r.o.</w:t>
            </w:r>
          </w:p>
          <w:p w14:paraId="7C332988" w14:textId="77777777" w:rsidR="00B61585" w:rsidRPr="009D3FC0" w:rsidRDefault="00016F29" w:rsidP="008919D7">
            <w:pPr>
              <w:tabs>
                <w:tab w:val="left" w:pos="567"/>
              </w:tabs>
              <w:rPr>
                <w:noProof/>
                <w:lang w:val="en-GB"/>
              </w:rPr>
            </w:pPr>
            <w:r w:rsidRPr="009D3FC0">
              <w:rPr>
                <w:noProof/>
                <w:lang w:val="en-GB"/>
              </w:rPr>
              <w:t xml:space="preserve">Tel: +421 </w:t>
            </w:r>
            <w:r w:rsidR="000A6DDA" w:rsidRPr="009D3FC0">
              <w:rPr>
                <w:noProof/>
                <w:lang w:val="en-GB"/>
              </w:rPr>
              <w:noBreakHyphen/>
            </w:r>
            <w:r w:rsidRPr="009D3FC0">
              <w:rPr>
                <w:noProof/>
                <w:lang w:val="en-GB"/>
              </w:rPr>
              <w:t xml:space="preserve"> 2 52638201</w:t>
            </w:r>
          </w:p>
          <w:p w14:paraId="7C332989" w14:textId="77777777" w:rsidR="00B61585" w:rsidRPr="009D3FC0" w:rsidRDefault="00B61585" w:rsidP="008919D7">
            <w:pPr>
              <w:tabs>
                <w:tab w:val="left" w:pos="567"/>
              </w:tabs>
              <w:suppressAutoHyphens/>
              <w:rPr>
                <w:b/>
                <w:noProof/>
                <w:lang w:val="en-GB"/>
              </w:rPr>
            </w:pPr>
          </w:p>
        </w:tc>
      </w:tr>
      <w:tr w:rsidR="003A788B" w:rsidRPr="00833E56" w14:paraId="7C332992" w14:textId="77777777" w:rsidTr="008919D7">
        <w:trPr>
          <w:cantSplit/>
        </w:trPr>
        <w:tc>
          <w:tcPr>
            <w:tcW w:w="4624" w:type="dxa"/>
            <w:shd w:val="clear" w:color="auto" w:fill="FFFFFF"/>
          </w:tcPr>
          <w:p w14:paraId="7C33298B" w14:textId="77777777" w:rsidR="00B61585" w:rsidRPr="00383DC8" w:rsidRDefault="00016F29" w:rsidP="008919D7">
            <w:pPr>
              <w:tabs>
                <w:tab w:val="left" w:pos="567"/>
              </w:tabs>
              <w:rPr>
                <w:b/>
                <w:noProof/>
                <w:lang w:val="it-IT"/>
              </w:rPr>
            </w:pPr>
            <w:r w:rsidRPr="00383DC8">
              <w:rPr>
                <w:b/>
                <w:noProof/>
                <w:lang w:val="it-IT"/>
              </w:rPr>
              <w:t>Italia</w:t>
            </w:r>
          </w:p>
          <w:p w14:paraId="7C33298C" w14:textId="77777777" w:rsidR="00B61585" w:rsidRPr="00383DC8" w:rsidRDefault="00016F29" w:rsidP="008919D7">
            <w:pPr>
              <w:tabs>
                <w:tab w:val="left" w:pos="567"/>
              </w:tabs>
              <w:rPr>
                <w:noProof/>
                <w:lang w:val="it-IT"/>
              </w:rPr>
            </w:pPr>
            <w:r w:rsidRPr="00383DC8">
              <w:rPr>
                <w:noProof/>
                <w:lang w:val="it-IT"/>
              </w:rPr>
              <w:t>Roche S.p.A.</w:t>
            </w:r>
          </w:p>
          <w:p w14:paraId="7C33298D" w14:textId="77777777" w:rsidR="00B61585" w:rsidRPr="009D3FC0" w:rsidRDefault="00016F29" w:rsidP="008919D7">
            <w:pPr>
              <w:tabs>
                <w:tab w:val="left" w:pos="567"/>
              </w:tabs>
              <w:rPr>
                <w:b/>
                <w:noProof/>
                <w:lang w:val="de-CH"/>
              </w:rPr>
            </w:pPr>
            <w:r w:rsidRPr="009D3FC0">
              <w:rPr>
                <w:noProof/>
                <w:lang w:val="de-CH"/>
              </w:rPr>
              <w:t xml:space="preserve">Tel: +39 </w:t>
            </w:r>
            <w:r w:rsidR="000A6DDA" w:rsidRPr="009D3FC0">
              <w:rPr>
                <w:noProof/>
                <w:lang w:val="de-CH"/>
              </w:rPr>
              <w:noBreakHyphen/>
            </w:r>
            <w:r w:rsidRPr="009D3FC0">
              <w:rPr>
                <w:noProof/>
                <w:lang w:val="de-CH"/>
              </w:rPr>
              <w:t xml:space="preserve"> 039 2471</w:t>
            </w:r>
          </w:p>
        </w:tc>
        <w:tc>
          <w:tcPr>
            <w:tcW w:w="4590" w:type="dxa"/>
            <w:shd w:val="clear" w:color="auto" w:fill="FFFFFF"/>
          </w:tcPr>
          <w:p w14:paraId="7C33298E" w14:textId="77777777" w:rsidR="00B61585" w:rsidRPr="009D3FC0" w:rsidRDefault="00016F29" w:rsidP="008919D7">
            <w:pPr>
              <w:tabs>
                <w:tab w:val="left" w:pos="567"/>
              </w:tabs>
              <w:suppressAutoHyphens/>
              <w:rPr>
                <w:b/>
                <w:noProof/>
                <w:lang w:val="de-DE"/>
              </w:rPr>
            </w:pPr>
            <w:r w:rsidRPr="009D3FC0">
              <w:rPr>
                <w:b/>
                <w:noProof/>
                <w:lang w:val="de-DE"/>
              </w:rPr>
              <w:t>Suomi/Finland</w:t>
            </w:r>
          </w:p>
          <w:p w14:paraId="7C33298F" w14:textId="77777777" w:rsidR="00B61585" w:rsidRPr="009D3FC0" w:rsidRDefault="00016F29" w:rsidP="008919D7">
            <w:pPr>
              <w:tabs>
                <w:tab w:val="left" w:pos="567"/>
              </w:tabs>
              <w:rPr>
                <w:noProof/>
                <w:lang w:val="de-DE"/>
              </w:rPr>
            </w:pPr>
            <w:r w:rsidRPr="009D3FC0">
              <w:rPr>
                <w:noProof/>
                <w:lang w:val="de-DE"/>
              </w:rPr>
              <w:t xml:space="preserve">Roche Oy </w:t>
            </w:r>
          </w:p>
          <w:p w14:paraId="7C332990" w14:textId="77777777" w:rsidR="00B61585" w:rsidRPr="009D3FC0" w:rsidRDefault="00016F29" w:rsidP="008919D7">
            <w:pPr>
              <w:tabs>
                <w:tab w:val="left" w:pos="567"/>
              </w:tabs>
              <w:rPr>
                <w:noProof/>
                <w:lang w:val="de-DE"/>
              </w:rPr>
            </w:pPr>
            <w:r w:rsidRPr="009D3FC0">
              <w:rPr>
                <w:noProof/>
                <w:lang w:val="de-DE"/>
              </w:rPr>
              <w:t>Puh/Tel: +358 (0) 10 554 500</w:t>
            </w:r>
          </w:p>
          <w:p w14:paraId="7C332991" w14:textId="77777777" w:rsidR="00B61585" w:rsidRPr="009D3FC0" w:rsidRDefault="00B61585" w:rsidP="008919D7">
            <w:pPr>
              <w:tabs>
                <w:tab w:val="left" w:pos="567"/>
              </w:tabs>
              <w:suppressAutoHyphens/>
              <w:rPr>
                <w:b/>
                <w:noProof/>
                <w:lang w:val="de-DE"/>
              </w:rPr>
            </w:pPr>
          </w:p>
        </w:tc>
      </w:tr>
      <w:tr w:rsidR="003A788B" w14:paraId="7C33299B" w14:textId="77777777" w:rsidTr="008919D7">
        <w:trPr>
          <w:cantSplit/>
        </w:trPr>
        <w:tc>
          <w:tcPr>
            <w:tcW w:w="4624" w:type="dxa"/>
            <w:shd w:val="clear" w:color="auto" w:fill="FFFFFF"/>
          </w:tcPr>
          <w:p w14:paraId="7C332993" w14:textId="77777777" w:rsidR="00B61585" w:rsidRPr="009D3FC0" w:rsidRDefault="00016F29" w:rsidP="008919D7">
            <w:pPr>
              <w:tabs>
                <w:tab w:val="left" w:pos="567"/>
              </w:tabs>
              <w:rPr>
                <w:b/>
                <w:noProof/>
                <w:lang w:val="de-DE"/>
              </w:rPr>
            </w:pPr>
            <w:r w:rsidRPr="009D3FC0">
              <w:rPr>
                <w:b/>
                <w:noProof/>
                <w:lang w:val="de-DE"/>
              </w:rPr>
              <w:t>K</w:t>
            </w:r>
            <w:r w:rsidRPr="009D3FC0">
              <w:rPr>
                <w:b/>
                <w:noProof/>
                <w:lang w:val="en-GB"/>
              </w:rPr>
              <w:t>ύπρος</w:t>
            </w:r>
            <w:r w:rsidRPr="009D3FC0">
              <w:rPr>
                <w:b/>
                <w:noProof/>
                <w:lang w:val="de-DE"/>
              </w:rPr>
              <w:t xml:space="preserve"> </w:t>
            </w:r>
          </w:p>
          <w:p w14:paraId="7C332994" w14:textId="77777777" w:rsidR="00B61585" w:rsidRPr="009D3FC0" w:rsidRDefault="00016F29" w:rsidP="008919D7">
            <w:pPr>
              <w:tabs>
                <w:tab w:val="left" w:pos="567"/>
              </w:tabs>
              <w:rPr>
                <w:noProof/>
                <w:lang w:val="de-DE"/>
              </w:rPr>
            </w:pPr>
            <w:r w:rsidRPr="009D3FC0">
              <w:rPr>
                <w:noProof/>
                <w:lang w:val="en-GB"/>
              </w:rPr>
              <w:t>Γ</w:t>
            </w:r>
            <w:r w:rsidRPr="009D3FC0">
              <w:rPr>
                <w:noProof/>
                <w:lang w:val="de-DE"/>
              </w:rPr>
              <w:t>.</w:t>
            </w:r>
            <w:r w:rsidRPr="009D3FC0">
              <w:rPr>
                <w:noProof/>
                <w:lang w:val="en-GB"/>
              </w:rPr>
              <w:t>Α</w:t>
            </w:r>
            <w:r w:rsidRPr="009D3FC0">
              <w:rPr>
                <w:noProof/>
                <w:lang w:val="de-DE"/>
              </w:rPr>
              <w:t>.</w:t>
            </w:r>
            <w:r w:rsidRPr="009D3FC0">
              <w:rPr>
                <w:noProof/>
                <w:lang w:val="en-GB"/>
              </w:rPr>
              <w:t>Σταμάτης</w:t>
            </w:r>
            <w:r w:rsidRPr="009D3FC0">
              <w:rPr>
                <w:noProof/>
                <w:lang w:val="de-DE"/>
              </w:rPr>
              <w:t xml:space="preserve"> &amp; </w:t>
            </w:r>
            <w:r w:rsidRPr="009D3FC0">
              <w:rPr>
                <w:noProof/>
                <w:lang w:val="en-GB"/>
              </w:rPr>
              <w:t>Σια</w:t>
            </w:r>
            <w:r w:rsidRPr="009D3FC0">
              <w:rPr>
                <w:noProof/>
                <w:lang w:val="de-DE"/>
              </w:rPr>
              <w:t xml:space="preserve"> </w:t>
            </w:r>
            <w:r w:rsidRPr="009D3FC0">
              <w:rPr>
                <w:noProof/>
                <w:lang w:val="en-GB"/>
              </w:rPr>
              <w:t>Λτδ</w:t>
            </w:r>
            <w:r w:rsidRPr="009D3FC0">
              <w:rPr>
                <w:noProof/>
                <w:lang w:val="de-DE"/>
              </w:rPr>
              <w:t>.</w:t>
            </w:r>
          </w:p>
          <w:p w14:paraId="7C332995" w14:textId="77777777" w:rsidR="00B61585" w:rsidRPr="009D3FC0" w:rsidRDefault="00016F29" w:rsidP="008919D7">
            <w:pPr>
              <w:tabs>
                <w:tab w:val="left" w:pos="567"/>
              </w:tabs>
              <w:rPr>
                <w:noProof/>
                <w:lang w:val="en-GB"/>
              </w:rPr>
            </w:pPr>
            <w:r w:rsidRPr="009D3FC0">
              <w:rPr>
                <w:noProof/>
                <w:lang w:val="en-GB"/>
              </w:rPr>
              <w:t xml:space="preserve">Τηλ: +357 </w:t>
            </w:r>
            <w:r w:rsidR="000A6DDA" w:rsidRPr="009D3FC0">
              <w:rPr>
                <w:noProof/>
                <w:lang w:val="en-GB"/>
              </w:rPr>
              <w:noBreakHyphen/>
            </w:r>
            <w:r w:rsidRPr="009D3FC0">
              <w:rPr>
                <w:noProof/>
                <w:lang w:val="en-GB"/>
              </w:rPr>
              <w:t xml:space="preserve"> 22 76 62 76</w:t>
            </w:r>
          </w:p>
          <w:p w14:paraId="7C332996" w14:textId="77777777" w:rsidR="00B61585" w:rsidRPr="009D3FC0" w:rsidRDefault="00B61585" w:rsidP="008919D7">
            <w:pPr>
              <w:tabs>
                <w:tab w:val="left" w:pos="567"/>
              </w:tabs>
              <w:rPr>
                <w:b/>
                <w:noProof/>
                <w:lang w:val="en-GB"/>
              </w:rPr>
            </w:pPr>
          </w:p>
        </w:tc>
        <w:tc>
          <w:tcPr>
            <w:tcW w:w="4590" w:type="dxa"/>
            <w:shd w:val="clear" w:color="auto" w:fill="FFFFFF"/>
          </w:tcPr>
          <w:p w14:paraId="7C332997" w14:textId="77777777" w:rsidR="00B61585" w:rsidRPr="009D3FC0" w:rsidRDefault="00016F29" w:rsidP="008919D7">
            <w:pPr>
              <w:tabs>
                <w:tab w:val="left" w:pos="567"/>
              </w:tabs>
              <w:suppressAutoHyphens/>
              <w:rPr>
                <w:b/>
                <w:noProof/>
                <w:lang w:val="en-GB"/>
              </w:rPr>
            </w:pPr>
            <w:r w:rsidRPr="009D3FC0">
              <w:rPr>
                <w:b/>
                <w:noProof/>
                <w:lang w:val="en-GB"/>
              </w:rPr>
              <w:t>Sverige</w:t>
            </w:r>
          </w:p>
          <w:p w14:paraId="7C332998" w14:textId="77777777" w:rsidR="00B61585" w:rsidRPr="009D3FC0" w:rsidRDefault="00016F29" w:rsidP="008919D7">
            <w:pPr>
              <w:tabs>
                <w:tab w:val="left" w:pos="567"/>
              </w:tabs>
              <w:rPr>
                <w:noProof/>
                <w:lang w:val="en-GB"/>
              </w:rPr>
            </w:pPr>
            <w:r w:rsidRPr="009D3FC0">
              <w:rPr>
                <w:noProof/>
                <w:lang w:val="en-GB"/>
              </w:rPr>
              <w:t>Roche AB</w:t>
            </w:r>
          </w:p>
          <w:p w14:paraId="7C332999" w14:textId="77777777" w:rsidR="00B61585" w:rsidRPr="009D3FC0" w:rsidRDefault="00016F29" w:rsidP="008919D7">
            <w:pPr>
              <w:tabs>
                <w:tab w:val="left" w:pos="567"/>
              </w:tabs>
              <w:rPr>
                <w:noProof/>
                <w:lang w:val="en-GB"/>
              </w:rPr>
            </w:pPr>
            <w:r w:rsidRPr="009D3FC0">
              <w:rPr>
                <w:noProof/>
                <w:lang w:val="en-GB"/>
              </w:rPr>
              <w:t>Tel: +46 (0) 8 726 1200</w:t>
            </w:r>
          </w:p>
          <w:p w14:paraId="7C33299A" w14:textId="77777777" w:rsidR="00B61585" w:rsidRPr="009D3FC0" w:rsidRDefault="00B61585" w:rsidP="008919D7">
            <w:pPr>
              <w:tabs>
                <w:tab w:val="left" w:pos="567"/>
              </w:tabs>
              <w:suppressAutoHyphens/>
              <w:rPr>
                <w:b/>
                <w:noProof/>
                <w:lang w:val="en-GB"/>
              </w:rPr>
            </w:pPr>
          </w:p>
        </w:tc>
      </w:tr>
      <w:tr w:rsidR="003A788B" w14:paraId="7C3329A4" w14:textId="77777777" w:rsidTr="008919D7">
        <w:trPr>
          <w:cantSplit/>
        </w:trPr>
        <w:tc>
          <w:tcPr>
            <w:tcW w:w="4624" w:type="dxa"/>
            <w:shd w:val="clear" w:color="auto" w:fill="FFFFFF"/>
          </w:tcPr>
          <w:p w14:paraId="7C33299C" w14:textId="77777777" w:rsidR="00B61585" w:rsidRPr="00383DC8" w:rsidRDefault="00016F29" w:rsidP="008919D7">
            <w:pPr>
              <w:tabs>
                <w:tab w:val="left" w:pos="567"/>
              </w:tabs>
              <w:rPr>
                <w:b/>
                <w:noProof/>
                <w:lang w:val="it-IT"/>
              </w:rPr>
            </w:pPr>
            <w:r w:rsidRPr="00383DC8">
              <w:rPr>
                <w:b/>
                <w:noProof/>
                <w:lang w:val="it-IT"/>
              </w:rPr>
              <w:t>Latvija</w:t>
            </w:r>
          </w:p>
          <w:p w14:paraId="7C33299D" w14:textId="77777777" w:rsidR="00B61585" w:rsidRPr="00383DC8" w:rsidRDefault="00016F29" w:rsidP="008919D7">
            <w:pPr>
              <w:tabs>
                <w:tab w:val="left" w:pos="567"/>
              </w:tabs>
              <w:rPr>
                <w:noProof/>
                <w:lang w:val="it-IT"/>
              </w:rPr>
            </w:pPr>
            <w:r w:rsidRPr="00383DC8">
              <w:rPr>
                <w:noProof/>
                <w:lang w:val="it-IT"/>
              </w:rPr>
              <w:t>Roche Latvija SIA</w:t>
            </w:r>
          </w:p>
          <w:p w14:paraId="7C33299E" w14:textId="77777777" w:rsidR="00B61585" w:rsidRPr="00383DC8" w:rsidRDefault="00016F29" w:rsidP="008919D7">
            <w:pPr>
              <w:tabs>
                <w:tab w:val="left" w:pos="567"/>
              </w:tabs>
              <w:rPr>
                <w:noProof/>
                <w:lang w:val="it-IT"/>
              </w:rPr>
            </w:pPr>
            <w:r w:rsidRPr="00383DC8">
              <w:rPr>
                <w:noProof/>
                <w:lang w:val="it-IT"/>
              </w:rPr>
              <w:t xml:space="preserve">Tel: +371 </w:t>
            </w:r>
            <w:r w:rsidRPr="00383DC8">
              <w:rPr>
                <w:noProof/>
                <w:lang w:val="it-IT"/>
              </w:rPr>
              <w:noBreakHyphen/>
              <w:t xml:space="preserve"> 6 7039831</w:t>
            </w:r>
          </w:p>
          <w:p w14:paraId="7C33299F" w14:textId="77777777" w:rsidR="00B61585" w:rsidRPr="00383DC8" w:rsidRDefault="00B61585" w:rsidP="008919D7">
            <w:pPr>
              <w:tabs>
                <w:tab w:val="left" w:pos="567"/>
              </w:tabs>
              <w:rPr>
                <w:b/>
                <w:noProof/>
                <w:lang w:val="it-IT"/>
              </w:rPr>
            </w:pPr>
          </w:p>
        </w:tc>
        <w:tc>
          <w:tcPr>
            <w:tcW w:w="4590" w:type="dxa"/>
            <w:shd w:val="clear" w:color="auto" w:fill="FFFFFF"/>
          </w:tcPr>
          <w:p w14:paraId="7C3329A0" w14:textId="77777777" w:rsidR="00B61585" w:rsidRPr="009D3FC0" w:rsidRDefault="00016F29" w:rsidP="008919D7">
            <w:pPr>
              <w:tabs>
                <w:tab w:val="left" w:pos="567"/>
              </w:tabs>
              <w:suppressAutoHyphens/>
              <w:rPr>
                <w:b/>
                <w:noProof/>
                <w:lang w:val="en-GB"/>
              </w:rPr>
            </w:pPr>
            <w:r w:rsidRPr="009D3FC0">
              <w:rPr>
                <w:b/>
                <w:noProof/>
                <w:lang w:val="en-GB"/>
              </w:rPr>
              <w:t>United Kingdom</w:t>
            </w:r>
          </w:p>
          <w:p w14:paraId="7C3329A1" w14:textId="77777777" w:rsidR="00B61585" w:rsidRPr="009D3FC0" w:rsidRDefault="00016F29" w:rsidP="008919D7">
            <w:pPr>
              <w:tabs>
                <w:tab w:val="left" w:pos="567"/>
              </w:tabs>
              <w:rPr>
                <w:noProof/>
                <w:lang w:val="en-GB"/>
              </w:rPr>
            </w:pPr>
            <w:r w:rsidRPr="009D3FC0">
              <w:rPr>
                <w:noProof/>
                <w:lang w:val="en-GB"/>
              </w:rPr>
              <w:t>Roche Products Ltd.</w:t>
            </w:r>
          </w:p>
          <w:p w14:paraId="7C3329A2" w14:textId="77777777" w:rsidR="00B61585" w:rsidRPr="009D3FC0" w:rsidRDefault="00016F29" w:rsidP="008919D7">
            <w:pPr>
              <w:tabs>
                <w:tab w:val="left" w:pos="567"/>
              </w:tabs>
              <w:rPr>
                <w:noProof/>
                <w:lang w:val="en-GB"/>
              </w:rPr>
            </w:pPr>
            <w:r w:rsidRPr="009D3FC0">
              <w:rPr>
                <w:noProof/>
                <w:lang w:val="en-GB"/>
              </w:rPr>
              <w:t>Tel: +44 (0) 1707 366000</w:t>
            </w:r>
          </w:p>
          <w:p w14:paraId="7C3329A3" w14:textId="77777777" w:rsidR="00B61585" w:rsidRPr="009D3FC0" w:rsidRDefault="00B61585" w:rsidP="008919D7">
            <w:pPr>
              <w:tabs>
                <w:tab w:val="left" w:pos="567"/>
              </w:tabs>
              <w:suppressAutoHyphens/>
              <w:rPr>
                <w:b/>
                <w:noProof/>
                <w:lang w:val="en-GB"/>
              </w:rPr>
            </w:pPr>
          </w:p>
        </w:tc>
      </w:tr>
    </w:tbl>
    <w:p w14:paraId="7C3329A5" w14:textId="77777777" w:rsidR="00B61585" w:rsidRPr="003C313A" w:rsidRDefault="00B61585" w:rsidP="00B61585">
      <w:pPr>
        <w:rPr>
          <w:szCs w:val="22"/>
          <w:lang w:val="en-GB"/>
        </w:rPr>
      </w:pPr>
    </w:p>
    <w:p w14:paraId="7C3329A6" w14:textId="77777777" w:rsidR="00B61585" w:rsidRPr="003C313A" w:rsidRDefault="00016F29" w:rsidP="00B61585">
      <w:pPr>
        <w:outlineLvl w:val="0"/>
        <w:rPr>
          <w:b/>
          <w:szCs w:val="22"/>
          <w:lang w:val="en-GB"/>
        </w:rPr>
      </w:pPr>
      <w:r w:rsidRPr="003C313A">
        <w:rPr>
          <w:b/>
          <w:szCs w:val="22"/>
          <w:lang w:val="en-GB"/>
        </w:rPr>
        <w:t>This leaflet was last revised in</w:t>
      </w:r>
    </w:p>
    <w:p w14:paraId="7C3329A7" w14:textId="77777777" w:rsidR="00B61585" w:rsidRPr="003C313A" w:rsidRDefault="00B61585" w:rsidP="00B61585">
      <w:pPr>
        <w:numPr>
          <w:ilvl w:val="12"/>
          <w:numId w:val="0"/>
        </w:numPr>
        <w:rPr>
          <w:b/>
          <w:lang w:val="en-GB"/>
        </w:rPr>
      </w:pPr>
    </w:p>
    <w:p w14:paraId="7C3329A8" w14:textId="77777777" w:rsidR="00B61585" w:rsidRPr="003C313A" w:rsidRDefault="00016F29" w:rsidP="00B61585">
      <w:pPr>
        <w:numPr>
          <w:ilvl w:val="12"/>
          <w:numId w:val="0"/>
        </w:numPr>
        <w:rPr>
          <w:b/>
          <w:lang w:val="en-GB"/>
        </w:rPr>
      </w:pPr>
      <w:r w:rsidRPr="003C313A">
        <w:rPr>
          <w:b/>
          <w:lang w:val="en-GB"/>
        </w:rPr>
        <w:t>Other sources of information</w:t>
      </w:r>
    </w:p>
    <w:p w14:paraId="7C3329A9" w14:textId="77777777" w:rsidR="00B61585" w:rsidRPr="003C313A" w:rsidRDefault="00B61585" w:rsidP="00B61585">
      <w:pPr>
        <w:numPr>
          <w:ilvl w:val="12"/>
          <w:numId w:val="0"/>
        </w:numPr>
        <w:ind w:right="-2"/>
        <w:rPr>
          <w:iCs/>
          <w:szCs w:val="22"/>
          <w:lang w:val="en-GB"/>
        </w:rPr>
      </w:pPr>
    </w:p>
    <w:p w14:paraId="7C3329AA" w14:textId="77777777" w:rsidR="00B61585" w:rsidRPr="00137FEB" w:rsidRDefault="00016F29" w:rsidP="00B61585">
      <w:pPr>
        <w:numPr>
          <w:ilvl w:val="12"/>
          <w:numId w:val="0"/>
        </w:numPr>
        <w:ind w:right="-2"/>
        <w:rPr>
          <w:szCs w:val="22"/>
          <w:lang w:val="en-GB"/>
        </w:rPr>
      </w:pPr>
      <w:r w:rsidRPr="003C313A">
        <w:rPr>
          <w:iCs/>
          <w:szCs w:val="22"/>
          <w:lang w:val="en-GB"/>
        </w:rPr>
        <w:t xml:space="preserve">Detailed information on this medicine is available on the European Medicines Agency (EMEA) web site: </w:t>
      </w:r>
      <w:hyperlink r:id="rId25" w:history="1">
        <w:r w:rsidRPr="00137FEB">
          <w:rPr>
            <w:color w:val="0000FF"/>
            <w:szCs w:val="22"/>
            <w:u w:val="single"/>
            <w:lang w:val="en-GB"/>
          </w:rPr>
          <w:t>http://www.ema.europa.eu</w:t>
        </w:r>
      </w:hyperlink>
      <w:r w:rsidRPr="00137FEB">
        <w:rPr>
          <w:color w:val="0000FF"/>
          <w:szCs w:val="22"/>
          <w:lang w:val="en-GB"/>
        </w:rPr>
        <w:t>.</w:t>
      </w:r>
      <w:r w:rsidRPr="00137FEB">
        <w:rPr>
          <w:iCs/>
          <w:szCs w:val="22"/>
          <w:lang w:val="en-GB"/>
        </w:rPr>
        <w:t xml:space="preserve"> </w:t>
      </w:r>
    </w:p>
    <w:p w14:paraId="7C3329AB" w14:textId="77777777" w:rsidR="00B61585" w:rsidRPr="00C50A4F" w:rsidRDefault="00016F29" w:rsidP="00B61585">
      <w:pPr>
        <w:keepNext/>
        <w:keepLines/>
        <w:rPr>
          <w:lang w:val="en-GB"/>
        </w:rPr>
      </w:pPr>
      <w:r w:rsidRPr="00D239C4">
        <w:rPr>
          <w:lang w:val="en-GB"/>
        </w:rPr>
        <w:t>This leaflet is available in all EU/EEA la</w:t>
      </w:r>
      <w:r w:rsidRPr="000400ED">
        <w:rPr>
          <w:lang w:val="en-GB"/>
        </w:rPr>
        <w:t>nguages on the European Medicines Agency website.</w:t>
      </w:r>
    </w:p>
    <w:p w14:paraId="7C3329AC" w14:textId="77777777" w:rsidR="00B61585" w:rsidRPr="00C50A4F" w:rsidRDefault="00B61585" w:rsidP="00B61585">
      <w:pPr>
        <w:outlineLvl w:val="0"/>
        <w:rPr>
          <w:lang w:val="en-GB"/>
        </w:rPr>
      </w:pPr>
    </w:p>
    <w:p w14:paraId="7C3329AD" w14:textId="77777777" w:rsidR="004F06A5" w:rsidRPr="00C50A4F" w:rsidRDefault="00016F29" w:rsidP="00BB33F3">
      <w:pPr>
        <w:rPr>
          <w:lang w:val="en-GB"/>
        </w:rPr>
      </w:pPr>
      <w:r>
        <w:rPr>
          <w:lang w:val="en-GB"/>
        </w:rPr>
        <w:br w:type="page"/>
      </w:r>
    </w:p>
    <w:p w14:paraId="7C3329AE" w14:textId="77777777" w:rsidR="0054078B" w:rsidRPr="003C313A" w:rsidRDefault="00016F29" w:rsidP="0054078B">
      <w:pPr>
        <w:jc w:val="center"/>
        <w:outlineLvl w:val="0"/>
        <w:rPr>
          <w:b/>
          <w:szCs w:val="22"/>
          <w:lang w:val="en-GB"/>
        </w:rPr>
      </w:pPr>
      <w:r w:rsidRPr="003C313A">
        <w:rPr>
          <w:b/>
          <w:szCs w:val="22"/>
          <w:lang w:val="en-GB"/>
        </w:rPr>
        <w:t xml:space="preserve">Package leaflet: Information for the patient </w:t>
      </w:r>
    </w:p>
    <w:p w14:paraId="7C3329AF" w14:textId="77777777" w:rsidR="0054078B" w:rsidRPr="003C313A" w:rsidRDefault="0054078B" w:rsidP="0054078B">
      <w:pPr>
        <w:jc w:val="center"/>
        <w:rPr>
          <w:b/>
          <w:szCs w:val="22"/>
          <w:lang w:val="en-GB"/>
        </w:rPr>
      </w:pPr>
    </w:p>
    <w:p w14:paraId="7C3329B0" w14:textId="77777777" w:rsidR="0054078B" w:rsidRPr="003C313A" w:rsidRDefault="00016F29" w:rsidP="0054078B">
      <w:pPr>
        <w:jc w:val="center"/>
        <w:outlineLvl w:val="0"/>
        <w:rPr>
          <w:b/>
          <w:szCs w:val="22"/>
          <w:lang w:val="en-GB"/>
        </w:rPr>
      </w:pPr>
      <w:r w:rsidRPr="001F63EB">
        <w:rPr>
          <w:b/>
          <w:szCs w:val="22"/>
          <w:lang w:val="en-GB"/>
        </w:rPr>
        <w:t xml:space="preserve">MabThera </w:t>
      </w:r>
      <w:r w:rsidR="00A345A0" w:rsidRPr="001F63EB">
        <w:rPr>
          <w:b/>
          <w:szCs w:val="22"/>
          <w:lang w:val="en-GB"/>
        </w:rPr>
        <w:t>1600</w:t>
      </w:r>
      <w:r w:rsidR="00A345A0" w:rsidRPr="003C313A">
        <w:rPr>
          <w:b/>
          <w:szCs w:val="22"/>
          <w:lang w:val="en-GB"/>
        </w:rPr>
        <w:t> </w:t>
      </w:r>
      <w:r w:rsidRPr="003C313A">
        <w:rPr>
          <w:b/>
          <w:szCs w:val="22"/>
          <w:lang w:val="en-GB"/>
        </w:rPr>
        <w:t xml:space="preserve">mg solution for subcutaneous injection </w:t>
      </w:r>
    </w:p>
    <w:p w14:paraId="7C3329B1" w14:textId="77777777" w:rsidR="0054078B" w:rsidRPr="003C313A" w:rsidRDefault="00016F29" w:rsidP="0054078B">
      <w:pPr>
        <w:jc w:val="center"/>
        <w:rPr>
          <w:szCs w:val="22"/>
          <w:lang w:val="en-GB"/>
        </w:rPr>
      </w:pPr>
      <w:r w:rsidRPr="003C313A">
        <w:rPr>
          <w:szCs w:val="22"/>
          <w:lang w:val="en-GB"/>
        </w:rPr>
        <w:t xml:space="preserve">rituximab </w:t>
      </w:r>
    </w:p>
    <w:p w14:paraId="7C3329B2" w14:textId="77777777" w:rsidR="0054078B" w:rsidRPr="003C313A" w:rsidRDefault="0054078B" w:rsidP="0054078B">
      <w:pPr>
        <w:rPr>
          <w:bCs/>
          <w:caps/>
          <w:szCs w:val="22"/>
          <w:lang w:val="en-GB"/>
        </w:rPr>
      </w:pPr>
    </w:p>
    <w:p w14:paraId="7C3329B3" w14:textId="77777777" w:rsidR="0054078B" w:rsidRPr="003C313A" w:rsidRDefault="00016F29" w:rsidP="0054078B">
      <w:pPr>
        <w:outlineLvl w:val="0"/>
        <w:rPr>
          <w:b/>
          <w:szCs w:val="22"/>
          <w:lang w:val="en-GB"/>
        </w:rPr>
      </w:pPr>
      <w:r w:rsidRPr="003C313A">
        <w:rPr>
          <w:b/>
          <w:szCs w:val="22"/>
          <w:lang w:val="en-GB"/>
        </w:rPr>
        <w:t>Read all of this leaflet carefully before you are given this medicine because it contains important information for you.</w:t>
      </w:r>
    </w:p>
    <w:p w14:paraId="7C3329B4" w14:textId="77777777" w:rsidR="0054078B" w:rsidRPr="00137FEB" w:rsidRDefault="00016F29" w:rsidP="0054078B">
      <w:pPr>
        <w:tabs>
          <w:tab w:val="left" w:pos="567"/>
        </w:tabs>
        <w:ind w:left="567" w:hanging="567"/>
        <w:rPr>
          <w:szCs w:val="22"/>
          <w:lang w:val="en-GB"/>
        </w:rPr>
      </w:pPr>
      <w:r w:rsidRPr="00E06A78">
        <w:rPr>
          <w:rFonts w:ascii="Symbol" w:hAnsi="Symbol"/>
          <w:lang w:val="en-GB"/>
        </w:rPr>
        <w:sym w:font="Symbol" w:char="F0B7"/>
      </w:r>
      <w:r w:rsidRPr="003C313A">
        <w:rPr>
          <w:szCs w:val="22"/>
          <w:lang w:val="en-GB"/>
        </w:rPr>
        <w:tab/>
      </w:r>
      <w:r w:rsidRPr="00137FEB">
        <w:rPr>
          <w:szCs w:val="22"/>
          <w:lang w:val="en-GB"/>
        </w:rPr>
        <w:t>Keep this leaflet. You may need to read it again.</w:t>
      </w:r>
    </w:p>
    <w:p w14:paraId="7C3329B5" w14:textId="77777777" w:rsidR="0054078B" w:rsidRPr="00137FEB" w:rsidRDefault="00016F29" w:rsidP="0054078B">
      <w:pPr>
        <w:tabs>
          <w:tab w:val="left" w:pos="567"/>
        </w:tabs>
        <w:ind w:left="567" w:hanging="567"/>
        <w:rPr>
          <w:szCs w:val="22"/>
          <w:lang w:val="en-GB"/>
        </w:rPr>
      </w:pPr>
      <w:r w:rsidRPr="00E06A78">
        <w:rPr>
          <w:rFonts w:ascii="Symbol" w:hAnsi="Symbol"/>
          <w:lang w:val="en-GB"/>
        </w:rPr>
        <w:sym w:font="Symbol" w:char="F0B7"/>
      </w:r>
      <w:r w:rsidRPr="003C313A">
        <w:rPr>
          <w:szCs w:val="22"/>
          <w:lang w:val="en-GB"/>
        </w:rPr>
        <w:tab/>
      </w:r>
      <w:r w:rsidRPr="00137FEB">
        <w:rPr>
          <w:szCs w:val="22"/>
          <w:lang w:val="en-GB"/>
        </w:rPr>
        <w:t>If you have any further questions, ask your doctor, pharmacist or nurse.</w:t>
      </w:r>
    </w:p>
    <w:p w14:paraId="7C3329B6" w14:textId="77777777" w:rsidR="0054078B" w:rsidRPr="000400ED" w:rsidRDefault="00016F29" w:rsidP="0054078B">
      <w:pPr>
        <w:tabs>
          <w:tab w:val="left" w:pos="567"/>
        </w:tabs>
        <w:ind w:left="567" w:hanging="567"/>
        <w:rPr>
          <w:szCs w:val="22"/>
          <w:lang w:val="en-GB"/>
        </w:rPr>
      </w:pPr>
      <w:r w:rsidRPr="00E06A78">
        <w:rPr>
          <w:rFonts w:ascii="Symbol" w:hAnsi="Symbol"/>
          <w:lang w:val="en-GB"/>
        </w:rPr>
        <w:sym w:font="Symbol" w:char="F0B7"/>
      </w:r>
      <w:r w:rsidRPr="003C313A">
        <w:rPr>
          <w:szCs w:val="22"/>
          <w:lang w:val="en-GB"/>
        </w:rPr>
        <w:tab/>
      </w:r>
      <w:r w:rsidRPr="00137FEB">
        <w:rPr>
          <w:szCs w:val="22"/>
          <w:lang w:val="en-GB"/>
        </w:rPr>
        <w:t xml:space="preserve">If you get any side effects, talk to your doctor, pharmacist or nurse. This includes any possible side effects not listed in this leaflet. </w:t>
      </w:r>
      <w:r w:rsidRPr="00D239C4">
        <w:rPr>
          <w:szCs w:val="22"/>
          <w:lang w:val="en-GB"/>
        </w:rPr>
        <w:t>See section 4.</w:t>
      </w:r>
    </w:p>
    <w:p w14:paraId="7C3329B7" w14:textId="77777777" w:rsidR="0054078B" w:rsidRPr="00D3771E" w:rsidRDefault="0054078B" w:rsidP="0054078B">
      <w:pPr>
        <w:ind w:right="-2"/>
        <w:rPr>
          <w:lang w:val="en-GB" w:eastAsia="en-US"/>
        </w:rPr>
      </w:pPr>
    </w:p>
    <w:p w14:paraId="7C3329B8" w14:textId="77777777" w:rsidR="0054078B" w:rsidRPr="00D50019" w:rsidRDefault="00016F29" w:rsidP="0054078B">
      <w:pPr>
        <w:tabs>
          <w:tab w:val="left" w:pos="567"/>
        </w:tabs>
        <w:outlineLvl w:val="0"/>
        <w:rPr>
          <w:szCs w:val="22"/>
          <w:lang w:val="en-GB" w:eastAsia="en-US"/>
        </w:rPr>
      </w:pPr>
      <w:r w:rsidRPr="009F47AE">
        <w:rPr>
          <w:b/>
          <w:szCs w:val="22"/>
          <w:lang w:val="en-GB" w:eastAsia="en-US"/>
        </w:rPr>
        <w:t>What is in this leaflet:</w:t>
      </w:r>
    </w:p>
    <w:p w14:paraId="7C3329B9" w14:textId="77777777" w:rsidR="0054078B" w:rsidRPr="009A4E5A" w:rsidRDefault="00016F29" w:rsidP="0054078B">
      <w:pPr>
        <w:tabs>
          <w:tab w:val="left" w:pos="567"/>
        </w:tabs>
        <w:ind w:left="567" w:hanging="567"/>
        <w:rPr>
          <w:szCs w:val="22"/>
          <w:lang w:val="en-GB" w:eastAsia="en-US"/>
        </w:rPr>
      </w:pPr>
      <w:r w:rsidRPr="009A4E5A">
        <w:rPr>
          <w:szCs w:val="22"/>
          <w:lang w:val="en-GB" w:eastAsia="en-US"/>
        </w:rPr>
        <w:t>1.</w:t>
      </w:r>
      <w:r w:rsidRPr="009A4E5A">
        <w:rPr>
          <w:szCs w:val="22"/>
          <w:lang w:val="en-GB" w:eastAsia="en-US"/>
        </w:rPr>
        <w:tab/>
        <w:t>What MabThera is and what it is used for</w:t>
      </w:r>
    </w:p>
    <w:p w14:paraId="7C3329BA" w14:textId="77777777" w:rsidR="0054078B" w:rsidRPr="009A4E5A" w:rsidRDefault="00016F29" w:rsidP="0054078B">
      <w:pPr>
        <w:tabs>
          <w:tab w:val="left" w:pos="567"/>
        </w:tabs>
        <w:ind w:left="567" w:hanging="567"/>
        <w:rPr>
          <w:szCs w:val="22"/>
          <w:lang w:val="en-GB" w:eastAsia="en-US"/>
        </w:rPr>
      </w:pPr>
      <w:r w:rsidRPr="009A4E5A">
        <w:rPr>
          <w:szCs w:val="22"/>
          <w:lang w:val="en-GB" w:eastAsia="en-US"/>
        </w:rPr>
        <w:t>2.</w:t>
      </w:r>
      <w:r w:rsidRPr="009A4E5A">
        <w:rPr>
          <w:szCs w:val="22"/>
          <w:lang w:val="en-GB" w:eastAsia="en-US"/>
        </w:rPr>
        <w:tab/>
        <w:t xml:space="preserve">What you need to know before you are given MabThera </w:t>
      </w:r>
    </w:p>
    <w:p w14:paraId="7C3329BB" w14:textId="77777777" w:rsidR="0054078B" w:rsidRPr="00ED3BF4" w:rsidRDefault="00016F29" w:rsidP="0054078B">
      <w:pPr>
        <w:tabs>
          <w:tab w:val="left" w:pos="567"/>
        </w:tabs>
        <w:ind w:left="567" w:hanging="567"/>
        <w:rPr>
          <w:szCs w:val="22"/>
          <w:lang w:val="en-GB" w:eastAsia="en-US"/>
        </w:rPr>
      </w:pPr>
      <w:r w:rsidRPr="00ED3BF4">
        <w:rPr>
          <w:szCs w:val="22"/>
          <w:lang w:val="en-GB" w:eastAsia="en-US"/>
        </w:rPr>
        <w:t>3.</w:t>
      </w:r>
      <w:r w:rsidRPr="00ED3BF4">
        <w:rPr>
          <w:szCs w:val="22"/>
          <w:lang w:val="en-GB" w:eastAsia="en-US"/>
        </w:rPr>
        <w:tab/>
        <w:t>How MabThera is given</w:t>
      </w:r>
    </w:p>
    <w:p w14:paraId="7C3329BC" w14:textId="77777777" w:rsidR="0054078B" w:rsidRPr="00FC61B8" w:rsidRDefault="00016F29" w:rsidP="0054078B">
      <w:pPr>
        <w:tabs>
          <w:tab w:val="left" w:pos="567"/>
        </w:tabs>
        <w:ind w:left="567" w:hanging="567"/>
        <w:rPr>
          <w:szCs w:val="22"/>
          <w:lang w:val="en-GB" w:eastAsia="en-US"/>
        </w:rPr>
      </w:pPr>
      <w:r w:rsidRPr="00FC61B8">
        <w:rPr>
          <w:szCs w:val="22"/>
          <w:lang w:val="en-GB" w:eastAsia="en-US"/>
        </w:rPr>
        <w:t>4.</w:t>
      </w:r>
      <w:r w:rsidRPr="00FC61B8">
        <w:rPr>
          <w:szCs w:val="22"/>
          <w:lang w:val="en-GB" w:eastAsia="en-US"/>
        </w:rPr>
        <w:tab/>
        <w:t>Possible side effects</w:t>
      </w:r>
    </w:p>
    <w:p w14:paraId="7C3329BD" w14:textId="77777777" w:rsidR="0054078B" w:rsidRPr="00CD7883" w:rsidRDefault="00016F29" w:rsidP="0054078B">
      <w:pPr>
        <w:tabs>
          <w:tab w:val="left" w:pos="567"/>
        </w:tabs>
        <w:ind w:left="567" w:hanging="567"/>
        <w:rPr>
          <w:szCs w:val="22"/>
          <w:lang w:val="en-GB" w:eastAsia="en-US"/>
        </w:rPr>
      </w:pPr>
      <w:r w:rsidRPr="00FC61B8">
        <w:rPr>
          <w:szCs w:val="22"/>
          <w:lang w:val="en-GB" w:eastAsia="en-US"/>
        </w:rPr>
        <w:t>5.</w:t>
      </w:r>
      <w:r w:rsidRPr="00FC61B8">
        <w:rPr>
          <w:szCs w:val="22"/>
          <w:lang w:val="en-GB" w:eastAsia="en-US"/>
        </w:rPr>
        <w:tab/>
        <w:t xml:space="preserve">How to store MabThera </w:t>
      </w:r>
    </w:p>
    <w:p w14:paraId="7C3329BE" w14:textId="77777777" w:rsidR="0054078B" w:rsidRPr="00CD7883" w:rsidRDefault="00016F29" w:rsidP="0054078B">
      <w:pPr>
        <w:tabs>
          <w:tab w:val="left" w:pos="567"/>
        </w:tabs>
        <w:ind w:left="567" w:hanging="567"/>
        <w:rPr>
          <w:lang w:val="en-GB" w:eastAsia="en-US"/>
        </w:rPr>
      </w:pPr>
      <w:r w:rsidRPr="00CD7883">
        <w:rPr>
          <w:szCs w:val="22"/>
          <w:lang w:val="en-GB" w:eastAsia="en-US"/>
        </w:rPr>
        <w:t>6.</w:t>
      </w:r>
      <w:r w:rsidRPr="00CD7883">
        <w:rPr>
          <w:szCs w:val="22"/>
          <w:lang w:val="en-GB" w:eastAsia="en-US"/>
        </w:rPr>
        <w:tab/>
        <w:t>Contents of the pack and other information</w:t>
      </w:r>
    </w:p>
    <w:p w14:paraId="7C3329BF" w14:textId="77777777" w:rsidR="0054078B" w:rsidRPr="00CD7883" w:rsidRDefault="0054078B" w:rsidP="0054078B">
      <w:pPr>
        <w:rPr>
          <w:bCs/>
          <w:caps/>
          <w:szCs w:val="22"/>
          <w:lang w:val="en-GB"/>
        </w:rPr>
      </w:pPr>
    </w:p>
    <w:p w14:paraId="7C3329C0" w14:textId="77777777" w:rsidR="0054078B" w:rsidRPr="00DE32D5" w:rsidRDefault="0054078B" w:rsidP="0054078B">
      <w:pPr>
        <w:rPr>
          <w:bCs/>
          <w:caps/>
          <w:szCs w:val="22"/>
          <w:lang w:val="en-GB"/>
        </w:rPr>
      </w:pPr>
    </w:p>
    <w:p w14:paraId="7C3329C1" w14:textId="77777777" w:rsidR="0054078B" w:rsidRPr="00870B51" w:rsidRDefault="00016F29" w:rsidP="0054078B">
      <w:pPr>
        <w:rPr>
          <w:b/>
          <w:sz w:val="24"/>
          <w:lang w:val="en-GB" w:eastAsia="en-US"/>
        </w:rPr>
      </w:pPr>
      <w:r w:rsidRPr="0012747B">
        <w:rPr>
          <w:b/>
          <w:sz w:val="24"/>
          <w:szCs w:val="22"/>
          <w:lang w:val="en-GB" w:eastAsia="en-US"/>
        </w:rPr>
        <w:t>1.</w:t>
      </w:r>
      <w:r w:rsidRPr="0012747B">
        <w:rPr>
          <w:b/>
          <w:sz w:val="24"/>
          <w:szCs w:val="22"/>
          <w:lang w:val="en-GB" w:eastAsia="en-US"/>
        </w:rPr>
        <w:tab/>
      </w:r>
      <w:r w:rsidRPr="009C488C">
        <w:rPr>
          <w:b/>
          <w:sz w:val="24"/>
          <w:szCs w:val="22"/>
          <w:lang w:val="en-GB" w:eastAsia="en-US"/>
        </w:rPr>
        <w:t>What MabThera is and what it is used for</w:t>
      </w:r>
    </w:p>
    <w:p w14:paraId="7C3329C2" w14:textId="77777777" w:rsidR="0054078B" w:rsidRPr="00EA11D5" w:rsidRDefault="0054078B" w:rsidP="0054078B">
      <w:pPr>
        <w:rPr>
          <w:b/>
          <w:szCs w:val="22"/>
          <w:lang w:val="en-GB"/>
        </w:rPr>
      </w:pPr>
    </w:p>
    <w:p w14:paraId="7C3329C3" w14:textId="77777777" w:rsidR="0054078B" w:rsidRPr="00B0192B" w:rsidRDefault="00016F29" w:rsidP="0054078B">
      <w:pPr>
        <w:rPr>
          <w:b/>
          <w:szCs w:val="22"/>
          <w:lang w:val="en-GB"/>
        </w:rPr>
      </w:pPr>
      <w:r w:rsidRPr="00B0192B">
        <w:rPr>
          <w:b/>
          <w:szCs w:val="22"/>
          <w:lang w:val="en-GB"/>
        </w:rPr>
        <w:t>What MabThera is</w:t>
      </w:r>
    </w:p>
    <w:p w14:paraId="7C3329C4" w14:textId="77777777" w:rsidR="0054078B" w:rsidRPr="004A2E81" w:rsidRDefault="00016F29" w:rsidP="0054078B">
      <w:pPr>
        <w:rPr>
          <w:szCs w:val="22"/>
          <w:lang w:val="en-GB"/>
        </w:rPr>
      </w:pPr>
      <w:r w:rsidRPr="00295A1D">
        <w:rPr>
          <w:szCs w:val="22"/>
          <w:lang w:val="en-GB"/>
        </w:rPr>
        <w:t xml:space="preserve">MabThera contains the active substance “rituximab”. This is a type of protein called a “monoclonal </w:t>
      </w:r>
      <w:r w:rsidRPr="004A2E81">
        <w:rPr>
          <w:szCs w:val="22"/>
          <w:lang w:val="en-GB"/>
        </w:rPr>
        <w:t>antibody”. It sticks to the surface of a type of white blood cell called “B</w:t>
      </w:r>
      <w:r w:rsidR="000A6DDA" w:rsidRPr="004A2E81">
        <w:rPr>
          <w:szCs w:val="22"/>
          <w:lang w:val="en-GB"/>
        </w:rPr>
        <w:noBreakHyphen/>
      </w:r>
      <w:r w:rsidRPr="004A2E81">
        <w:rPr>
          <w:szCs w:val="22"/>
          <w:lang w:val="en-GB"/>
        </w:rPr>
        <w:t>Lymphocyte”. When rituximab sticks to the surface of this cell, the cell dies.</w:t>
      </w:r>
    </w:p>
    <w:p w14:paraId="7C3329C5" w14:textId="77777777" w:rsidR="0054078B" w:rsidRPr="004A2E81" w:rsidRDefault="00016F29" w:rsidP="0054078B">
      <w:pPr>
        <w:rPr>
          <w:szCs w:val="22"/>
          <w:lang w:val="en-GB" w:eastAsia="en-US"/>
        </w:rPr>
      </w:pPr>
      <w:r w:rsidRPr="004A2E81">
        <w:rPr>
          <w:szCs w:val="22"/>
          <w:lang w:val="en-GB" w:eastAsia="en-US"/>
        </w:rPr>
        <w:t>MabThera is available as a medicine given as a drip (called MabThera 100 mg or MabThera 500 mg, concentrate for solution for infusion) and as a medicine for injection under your skin</w:t>
      </w:r>
      <w:r w:rsidR="001604A3" w:rsidRPr="004A2E81">
        <w:rPr>
          <w:szCs w:val="22"/>
          <w:lang w:val="en-GB" w:eastAsia="en-US"/>
        </w:rPr>
        <w:t xml:space="preserve">: </w:t>
      </w:r>
      <w:r w:rsidRPr="004A2E81">
        <w:rPr>
          <w:szCs w:val="22"/>
          <w:lang w:val="en-GB" w:eastAsia="en-US"/>
        </w:rPr>
        <w:t>called MabThera 1400 mg</w:t>
      </w:r>
      <w:r w:rsidR="001604A3" w:rsidRPr="004A2E81">
        <w:rPr>
          <w:szCs w:val="22"/>
          <w:lang w:val="en-GB" w:eastAsia="en-US"/>
        </w:rPr>
        <w:t xml:space="preserve"> or MabThera 1600 mg, solution for subcutaneous injection</w:t>
      </w:r>
      <w:r w:rsidRPr="004A2E81">
        <w:rPr>
          <w:szCs w:val="22"/>
          <w:lang w:val="en-GB" w:eastAsia="en-US"/>
        </w:rPr>
        <w:t>).</w:t>
      </w:r>
    </w:p>
    <w:p w14:paraId="7C3329C6" w14:textId="77777777" w:rsidR="0054078B" w:rsidRPr="004A2E81" w:rsidRDefault="0054078B" w:rsidP="0054078B">
      <w:pPr>
        <w:rPr>
          <w:szCs w:val="22"/>
          <w:lang w:val="en-GB" w:eastAsia="en-US"/>
        </w:rPr>
      </w:pPr>
    </w:p>
    <w:p w14:paraId="7C3329C7" w14:textId="77777777" w:rsidR="0054078B" w:rsidRPr="004A2E81" w:rsidRDefault="00016F29" w:rsidP="0054078B">
      <w:pPr>
        <w:rPr>
          <w:b/>
          <w:szCs w:val="22"/>
          <w:lang w:val="en-GB"/>
        </w:rPr>
      </w:pPr>
      <w:r w:rsidRPr="004A2E81">
        <w:rPr>
          <w:b/>
          <w:szCs w:val="22"/>
          <w:lang w:val="en-GB"/>
        </w:rPr>
        <w:t>What MabThera is used for</w:t>
      </w:r>
    </w:p>
    <w:p w14:paraId="7C3329C8" w14:textId="77777777" w:rsidR="0054078B" w:rsidRPr="004A2E81" w:rsidRDefault="00016F29" w:rsidP="0054078B">
      <w:pPr>
        <w:numPr>
          <w:ilvl w:val="12"/>
          <w:numId w:val="0"/>
        </w:numPr>
        <w:rPr>
          <w:szCs w:val="22"/>
          <w:lang w:val="en-GB" w:eastAsia="en-US"/>
        </w:rPr>
      </w:pPr>
      <w:r w:rsidRPr="004A2E81">
        <w:rPr>
          <w:szCs w:val="22"/>
          <w:lang w:val="en-GB"/>
        </w:rPr>
        <w:t xml:space="preserve">MabThera </w:t>
      </w:r>
      <w:r w:rsidR="001604A3" w:rsidRPr="004A2E81">
        <w:rPr>
          <w:szCs w:val="22"/>
          <w:lang w:val="en-GB"/>
        </w:rPr>
        <w:t>1600 mg</w:t>
      </w:r>
      <w:r w:rsidR="00FD542D" w:rsidRPr="004A2E81">
        <w:rPr>
          <w:szCs w:val="22"/>
          <w:lang w:val="en-GB"/>
        </w:rPr>
        <w:t xml:space="preserve"> </w:t>
      </w:r>
      <w:r w:rsidRPr="004A2E81">
        <w:rPr>
          <w:szCs w:val="22"/>
          <w:lang w:val="en-GB"/>
        </w:rPr>
        <w:t xml:space="preserve">is used to treat </w:t>
      </w:r>
      <w:r w:rsidR="00A345A0" w:rsidRPr="004A2E81">
        <w:rPr>
          <w:szCs w:val="22"/>
          <w:lang w:val="en-GB"/>
        </w:rPr>
        <w:t xml:space="preserve">chronic lymphocytic leukaemia </w:t>
      </w:r>
      <w:r w:rsidR="000A6DDA" w:rsidRPr="004A2E81">
        <w:rPr>
          <w:szCs w:val="22"/>
          <w:lang w:val="en-GB" w:eastAsia="en-US"/>
        </w:rPr>
        <w:noBreakHyphen/>
      </w:r>
      <w:r w:rsidRPr="004A2E81">
        <w:rPr>
          <w:szCs w:val="22"/>
          <w:lang w:val="en-GB" w:eastAsia="en-US"/>
        </w:rPr>
        <w:t>in adults.</w:t>
      </w:r>
    </w:p>
    <w:p w14:paraId="7C3329C9" w14:textId="77777777" w:rsidR="006A3D53" w:rsidRPr="004A2E81" w:rsidRDefault="00016F29" w:rsidP="00F57FBF">
      <w:pPr>
        <w:tabs>
          <w:tab w:val="left" w:pos="567"/>
        </w:tabs>
        <w:ind w:left="567" w:hanging="567"/>
        <w:rPr>
          <w:szCs w:val="22"/>
          <w:lang w:val="en-GB"/>
        </w:rPr>
      </w:pPr>
      <w:r w:rsidRPr="00E06A78">
        <w:rPr>
          <w:rFonts w:ascii="Symbol" w:hAnsi="Symbol"/>
          <w:lang w:val="en-GB"/>
        </w:rPr>
        <w:sym w:font="Symbol" w:char="F0B7"/>
      </w:r>
      <w:r w:rsidRPr="004A2E81">
        <w:rPr>
          <w:szCs w:val="22"/>
          <w:lang w:val="en-GB"/>
        </w:rPr>
        <w:tab/>
      </w:r>
      <w:r w:rsidR="00A345A0" w:rsidRPr="004A2E81">
        <w:rPr>
          <w:szCs w:val="22"/>
          <w:lang w:val="en-GB"/>
        </w:rPr>
        <w:t>Chronic lymphocytic leukaemia (CLL) is the most common form of adult leukaemia.</w:t>
      </w:r>
      <w:r w:rsidR="00A345A0" w:rsidRPr="004A2E81">
        <w:rPr>
          <w:lang w:val="en-GB"/>
        </w:rPr>
        <w:t xml:space="preserve"> CLL affects a </w:t>
      </w:r>
      <w:r w:rsidRPr="004A2E81">
        <w:rPr>
          <w:lang w:val="en-GB"/>
        </w:rPr>
        <w:t>type of white blood cell called B</w:t>
      </w:r>
      <w:r w:rsidR="000A6DDA" w:rsidRPr="004A2E81">
        <w:rPr>
          <w:lang w:val="en-GB"/>
        </w:rPr>
        <w:noBreakHyphen/>
      </w:r>
      <w:r w:rsidRPr="004A2E81">
        <w:rPr>
          <w:lang w:val="en-GB"/>
        </w:rPr>
        <w:t>lymphocytes</w:t>
      </w:r>
      <w:r w:rsidR="00A345A0" w:rsidRPr="004A2E81">
        <w:rPr>
          <w:lang w:val="en-GB"/>
        </w:rPr>
        <w:t>, which originates from the bone</w:t>
      </w:r>
      <w:r w:rsidR="00A345A0" w:rsidRPr="001F63EB">
        <w:rPr>
          <w:lang w:val="en-GB"/>
        </w:rPr>
        <w:t xml:space="preserve"> marrow and develops in the lymph nodes. Patients with CLL have too many abnormal lymphocytes, which accumulate mainly in the bone marrow and blood. </w:t>
      </w:r>
      <w:r w:rsidR="00A345A0" w:rsidRPr="001F63EB">
        <w:rPr>
          <w:szCs w:val="22"/>
          <w:lang w:val="en-GB"/>
        </w:rPr>
        <w:t xml:space="preserve">The proliferation of </w:t>
      </w:r>
      <w:r w:rsidR="00A345A0" w:rsidRPr="004A2E81">
        <w:rPr>
          <w:szCs w:val="22"/>
          <w:lang w:val="en-GB"/>
        </w:rPr>
        <w:t>these abnormal B</w:t>
      </w:r>
      <w:r w:rsidR="000A6DDA" w:rsidRPr="004A2E81">
        <w:rPr>
          <w:szCs w:val="22"/>
          <w:lang w:val="en-GB"/>
        </w:rPr>
        <w:noBreakHyphen/>
      </w:r>
      <w:r w:rsidR="00A345A0" w:rsidRPr="004A2E81">
        <w:rPr>
          <w:szCs w:val="22"/>
          <w:lang w:val="en-GB"/>
        </w:rPr>
        <w:t>lymphocytes is the cause of symptoms you</w:t>
      </w:r>
      <w:r w:rsidRPr="004A2E81">
        <w:rPr>
          <w:szCs w:val="22"/>
          <w:lang w:val="en-GB"/>
        </w:rPr>
        <w:t xml:space="preserve"> may have.</w:t>
      </w:r>
    </w:p>
    <w:p w14:paraId="7C3329CA" w14:textId="77777777" w:rsidR="0054078B" w:rsidRPr="004A2E81" w:rsidRDefault="00016F29" w:rsidP="00F57FBF">
      <w:pPr>
        <w:tabs>
          <w:tab w:val="left" w:pos="567"/>
        </w:tabs>
        <w:ind w:left="567" w:hanging="567"/>
        <w:rPr>
          <w:szCs w:val="22"/>
          <w:lang w:val="en-GB" w:eastAsia="en-US"/>
        </w:rPr>
      </w:pPr>
      <w:r w:rsidRPr="004A2E81">
        <w:rPr>
          <w:szCs w:val="22"/>
          <w:lang w:val="en-GB"/>
        </w:rPr>
        <w:tab/>
      </w:r>
      <w:r w:rsidR="00A345A0" w:rsidRPr="004A2E81">
        <w:rPr>
          <w:szCs w:val="22"/>
          <w:lang w:val="en-GB"/>
        </w:rPr>
        <w:t>MabThera in combination with chemotherapy destroys these cells which are gradually removed from the body by biological processes</w:t>
      </w:r>
      <w:r w:rsidR="000A6DDA" w:rsidRPr="004A2E81">
        <w:rPr>
          <w:szCs w:val="22"/>
          <w:lang w:val="en-GB" w:eastAsia="en-US"/>
        </w:rPr>
        <w:noBreakHyphen/>
      </w:r>
      <w:r w:rsidRPr="004A2E81">
        <w:rPr>
          <w:szCs w:val="22"/>
          <w:lang w:val="en-GB" w:eastAsia="en-US"/>
        </w:rPr>
        <w:t>.</w:t>
      </w:r>
    </w:p>
    <w:p w14:paraId="7C3329CB" w14:textId="77777777" w:rsidR="0054078B" w:rsidRPr="004A2E81" w:rsidRDefault="0054078B" w:rsidP="0054078B">
      <w:pPr>
        <w:rPr>
          <w:szCs w:val="22"/>
          <w:lang w:val="en-GB" w:eastAsia="en-US"/>
        </w:rPr>
      </w:pPr>
    </w:p>
    <w:p w14:paraId="7C3329CC" w14:textId="77777777" w:rsidR="0054078B" w:rsidRDefault="00016F29" w:rsidP="0054078B">
      <w:pPr>
        <w:numPr>
          <w:ilvl w:val="12"/>
          <w:numId w:val="0"/>
        </w:numPr>
        <w:rPr>
          <w:szCs w:val="22"/>
          <w:lang w:val="en-GB" w:eastAsia="en-US"/>
        </w:rPr>
      </w:pPr>
      <w:r w:rsidRPr="001F63EB">
        <w:rPr>
          <w:szCs w:val="22"/>
          <w:lang w:val="en-GB" w:eastAsia="en-US"/>
        </w:rPr>
        <w:t xml:space="preserve">You will be given MabThera </w:t>
      </w:r>
      <w:r w:rsidR="00B30AA0" w:rsidRPr="001F63EB">
        <w:rPr>
          <w:szCs w:val="22"/>
          <w:lang w:val="en-GB" w:eastAsia="en-US"/>
        </w:rPr>
        <w:t xml:space="preserve">1600 mg </w:t>
      </w:r>
      <w:r w:rsidRPr="001F63EB">
        <w:rPr>
          <w:szCs w:val="22"/>
          <w:lang w:val="en-GB" w:eastAsia="en-US"/>
        </w:rPr>
        <w:t>with other medicines called “chemotherapy”.</w:t>
      </w:r>
      <w:r w:rsidRPr="00D239C4">
        <w:rPr>
          <w:szCs w:val="22"/>
          <w:lang w:val="en-GB" w:eastAsia="en-US"/>
        </w:rPr>
        <w:t xml:space="preserve"> </w:t>
      </w:r>
    </w:p>
    <w:p w14:paraId="7C3329CD" w14:textId="77777777" w:rsidR="0054078B" w:rsidRPr="004A2E81" w:rsidRDefault="00016F29" w:rsidP="0054078B">
      <w:pPr>
        <w:numPr>
          <w:ilvl w:val="12"/>
          <w:numId w:val="0"/>
        </w:numPr>
        <w:rPr>
          <w:szCs w:val="22"/>
          <w:lang w:val="en-GB" w:eastAsia="en-US"/>
        </w:rPr>
      </w:pPr>
      <w:r w:rsidRPr="004A2E81">
        <w:rPr>
          <w:szCs w:val="22"/>
          <w:lang w:val="en-GB" w:eastAsia="en-US"/>
        </w:rPr>
        <w:t>You will always be given MabThera as a drip (intra</w:t>
      </w:r>
      <w:r w:rsidR="000A6DDA" w:rsidRPr="004A2E81">
        <w:rPr>
          <w:szCs w:val="22"/>
          <w:lang w:val="en-GB" w:eastAsia="en-US"/>
        </w:rPr>
        <w:noBreakHyphen/>
      </w:r>
      <w:r w:rsidRPr="004A2E81">
        <w:rPr>
          <w:szCs w:val="22"/>
          <w:lang w:val="en-GB" w:eastAsia="en-US"/>
        </w:rPr>
        <w:t xml:space="preserve">venous infusion) at the start of your treatment. </w:t>
      </w:r>
    </w:p>
    <w:p w14:paraId="7C3329CE" w14:textId="77777777" w:rsidR="0054078B" w:rsidRPr="009F47AE" w:rsidRDefault="0054078B" w:rsidP="0054078B">
      <w:pPr>
        <w:numPr>
          <w:ilvl w:val="12"/>
          <w:numId w:val="0"/>
        </w:numPr>
        <w:rPr>
          <w:szCs w:val="22"/>
          <w:lang w:val="en-GB" w:eastAsia="en-US"/>
        </w:rPr>
      </w:pPr>
    </w:p>
    <w:p w14:paraId="7C3329CF" w14:textId="77777777" w:rsidR="0054078B" w:rsidRPr="009A4E5A" w:rsidRDefault="00016F29" w:rsidP="0054078B">
      <w:pPr>
        <w:numPr>
          <w:ilvl w:val="12"/>
          <w:numId w:val="0"/>
        </w:numPr>
        <w:rPr>
          <w:szCs w:val="22"/>
          <w:lang w:val="en-GB" w:eastAsia="en-US"/>
        </w:rPr>
      </w:pPr>
      <w:r w:rsidRPr="00D50019">
        <w:rPr>
          <w:szCs w:val="22"/>
          <w:lang w:val="en-GB" w:eastAsia="en-US"/>
        </w:rPr>
        <w:t>After this, yo</w:t>
      </w:r>
      <w:r w:rsidRPr="009A4E5A">
        <w:rPr>
          <w:szCs w:val="22"/>
          <w:lang w:val="en-GB" w:eastAsia="en-US"/>
        </w:rPr>
        <w:t>u will be given MabThera as an injection under your skin. Your doctor will decide when to start MabThera injections.</w:t>
      </w:r>
    </w:p>
    <w:p w14:paraId="7C3329D0" w14:textId="77777777" w:rsidR="0054078B" w:rsidRPr="009A4E5A" w:rsidRDefault="0054078B" w:rsidP="0054078B">
      <w:pPr>
        <w:numPr>
          <w:ilvl w:val="12"/>
          <w:numId w:val="0"/>
        </w:numPr>
        <w:rPr>
          <w:szCs w:val="22"/>
          <w:lang w:val="en-GB" w:eastAsia="en-US"/>
        </w:rPr>
      </w:pPr>
    </w:p>
    <w:p w14:paraId="7C3329D1" w14:textId="77777777" w:rsidR="0054078B" w:rsidRPr="00CD7883" w:rsidRDefault="0054078B" w:rsidP="0054078B">
      <w:pPr>
        <w:tabs>
          <w:tab w:val="left" w:pos="3980"/>
        </w:tabs>
        <w:rPr>
          <w:szCs w:val="22"/>
          <w:lang w:val="en-GB"/>
        </w:rPr>
      </w:pPr>
    </w:p>
    <w:p w14:paraId="7C3329D2" w14:textId="77777777" w:rsidR="0054078B" w:rsidRPr="00CD7883" w:rsidRDefault="00016F29" w:rsidP="0054078B">
      <w:pPr>
        <w:tabs>
          <w:tab w:val="left" w:pos="567"/>
        </w:tabs>
        <w:outlineLvl w:val="0"/>
        <w:rPr>
          <w:b/>
          <w:sz w:val="24"/>
          <w:szCs w:val="22"/>
          <w:lang w:val="en-GB" w:eastAsia="en-US"/>
        </w:rPr>
      </w:pPr>
      <w:r w:rsidRPr="00CD7883">
        <w:rPr>
          <w:b/>
          <w:sz w:val="24"/>
          <w:szCs w:val="22"/>
          <w:lang w:val="en-GB" w:eastAsia="en-US"/>
        </w:rPr>
        <w:t>2</w:t>
      </w:r>
      <w:r w:rsidRPr="00CD7883">
        <w:rPr>
          <w:b/>
          <w:sz w:val="24"/>
          <w:szCs w:val="22"/>
          <w:lang w:val="en-GB" w:eastAsia="en-US"/>
        </w:rPr>
        <w:tab/>
        <w:t>What you need to know before you are given MabThera</w:t>
      </w:r>
    </w:p>
    <w:p w14:paraId="7C3329D3" w14:textId="77777777" w:rsidR="0054078B" w:rsidRPr="00CD7883" w:rsidRDefault="0054078B" w:rsidP="0054078B">
      <w:pPr>
        <w:tabs>
          <w:tab w:val="left" w:pos="567"/>
        </w:tabs>
        <w:outlineLvl w:val="0"/>
        <w:rPr>
          <w:b/>
          <w:sz w:val="24"/>
          <w:szCs w:val="22"/>
          <w:lang w:val="en-GB" w:eastAsia="en-US"/>
        </w:rPr>
      </w:pPr>
    </w:p>
    <w:p w14:paraId="7C3329D4" w14:textId="77777777" w:rsidR="0054078B" w:rsidRPr="00DE32D5" w:rsidRDefault="00016F29" w:rsidP="0054078B">
      <w:pPr>
        <w:tabs>
          <w:tab w:val="left" w:pos="567"/>
        </w:tabs>
        <w:outlineLvl w:val="0"/>
        <w:rPr>
          <w:szCs w:val="22"/>
          <w:lang w:val="en-GB" w:eastAsia="en-US"/>
        </w:rPr>
      </w:pPr>
      <w:r w:rsidRPr="00DE32D5">
        <w:rPr>
          <w:b/>
          <w:szCs w:val="22"/>
          <w:lang w:val="en-GB" w:eastAsia="en-US"/>
        </w:rPr>
        <w:t>Do not have MabThera if:</w:t>
      </w:r>
    </w:p>
    <w:p w14:paraId="7C3329D5" w14:textId="77777777" w:rsidR="0054078B" w:rsidRPr="003C313A" w:rsidRDefault="00016F29" w:rsidP="0054078B">
      <w:pPr>
        <w:tabs>
          <w:tab w:val="left" w:pos="567"/>
        </w:tabs>
        <w:ind w:left="567" w:hanging="567"/>
        <w:rPr>
          <w:szCs w:val="22"/>
          <w:lang w:val="en-GB"/>
        </w:rPr>
      </w:pPr>
      <w:r w:rsidRPr="005214E1">
        <w:rPr>
          <w:rFonts w:ascii="Symbol" w:hAnsi="Symbol"/>
          <w:lang w:val="en-GB"/>
        </w:rPr>
        <w:sym w:font="Symbol" w:char="F0B7"/>
      </w:r>
      <w:r w:rsidRPr="003C313A">
        <w:rPr>
          <w:szCs w:val="22"/>
          <w:lang w:val="en-GB"/>
        </w:rPr>
        <w:tab/>
        <w:t>you are allergic to rituximab, other proteins which are like rituximab, or any of the other ingredients of this medicine (listed in section 6)</w:t>
      </w:r>
    </w:p>
    <w:p w14:paraId="7C3329D6" w14:textId="77777777" w:rsidR="0054078B" w:rsidRPr="003C313A" w:rsidRDefault="00016F29" w:rsidP="0054078B">
      <w:pPr>
        <w:tabs>
          <w:tab w:val="left" w:pos="567"/>
        </w:tabs>
        <w:ind w:left="567" w:hanging="567"/>
        <w:rPr>
          <w:szCs w:val="22"/>
          <w:lang w:val="en-GB"/>
        </w:rPr>
      </w:pPr>
      <w:r w:rsidRPr="005214E1">
        <w:rPr>
          <w:rFonts w:ascii="Symbol" w:hAnsi="Symbol"/>
          <w:lang w:val="en-GB"/>
        </w:rPr>
        <w:sym w:font="Symbol" w:char="F0B7"/>
      </w:r>
      <w:r w:rsidRPr="003C313A">
        <w:rPr>
          <w:szCs w:val="22"/>
          <w:lang w:val="en-GB"/>
        </w:rPr>
        <w:tab/>
        <w:t xml:space="preserve">you are allergic to hyaluronidase (an enzyme that helps to increase the absorption of injected active substance) </w:t>
      </w:r>
    </w:p>
    <w:p w14:paraId="7C3329D7" w14:textId="77777777" w:rsidR="0054078B" w:rsidRPr="003C313A" w:rsidRDefault="00016F29" w:rsidP="0054078B">
      <w:pPr>
        <w:tabs>
          <w:tab w:val="left" w:pos="567"/>
        </w:tabs>
        <w:ind w:left="567" w:hanging="567"/>
        <w:rPr>
          <w:szCs w:val="22"/>
          <w:lang w:val="en-GB"/>
        </w:rPr>
      </w:pPr>
      <w:r w:rsidRPr="005214E1">
        <w:rPr>
          <w:rFonts w:ascii="Symbol" w:hAnsi="Symbol"/>
          <w:lang w:val="en-GB"/>
        </w:rPr>
        <w:sym w:font="Symbol" w:char="F0B7"/>
      </w:r>
      <w:r w:rsidRPr="003C313A">
        <w:rPr>
          <w:szCs w:val="22"/>
          <w:lang w:val="en-GB"/>
        </w:rPr>
        <w:tab/>
        <w:t>you have a severe active infection at the moment</w:t>
      </w:r>
    </w:p>
    <w:p w14:paraId="7C3329D8" w14:textId="77777777" w:rsidR="0054078B" w:rsidRPr="003C313A" w:rsidRDefault="00016F29" w:rsidP="0054078B">
      <w:pPr>
        <w:tabs>
          <w:tab w:val="left" w:pos="567"/>
        </w:tabs>
        <w:ind w:left="567" w:hanging="567"/>
        <w:rPr>
          <w:szCs w:val="22"/>
          <w:lang w:val="en-GB"/>
        </w:rPr>
      </w:pPr>
      <w:r w:rsidRPr="005214E1">
        <w:rPr>
          <w:rFonts w:ascii="Symbol" w:hAnsi="Symbol"/>
          <w:lang w:val="en-GB"/>
        </w:rPr>
        <w:sym w:font="Symbol" w:char="F0B7"/>
      </w:r>
      <w:r w:rsidRPr="003C313A">
        <w:rPr>
          <w:szCs w:val="22"/>
          <w:lang w:val="en-GB"/>
        </w:rPr>
        <w:tab/>
        <w:t>you have a weak immune system.</w:t>
      </w:r>
    </w:p>
    <w:p w14:paraId="7C3329D9" w14:textId="77777777" w:rsidR="0054078B" w:rsidRPr="003C313A" w:rsidRDefault="0054078B" w:rsidP="0054078B">
      <w:pPr>
        <w:rPr>
          <w:szCs w:val="22"/>
          <w:lang w:val="en-GB" w:eastAsia="en-US"/>
        </w:rPr>
      </w:pPr>
    </w:p>
    <w:p w14:paraId="7C3329DA" w14:textId="77777777" w:rsidR="0054078B" w:rsidRPr="003C313A" w:rsidRDefault="00016F29" w:rsidP="0054078B">
      <w:pPr>
        <w:rPr>
          <w:szCs w:val="22"/>
          <w:lang w:val="en-GB" w:eastAsia="en-US"/>
        </w:rPr>
      </w:pPr>
      <w:r w:rsidRPr="003C313A">
        <w:rPr>
          <w:szCs w:val="22"/>
          <w:lang w:val="en-GB" w:eastAsia="en-US"/>
        </w:rPr>
        <w:t>Do not have MabThera if any of the above apply to you. If you are not sure, talk to your doctor, pharmacist or nurse before you are given MabThera.</w:t>
      </w:r>
    </w:p>
    <w:p w14:paraId="7C3329DB" w14:textId="77777777" w:rsidR="0054078B" w:rsidRPr="003C313A" w:rsidRDefault="00016F29" w:rsidP="0054078B">
      <w:pPr>
        <w:rPr>
          <w:szCs w:val="22"/>
          <w:lang w:val="en-GB" w:eastAsia="en-US"/>
        </w:rPr>
      </w:pPr>
      <w:r w:rsidRPr="003C313A">
        <w:rPr>
          <w:szCs w:val="22"/>
          <w:lang w:val="en-GB" w:eastAsia="en-US"/>
        </w:rPr>
        <w:t xml:space="preserve"> </w:t>
      </w:r>
    </w:p>
    <w:p w14:paraId="7C3329DC" w14:textId="77777777" w:rsidR="0054078B" w:rsidRPr="003C313A" w:rsidRDefault="00016F29" w:rsidP="0054078B">
      <w:pPr>
        <w:tabs>
          <w:tab w:val="left" w:pos="567"/>
        </w:tabs>
        <w:ind w:left="567" w:hanging="567"/>
        <w:outlineLvl w:val="0"/>
        <w:rPr>
          <w:b/>
          <w:szCs w:val="22"/>
          <w:lang w:val="en-GB" w:eastAsia="en-US"/>
        </w:rPr>
      </w:pPr>
      <w:r w:rsidRPr="003C313A">
        <w:rPr>
          <w:b/>
          <w:szCs w:val="22"/>
          <w:lang w:val="en-GB" w:eastAsia="en-US"/>
        </w:rPr>
        <w:t>Warnings and precautions</w:t>
      </w:r>
    </w:p>
    <w:p w14:paraId="7C3329DD" w14:textId="77777777" w:rsidR="0054078B" w:rsidRPr="003C313A" w:rsidRDefault="00016F29" w:rsidP="0054078B">
      <w:pPr>
        <w:tabs>
          <w:tab w:val="left" w:pos="567"/>
        </w:tabs>
        <w:ind w:left="567" w:hanging="567"/>
        <w:outlineLvl w:val="0"/>
        <w:rPr>
          <w:szCs w:val="22"/>
          <w:lang w:val="en-GB" w:eastAsia="en-US"/>
        </w:rPr>
      </w:pPr>
      <w:r w:rsidRPr="003C313A">
        <w:rPr>
          <w:szCs w:val="22"/>
          <w:lang w:val="en-GB" w:eastAsia="en-US"/>
        </w:rPr>
        <w:t>Talk to your doctor, pharmacist or nurse before you are given MabThera if:</w:t>
      </w:r>
    </w:p>
    <w:p w14:paraId="7C3329DE" w14:textId="77777777" w:rsidR="0054078B" w:rsidRPr="00137FEB" w:rsidRDefault="00016F29" w:rsidP="0054078B">
      <w:pPr>
        <w:tabs>
          <w:tab w:val="left" w:pos="567"/>
        </w:tabs>
        <w:ind w:left="567" w:hanging="567"/>
        <w:rPr>
          <w:szCs w:val="22"/>
          <w:lang w:val="en-GB" w:eastAsia="en-US"/>
        </w:rPr>
      </w:pPr>
      <w:r w:rsidRPr="005214E1">
        <w:rPr>
          <w:rFonts w:ascii="Symbol" w:hAnsi="Symbol"/>
          <w:lang w:val="en-GB"/>
        </w:rPr>
        <w:sym w:font="Symbol" w:char="F0B7"/>
      </w:r>
      <w:r w:rsidRPr="00137FEB">
        <w:rPr>
          <w:szCs w:val="22"/>
          <w:lang w:val="en-GB" w:eastAsia="en-US"/>
        </w:rPr>
        <w:tab/>
        <w:t>you have ever had or might now have a hepatitis infection. This is because in a few cases, MabThera could cause hepatitis B to become active again, which can be fatal in very rare cases. Patients who have ever had hepatitis B infection will be carefully checked by their doctor for signs of this infection</w:t>
      </w:r>
    </w:p>
    <w:p w14:paraId="7C3329DF" w14:textId="77777777" w:rsidR="0054078B" w:rsidRPr="00137FEB" w:rsidRDefault="00016F29" w:rsidP="0054078B">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eastAsia="en-US"/>
        </w:rPr>
        <w:tab/>
      </w:r>
      <w:r w:rsidRPr="00137FEB">
        <w:rPr>
          <w:szCs w:val="22"/>
          <w:lang w:val="en-GB" w:eastAsia="en-US"/>
        </w:rPr>
        <w:t xml:space="preserve">you have ever had heart problems (such as angina, palpitations or heart failure) or breathing problems. </w:t>
      </w:r>
    </w:p>
    <w:p w14:paraId="7C3329E0" w14:textId="77777777" w:rsidR="0054078B" w:rsidRPr="00137FEB" w:rsidRDefault="0054078B" w:rsidP="0054078B">
      <w:pPr>
        <w:tabs>
          <w:tab w:val="left" w:pos="567"/>
        </w:tabs>
        <w:rPr>
          <w:szCs w:val="22"/>
          <w:lang w:val="en-GB" w:eastAsia="en-US"/>
        </w:rPr>
      </w:pPr>
    </w:p>
    <w:p w14:paraId="7C3329E1" w14:textId="77777777" w:rsidR="0054078B" w:rsidRPr="00D239C4" w:rsidRDefault="00016F29" w:rsidP="0054078B">
      <w:pPr>
        <w:tabs>
          <w:tab w:val="left" w:pos="567"/>
        </w:tabs>
        <w:rPr>
          <w:szCs w:val="22"/>
          <w:lang w:val="en-GB" w:eastAsia="en-US"/>
        </w:rPr>
      </w:pPr>
      <w:r w:rsidRPr="00137FEB">
        <w:rPr>
          <w:szCs w:val="22"/>
          <w:lang w:val="en-GB" w:eastAsia="en-US"/>
        </w:rPr>
        <w:t xml:space="preserve">If any of the above apply to you (or </w:t>
      </w:r>
      <w:r w:rsidRPr="00D239C4">
        <w:rPr>
          <w:szCs w:val="22"/>
          <w:lang w:val="en-GB" w:eastAsia="en-US"/>
        </w:rPr>
        <w:t>you are not sure), talk to your doctor, pharmacist or nurse before you are given MabThera. Your doctor may need to take special care of you during your treatment with MabThera.</w:t>
      </w:r>
    </w:p>
    <w:p w14:paraId="7C3329E2" w14:textId="77777777" w:rsidR="0054078B" w:rsidRPr="000400ED" w:rsidRDefault="0054078B" w:rsidP="0054078B">
      <w:pPr>
        <w:tabs>
          <w:tab w:val="left" w:pos="567"/>
        </w:tabs>
        <w:rPr>
          <w:szCs w:val="22"/>
          <w:lang w:val="en-GB" w:eastAsia="en-US"/>
        </w:rPr>
      </w:pPr>
    </w:p>
    <w:p w14:paraId="7C3329E3" w14:textId="77777777" w:rsidR="0054078B" w:rsidRPr="00D50019" w:rsidRDefault="00016F29" w:rsidP="0054078B">
      <w:pPr>
        <w:tabs>
          <w:tab w:val="left" w:pos="567"/>
        </w:tabs>
        <w:rPr>
          <w:b/>
          <w:szCs w:val="22"/>
          <w:lang w:val="en-GB" w:eastAsia="en-US"/>
        </w:rPr>
      </w:pPr>
      <w:r w:rsidRPr="001976F0">
        <w:rPr>
          <w:b/>
          <w:szCs w:val="22"/>
          <w:lang w:val="en-GB" w:eastAsia="en-US"/>
        </w:rPr>
        <w:t xml:space="preserve">Children and </w:t>
      </w:r>
      <w:r w:rsidRPr="00D3771E">
        <w:rPr>
          <w:b/>
          <w:szCs w:val="22"/>
          <w:lang w:val="en-GB" w:eastAsia="en-US"/>
        </w:rPr>
        <w:t>adolescents</w:t>
      </w:r>
    </w:p>
    <w:p w14:paraId="7C3329E4" w14:textId="77777777" w:rsidR="0054078B" w:rsidRPr="009A4E5A" w:rsidRDefault="00016F29" w:rsidP="0054078B">
      <w:pPr>
        <w:tabs>
          <w:tab w:val="left" w:pos="567"/>
        </w:tabs>
        <w:rPr>
          <w:szCs w:val="22"/>
          <w:lang w:val="en-GB" w:eastAsia="en-US"/>
        </w:rPr>
      </w:pPr>
      <w:r w:rsidRPr="009A4E5A">
        <w:rPr>
          <w:szCs w:val="22"/>
          <w:lang w:val="en-GB" w:eastAsia="en-US"/>
        </w:rPr>
        <w:t xml:space="preserve">Talk to your doctor, pharmacist or nurse before you are given this medicine if you, or your child, are under 18 years of age. This is because there is not much information about the use of MabThera in children and </w:t>
      </w:r>
      <w:r w:rsidR="00762D42">
        <w:rPr>
          <w:szCs w:val="22"/>
          <w:lang w:val="en-GB" w:eastAsia="en-US"/>
        </w:rPr>
        <w:t>adolescent</w:t>
      </w:r>
      <w:r w:rsidR="000320CC">
        <w:rPr>
          <w:szCs w:val="22"/>
          <w:lang w:val="en-GB" w:eastAsia="en-US"/>
        </w:rPr>
        <w:t>s</w:t>
      </w:r>
      <w:r w:rsidRPr="009A4E5A">
        <w:rPr>
          <w:szCs w:val="22"/>
          <w:lang w:val="en-GB" w:eastAsia="en-US"/>
        </w:rPr>
        <w:t>.</w:t>
      </w:r>
    </w:p>
    <w:p w14:paraId="7C3329E5" w14:textId="77777777" w:rsidR="0054078B" w:rsidRPr="009A4E5A" w:rsidRDefault="0054078B" w:rsidP="0054078B">
      <w:pPr>
        <w:tabs>
          <w:tab w:val="left" w:pos="567"/>
        </w:tabs>
        <w:rPr>
          <w:b/>
          <w:szCs w:val="22"/>
          <w:lang w:val="en-GB" w:eastAsia="en-US"/>
        </w:rPr>
      </w:pPr>
    </w:p>
    <w:p w14:paraId="7C3329E6" w14:textId="77777777" w:rsidR="0054078B" w:rsidRPr="00FC61B8" w:rsidRDefault="00016F29" w:rsidP="0054078B">
      <w:pPr>
        <w:numPr>
          <w:ilvl w:val="12"/>
          <w:numId w:val="0"/>
        </w:numPr>
        <w:ind w:right="-2"/>
        <w:rPr>
          <w:lang w:val="en-GB" w:eastAsia="en-US"/>
        </w:rPr>
      </w:pPr>
      <w:r w:rsidRPr="00ED3BF4">
        <w:rPr>
          <w:b/>
          <w:lang w:val="en-GB" w:eastAsia="en-US"/>
        </w:rPr>
        <w:t xml:space="preserve">Other medicines </w:t>
      </w:r>
      <w:r w:rsidRPr="00FC61B8">
        <w:rPr>
          <w:b/>
          <w:szCs w:val="22"/>
          <w:lang w:val="en-GB" w:eastAsia="en-US"/>
        </w:rPr>
        <w:t xml:space="preserve">and MabThera </w:t>
      </w:r>
    </w:p>
    <w:p w14:paraId="7C3329E7" w14:textId="77777777" w:rsidR="0054078B" w:rsidRPr="00CD7883" w:rsidRDefault="00016F29" w:rsidP="0054078B">
      <w:pPr>
        <w:rPr>
          <w:szCs w:val="22"/>
          <w:lang w:val="en-GB" w:eastAsia="en-US"/>
        </w:rPr>
      </w:pPr>
      <w:r w:rsidRPr="00FC61B8">
        <w:rPr>
          <w:szCs w:val="22"/>
          <w:lang w:val="en-GB" w:eastAsia="en-US"/>
        </w:rPr>
        <w:t xml:space="preserve">Tell </w:t>
      </w:r>
      <w:r w:rsidRPr="00CD7883">
        <w:rPr>
          <w:lang w:val="en-GB" w:eastAsia="en-US"/>
        </w:rPr>
        <w:t>your doctor</w:t>
      </w:r>
      <w:r w:rsidRPr="00CD7883">
        <w:rPr>
          <w:szCs w:val="22"/>
          <w:lang w:val="en-GB" w:eastAsia="en-US"/>
        </w:rPr>
        <w:t xml:space="preserve">, pharmacist or nurse if you are taking, have recently taken or might take any other medicines. This includes medicines obtained without a prescription and herbal medicines. This is because MabThera can affect the way some other medicines work. Also some other medicines can affect the way MabThera works. </w:t>
      </w:r>
    </w:p>
    <w:p w14:paraId="7C3329E8" w14:textId="77777777" w:rsidR="0054078B" w:rsidRPr="00DE32D5" w:rsidRDefault="0054078B" w:rsidP="0054078B">
      <w:pPr>
        <w:rPr>
          <w:szCs w:val="22"/>
          <w:lang w:val="en-GB" w:eastAsia="en-US"/>
        </w:rPr>
      </w:pPr>
    </w:p>
    <w:p w14:paraId="7C3329E9" w14:textId="77777777" w:rsidR="0054078B" w:rsidRPr="0012747B" w:rsidRDefault="00016F29" w:rsidP="0054078B">
      <w:pPr>
        <w:rPr>
          <w:lang w:val="en-GB" w:eastAsia="en-US"/>
        </w:rPr>
      </w:pPr>
      <w:r w:rsidRPr="00DE32D5">
        <w:rPr>
          <w:szCs w:val="22"/>
          <w:lang w:val="en-GB" w:eastAsia="en-US"/>
        </w:rPr>
        <w:t>In particular, tell your doctor:</w:t>
      </w:r>
    </w:p>
    <w:p w14:paraId="7C3329EA" w14:textId="77777777" w:rsidR="0054078B" w:rsidRPr="00137FEB" w:rsidRDefault="00016F29" w:rsidP="0054078B">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eastAsia="en-US"/>
        </w:rPr>
        <w:tab/>
      </w:r>
      <w:r w:rsidRPr="00137FEB">
        <w:rPr>
          <w:szCs w:val="22"/>
          <w:lang w:val="en-GB" w:eastAsia="en-US"/>
        </w:rPr>
        <w:t>if you are taking medicines for high blood pressure. You may be asked not to take these other medicines 12 hours before you are given MabThera. This is because some people have a fall in their blood pressure while they are being given MabThera</w:t>
      </w:r>
    </w:p>
    <w:p w14:paraId="7C3329EB" w14:textId="77777777" w:rsidR="0054078B" w:rsidRPr="004A2E81" w:rsidRDefault="00016F29" w:rsidP="0054078B">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eastAsia="en-US"/>
        </w:rPr>
        <w:tab/>
      </w:r>
      <w:r w:rsidRPr="00137FEB">
        <w:rPr>
          <w:szCs w:val="22"/>
          <w:lang w:val="en-GB" w:eastAsia="en-US"/>
        </w:rPr>
        <w:t xml:space="preserve">if you have ever taken medicines which affect your immune system – such as chemotherapy or </w:t>
      </w:r>
      <w:r w:rsidRPr="004A2E81">
        <w:rPr>
          <w:szCs w:val="22"/>
          <w:lang w:val="en-GB" w:eastAsia="en-US"/>
        </w:rPr>
        <w:t>immune</w:t>
      </w:r>
      <w:r w:rsidR="000A6DDA" w:rsidRPr="004A2E81">
        <w:rPr>
          <w:szCs w:val="22"/>
          <w:lang w:val="en-GB" w:eastAsia="en-US"/>
        </w:rPr>
        <w:noBreakHyphen/>
      </w:r>
      <w:r w:rsidRPr="004A2E81">
        <w:rPr>
          <w:szCs w:val="22"/>
          <w:lang w:val="en-GB" w:eastAsia="en-US"/>
        </w:rPr>
        <w:t>suppressive medicines.</w:t>
      </w:r>
    </w:p>
    <w:p w14:paraId="7C3329EC" w14:textId="77777777" w:rsidR="0054078B" w:rsidRPr="00137FEB" w:rsidRDefault="0054078B" w:rsidP="0054078B">
      <w:pPr>
        <w:tabs>
          <w:tab w:val="left" w:pos="567"/>
        </w:tabs>
        <w:rPr>
          <w:szCs w:val="22"/>
          <w:lang w:val="en-GB" w:eastAsia="en-US"/>
        </w:rPr>
      </w:pPr>
    </w:p>
    <w:p w14:paraId="7C3329ED" w14:textId="77777777" w:rsidR="0054078B" w:rsidRPr="00D239C4" w:rsidRDefault="00016F29" w:rsidP="0054078B">
      <w:pPr>
        <w:tabs>
          <w:tab w:val="left" w:pos="567"/>
        </w:tabs>
        <w:rPr>
          <w:szCs w:val="22"/>
          <w:lang w:val="en-GB" w:eastAsia="en-US"/>
        </w:rPr>
      </w:pPr>
      <w:r w:rsidRPr="00137FEB">
        <w:rPr>
          <w:szCs w:val="22"/>
          <w:lang w:val="en-GB" w:eastAsia="en-US"/>
        </w:rPr>
        <w:t>If any of the above apply to you (or you are not sure), talk to your doctor, ph</w:t>
      </w:r>
      <w:r w:rsidRPr="00D239C4">
        <w:rPr>
          <w:szCs w:val="22"/>
          <w:lang w:val="en-GB" w:eastAsia="en-US"/>
        </w:rPr>
        <w:t>armacist or nurse before you are given MabThera.</w:t>
      </w:r>
    </w:p>
    <w:p w14:paraId="7C3329EE" w14:textId="77777777" w:rsidR="0054078B" w:rsidRPr="000400ED" w:rsidRDefault="0054078B" w:rsidP="0054078B">
      <w:pPr>
        <w:tabs>
          <w:tab w:val="left" w:pos="567"/>
        </w:tabs>
        <w:rPr>
          <w:szCs w:val="22"/>
          <w:lang w:val="en-GB" w:eastAsia="en-US"/>
        </w:rPr>
      </w:pPr>
    </w:p>
    <w:p w14:paraId="7C3329EF" w14:textId="77777777" w:rsidR="0054078B" w:rsidRPr="004A2E81" w:rsidRDefault="00016F29" w:rsidP="0054078B">
      <w:pPr>
        <w:outlineLvl w:val="0"/>
        <w:rPr>
          <w:b/>
          <w:szCs w:val="22"/>
          <w:lang w:val="en-GB"/>
        </w:rPr>
      </w:pPr>
      <w:r w:rsidRPr="004A2E81">
        <w:rPr>
          <w:b/>
          <w:szCs w:val="22"/>
          <w:lang w:val="en-GB"/>
        </w:rPr>
        <w:t>Pregnancy and breast</w:t>
      </w:r>
      <w:r w:rsidR="000A6DDA" w:rsidRPr="004A2E81">
        <w:rPr>
          <w:b/>
          <w:szCs w:val="22"/>
          <w:lang w:val="en-GB"/>
        </w:rPr>
        <w:noBreakHyphen/>
      </w:r>
      <w:r w:rsidRPr="004A2E81">
        <w:rPr>
          <w:b/>
          <w:szCs w:val="22"/>
          <w:lang w:val="en-GB"/>
        </w:rPr>
        <w:t xml:space="preserve">feeding </w:t>
      </w:r>
    </w:p>
    <w:p w14:paraId="7C3329F0" w14:textId="77777777" w:rsidR="0054078B" w:rsidRPr="009A4E5A" w:rsidRDefault="00016F29" w:rsidP="0054078B">
      <w:pPr>
        <w:rPr>
          <w:szCs w:val="22"/>
          <w:lang w:val="en-GB"/>
        </w:rPr>
      </w:pPr>
      <w:r w:rsidRPr="00D50019">
        <w:rPr>
          <w:szCs w:val="22"/>
          <w:lang w:val="en-GB"/>
        </w:rPr>
        <w:t>You must tell your doctor or nurse if you are pregnant, think that you might be pregnant or are planning to become pregnant. This is because MabThera can cross the pl</w:t>
      </w:r>
      <w:r w:rsidRPr="009A4E5A">
        <w:rPr>
          <w:szCs w:val="22"/>
          <w:lang w:val="en-GB"/>
        </w:rPr>
        <w:t>acenta and may affect your baby.</w:t>
      </w:r>
    </w:p>
    <w:p w14:paraId="7C3329F1" w14:textId="77777777" w:rsidR="0054078B" w:rsidRPr="00885E37" w:rsidRDefault="00016F29" w:rsidP="0054078B">
      <w:pPr>
        <w:rPr>
          <w:szCs w:val="22"/>
          <w:lang w:val="en-GB"/>
        </w:rPr>
      </w:pPr>
      <w:r w:rsidRPr="00885E37">
        <w:rPr>
          <w:szCs w:val="22"/>
          <w:lang w:val="en-GB"/>
        </w:rPr>
        <w:t>If you can get pregnant, you and your partner must use an effective method of contraception while using MabThera. You must also do this for 12 months after your last treatment with MabThera.</w:t>
      </w:r>
    </w:p>
    <w:p w14:paraId="7C3329F2" w14:textId="77777777" w:rsidR="0054078B" w:rsidRPr="00885E37" w:rsidRDefault="00016F29" w:rsidP="0054078B">
      <w:pPr>
        <w:rPr>
          <w:szCs w:val="22"/>
          <w:lang w:val="en-GB"/>
        </w:rPr>
      </w:pPr>
      <w:r w:rsidRPr="00885E37">
        <w:rPr>
          <w:szCs w:val="22"/>
          <w:lang w:val="en-GB"/>
        </w:rPr>
        <w:t>Do not breast</w:t>
      </w:r>
      <w:r w:rsidR="000A6DDA" w:rsidRPr="00885E37">
        <w:rPr>
          <w:szCs w:val="22"/>
          <w:lang w:val="en-GB"/>
        </w:rPr>
        <w:noBreakHyphen/>
      </w:r>
      <w:r w:rsidRPr="00885E37">
        <w:rPr>
          <w:szCs w:val="22"/>
          <w:lang w:val="en-GB"/>
        </w:rPr>
        <w:t>feed while you are being treated with MabThera. Also do not breast</w:t>
      </w:r>
      <w:r w:rsidR="000A6DDA" w:rsidRPr="00885E37">
        <w:rPr>
          <w:szCs w:val="22"/>
          <w:lang w:val="en-GB"/>
        </w:rPr>
        <w:noBreakHyphen/>
      </w:r>
      <w:r w:rsidRPr="00885E37">
        <w:rPr>
          <w:szCs w:val="22"/>
          <w:lang w:val="en-GB"/>
        </w:rPr>
        <w:t>feed for 12 months after your last treatment with MabThera. This is because MabThera may pass into breast milk.</w:t>
      </w:r>
    </w:p>
    <w:p w14:paraId="7C3329F3" w14:textId="77777777" w:rsidR="0054078B" w:rsidRPr="00885E37" w:rsidRDefault="0054078B" w:rsidP="0054078B">
      <w:pPr>
        <w:keepNext/>
        <w:outlineLvl w:val="0"/>
        <w:rPr>
          <w:b/>
          <w:szCs w:val="22"/>
          <w:lang w:val="en-GB"/>
        </w:rPr>
      </w:pPr>
    </w:p>
    <w:p w14:paraId="7C3329F4" w14:textId="77777777" w:rsidR="0054078B" w:rsidRPr="00885E37" w:rsidRDefault="00016F29" w:rsidP="0054078B">
      <w:pPr>
        <w:keepNext/>
        <w:outlineLvl w:val="0"/>
        <w:rPr>
          <w:b/>
          <w:szCs w:val="22"/>
          <w:lang w:val="en-GB"/>
        </w:rPr>
      </w:pPr>
      <w:r w:rsidRPr="00885E37">
        <w:rPr>
          <w:b/>
          <w:szCs w:val="22"/>
          <w:lang w:val="en-GB"/>
        </w:rPr>
        <w:t>Driving and using machines</w:t>
      </w:r>
    </w:p>
    <w:p w14:paraId="7C3329F5" w14:textId="77777777" w:rsidR="0054078B" w:rsidRPr="00CD7883" w:rsidRDefault="00016F29" w:rsidP="0054078B">
      <w:pPr>
        <w:outlineLvl w:val="0"/>
        <w:rPr>
          <w:bCs/>
          <w:szCs w:val="22"/>
          <w:lang w:val="en-GB"/>
        </w:rPr>
      </w:pPr>
      <w:r w:rsidRPr="00CD7883">
        <w:rPr>
          <w:szCs w:val="22"/>
          <w:lang w:val="en-GB"/>
        </w:rPr>
        <w:t>It is not known whether MabThera has an effect on you being able to drive or use any tools or machines.</w:t>
      </w:r>
    </w:p>
    <w:p w14:paraId="7C3329F6" w14:textId="77777777" w:rsidR="00783341" w:rsidRDefault="00783341" w:rsidP="00783341">
      <w:pPr>
        <w:rPr>
          <w:bCs/>
          <w:szCs w:val="22"/>
          <w:u w:val="single"/>
          <w:lang w:val="en-GB"/>
        </w:rPr>
      </w:pPr>
    </w:p>
    <w:p w14:paraId="7C3329F7" w14:textId="77777777" w:rsidR="00783341" w:rsidRPr="00AA7B51" w:rsidRDefault="00016F29" w:rsidP="00783341">
      <w:pPr>
        <w:rPr>
          <w:b/>
          <w:bCs/>
          <w:szCs w:val="22"/>
          <w:lang w:val="en-GB"/>
        </w:rPr>
      </w:pPr>
      <w:r w:rsidRPr="00AA7B51">
        <w:rPr>
          <w:b/>
          <w:bCs/>
          <w:szCs w:val="22"/>
          <w:lang w:val="en-GB"/>
        </w:rPr>
        <w:t>Sodium</w:t>
      </w:r>
    </w:p>
    <w:p w14:paraId="7C3329F8" w14:textId="77777777" w:rsidR="00783341" w:rsidRPr="00DE32D5" w:rsidRDefault="00016F29" w:rsidP="00783341">
      <w:pPr>
        <w:rPr>
          <w:bCs/>
          <w:szCs w:val="22"/>
          <w:lang w:val="en-GB"/>
        </w:rPr>
      </w:pPr>
      <w:r>
        <w:rPr>
          <w:bCs/>
          <w:szCs w:val="22"/>
          <w:lang w:val="en-GB"/>
        </w:rPr>
        <w:t xml:space="preserve">MabThera 1600 mg contains less than 1 mmol </w:t>
      </w:r>
      <w:r w:rsidRPr="00D4598C">
        <w:rPr>
          <w:bCs/>
          <w:szCs w:val="22"/>
          <w:lang w:val="en-GB"/>
        </w:rPr>
        <w:t xml:space="preserve">sodium </w:t>
      </w:r>
      <w:r w:rsidR="00083FCE" w:rsidRPr="00D4598C">
        <w:rPr>
          <w:bCs/>
          <w:szCs w:val="22"/>
          <w:lang w:val="en-GB"/>
        </w:rPr>
        <w:t>(</w:t>
      </w:r>
      <w:r w:rsidR="00083FCE" w:rsidRPr="00D4598C">
        <w:rPr>
          <w:color w:val="222222"/>
          <w:szCs w:val="22"/>
          <w:shd w:val="clear" w:color="auto" w:fill="FFFFFF"/>
        </w:rPr>
        <w:t xml:space="preserve">main component of the cooking/table salt) </w:t>
      </w:r>
      <w:r w:rsidRPr="00D4598C">
        <w:rPr>
          <w:bCs/>
          <w:szCs w:val="22"/>
          <w:lang w:val="en-GB"/>
        </w:rPr>
        <w:t>per dose, i.e. it is essentially sodium-free.</w:t>
      </w:r>
    </w:p>
    <w:p w14:paraId="7C3329F9" w14:textId="77777777" w:rsidR="0054078B" w:rsidRPr="00CD7883" w:rsidRDefault="0054078B" w:rsidP="0054078B">
      <w:pPr>
        <w:rPr>
          <w:bCs/>
          <w:szCs w:val="22"/>
          <w:lang w:val="en-GB"/>
        </w:rPr>
      </w:pPr>
    </w:p>
    <w:p w14:paraId="7C3329FA" w14:textId="77777777" w:rsidR="0054078B" w:rsidRPr="00DE32D5" w:rsidRDefault="0054078B" w:rsidP="0054078B">
      <w:pPr>
        <w:rPr>
          <w:bCs/>
          <w:szCs w:val="22"/>
          <w:lang w:val="en-GB"/>
        </w:rPr>
      </w:pPr>
    </w:p>
    <w:p w14:paraId="7C3329FB" w14:textId="77777777" w:rsidR="0054078B" w:rsidRPr="0012747B" w:rsidRDefault="00016F29" w:rsidP="0054078B">
      <w:pPr>
        <w:keepNext/>
        <w:tabs>
          <w:tab w:val="left" w:pos="567"/>
        </w:tabs>
        <w:rPr>
          <w:b/>
          <w:sz w:val="24"/>
          <w:szCs w:val="22"/>
          <w:lang w:val="en-GB" w:eastAsia="en-US"/>
        </w:rPr>
      </w:pPr>
      <w:r w:rsidRPr="00DE32D5">
        <w:rPr>
          <w:b/>
          <w:sz w:val="24"/>
          <w:szCs w:val="22"/>
          <w:lang w:val="en-GB" w:eastAsia="en-US"/>
        </w:rPr>
        <w:t>3</w:t>
      </w:r>
      <w:r w:rsidRPr="00DE32D5">
        <w:rPr>
          <w:b/>
          <w:sz w:val="24"/>
          <w:szCs w:val="22"/>
          <w:lang w:val="en-GB" w:eastAsia="en-US"/>
        </w:rPr>
        <w:tab/>
        <w:t>How MabThera is given</w:t>
      </w:r>
    </w:p>
    <w:p w14:paraId="7C3329FC" w14:textId="77777777" w:rsidR="0054078B" w:rsidRPr="009C488C" w:rsidRDefault="0054078B" w:rsidP="0054078B">
      <w:pPr>
        <w:keepNext/>
        <w:tabs>
          <w:tab w:val="left" w:pos="567"/>
        </w:tabs>
        <w:rPr>
          <w:b/>
          <w:szCs w:val="22"/>
          <w:lang w:val="en-GB" w:eastAsia="en-US"/>
        </w:rPr>
      </w:pPr>
    </w:p>
    <w:p w14:paraId="7C3329FD" w14:textId="77777777" w:rsidR="0054078B" w:rsidRPr="00870B51" w:rsidRDefault="00016F29" w:rsidP="0054078B">
      <w:pPr>
        <w:tabs>
          <w:tab w:val="left" w:pos="567"/>
        </w:tabs>
        <w:rPr>
          <w:b/>
          <w:szCs w:val="22"/>
          <w:lang w:val="en-GB" w:eastAsia="en-US"/>
        </w:rPr>
      </w:pPr>
      <w:r w:rsidRPr="00870B51">
        <w:rPr>
          <w:b/>
          <w:szCs w:val="22"/>
          <w:lang w:val="en-GB" w:eastAsia="en-US"/>
        </w:rPr>
        <w:t>How it is given</w:t>
      </w:r>
    </w:p>
    <w:p w14:paraId="7C3329FE" w14:textId="77777777" w:rsidR="0054078B" w:rsidRPr="00885E37" w:rsidRDefault="00016F29" w:rsidP="0054078B">
      <w:pPr>
        <w:tabs>
          <w:tab w:val="left" w:pos="567"/>
        </w:tabs>
        <w:rPr>
          <w:szCs w:val="22"/>
          <w:lang w:val="en-GB" w:eastAsia="en-US"/>
        </w:rPr>
      </w:pPr>
      <w:r w:rsidRPr="00885E37">
        <w:rPr>
          <w:szCs w:val="22"/>
          <w:lang w:val="en-GB" w:eastAsia="en-US"/>
        </w:rPr>
        <w:t>MabThera will be given to you by a doctor or nurse who is experienced in the use of this treatment. They will watch you closely while you are being given this medicine. This is in case you get any side effects.</w:t>
      </w:r>
    </w:p>
    <w:p w14:paraId="7C3329FF" w14:textId="77777777" w:rsidR="0054078B" w:rsidRPr="00885E37" w:rsidRDefault="0054078B" w:rsidP="0054078B">
      <w:pPr>
        <w:tabs>
          <w:tab w:val="left" w:pos="567"/>
        </w:tabs>
        <w:rPr>
          <w:szCs w:val="22"/>
          <w:lang w:val="en-GB" w:eastAsia="en-US"/>
        </w:rPr>
      </w:pPr>
    </w:p>
    <w:p w14:paraId="7C332A00" w14:textId="77777777" w:rsidR="0054078B" w:rsidRPr="00885E37" w:rsidRDefault="00016F29" w:rsidP="0054078B">
      <w:pPr>
        <w:tabs>
          <w:tab w:val="left" w:pos="567"/>
        </w:tabs>
        <w:rPr>
          <w:szCs w:val="22"/>
          <w:lang w:val="en-GB" w:eastAsia="en-US"/>
        </w:rPr>
      </w:pPr>
      <w:r w:rsidRPr="00885E37">
        <w:rPr>
          <w:szCs w:val="22"/>
          <w:lang w:val="en-GB" w:eastAsia="en-US"/>
        </w:rPr>
        <w:t>You will always be given MabThera as a drip (intra</w:t>
      </w:r>
      <w:r w:rsidR="000A6DDA" w:rsidRPr="00885E37">
        <w:rPr>
          <w:szCs w:val="22"/>
          <w:lang w:val="en-GB" w:eastAsia="en-US"/>
        </w:rPr>
        <w:noBreakHyphen/>
      </w:r>
      <w:r w:rsidRPr="00885E37">
        <w:rPr>
          <w:szCs w:val="22"/>
          <w:lang w:val="en-GB" w:eastAsia="en-US"/>
        </w:rPr>
        <w:t xml:space="preserve">venous infusion) at the start of your treatment. </w:t>
      </w:r>
    </w:p>
    <w:p w14:paraId="7C332A01" w14:textId="77777777" w:rsidR="0054078B" w:rsidRPr="00885E37" w:rsidRDefault="0054078B" w:rsidP="0054078B">
      <w:pPr>
        <w:tabs>
          <w:tab w:val="left" w:pos="567"/>
        </w:tabs>
        <w:rPr>
          <w:szCs w:val="22"/>
          <w:lang w:val="en-GB" w:eastAsia="en-US"/>
        </w:rPr>
      </w:pPr>
    </w:p>
    <w:p w14:paraId="7C332A02" w14:textId="77777777" w:rsidR="0054078B" w:rsidRPr="00885E37" w:rsidRDefault="00016F29" w:rsidP="0054078B">
      <w:pPr>
        <w:tabs>
          <w:tab w:val="left" w:pos="567"/>
        </w:tabs>
        <w:rPr>
          <w:szCs w:val="22"/>
          <w:lang w:val="en-GB" w:eastAsia="en-US"/>
        </w:rPr>
      </w:pPr>
      <w:r w:rsidRPr="00885E37">
        <w:rPr>
          <w:szCs w:val="22"/>
          <w:lang w:val="en-GB" w:eastAsia="en-US"/>
        </w:rPr>
        <w:t xml:space="preserve">After this, you will be given MabThera as an injection under your skin </w:t>
      </w:r>
      <w:r w:rsidRPr="00885E37">
        <w:rPr>
          <w:lang w:val="en-GB"/>
        </w:rPr>
        <w:t>(</w:t>
      </w:r>
      <w:r w:rsidRPr="00885E37">
        <w:rPr>
          <w:szCs w:val="22"/>
          <w:lang w:val="en-GB" w:eastAsia="en-US"/>
        </w:rPr>
        <w:t>subcutaneous injection)</w:t>
      </w:r>
      <w:r w:rsidRPr="00885E37">
        <w:rPr>
          <w:lang w:val="en-GB"/>
        </w:rPr>
        <w:t xml:space="preserve"> over approximately </w:t>
      </w:r>
      <w:r w:rsidR="00063B13" w:rsidRPr="00885E37">
        <w:rPr>
          <w:lang w:val="en-GB"/>
        </w:rPr>
        <w:t xml:space="preserve">7 </w:t>
      </w:r>
      <w:r w:rsidRPr="00885E37">
        <w:rPr>
          <w:lang w:val="en-GB"/>
        </w:rPr>
        <w:t>minutes</w:t>
      </w:r>
      <w:r w:rsidRPr="00885E37">
        <w:rPr>
          <w:szCs w:val="22"/>
          <w:lang w:val="en-GB" w:eastAsia="en-US"/>
        </w:rPr>
        <w:t>.</w:t>
      </w:r>
      <w:r w:rsidR="008769D2" w:rsidRPr="00885E37">
        <w:rPr>
          <w:szCs w:val="22"/>
          <w:lang w:val="en-GB" w:eastAsia="en-US"/>
        </w:rPr>
        <w:t xml:space="preserve"> </w:t>
      </w:r>
      <w:r w:rsidR="008769D2" w:rsidRPr="00885E37">
        <w:rPr>
          <w:szCs w:val="22"/>
          <w:lang w:val="en-GB"/>
        </w:rPr>
        <w:t xml:space="preserve">There is a peel-off sticker on the glass vial that specifies the medication. Your doctor or nurse will place the sticker on the syringe before injection.  </w:t>
      </w:r>
    </w:p>
    <w:p w14:paraId="7C332A03" w14:textId="77777777" w:rsidR="0054078B" w:rsidRPr="00885E37" w:rsidRDefault="0054078B" w:rsidP="0054078B">
      <w:pPr>
        <w:tabs>
          <w:tab w:val="left" w:pos="567"/>
        </w:tabs>
        <w:rPr>
          <w:szCs w:val="22"/>
          <w:lang w:val="en-GB" w:eastAsia="en-US"/>
        </w:rPr>
      </w:pPr>
    </w:p>
    <w:p w14:paraId="7C332A04" w14:textId="77777777" w:rsidR="0054078B" w:rsidRPr="00885E37" w:rsidRDefault="00016F29" w:rsidP="0054078B">
      <w:pPr>
        <w:tabs>
          <w:tab w:val="left" w:pos="567"/>
        </w:tabs>
        <w:rPr>
          <w:szCs w:val="22"/>
          <w:lang w:val="en-GB" w:eastAsia="en-US"/>
        </w:rPr>
      </w:pPr>
      <w:r w:rsidRPr="00885E37">
        <w:rPr>
          <w:szCs w:val="22"/>
          <w:lang w:val="en-GB" w:eastAsia="en-US"/>
        </w:rPr>
        <w:t>Your doctor will decide when to start MabThera injections.</w:t>
      </w:r>
    </w:p>
    <w:p w14:paraId="7C332A05" w14:textId="77777777" w:rsidR="0054078B" w:rsidRPr="00885E37" w:rsidRDefault="0054078B" w:rsidP="0054078B">
      <w:pPr>
        <w:tabs>
          <w:tab w:val="left" w:pos="567"/>
        </w:tabs>
        <w:rPr>
          <w:szCs w:val="22"/>
          <w:lang w:val="en-GB" w:eastAsia="en-US"/>
        </w:rPr>
      </w:pPr>
    </w:p>
    <w:p w14:paraId="7C332A06" w14:textId="77777777" w:rsidR="0054078B" w:rsidRPr="00885E37" w:rsidRDefault="00016F29" w:rsidP="0054078B">
      <w:pPr>
        <w:tabs>
          <w:tab w:val="left" w:pos="567"/>
        </w:tabs>
        <w:rPr>
          <w:rFonts w:eastAsia="SimSun"/>
          <w:szCs w:val="22"/>
          <w:lang w:val="en-GB" w:eastAsia="zh-CN"/>
        </w:rPr>
      </w:pPr>
      <w:r w:rsidRPr="00885E37">
        <w:rPr>
          <w:szCs w:val="22"/>
          <w:lang w:val="en-GB" w:eastAsia="en-US"/>
        </w:rPr>
        <w:t>When injected under your skin, it is given in the stomach area,</w:t>
      </w:r>
      <w:r w:rsidRPr="00885E37">
        <w:rPr>
          <w:rFonts w:eastAsia="SimSun"/>
          <w:szCs w:val="22"/>
          <w:lang w:val="en-GB" w:eastAsia="zh-CN"/>
        </w:rPr>
        <w:t xml:space="preserve"> not in other sites of the body, and not into areas of the stomach where the skin is red, bruised, tender, hard or where there are moles or scars.</w:t>
      </w:r>
    </w:p>
    <w:p w14:paraId="7C332A07" w14:textId="77777777" w:rsidR="0054078B" w:rsidRPr="00885E37" w:rsidRDefault="0054078B" w:rsidP="0054078B">
      <w:pPr>
        <w:tabs>
          <w:tab w:val="left" w:pos="567"/>
        </w:tabs>
        <w:rPr>
          <w:szCs w:val="22"/>
          <w:lang w:val="en-GB" w:eastAsia="en-US"/>
        </w:rPr>
      </w:pPr>
    </w:p>
    <w:p w14:paraId="7C332A08" w14:textId="77777777" w:rsidR="0054078B" w:rsidRPr="00885E37" w:rsidRDefault="00016F29" w:rsidP="0054078B">
      <w:pPr>
        <w:tabs>
          <w:tab w:val="left" w:pos="567"/>
        </w:tabs>
        <w:rPr>
          <w:b/>
          <w:szCs w:val="22"/>
          <w:lang w:val="en-GB" w:eastAsia="en-US"/>
        </w:rPr>
      </w:pPr>
      <w:r w:rsidRPr="00885E37">
        <w:rPr>
          <w:b/>
          <w:szCs w:val="22"/>
          <w:lang w:val="en-GB" w:eastAsia="en-US"/>
        </w:rPr>
        <w:t>Medicines given before each MabThera administration</w:t>
      </w:r>
    </w:p>
    <w:p w14:paraId="7C332A09" w14:textId="77777777" w:rsidR="0054078B" w:rsidRPr="003C313A" w:rsidRDefault="00016F29" w:rsidP="0054078B">
      <w:pPr>
        <w:tabs>
          <w:tab w:val="left" w:pos="567"/>
        </w:tabs>
        <w:rPr>
          <w:szCs w:val="22"/>
          <w:lang w:val="en-GB" w:eastAsia="en-US"/>
        </w:rPr>
      </w:pPr>
      <w:r w:rsidRPr="00885E37">
        <w:rPr>
          <w:szCs w:val="22"/>
          <w:lang w:val="en-GB" w:eastAsia="en-US"/>
        </w:rPr>
        <w:t>Before you are given MabThera, you will be given other medicines (pre</w:t>
      </w:r>
      <w:r w:rsidR="000A6DDA" w:rsidRPr="00885E37">
        <w:rPr>
          <w:szCs w:val="22"/>
          <w:lang w:val="en-GB" w:eastAsia="en-US"/>
        </w:rPr>
        <w:noBreakHyphen/>
      </w:r>
      <w:r w:rsidRPr="00885E37">
        <w:rPr>
          <w:szCs w:val="22"/>
          <w:lang w:val="en-GB" w:eastAsia="en-US"/>
        </w:rPr>
        <w:t>medication) to prevent or</w:t>
      </w:r>
      <w:r w:rsidRPr="003C313A">
        <w:rPr>
          <w:szCs w:val="22"/>
          <w:lang w:val="en-GB" w:eastAsia="en-US"/>
        </w:rPr>
        <w:t xml:space="preserve"> reduce possible side effects.</w:t>
      </w:r>
    </w:p>
    <w:p w14:paraId="7C332A0A" w14:textId="77777777" w:rsidR="0054078B" w:rsidRPr="003C313A" w:rsidRDefault="0054078B" w:rsidP="0054078B">
      <w:pPr>
        <w:tabs>
          <w:tab w:val="left" w:pos="567"/>
        </w:tabs>
        <w:rPr>
          <w:szCs w:val="22"/>
          <w:lang w:val="en-GB" w:eastAsia="en-US"/>
        </w:rPr>
      </w:pPr>
    </w:p>
    <w:p w14:paraId="7C332A0B" w14:textId="77777777" w:rsidR="0054078B" w:rsidRPr="001F63EB" w:rsidRDefault="00016F29" w:rsidP="0054078B">
      <w:pPr>
        <w:tabs>
          <w:tab w:val="left" w:pos="567"/>
        </w:tabs>
        <w:rPr>
          <w:b/>
          <w:bCs/>
          <w:szCs w:val="22"/>
          <w:lang w:val="en-GB"/>
        </w:rPr>
      </w:pPr>
      <w:r w:rsidRPr="001F63EB">
        <w:rPr>
          <w:b/>
          <w:bCs/>
          <w:szCs w:val="22"/>
          <w:lang w:val="en-GB"/>
        </w:rPr>
        <w:t>How much and how often you will receive your treatment</w:t>
      </w:r>
    </w:p>
    <w:p w14:paraId="7C332A0C" w14:textId="77777777" w:rsidR="0054078B" w:rsidRPr="001F63EB" w:rsidRDefault="0054078B" w:rsidP="0054078B">
      <w:pPr>
        <w:tabs>
          <w:tab w:val="left" w:pos="567"/>
        </w:tabs>
        <w:ind w:left="720"/>
        <w:rPr>
          <w:szCs w:val="22"/>
          <w:lang w:val="en-GB"/>
        </w:rPr>
      </w:pPr>
    </w:p>
    <w:p w14:paraId="7C332A0D" w14:textId="77777777" w:rsidR="00B13DF5" w:rsidRPr="001F63EB" w:rsidRDefault="00016F29" w:rsidP="00F57FBF">
      <w:pPr>
        <w:rPr>
          <w:lang w:val="en-GB"/>
        </w:rPr>
      </w:pPr>
      <w:r w:rsidRPr="001F63EB">
        <w:rPr>
          <w:lang w:val="en-GB"/>
        </w:rPr>
        <w:t>When you are treated with MabThera in combination with chemotherapy, you will receive</w:t>
      </w:r>
      <w:r w:rsidR="0070150C" w:rsidRPr="001F63EB">
        <w:rPr>
          <w:lang w:val="en-GB"/>
        </w:rPr>
        <w:t xml:space="preserve"> a MabThera infusion</w:t>
      </w:r>
      <w:r w:rsidRPr="001F63EB">
        <w:rPr>
          <w:lang w:val="en-GB"/>
        </w:rPr>
        <w:t xml:space="preserve"> on day 0 </w:t>
      </w:r>
      <w:r w:rsidR="0070150C" w:rsidRPr="001F63EB">
        <w:rPr>
          <w:lang w:val="en-GB"/>
        </w:rPr>
        <w:t xml:space="preserve">of </w:t>
      </w:r>
      <w:r w:rsidRPr="001F63EB">
        <w:rPr>
          <w:lang w:val="en-GB"/>
        </w:rPr>
        <w:t>cycle 1</w:t>
      </w:r>
      <w:r w:rsidR="0070150C" w:rsidRPr="001F63EB">
        <w:rPr>
          <w:lang w:val="en-GB"/>
        </w:rPr>
        <w:t>,</w:t>
      </w:r>
      <w:r w:rsidRPr="001F63EB">
        <w:rPr>
          <w:lang w:val="en-GB"/>
        </w:rPr>
        <w:t xml:space="preserve"> then</w:t>
      </w:r>
      <w:r w:rsidR="0070150C" w:rsidRPr="001F63EB">
        <w:rPr>
          <w:lang w:val="en-GB"/>
        </w:rPr>
        <w:t xml:space="preserve"> subcutaneous injections on</w:t>
      </w:r>
      <w:r w:rsidRPr="001F63EB">
        <w:rPr>
          <w:lang w:val="en-GB"/>
        </w:rPr>
        <w:t xml:space="preserve"> day 1 of each </w:t>
      </w:r>
      <w:r w:rsidR="00063B13" w:rsidRPr="001F63EB">
        <w:rPr>
          <w:lang w:val="en-GB"/>
        </w:rPr>
        <w:t xml:space="preserve">subsequent </w:t>
      </w:r>
      <w:r w:rsidRPr="001F63EB">
        <w:rPr>
          <w:lang w:val="en-GB"/>
        </w:rPr>
        <w:t>cycle</w:t>
      </w:r>
      <w:r w:rsidR="00063B13" w:rsidRPr="001F63EB">
        <w:rPr>
          <w:lang w:val="en-GB"/>
        </w:rPr>
        <w:t>. The total number of cycles is</w:t>
      </w:r>
      <w:r w:rsidRPr="001F63EB">
        <w:rPr>
          <w:lang w:val="en-GB"/>
        </w:rPr>
        <w:t xml:space="preserve"> </w:t>
      </w:r>
      <w:r w:rsidR="00063B13" w:rsidRPr="001F63EB">
        <w:rPr>
          <w:lang w:val="en-GB"/>
        </w:rPr>
        <w:t xml:space="preserve">of </w:t>
      </w:r>
      <w:r w:rsidRPr="001F63EB">
        <w:rPr>
          <w:lang w:val="en-GB"/>
        </w:rPr>
        <w:t>6. Each cycle has</w:t>
      </w:r>
      <w:r w:rsidR="00063B13" w:rsidRPr="001F63EB">
        <w:rPr>
          <w:lang w:val="en-GB"/>
        </w:rPr>
        <w:t xml:space="preserve"> a </w:t>
      </w:r>
      <w:r w:rsidRPr="001F63EB">
        <w:rPr>
          <w:lang w:val="en-GB"/>
        </w:rPr>
        <w:t xml:space="preserve">duration of 28 days. The chemotherapy should be given after the MabThera </w:t>
      </w:r>
      <w:r w:rsidR="0070150C" w:rsidRPr="001F63EB">
        <w:rPr>
          <w:lang w:val="en-GB"/>
        </w:rPr>
        <w:t>administrat</w:t>
      </w:r>
      <w:r w:rsidRPr="001F63EB">
        <w:rPr>
          <w:lang w:val="en-GB"/>
        </w:rPr>
        <w:t>ion.</w:t>
      </w:r>
    </w:p>
    <w:p w14:paraId="7C332A0E" w14:textId="77777777" w:rsidR="00B13DF5" w:rsidRPr="001F63EB" w:rsidRDefault="00B13DF5" w:rsidP="00B13DF5">
      <w:pPr>
        <w:rPr>
          <w:lang w:val="en-GB"/>
        </w:rPr>
      </w:pPr>
    </w:p>
    <w:p w14:paraId="7C332A0F" w14:textId="77777777" w:rsidR="00B13DF5" w:rsidRPr="001F63EB" w:rsidRDefault="00016F29" w:rsidP="00941759">
      <w:pPr>
        <w:shd w:val="clear" w:color="auto" w:fill="FFFFFF"/>
        <w:rPr>
          <w:lang w:val="en-GB"/>
        </w:rPr>
      </w:pPr>
      <w:r w:rsidRPr="00941759">
        <w:rPr>
          <w:shd w:val="clear" w:color="auto" w:fill="FFFFFF"/>
          <w:lang w:val="en-GB"/>
        </w:rPr>
        <w:t>Your doctor will decide if you should receive concomitant supportive therapy.</w:t>
      </w:r>
    </w:p>
    <w:p w14:paraId="7C332A10" w14:textId="77777777" w:rsidR="0054078B" w:rsidRPr="009A4E5A" w:rsidRDefault="0054078B" w:rsidP="0054078B">
      <w:pPr>
        <w:numPr>
          <w:ilvl w:val="12"/>
          <w:numId w:val="0"/>
        </w:numPr>
        <w:ind w:right="-2"/>
        <w:rPr>
          <w:szCs w:val="22"/>
          <w:lang w:val="en-GB"/>
        </w:rPr>
      </w:pPr>
    </w:p>
    <w:p w14:paraId="7C332A11" w14:textId="77777777" w:rsidR="0054078B" w:rsidRPr="00ED3BF4" w:rsidRDefault="00016F29" w:rsidP="0054078B">
      <w:pPr>
        <w:numPr>
          <w:ilvl w:val="12"/>
          <w:numId w:val="0"/>
        </w:numPr>
        <w:ind w:right="-2"/>
        <w:rPr>
          <w:lang w:val="en-GB" w:eastAsia="en-US"/>
        </w:rPr>
      </w:pPr>
      <w:r w:rsidRPr="009A4E5A">
        <w:rPr>
          <w:szCs w:val="22"/>
          <w:lang w:val="en-GB"/>
        </w:rPr>
        <w:t>If you have any further questions on the use of this medicine, ask your doctor, pharmacist or nurse.</w:t>
      </w:r>
    </w:p>
    <w:p w14:paraId="7C332A12" w14:textId="77777777" w:rsidR="0054078B" w:rsidRPr="00FC61B8" w:rsidRDefault="0054078B" w:rsidP="0054078B">
      <w:pPr>
        <w:numPr>
          <w:ilvl w:val="12"/>
          <w:numId w:val="0"/>
        </w:numPr>
        <w:rPr>
          <w:lang w:val="en-GB" w:eastAsia="en-US"/>
        </w:rPr>
      </w:pPr>
    </w:p>
    <w:p w14:paraId="7C332A13" w14:textId="77777777" w:rsidR="0054078B" w:rsidRPr="00FC61B8" w:rsidRDefault="0054078B" w:rsidP="0054078B">
      <w:pPr>
        <w:numPr>
          <w:ilvl w:val="12"/>
          <w:numId w:val="0"/>
        </w:numPr>
        <w:rPr>
          <w:lang w:val="en-GB" w:eastAsia="en-US"/>
        </w:rPr>
      </w:pPr>
    </w:p>
    <w:p w14:paraId="7C332A14" w14:textId="77777777" w:rsidR="0054078B" w:rsidRPr="00CD7883" w:rsidRDefault="00016F29" w:rsidP="0054078B">
      <w:pPr>
        <w:rPr>
          <w:b/>
          <w:sz w:val="24"/>
          <w:szCs w:val="22"/>
          <w:lang w:val="en-GB" w:eastAsia="en-US"/>
        </w:rPr>
      </w:pPr>
      <w:r w:rsidRPr="00CD7883">
        <w:rPr>
          <w:b/>
          <w:sz w:val="24"/>
          <w:szCs w:val="22"/>
          <w:lang w:val="en-GB" w:eastAsia="en-US"/>
        </w:rPr>
        <w:t>4</w:t>
      </w:r>
      <w:r w:rsidRPr="00CD7883">
        <w:rPr>
          <w:b/>
          <w:sz w:val="24"/>
          <w:szCs w:val="22"/>
          <w:lang w:val="en-GB" w:eastAsia="en-US"/>
        </w:rPr>
        <w:tab/>
        <w:t>Possible side effects</w:t>
      </w:r>
    </w:p>
    <w:p w14:paraId="7C332A15" w14:textId="77777777" w:rsidR="0054078B" w:rsidRPr="00CD7883" w:rsidRDefault="0054078B" w:rsidP="0054078B">
      <w:pPr>
        <w:rPr>
          <w:szCs w:val="22"/>
          <w:lang w:val="en-GB"/>
        </w:rPr>
      </w:pPr>
    </w:p>
    <w:p w14:paraId="7C332A16" w14:textId="77777777" w:rsidR="0054078B" w:rsidRPr="00DE32D5" w:rsidRDefault="00016F29" w:rsidP="0054078B">
      <w:pPr>
        <w:rPr>
          <w:szCs w:val="22"/>
          <w:lang w:val="en-GB"/>
        </w:rPr>
      </w:pPr>
      <w:r w:rsidRPr="00CD7883">
        <w:rPr>
          <w:szCs w:val="22"/>
          <w:lang w:val="en-GB"/>
        </w:rPr>
        <w:t xml:space="preserve">Like all medicines, this medicine can cause side effects, although not everybody gets </w:t>
      </w:r>
      <w:r w:rsidRPr="00DE32D5">
        <w:rPr>
          <w:szCs w:val="22"/>
          <w:lang w:val="en-GB"/>
        </w:rPr>
        <w:t xml:space="preserve">them. </w:t>
      </w:r>
    </w:p>
    <w:p w14:paraId="7C332A17" w14:textId="77777777" w:rsidR="0054078B" w:rsidRPr="00DE32D5" w:rsidRDefault="0054078B" w:rsidP="0054078B">
      <w:pPr>
        <w:rPr>
          <w:szCs w:val="22"/>
          <w:lang w:val="en-GB"/>
        </w:rPr>
      </w:pPr>
    </w:p>
    <w:p w14:paraId="7C332A18" w14:textId="77777777" w:rsidR="0054078B" w:rsidRPr="0012747B" w:rsidRDefault="00016F29" w:rsidP="0054078B">
      <w:pPr>
        <w:rPr>
          <w:szCs w:val="22"/>
          <w:lang w:val="en-GB"/>
        </w:rPr>
      </w:pPr>
      <w:r w:rsidRPr="0012747B">
        <w:rPr>
          <w:szCs w:val="22"/>
          <w:lang w:val="en-GB"/>
        </w:rPr>
        <w:t>Most side effects are mild to moderate but some may be serious and need treatment. Rarely, some of these side effects have been fatal.</w:t>
      </w:r>
    </w:p>
    <w:p w14:paraId="7C332A19" w14:textId="77777777" w:rsidR="0054078B" w:rsidRPr="009C488C" w:rsidRDefault="0054078B" w:rsidP="0054078B">
      <w:pPr>
        <w:rPr>
          <w:szCs w:val="22"/>
          <w:lang w:val="en-GB"/>
        </w:rPr>
      </w:pPr>
    </w:p>
    <w:p w14:paraId="7C332A1A" w14:textId="77777777" w:rsidR="0054078B" w:rsidRPr="00870B51" w:rsidRDefault="00016F29" w:rsidP="0054078B">
      <w:pPr>
        <w:outlineLvl w:val="0"/>
        <w:rPr>
          <w:b/>
          <w:bCs/>
          <w:szCs w:val="22"/>
          <w:lang w:val="en-GB"/>
        </w:rPr>
      </w:pPr>
      <w:r w:rsidRPr="00870B51">
        <w:rPr>
          <w:b/>
          <w:bCs/>
          <w:szCs w:val="22"/>
          <w:lang w:val="en-GB"/>
        </w:rPr>
        <w:t>Reactions where the medicine is injected</w:t>
      </w:r>
    </w:p>
    <w:p w14:paraId="7C332A1B" w14:textId="77777777" w:rsidR="0054078B" w:rsidRPr="00EA11D5" w:rsidRDefault="00016F29" w:rsidP="0054078B">
      <w:pPr>
        <w:outlineLvl w:val="0"/>
        <w:rPr>
          <w:rFonts w:cs="Arial"/>
          <w:lang w:val="en-GB"/>
        </w:rPr>
      </w:pPr>
      <w:r w:rsidRPr="00EA11D5">
        <w:rPr>
          <w:rFonts w:cs="Arial"/>
          <w:lang w:val="en-GB"/>
        </w:rPr>
        <w:t xml:space="preserve">Many patients get some local side effects where MabThera is injected. These include: pain, swelling, bruising, bleeding, skin redness, itching and rash. </w:t>
      </w:r>
    </w:p>
    <w:p w14:paraId="7C332A1C" w14:textId="77777777" w:rsidR="00E0303F" w:rsidRDefault="00E0303F" w:rsidP="0054078B">
      <w:pPr>
        <w:rPr>
          <w:szCs w:val="22"/>
          <w:lang w:val="en-GB"/>
        </w:rPr>
      </w:pPr>
    </w:p>
    <w:p w14:paraId="7C332A1D" w14:textId="77777777" w:rsidR="0054078B" w:rsidRPr="00B0192B" w:rsidRDefault="00016F29" w:rsidP="0054078B">
      <w:pPr>
        <w:rPr>
          <w:szCs w:val="22"/>
          <w:lang w:val="en-GB"/>
        </w:rPr>
      </w:pPr>
      <w:r w:rsidRPr="00B0192B">
        <w:rPr>
          <w:szCs w:val="22"/>
          <w:lang w:val="en-GB"/>
        </w:rPr>
        <w:t>Your doctor may decide to stop your MabThera treatment if these reactions are serious.</w:t>
      </w:r>
    </w:p>
    <w:p w14:paraId="7C332A1E" w14:textId="77777777" w:rsidR="0054078B" w:rsidRPr="001C0303" w:rsidRDefault="00016F29" w:rsidP="0054078B">
      <w:pPr>
        <w:outlineLvl w:val="0"/>
        <w:rPr>
          <w:b/>
          <w:lang w:val="en-GB"/>
        </w:rPr>
      </w:pPr>
      <w:r w:rsidRPr="001C0303">
        <w:rPr>
          <w:b/>
          <w:lang w:val="en-GB"/>
        </w:rPr>
        <w:t>Infections</w:t>
      </w:r>
    </w:p>
    <w:p w14:paraId="7C332A1F" w14:textId="77777777" w:rsidR="0054078B" w:rsidRPr="001C0303" w:rsidRDefault="00016F29" w:rsidP="0054078B">
      <w:pPr>
        <w:rPr>
          <w:b/>
          <w:lang w:val="en-GB"/>
        </w:rPr>
      </w:pPr>
      <w:r w:rsidRPr="001C0303">
        <w:rPr>
          <w:b/>
          <w:szCs w:val="22"/>
          <w:lang w:val="en-GB"/>
        </w:rPr>
        <w:t xml:space="preserve">Tell your doctor immediately </w:t>
      </w:r>
      <w:r w:rsidRPr="001C0303">
        <w:rPr>
          <w:b/>
          <w:lang w:val="en-GB"/>
        </w:rPr>
        <w:t>if you get signs of an infection including:</w:t>
      </w:r>
    </w:p>
    <w:p w14:paraId="7C332A20" w14:textId="77777777" w:rsidR="0054078B" w:rsidRPr="00137FEB" w:rsidRDefault="00016F29" w:rsidP="0054078B">
      <w:pPr>
        <w:tabs>
          <w:tab w:val="left" w:pos="567"/>
        </w:tabs>
        <w:ind w:left="567" w:hanging="567"/>
        <w:outlineLvl w:val="0"/>
        <w:rPr>
          <w:rFonts w:cs="Arial"/>
          <w:lang w:val="en-GB"/>
        </w:rPr>
      </w:pPr>
      <w:r w:rsidRPr="005214E1">
        <w:rPr>
          <w:rFonts w:ascii="Symbol" w:hAnsi="Symbol"/>
          <w:lang w:val="en-GB"/>
        </w:rPr>
        <w:sym w:font="Symbol" w:char="F0B7"/>
      </w:r>
      <w:r w:rsidRPr="003C313A">
        <w:rPr>
          <w:szCs w:val="22"/>
          <w:lang w:val="en-GB"/>
        </w:rPr>
        <w:tab/>
      </w:r>
      <w:r w:rsidRPr="00137FEB">
        <w:rPr>
          <w:rFonts w:cs="Arial"/>
          <w:lang w:val="en-GB"/>
        </w:rPr>
        <w:t>fever, cough, sore throat, burning pain when passing urine or feeling weak or generally unwell</w:t>
      </w:r>
    </w:p>
    <w:p w14:paraId="7C332A21" w14:textId="77777777" w:rsidR="0054078B" w:rsidRPr="00137FEB" w:rsidRDefault="00016F29" w:rsidP="0054078B">
      <w:pPr>
        <w:tabs>
          <w:tab w:val="left" w:pos="567"/>
        </w:tabs>
        <w:ind w:left="567" w:hanging="567"/>
        <w:outlineLvl w:val="0"/>
        <w:rPr>
          <w:rFonts w:cs="Arial"/>
          <w:lang w:val="en-GB"/>
        </w:rPr>
      </w:pPr>
      <w:r w:rsidRPr="005214E1">
        <w:rPr>
          <w:rFonts w:ascii="Symbol" w:hAnsi="Symbol"/>
          <w:lang w:val="en-GB"/>
        </w:rPr>
        <w:sym w:font="Symbol" w:char="F0B7"/>
      </w:r>
      <w:r w:rsidRPr="003C313A">
        <w:rPr>
          <w:szCs w:val="22"/>
          <w:lang w:val="en-GB"/>
        </w:rPr>
        <w:tab/>
      </w:r>
      <w:r w:rsidRPr="00137FEB">
        <w:rPr>
          <w:rFonts w:cs="Arial"/>
          <w:lang w:val="en-GB"/>
        </w:rPr>
        <w:t>memory loss, trouble thinking, difficulty walking or sight loss – these may be due to a very rare, serious brain infection, which has been fatal (Progressive Multifocal Leukoencephalopathy or PML).</w:t>
      </w:r>
    </w:p>
    <w:p w14:paraId="7C332A22" w14:textId="77777777" w:rsidR="0054078B" w:rsidRPr="00137FEB" w:rsidRDefault="00016F29" w:rsidP="0054078B">
      <w:pPr>
        <w:outlineLvl w:val="0"/>
        <w:rPr>
          <w:rFonts w:cs="Arial"/>
          <w:lang w:val="en-GB"/>
        </w:rPr>
      </w:pPr>
      <w:r w:rsidRPr="00137FEB">
        <w:rPr>
          <w:rFonts w:cs="Arial"/>
          <w:lang w:val="en-GB"/>
        </w:rPr>
        <w:t>You might get infections more easily during your treatment with MabThera. These are often colds, but there have been cases of pneumonia or urinary infections. These are listed below under “Other side effects”.</w:t>
      </w:r>
    </w:p>
    <w:p w14:paraId="7C332A23" w14:textId="77777777" w:rsidR="0054078B" w:rsidRPr="00D239C4" w:rsidRDefault="0054078B" w:rsidP="0054078B">
      <w:pPr>
        <w:rPr>
          <w:szCs w:val="22"/>
          <w:lang w:val="en-GB"/>
        </w:rPr>
      </w:pPr>
    </w:p>
    <w:p w14:paraId="7C332A24" w14:textId="77777777" w:rsidR="0054078B" w:rsidRPr="001976F0" w:rsidRDefault="00016F29" w:rsidP="0054078B">
      <w:pPr>
        <w:keepNext/>
        <w:outlineLvl w:val="0"/>
        <w:rPr>
          <w:b/>
          <w:szCs w:val="22"/>
          <w:lang w:val="en-GB"/>
        </w:rPr>
      </w:pPr>
      <w:r w:rsidRPr="000400ED">
        <w:rPr>
          <w:b/>
          <w:szCs w:val="22"/>
          <w:lang w:val="en-GB"/>
        </w:rPr>
        <w:t>Other</w:t>
      </w:r>
      <w:r w:rsidRPr="001976F0">
        <w:rPr>
          <w:b/>
          <w:szCs w:val="22"/>
          <w:lang w:val="en-GB"/>
        </w:rPr>
        <w:t xml:space="preserve"> side effects include:</w:t>
      </w:r>
    </w:p>
    <w:p w14:paraId="7C332A25" w14:textId="77777777" w:rsidR="0054078B" w:rsidRPr="00D3771E" w:rsidRDefault="0054078B" w:rsidP="0054078B">
      <w:pPr>
        <w:keepNext/>
        <w:outlineLvl w:val="0"/>
        <w:rPr>
          <w:b/>
          <w:szCs w:val="22"/>
          <w:lang w:val="en-GB"/>
        </w:rPr>
      </w:pPr>
    </w:p>
    <w:p w14:paraId="7C332A26" w14:textId="77777777" w:rsidR="0054078B" w:rsidRPr="003C313A" w:rsidRDefault="00016F29" w:rsidP="0054078B">
      <w:pPr>
        <w:rPr>
          <w:b/>
          <w:szCs w:val="22"/>
          <w:lang w:val="en-GB" w:eastAsia="en-US"/>
        </w:rPr>
      </w:pPr>
      <w:r w:rsidRPr="009F47AE">
        <w:rPr>
          <w:b/>
          <w:iCs/>
          <w:lang w:val="en-GB"/>
        </w:rPr>
        <w:t>Very common</w:t>
      </w:r>
      <w:r w:rsidRPr="00D50019">
        <w:rPr>
          <w:b/>
          <w:iCs/>
          <w:lang w:val="en-GB"/>
        </w:rPr>
        <w:t xml:space="preserve"> </w:t>
      </w:r>
      <w:r w:rsidRPr="003C313A">
        <w:rPr>
          <w:b/>
          <w:szCs w:val="22"/>
          <w:lang w:val="en-GB" w:eastAsia="en-US"/>
        </w:rPr>
        <w:t>side effects (may affect more than 1 in 10 people):</w:t>
      </w:r>
    </w:p>
    <w:p w14:paraId="7C332A27" w14:textId="77777777" w:rsidR="0054078B" w:rsidRPr="00137FEB" w:rsidRDefault="00016F29" w:rsidP="0054078B">
      <w:pPr>
        <w:tabs>
          <w:tab w:val="left" w:pos="567"/>
        </w:tabs>
        <w:ind w:left="568" w:hangingChars="258" w:hanging="568"/>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bacterial or viral infections, bronchitis</w:t>
      </w:r>
    </w:p>
    <w:p w14:paraId="7C332A28" w14:textId="77777777" w:rsidR="0054078B" w:rsidRPr="00137FEB" w:rsidRDefault="00016F29" w:rsidP="0054078B">
      <w:pPr>
        <w:tabs>
          <w:tab w:val="left" w:pos="567"/>
        </w:tabs>
        <w:ind w:left="568" w:hangingChars="258" w:hanging="568"/>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low number of white blood cells with or without fever or blood cells called “platelets”</w:t>
      </w:r>
    </w:p>
    <w:p w14:paraId="7C332A29" w14:textId="77777777" w:rsidR="0054078B" w:rsidRPr="00137FEB" w:rsidRDefault="00016F29" w:rsidP="0054078B">
      <w:pPr>
        <w:tabs>
          <w:tab w:val="left" w:pos="567"/>
        </w:tabs>
        <w:ind w:left="568" w:hangingChars="258" w:hanging="568"/>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feeling sick (nausea)</w:t>
      </w:r>
    </w:p>
    <w:p w14:paraId="7C332A2A" w14:textId="77777777" w:rsidR="0054078B" w:rsidRPr="00137FEB" w:rsidRDefault="00016F29" w:rsidP="0054078B">
      <w:pPr>
        <w:tabs>
          <w:tab w:val="left" w:pos="567"/>
        </w:tabs>
        <w:ind w:left="568" w:hangingChars="258" w:hanging="568"/>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bald spots on the scalp, chills, headache</w:t>
      </w:r>
    </w:p>
    <w:p w14:paraId="7C332A2B" w14:textId="77777777" w:rsidR="0054078B" w:rsidRPr="00137FEB" w:rsidRDefault="00016F29" w:rsidP="0054078B">
      <w:pPr>
        <w:tabs>
          <w:tab w:val="left" w:pos="567"/>
        </w:tabs>
        <w:ind w:left="568" w:hangingChars="258" w:hanging="568"/>
        <w:rPr>
          <w:szCs w:val="22"/>
          <w:lang w:val="en-GB" w:eastAsia="en-US"/>
        </w:rPr>
      </w:pPr>
      <w:r w:rsidRPr="005214E1">
        <w:rPr>
          <w:rFonts w:ascii="Symbol" w:hAnsi="Symbol"/>
          <w:lang w:val="en-GB"/>
        </w:rPr>
        <w:sym w:font="Symbol" w:char="F0B7"/>
      </w:r>
      <w:r w:rsidRPr="00885E37">
        <w:rPr>
          <w:szCs w:val="22"/>
          <w:lang w:val="en-GB"/>
        </w:rPr>
        <w:tab/>
      </w:r>
      <w:r w:rsidRPr="00885E37">
        <w:rPr>
          <w:szCs w:val="22"/>
          <w:lang w:val="en-GB" w:eastAsia="en-US"/>
        </w:rPr>
        <w:t>lower immunity – because of lower levels of anti</w:t>
      </w:r>
      <w:r w:rsidR="000A6DDA" w:rsidRPr="00885E37">
        <w:rPr>
          <w:szCs w:val="22"/>
          <w:lang w:val="en-GB" w:eastAsia="en-US"/>
        </w:rPr>
        <w:noBreakHyphen/>
      </w:r>
      <w:r w:rsidRPr="00885E37">
        <w:rPr>
          <w:szCs w:val="22"/>
          <w:lang w:val="en-GB" w:eastAsia="en-US"/>
        </w:rPr>
        <w:t>bodies called “immunoglobulins” (IgG) in</w:t>
      </w:r>
      <w:r w:rsidRPr="00137FEB">
        <w:rPr>
          <w:szCs w:val="22"/>
          <w:lang w:val="en-GB" w:eastAsia="en-US"/>
        </w:rPr>
        <w:t xml:space="preserve"> the blood which help protect against infection.</w:t>
      </w:r>
    </w:p>
    <w:p w14:paraId="7C332A2C" w14:textId="77777777" w:rsidR="0054078B" w:rsidRPr="00137FEB" w:rsidRDefault="0054078B" w:rsidP="0054078B">
      <w:pPr>
        <w:rPr>
          <w:b/>
          <w:iCs/>
          <w:lang w:val="en-GB"/>
        </w:rPr>
      </w:pPr>
    </w:p>
    <w:p w14:paraId="7C332A2D" w14:textId="77777777" w:rsidR="0054078B" w:rsidRPr="003C313A" w:rsidRDefault="00016F29" w:rsidP="0054078B">
      <w:pPr>
        <w:rPr>
          <w:b/>
          <w:iCs/>
          <w:lang w:val="en-GB"/>
        </w:rPr>
      </w:pPr>
      <w:r w:rsidRPr="00137FEB">
        <w:rPr>
          <w:b/>
          <w:iCs/>
          <w:lang w:val="en-GB"/>
        </w:rPr>
        <w:t>Common</w:t>
      </w:r>
      <w:r w:rsidRPr="003C313A">
        <w:rPr>
          <w:b/>
          <w:iCs/>
          <w:lang w:val="en-GB"/>
        </w:rPr>
        <w:t xml:space="preserve"> side effects (may affect up to 1 in 10 people):</w:t>
      </w:r>
    </w:p>
    <w:p w14:paraId="7C332A2E" w14:textId="77777777" w:rsidR="0054078B" w:rsidRPr="00D239C4" w:rsidRDefault="00016F29" w:rsidP="0054078B">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infections of the blood (sepsis), pneumonia, shingles</w:t>
      </w:r>
      <w:r w:rsidRPr="00D239C4">
        <w:rPr>
          <w:szCs w:val="22"/>
          <w:lang w:val="en-GB" w:eastAsia="en-US"/>
        </w:rPr>
        <w:t>, cold, bronchial tube infections, fungal infections, infections of unknown origin, sinus inflammation, hepatitis B</w:t>
      </w:r>
    </w:p>
    <w:p w14:paraId="7C332A2F" w14:textId="77777777" w:rsidR="0054078B" w:rsidRPr="00137FEB" w:rsidRDefault="00016F29" w:rsidP="0054078B">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 xml:space="preserve">low number of red blood cells (anaemia), low number of all blood cells </w:t>
      </w:r>
    </w:p>
    <w:p w14:paraId="7C332A30" w14:textId="77777777" w:rsidR="0054078B" w:rsidRPr="00137FEB" w:rsidRDefault="00016F29" w:rsidP="0054078B">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 xml:space="preserve">allergic reactions (hypersensitivity), </w:t>
      </w:r>
    </w:p>
    <w:p w14:paraId="7C332A31" w14:textId="77777777" w:rsidR="0054078B" w:rsidRPr="00137FEB" w:rsidRDefault="00016F29" w:rsidP="0054078B">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high blood sugar level, weight loss, swelling in the face and body, high levels of the enzyme “LDH” in the blood, low calcium levels in the blood</w:t>
      </w:r>
    </w:p>
    <w:p w14:paraId="7C332A32" w14:textId="77777777" w:rsidR="0054078B" w:rsidRPr="00137FEB" w:rsidRDefault="00016F29" w:rsidP="0054078B">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unusual feelings of the skin – such as numbness, tingling, pricking, burning, a creeping skin feeling, reduced sense of touch</w:t>
      </w:r>
    </w:p>
    <w:p w14:paraId="7C332A33" w14:textId="77777777" w:rsidR="0054078B" w:rsidRPr="00137FEB" w:rsidRDefault="00016F29" w:rsidP="0054078B">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feeling restless, problems falling asleep</w:t>
      </w:r>
    </w:p>
    <w:p w14:paraId="7C332A34" w14:textId="77777777" w:rsidR="0054078B" w:rsidRPr="00137FEB" w:rsidRDefault="00016F29" w:rsidP="0054078B">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becoming very red in the face and other areas of the skin as a consequence of dilation of the blood vessels</w:t>
      </w:r>
    </w:p>
    <w:p w14:paraId="7C332A35" w14:textId="77777777" w:rsidR="0054078B" w:rsidRPr="00137FEB" w:rsidRDefault="00016F29" w:rsidP="0054078B">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feeling dizzy or anxious</w:t>
      </w:r>
    </w:p>
    <w:p w14:paraId="7C332A36" w14:textId="77777777" w:rsidR="0054078B" w:rsidRPr="00137FEB" w:rsidRDefault="00016F29" w:rsidP="0054078B">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producing more tears, tear duct problems, inflamed eye (conjunctivitis)</w:t>
      </w:r>
    </w:p>
    <w:p w14:paraId="7C332A37" w14:textId="77777777" w:rsidR="0054078B" w:rsidRPr="00137FEB" w:rsidRDefault="00016F29" w:rsidP="0054078B">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ringing sound in the ears, ear pain</w:t>
      </w:r>
    </w:p>
    <w:p w14:paraId="7C332A38" w14:textId="77777777" w:rsidR="0054078B" w:rsidRPr="00137FEB" w:rsidRDefault="00016F29" w:rsidP="0054078B">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heart problems – such as heart attack, uneven or fast heart rate</w:t>
      </w:r>
    </w:p>
    <w:p w14:paraId="7C332A39" w14:textId="77777777" w:rsidR="0054078B" w:rsidRPr="00137FEB" w:rsidRDefault="00016F29" w:rsidP="0054078B">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high or low blood pressure (low blood pressure especially when standing upright)</w:t>
      </w:r>
    </w:p>
    <w:p w14:paraId="7C332A3A" w14:textId="77777777" w:rsidR="0054078B" w:rsidRPr="00137FEB" w:rsidRDefault="00016F29" w:rsidP="0054078B">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tightening of the muscles in the airways which causes wheezing (bronchospasm), inflammation, irritation in the lungs, throat or sinuses, being short of breath, runny nose</w:t>
      </w:r>
    </w:p>
    <w:p w14:paraId="7C332A3B" w14:textId="77777777" w:rsidR="0054078B" w:rsidRPr="00137FEB" w:rsidRDefault="00016F29" w:rsidP="0054078B">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being sick (vomiting), diarrhoea, pain in the stomach, irritation or ulcers in the throat and mouth, problems swallowing, constipation, indigestion</w:t>
      </w:r>
    </w:p>
    <w:p w14:paraId="7C332A3C" w14:textId="77777777" w:rsidR="0054078B" w:rsidRPr="00137FEB" w:rsidRDefault="00016F29" w:rsidP="0054078B">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eating disorders, not eating enough, leading to weight loss</w:t>
      </w:r>
    </w:p>
    <w:p w14:paraId="7C332A3D" w14:textId="77777777" w:rsidR="0054078B" w:rsidRPr="00137FEB" w:rsidRDefault="00016F29" w:rsidP="0054078B">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hives, increased sweating, night sweats</w:t>
      </w:r>
    </w:p>
    <w:p w14:paraId="7C332A3E" w14:textId="77777777" w:rsidR="0054078B" w:rsidRPr="00137FEB" w:rsidRDefault="00016F29" w:rsidP="0054078B">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muscle problems – such as tight muscles, joint or muscle pain, back and neck pain</w:t>
      </w:r>
    </w:p>
    <w:p w14:paraId="7C332A3F" w14:textId="77777777" w:rsidR="0054078B" w:rsidRPr="00137FEB" w:rsidRDefault="00016F29" w:rsidP="0054078B">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tumour pain</w:t>
      </w:r>
    </w:p>
    <w:p w14:paraId="7C332A40" w14:textId="77777777" w:rsidR="0054078B" w:rsidRPr="00137FEB" w:rsidRDefault="00016F29" w:rsidP="0054078B">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general discomfort or feeling uneasy or tired, shaking, signs of flu</w:t>
      </w:r>
    </w:p>
    <w:p w14:paraId="7C332A41" w14:textId="77777777" w:rsidR="0054078B" w:rsidRPr="00885E37" w:rsidRDefault="00016F29" w:rsidP="0054078B">
      <w:pPr>
        <w:tabs>
          <w:tab w:val="left" w:pos="567"/>
        </w:tabs>
        <w:ind w:left="567" w:hanging="567"/>
        <w:rPr>
          <w:szCs w:val="22"/>
          <w:lang w:val="en-GB" w:eastAsia="en-US"/>
        </w:rPr>
      </w:pPr>
      <w:r w:rsidRPr="005214E1">
        <w:rPr>
          <w:rFonts w:ascii="Symbol" w:hAnsi="Symbol"/>
          <w:lang w:val="en-GB"/>
        </w:rPr>
        <w:sym w:font="Symbol" w:char="F0B7"/>
      </w:r>
      <w:r w:rsidRPr="00885E37">
        <w:rPr>
          <w:szCs w:val="22"/>
          <w:lang w:val="en-GB"/>
        </w:rPr>
        <w:tab/>
      </w:r>
      <w:r w:rsidRPr="00885E37">
        <w:rPr>
          <w:szCs w:val="22"/>
          <w:lang w:val="en-GB" w:eastAsia="en-US"/>
        </w:rPr>
        <w:t>multiple</w:t>
      </w:r>
      <w:r w:rsidR="000A6DDA" w:rsidRPr="00885E37">
        <w:rPr>
          <w:szCs w:val="22"/>
          <w:lang w:val="en-GB" w:eastAsia="en-US"/>
        </w:rPr>
        <w:noBreakHyphen/>
      </w:r>
      <w:r w:rsidRPr="00885E37">
        <w:rPr>
          <w:szCs w:val="22"/>
          <w:lang w:val="en-GB" w:eastAsia="en-US"/>
        </w:rPr>
        <w:t>organ failure.</w:t>
      </w:r>
    </w:p>
    <w:p w14:paraId="7C332A42" w14:textId="77777777" w:rsidR="0054078B" w:rsidRPr="00137FEB" w:rsidRDefault="0054078B" w:rsidP="0054078B">
      <w:pPr>
        <w:keepNext/>
        <w:keepLines/>
        <w:rPr>
          <w:b/>
          <w:snapToGrid w:val="0"/>
          <w:lang w:val="en-GB" w:eastAsia="en-US"/>
        </w:rPr>
      </w:pPr>
    </w:p>
    <w:p w14:paraId="7C332A43" w14:textId="77777777" w:rsidR="0054078B" w:rsidRPr="003C313A" w:rsidRDefault="00016F29" w:rsidP="0054078B">
      <w:pPr>
        <w:rPr>
          <w:b/>
          <w:iCs/>
          <w:lang w:val="en-GB"/>
        </w:rPr>
      </w:pPr>
      <w:r w:rsidRPr="003C313A">
        <w:rPr>
          <w:b/>
          <w:iCs/>
          <w:lang w:val="en-GB"/>
        </w:rPr>
        <w:t>Uncommon side effects (may affect up to 1 in 100 people):</w:t>
      </w:r>
    </w:p>
    <w:p w14:paraId="7C332A44" w14:textId="77777777" w:rsidR="0054078B" w:rsidRPr="00137FEB" w:rsidRDefault="00016F29" w:rsidP="0054078B">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blood clotting problems, decrease of red blood cell production and increase of red blood cell destruction (aplastic haemolytic anaemia), swollen or enlarged lymph nodes</w:t>
      </w:r>
    </w:p>
    <w:p w14:paraId="7C332A45" w14:textId="77777777" w:rsidR="0054078B" w:rsidRPr="00137FEB" w:rsidRDefault="00016F29" w:rsidP="0054078B">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low mood and loss of interest or enjoyment in doing things, feeling nervous</w:t>
      </w:r>
    </w:p>
    <w:p w14:paraId="7C332A46" w14:textId="77777777" w:rsidR="0054078B" w:rsidRPr="00137FEB" w:rsidRDefault="00016F29" w:rsidP="0054078B">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zh-TW"/>
        </w:rPr>
        <w:t>taste problems – such as</w:t>
      </w:r>
      <w:r w:rsidRPr="00137FEB">
        <w:rPr>
          <w:rFonts w:ascii="Calibri" w:hAnsi="Calibri" w:cs="Calibri"/>
          <w:szCs w:val="22"/>
          <w:lang w:val="en-GB" w:eastAsia="zh-TW"/>
        </w:rPr>
        <w:t xml:space="preserve"> </w:t>
      </w:r>
      <w:r w:rsidRPr="00137FEB">
        <w:rPr>
          <w:szCs w:val="22"/>
          <w:lang w:val="en-GB" w:eastAsia="en-US"/>
        </w:rPr>
        <w:t>changes in the way things taste</w:t>
      </w:r>
    </w:p>
    <w:p w14:paraId="7C332A47" w14:textId="77777777" w:rsidR="0054078B" w:rsidRPr="00137FEB" w:rsidRDefault="00016F29" w:rsidP="0054078B">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heart problems – such as reduced heart rate or chest pain (angina)</w:t>
      </w:r>
    </w:p>
    <w:p w14:paraId="7C332A48" w14:textId="77777777" w:rsidR="0054078B" w:rsidRPr="00137FEB" w:rsidRDefault="00016F29" w:rsidP="0054078B">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asthma, too little oxygen reaching the body organs</w:t>
      </w:r>
    </w:p>
    <w:p w14:paraId="7C332A49" w14:textId="77777777" w:rsidR="0054078B" w:rsidRPr="00137FEB" w:rsidRDefault="00016F29" w:rsidP="0054078B">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swelling of the stomach.</w:t>
      </w:r>
    </w:p>
    <w:p w14:paraId="7C332A4A" w14:textId="77777777" w:rsidR="0054078B" w:rsidRPr="00137FEB" w:rsidRDefault="0054078B" w:rsidP="0054078B">
      <w:pPr>
        <w:keepNext/>
        <w:keepLines/>
        <w:rPr>
          <w:b/>
          <w:snapToGrid w:val="0"/>
          <w:lang w:val="en-GB" w:eastAsia="en-US"/>
        </w:rPr>
      </w:pPr>
    </w:p>
    <w:p w14:paraId="7C332A4B" w14:textId="77777777" w:rsidR="0054078B" w:rsidRPr="003C313A" w:rsidRDefault="00016F29" w:rsidP="0054078B">
      <w:pPr>
        <w:rPr>
          <w:b/>
          <w:iCs/>
          <w:lang w:val="en-GB"/>
        </w:rPr>
      </w:pPr>
      <w:r w:rsidRPr="003C313A">
        <w:rPr>
          <w:b/>
          <w:iCs/>
          <w:lang w:val="en-GB"/>
        </w:rPr>
        <w:t>Very rare side effects (may affect up to 1 in 10, 000 people):</w:t>
      </w:r>
    </w:p>
    <w:p w14:paraId="7C332A4C" w14:textId="77777777" w:rsidR="0054078B" w:rsidRPr="00885E37" w:rsidRDefault="00016F29" w:rsidP="0054078B">
      <w:pPr>
        <w:tabs>
          <w:tab w:val="left" w:pos="567"/>
        </w:tabs>
        <w:ind w:left="567" w:hanging="567"/>
        <w:rPr>
          <w:szCs w:val="22"/>
          <w:lang w:val="en-GB" w:eastAsia="en-US"/>
        </w:rPr>
      </w:pPr>
      <w:r w:rsidRPr="005214E1">
        <w:rPr>
          <w:rFonts w:ascii="Symbol" w:hAnsi="Symbol"/>
          <w:lang w:val="en-GB"/>
        </w:rPr>
        <w:sym w:font="Symbol" w:char="F0B7"/>
      </w:r>
      <w:r w:rsidRPr="00885E37">
        <w:rPr>
          <w:szCs w:val="22"/>
          <w:lang w:val="en-GB"/>
        </w:rPr>
        <w:tab/>
      </w:r>
      <w:r w:rsidRPr="00885E37">
        <w:rPr>
          <w:szCs w:val="22"/>
          <w:lang w:val="en-GB" w:eastAsia="en-US"/>
        </w:rPr>
        <w:t>short term increase in the amount of some types of anti</w:t>
      </w:r>
      <w:r w:rsidR="000A6DDA" w:rsidRPr="00885E37">
        <w:rPr>
          <w:szCs w:val="22"/>
          <w:lang w:val="en-GB" w:eastAsia="en-US"/>
        </w:rPr>
        <w:noBreakHyphen/>
      </w:r>
      <w:r w:rsidRPr="00885E37">
        <w:rPr>
          <w:szCs w:val="22"/>
          <w:lang w:val="en-GB" w:eastAsia="en-US"/>
        </w:rPr>
        <w:t>bodies in the blood (called immunoglobulins – IgM), chemical disturbances in the blood caused by break</w:t>
      </w:r>
      <w:r w:rsidR="000A6DDA" w:rsidRPr="00885E37">
        <w:rPr>
          <w:szCs w:val="22"/>
          <w:lang w:val="en-GB" w:eastAsia="en-US"/>
        </w:rPr>
        <w:noBreakHyphen/>
      </w:r>
      <w:r w:rsidRPr="00885E37">
        <w:rPr>
          <w:szCs w:val="22"/>
          <w:lang w:val="en-GB" w:eastAsia="en-US"/>
        </w:rPr>
        <w:t>down of dying cancer cells</w:t>
      </w:r>
    </w:p>
    <w:p w14:paraId="7C332A4D" w14:textId="77777777" w:rsidR="0054078B" w:rsidRPr="00885E37" w:rsidRDefault="00016F29" w:rsidP="0054078B">
      <w:pPr>
        <w:tabs>
          <w:tab w:val="left" w:pos="567"/>
        </w:tabs>
        <w:ind w:left="567" w:hanging="567"/>
        <w:rPr>
          <w:szCs w:val="22"/>
          <w:lang w:val="en-GB" w:eastAsia="en-US"/>
        </w:rPr>
      </w:pPr>
      <w:r w:rsidRPr="005214E1">
        <w:rPr>
          <w:rFonts w:ascii="Symbol" w:hAnsi="Symbol"/>
          <w:lang w:val="en-GB"/>
        </w:rPr>
        <w:sym w:font="Symbol" w:char="F0B7"/>
      </w:r>
      <w:r w:rsidRPr="00885E37">
        <w:rPr>
          <w:szCs w:val="22"/>
          <w:lang w:val="en-GB"/>
        </w:rPr>
        <w:tab/>
      </w:r>
      <w:r w:rsidRPr="00885E37">
        <w:rPr>
          <w:szCs w:val="22"/>
          <w:lang w:val="en-GB" w:eastAsia="en-US"/>
        </w:rPr>
        <w:t>nerve damage in arms and legs, paralysed face</w:t>
      </w:r>
    </w:p>
    <w:p w14:paraId="7C332A4E" w14:textId="77777777" w:rsidR="0054078B" w:rsidRPr="00885E37" w:rsidRDefault="00016F29" w:rsidP="0054078B">
      <w:pPr>
        <w:tabs>
          <w:tab w:val="left" w:pos="567"/>
        </w:tabs>
        <w:ind w:left="567" w:hanging="567"/>
        <w:rPr>
          <w:szCs w:val="22"/>
          <w:lang w:val="en-GB" w:eastAsia="en-US"/>
        </w:rPr>
      </w:pPr>
      <w:r w:rsidRPr="005214E1">
        <w:rPr>
          <w:rFonts w:ascii="Symbol" w:hAnsi="Symbol"/>
          <w:lang w:val="en-GB"/>
        </w:rPr>
        <w:sym w:font="Symbol" w:char="F0B7"/>
      </w:r>
      <w:r w:rsidRPr="00885E37">
        <w:rPr>
          <w:szCs w:val="22"/>
          <w:lang w:val="en-GB"/>
        </w:rPr>
        <w:tab/>
      </w:r>
      <w:r w:rsidRPr="00885E37">
        <w:rPr>
          <w:szCs w:val="22"/>
          <w:lang w:val="en-GB" w:eastAsia="en-US"/>
        </w:rPr>
        <w:t>heart failure</w:t>
      </w:r>
    </w:p>
    <w:p w14:paraId="7C332A4F" w14:textId="77777777" w:rsidR="0054078B" w:rsidRPr="00137FEB" w:rsidRDefault="00016F29" w:rsidP="0054078B">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inflammation of blood vessels including those leading to skin symptoms</w:t>
      </w:r>
    </w:p>
    <w:p w14:paraId="7C332A50" w14:textId="77777777" w:rsidR="0054078B" w:rsidRPr="00137FEB" w:rsidRDefault="00016F29" w:rsidP="0054078B">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respiratory failure</w:t>
      </w:r>
    </w:p>
    <w:p w14:paraId="7C332A51" w14:textId="77777777" w:rsidR="0054078B" w:rsidRPr="00137FEB" w:rsidRDefault="00016F29" w:rsidP="0054078B">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damage to the intestinal wall (perforation)</w:t>
      </w:r>
    </w:p>
    <w:p w14:paraId="7C332A52" w14:textId="77777777" w:rsidR="0054078B" w:rsidRPr="00885E37" w:rsidRDefault="00016F29" w:rsidP="0054078B">
      <w:pPr>
        <w:tabs>
          <w:tab w:val="left" w:pos="567"/>
        </w:tabs>
        <w:ind w:left="567" w:hanging="567"/>
        <w:rPr>
          <w:szCs w:val="22"/>
          <w:lang w:val="en-GB" w:eastAsia="en-US"/>
        </w:rPr>
      </w:pPr>
      <w:r w:rsidRPr="005214E1">
        <w:rPr>
          <w:rFonts w:ascii="Symbol" w:hAnsi="Symbol"/>
          <w:lang w:val="en-GB"/>
        </w:rPr>
        <w:sym w:font="Symbol" w:char="F0B7"/>
      </w:r>
      <w:r w:rsidRPr="00885E37">
        <w:rPr>
          <w:szCs w:val="22"/>
          <w:lang w:val="en-GB"/>
        </w:rPr>
        <w:tab/>
      </w:r>
      <w:r w:rsidRPr="00885E37">
        <w:rPr>
          <w:szCs w:val="22"/>
          <w:lang w:val="en-GB" w:eastAsia="en-US"/>
        </w:rPr>
        <w:t>severe skin problems causing blisters that can be life</w:t>
      </w:r>
      <w:r w:rsidR="000A6DDA" w:rsidRPr="00885E37">
        <w:rPr>
          <w:szCs w:val="22"/>
          <w:lang w:val="en-GB" w:eastAsia="en-US"/>
        </w:rPr>
        <w:noBreakHyphen/>
      </w:r>
      <w:r w:rsidRPr="00885E37">
        <w:rPr>
          <w:szCs w:val="22"/>
          <w:lang w:val="en-GB" w:eastAsia="en-US"/>
        </w:rPr>
        <w:t xml:space="preserve">threatening </w:t>
      </w:r>
    </w:p>
    <w:p w14:paraId="7C332A53" w14:textId="77777777" w:rsidR="0054078B" w:rsidRPr="00137FEB" w:rsidRDefault="00016F29" w:rsidP="0054078B">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kidney failure</w:t>
      </w:r>
    </w:p>
    <w:p w14:paraId="7C332A54" w14:textId="77777777" w:rsidR="0054078B" w:rsidRPr="00D239C4" w:rsidRDefault="00016F29" w:rsidP="0054078B">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Severe vision loss (sign of brain nerve</w:t>
      </w:r>
      <w:r w:rsidRPr="001C0303">
        <w:rPr>
          <w:szCs w:val="22"/>
          <w:lang w:val="en-GB" w:eastAsia="en-US"/>
        </w:rPr>
        <w:t>s</w:t>
      </w:r>
      <w:r w:rsidRPr="00137FEB">
        <w:rPr>
          <w:szCs w:val="22"/>
          <w:lang w:val="en-GB" w:eastAsia="en-US"/>
        </w:rPr>
        <w:t xml:space="preserve"> damage).</w:t>
      </w:r>
    </w:p>
    <w:p w14:paraId="7C332A55" w14:textId="77777777" w:rsidR="0054078B" w:rsidRPr="000400ED" w:rsidRDefault="0054078B" w:rsidP="0054078B">
      <w:pPr>
        <w:rPr>
          <w:szCs w:val="22"/>
          <w:lang w:val="en-GB" w:eastAsia="en-US"/>
        </w:rPr>
      </w:pPr>
    </w:p>
    <w:p w14:paraId="7C332A56" w14:textId="77777777" w:rsidR="0054078B" w:rsidRPr="003C313A" w:rsidRDefault="00016F29" w:rsidP="0054078B">
      <w:pPr>
        <w:rPr>
          <w:b/>
          <w:iCs/>
          <w:lang w:val="en-GB"/>
        </w:rPr>
      </w:pPr>
      <w:r w:rsidRPr="003C313A">
        <w:rPr>
          <w:b/>
          <w:iCs/>
          <w:lang w:val="en-GB"/>
        </w:rPr>
        <w:t>Not known (it is not known how often these side effects happen):</w:t>
      </w:r>
    </w:p>
    <w:p w14:paraId="7C332A57" w14:textId="77777777" w:rsidR="0054078B" w:rsidRPr="00137FEB" w:rsidRDefault="00016F29" w:rsidP="0054078B">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a reduction in white blood cells which does not happen straight away</w:t>
      </w:r>
    </w:p>
    <w:p w14:paraId="7C332A58" w14:textId="77777777" w:rsidR="0054078B" w:rsidRPr="00137FEB" w:rsidRDefault="00016F29" w:rsidP="0054078B">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reduced platelets number just after the infusion – this can be reversed, but can be fatal in rare cases</w:t>
      </w:r>
    </w:p>
    <w:p w14:paraId="7C332A59" w14:textId="77777777" w:rsidR="0054078B" w:rsidRPr="00137FEB" w:rsidRDefault="00016F29" w:rsidP="0054078B">
      <w:pPr>
        <w:tabs>
          <w:tab w:val="left" w:pos="567"/>
        </w:tabs>
        <w:ind w:left="567" w:hanging="56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 xml:space="preserve">hearing loss, loss of other senses. </w:t>
      </w:r>
    </w:p>
    <w:p w14:paraId="7C332A5A" w14:textId="77777777" w:rsidR="0054078B" w:rsidRPr="00137FEB" w:rsidRDefault="0054078B" w:rsidP="0054078B">
      <w:pPr>
        <w:autoSpaceDE w:val="0"/>
        <w:autoSpaceDN w:val="0"/>
        <w:adjustRightInd w:val="0"/>
        <w:rPr>
          <w:rFonts w:ascii="TimesNewRoman" w:hAnsi="TimesNewRoman" w:cs="TimesNewRoman"/>
          <w:szCs w:val="22"/>
          <w:lang w:val="en-GB" w:eastAsia="en-GB"/>
        </w:rPr>
      </w:pPr>
    </w:p>
    <w:p w14:paraId="7C332A5B" w14:textId="77777777" w:rsidR="0054078B" w:rsidRPr="00843244" w:rsidRDefault="00016F29" w:rsidP="0054078B">
      <w:pPr>
        <w:autoSpaceDE w:val="0"/>
        <w:autoSpaceDN w:val="0"/>
        <w:adjustRightInd w:val="0"/>
        <w:rPr>
          <w:szCs w:val="22"/>
          <w:lang w:val="en-GB"/>
        </w:rPr>
      </w:pPr>
      <w:r w:rsidRPr="00843244">
        <w:rPr>
          <w:szCs w:val="22"/>
          <w:lang w:val="en-GB" w:eastAsia="en-GB"/>
        </w:rPr>
        <w:t xml:space="preserve">MabThera may also cause changes in laboratory tests carried out by your doctor. </w:t>
      </w:r>
    </w:p>
    <w:p w14:paraId="7C332A5C" w14:textId="77777777" w:rsidR="0054078B" w:rsidRPr="000400ED" w:rsidRDefault="0054078B" w:rsidP="0054078B">
      <w:pPr>
        <w:rPr>
          <w:szCs w:val="22"/>
          <w:lang w:val="en-GB"/>
        </w:rPr>
      </w:pPr>
    </w:p>
    <w:p w14:paraId="7C332A5D" w14:textId="77777777" w:rsidR="0054078B" w:rsidRPr="00D3771E" w:rsidRDefault="00016F29" w:rsidP="0054078B">
      <w:pPr>
        <w:rPr>
          <w:szCs w:val="22"/>
          <w:lang w:val="en-GB"/>
        </w:rPr>
      </w:pPr>
      <w:r w:rsidRPr="001976F0">
        <w:rPr>
          <w:szCs w:val="22"/>
          <w:lang w:val="en-GB"/>
        </w:rPr>
        <w:t>If you are having MabThera with oth</w:t>
      </w:r>
      <w:r w:rsidRPr="00D3771E">
        <w:rPr>
          <w:szCs w:val="22"/>
          <w:lang w:val="en-GB"/>
        </w:rPr>
        <w:t>er medicines, some of the side effects you may get may be due to the other medicines.</w:t>
      </w:r>
    </w:p>
    <w:p w14:paraId="7C332A5E" w14:textId="77777777" w:rsidR="0054078B" w:rsidRPr="009F47AE" w:rsidRDefault="0054078B" w:rsidP="0054078B">
      <w:pPr>
        <w:rPr>
          <w:b/>
          <w:szCs w:val="22"/>
          <w:lang w:val="en-GB"/>
        </w:rPr>
      </w:pPr>
    </w:p>
    <w:p w14:paraId="7C332A5F" w14:textId="77777777" w:rsidR="0054078B" w:rsidRPr="00C17ED3" w:rsidRDefault="00016F29" w:rsidP="0054078B">
      <w:pPr>
        <w:rPr>
          <w:szCs w:val="22"/>
          <w:u w:val="single"/>
          <w:lang w:val="en-GB"/>
        </w:rPr>
      </w:pPr>
      <w:r w:rsidRPr="00C17ED3">
        <w:rPr>
          <w:szCs w:val="22"/>
          <w:u w:val="single"/>
          <w:lang w:val="en-GB"/>
        </w:rPr>
        <w:t>Reporting of side effects</w:t>
      </w:r>
    </w:p>
    <w:p w14:paraId="7C332A60" w14:textId="77777777" w:rsidR="0054078B" w:rsidRPr="00137FEB" w:rsidRDefault="00016F29" w:rsidP="0054078B">
      <w:pPr>
        <w:rPr>
          <w:b/>
          <w:szCs w:val="22"/>
          <w:lang w:val="en-GB"/>
        </w:rPr>
      </w:pPr>
      <w:r w:rsidRPr="00C17ED3">
        <w:rPr>
          <w:szCs w:val="22"/>
          <w:lang w:val="en-GB"/>
        </w:rPr>
        <w:t xml:space="preserve">If you get any side effects talk to your doctor, pharmacist or nurse. This includes any possible side effects not listed in this leaflet. You can also report side effects directly </w:t>
      </w:r>
      <w:r w:rsidRPr="00AC441E">
        <w:rPr>
          <w:szCs w:val="22"/>
          <w:shd w:val="clear" w:color="auto" w:fill="D9D9D9"/>
          <w:lang w:val="en-GB"/>
        </w:rPr>
        <w:t xml:space="preserve">via the national reporting system listed in </w:t>
      </w:r>
      <w:hyperlink r:id="rId26" w:history="1">
        <w:r w:rsidRPr="00AB0348">
          <w:rPr>
            <w:rStyle w:val="Hyperlink"/>
            <w:highlight w:val="lightGray"/>
            <w:shd w:val="clear" w:color="auto" w:fill="D9D9D9"/>
            <w:lang w:val="en-GB"/>
          </w:rPr>
          <w:t>Appendix V</w:t>
        </w:r>
      </w:hyperlink>
      <w:r w:rsidRPr="00C17ED3">
        <w:rPr>
          <w:szCs w:val="22"/>
          <w:lang w:val="en-GB"/>
        </w:rPr>
        <w:t>. By reporting side effects you can help provide more information on the safety of this medicine.</w:t>
      </w:r>
    </w:p>
    <w:p w14:paraId="7C332A61" w14:textId="77777777" w:rsidR="0054078B" w:rsidRPr="00D239C4" w:rsidRDefault="0054078B" w:rsidP="0054078B">
      <w:pPr>
        <w:numPr>
          <w:ilvl w:val="12"/>
          <w:numId w:val="0"/>
        </w:numPr>
        <w:ind w:right="-2"/>
        <w:rPr>
          <w:lang w:val="en-GB" w:eastAsia="en-US"/>
        </w:rPr>
      </w:pPr>
    </w:p>
    <w:p w14:paraId="7C332A62" w14:textId="77777777" w:rsidR="0054078B" w:rsidRPr="000400ED" w:rsidRDefault="0054078B" w:rsidP="0054078B">
      <w:pPr>
        <w:numPr>
          <w:ilvl w:val="12"/>
          <w:numId w:val="0"/>
        </w:numPr>
        <w:ind w:right="-2"/>
        <w:rPr>
          <w:lang w:val="en-GB" w:eastAsia="en-US"/>
        </w:rPr>
      </w:pPr>
    </w:p>
    <w:p w14:paraId="7C332A63" w14:textId="77777777" w:rsidR="0054078B" w:rsidRPr="00D3771E" w:rsidRDefault="00016F29" w:rsidP="0054078B">
      <w:pPr>
        <w:numPr>
          <w:ilvl w:val="12"/>
          <w:numId w:val="0"/>
        </w:numPr>
        <w:ind w:right="-2"/>
        <w:rPr>
          <w:b/>
          <w:sz w:val="24"/>
          <w:szCs w:val="22"/>
          <w:lang w:val="en-GB" w:eastAsia="en-US"/>
        </w:rPr>
      </w:pPr>
      <w:r w:rsidRPr="001976F0">
        <w:rPr>
          <w:b/>
          <w:sz w:val="24"/>
          <w:szCs w:val="22"/>
          <w:lang w:val="en-GB" w:eastAsia="en-US"/>
        </w:rPr>
        <w:t>5</w:t>
      </w:r>
      <w:r w:rsidRPr="001976F0">
        <w:rPr>
          <w:b/>
          <w:sz w:val="24"/>
          <w:szCs w:val="22"/>
          <w:lang w:val="en-GB" w:eastAsia="en-US"/>
        </w:rPr>
        <w:tab/>
        <w:t>How to store MabThera</w:t>
      </w:r>
    </w:p>
    <w:p w14:paraId="7C332A64" w14:textId="77777777" w:rsidR="0054078B" w:rsidRPr="009F47AE" w:rsidRDefault="0054078B" w:rsidP="0054078B">
      <w:pPr>
        <w:numPr>
          <w:ilvl w:val="12"/>
          <w:numId w:val="0"/>
        </w:numPr>
        <w:ind w:right="-2"/>
        <w:rPr>
          <w:lang w:val="en-GB" w:eastAsia="en-US"/>
        </w:rPr>
      </w:pPr>
    </w:p>
    <w:p w14:paraId="7C332A65" w14:textId="77777777" w:rsidR="0054078B" w:rsidRPr="00D50019" w:rsidRDefault="00016F29" w:rsidP="0054078B">
      <w:pPr>
        <w:numPr>
          <w:ilvl w:val="12"/>
          <w:numId w:val="0"/>
        </w:numPr>
        <w:ind w:right="-2"/>
        <w:rPr>
          <w:lang w:val="en-GB" w:eastAsia="en-US"/>
        </w:rPr>
      </w:pPr>
      <w:r w:rsidRPr="00D50019">
        <w:rPr>
          <w:lang w:val="en-GB" w:eastAsia="en-US"/>
        </w:rPr>
        <w:t>Keep this medicine out of the sight and reach of children.</w:t>
      </w:r>
    </w:p>
    <w:p w14:paraId="7C332A66" w14:textId="77777777" w:rsidR="0054078B" w:rsidRPr="009A4E5A" w:rsidRDefault="0054078B" w:rsidP="0054078B">
      <w:pPr>
        <w:tabs>
          <w:tab w:val="left" w:pos="567"/>
        </w:tabs>
        <w:rPr>
          <w:szCs w:val="22"/>
          <w:lang w:val="en-GB" w:eastAsia="en-US"/>
        </w:rPr>
      </w:pPr>
    </w:p>
    <w:p w14:paraId="7C332A67" w14:textId="77777777" w:rsidR="0054078B" w:rsidRPr="00FC61B8" w:rsidRDefault="00016F29" w:rsidP="0054078B">
      <w:pPr>
        <w:tabs>
          <w:tab w:val="left" w:pos="567"/>
        </w:tabs>
        <w:rPr>
          <w:szCs w:val="22"/>
          <w:lang w:val="en-GB" w:eastAsia="en-US"/>
        </w:rPr>
      </w:pPr>
      <w:r w:rsidRPr="009A4E5A">
        <w:rPr>
          <w:szCs w:val="22"/>
          <w:lang w:val="en-GB" w:eastAsia="en-US"/>
        </w:rPr>
        <w:t>Do not use this medicine after the expiry date which is stated on the carton after EXP. The expiry date refers to the la</w:t>
      </w:r>
      <w:r w:rsidRPr="00FC61B8">
        <w:rPr>
          <w:szCs w:val="22"/>
          <w:lang w:val="en-GB" w:eastAsia="en-US"/>
        </w:rPr>
        <w:t>st day of that month.</w:t>
      </w:r>
    </w:p>
    <w:p w14:paraId="7C332A68" w14:textId="77777777" w:rsidR="0054078B" w:rsidRPr="00FC61B8" w:rsidRDefault="0054078B" w:rsidP="0054078B">
      <w:pPr>
        <w:tabs>
          <w:tab w:val="left" w:pos="567"/>
        </w:tabs>
        <w:rPr>
          <w:szCs w:val="22"/>
          <w:lang w:val="en-GB" w:eastAsia="en-US"/>
        </w:rPr>
      </w:pPr>
    </w:p>
    <w:p w14:paraId="7C332A69" w14:textId="77777777" w:rsidR="0054078B" w:rsidRPr="00FC61B8" w:rsidRDefault="00016F29" w:rsidP="0054078B">
      <w:pPr>
        <w:tabs>
          <w:tab w:val="left" w:pos="567"/>
        </w:tabs>
        <w:rPr>
          <w:szCs w:val="22"/>
          <w:lang w:val="en-GB" w:eastAsia="en-US"/>
        </w:rPr>
      </w:pPr>
      <w:r w:rsidRPr="00FC61B8">
        <w:rPr>
          <w:szCs w:val="22"/>
          <w:lang w:val="en-GB" w:eastAsia="en-US"/>
        </w:rPr>
        <w:t>Store in a refrigerator (2 °C to 8 °C). Do not freeze. Keep the container in the outer carton in order to protect from light.</w:t>
      </w:r>
    </w:p>
    <w:p w14:paraId="7C332A6A" w14:textId="77777777" w:rsidR="0054078B" w:rsidRPr="00CD7883" w:rsidRDefault="0054078B" w:rsidP="0054078B">
      <w:pPr>
        <w:tabs>
          <w:tab w:val="left" w:pos="567"/>
        </w:tabs>
        <w:rPr>
          <w:szCs w:val="22"/>
          <w:lang w:val="en-GB" w:eastAsia="en-US"/>
        </w:rPr>
      </w:pPr>
    </w:p>
    <w:p w14:paraId="7C332A6B" w14:textId="77777777" w:rsidR="0054078B" w:rsidRPr="00CD7883" w:rsidRDefault="00016F29" w:rsidP="0054078B">
      <w:pPr>
        <w:tabs>
          <w:tab w:val="left" w:pos="567"/>
        </w:tabs>
        <w:ind w:right="-2"/>
        <w:rPr>
          <w:lang w:val="en-GB" w:eastAsia="en-US"/>
        </w:rPr>
      </w:pPr>
      <w:r w:rsidRPr="00CD7883">
        <w:rPr>
          <w:lang w:val="en-GB" w:eastAsia="en-US"/>
        </w:rPr>
        <w:t>Do not throw away any medicines via wastewater or household waste. Ask your pharmacist how to throw away medicines you no longer use. These measures will help protect the environment.</w:t>
      </w:r>
    </w:p>
    <w:p w14:paraId="7C332A6C" w14:textId="77777777" w:rsidR="0054078B" w:rsidRPr="00CD7883" w:rsidRDefault="0054078B" w:rsidP="0054078B">
      <w:pPr>
        <w:numPr>
          <w:ilvl w:val="12"/>
          <w:numId w:val="0"/>
        </w:numPr>
        <w:ind w:right="-2"/>
        <w:rPr>
          <w:lang w:val="en-GB" w:eastAsia="en-US"/>
        </w:rPr>
      </w:pPr>
    </w:p>
    <w:p w14:paraId="7C332A6D" w14:textId="77777777" w:rsidR="0054078B" w:rsidRPr="00DE32D5" w:rsidRDefault="0054078B" w:rsidP="0054078B">
      <w:pPr>
        <w:numPr>
          <w:ilvl w:val="12"/>
          <w:numId w:val="0"/>
        </w:numPr>
        <w:ind w:right="-2"/>
        <w:rPr>
          <w:lang w:val="en-GB" w:eastAsia="en-US"/>
        </w:rPr>
      </w:pPr>
    </w:p>
    <w:p w14:paraId="7C332A6E" w14:textId="77777777" w:rsidR="0054078B" w:rsidRPr="0012747B" w:rsidRDefault="00016F29" w:rsidP="0054078B">
      <w:pPr>
        <w:outlineLvl w:val="0"/>
        <w:rPr>
          <w:b/>
          <w:sz w:val="24"/>
          <w:szCs w:val="22"/>
          <w:lang w:val="en-GB" w:eastAsia="en-US"/>
        </w:rPr>
      </w:pPr>
      <w:r w:rsidRPr="00DE32D5">
        <w:rPr>
          <w:b/>
          <w:sz w:val="24"/>
          <w:szCs w:val="22"/>
          <w:lang w:val="en-GB" w:eastAsia="en-US"/>
        </w:rPr>
        <w:t>6</w:t>
      </w:r>
      <w:r w:rsidRPr="00DE32D5">
        <w:rPr>
          <w:b/>
          <w:sz w:val="24"/>
          <w:szCs w:val="22"/>
          <w:lang w:val="en-GB" w:eastAsia="en-US"/>
        </w:rPr>
        <w:tab/>
        <w:t>Contents of the pack and other information</w:t>
      </w:r>
    </w:p>
    <w:p w14:paraId="7C332A6F" w14:textId="77777777" w:rsidR="0054078B" w:rsidRPr="009C488C" w:rsidRDefault="0054078B" w:rsidP="0054078B">
      <w:pPr>
        <w:outlineLvl w:val="0"/>
        <w:rPr>
          <w:b/>
          <w:bCs/>
          <w:szCs w:val="22"/>
          <w:lang w:val="en-GB"/>
        </w:rPr>
      </w:pPr>
    </w:p>
    <w:p w14:paraId="7C332A70" w14:textId="77777777" w:rsidR="0054078B" w:rsidRPr="00295A1D" w:rsidRDefault="00016F29" w:rsidP="0054078B">
      <w:pPr>
        <w:outlineLvl w:val="0"/>
        <w:rPr>
          <w:b/>
          <w:bCs/>
          <w:szCs w:val="22"/>
          <w:lang w:val="en-GB"/>
        </w:rPr>
      </w:pPr>
      <w:r w:rsidRPr="00870B51">
        <w:rPr>
          <w:b/>
          <w:bCs/>
          <w:szCs w:val="22"/>
          <w:lang w:val="en-GB"/>
        </w:rPr>
        <w:t>What MabTh</w:t>
      </w:r>
      <w:r w:rsidRPr="00EA11D5">
        <w:rPr>
          <w:b/>
          <w:bCs/>
          <w:szCs w:val="22"/>
          <w:lang w:val="en-GB"/>
        </w:rPr>
        <w:t xml:space="preserve">era </w:t>
      </w:r>
      <w:r w:rsidR="00CF5B81" w:rsidRPr="00941759">
        <w:rPr>
          <w:b/>
          <w:szCs w:val="22"/>
          <w:shd w:val="clear" w:color="auto" w:fill="FFFFFF"/>
          <w:lang w:val="en-GB"/>
        </w:rPr>
        <w:t>1600</w:t>
      </w:r>
      <w:r w:rsidR="00CF5B81" w:rsidRPr="00EA11D5">
        <w:rPr>
          <w:b/>
          <w:szCs w:val="22"/>
          <w:lang w:val="en-GB"/>
        </w:rPr>
        <w:t> </w:t>
      </w:r>
      <w:r w:rsidRPr="00EA11D5">
        <w:rPr>
          <w:b/>
          <w:szCs w:val="22"/>
          <w:lang w:val="en-GB"/>
        </w:rPr>
        <w:t>mg</w:t>
      </w:r>
      <w:r w:rsidRPr="00B0192B">
        <w:rPr>
          <w:b/>
          <w:szCs w:val="22"/>
          <w:lang w:val="en-GB"/>
        </w:rPr>
        <w:t xml:space="preserve"> solution for subcutaneous injection</w:t>
      </w:r>
      <w:r w:rsidRPr="00295A1D">
        <w:rPr>
          <w:b/>
          <w:bCs/>
          <w:szCs w:val="22"/>
          <w:lang w:val="en-GB"/>
        </w:rPr>
        <w:t xml:space="preserve"> contains</w:t>
      </w:r>
    </w:p>
    <w:p w14:paraId="7C332A71" w14:textId="77777777" w:rsidR="0054078B" w:rsidRPr="00D50019" w:rsidRDefault="00016F29" w:rsidP="0054078B">
      <w:pPr>
        <w:tabs>
          <w:tab w:val="left" w:pos="567"/>
        </w:tabs>
        <w:ind w:left="357" w:hanging="357"/>
        <w:rPr>
          <w:szCs w:val="22"/>
          <w:lang w:val="en-GB" w:eastAsia="en-US"/>
        </w:rPr>
      </w:pPr>
      <w:r w:rsidRPr="005214E1">
        <w:rPr>
          <w:rFonts w:ascii="Symbol" w:hAnsi="Symbol"/>
          <w:lang w:val="en-GB"/>
        </w:rPr>
        <w:sym w:font="Symbol" w:char="F0B7"/>
      </w:r>
      <w:r w:rsidRPr="003C313A">
        <w:rPr>
          <w:szCs w:val="22"/>
          <w:lang w:val="en-GB"/>
        </w:rPr>
        <w:tab/>
      </w:r>
      <w:r w:rsidRPr="00137FEB">
        <w:rPr>
          <w:szCs w:val="22"/>
          <w:lang w:val="en-GB" w:eastAsia="en-US"/>
        </w:rPr>
        <w:t xml:space="preserve">The active ingredient is rituximab. Each vial </w:t>
      </w:r>
      <w:r w:rsidRPr="001F63EB">
        <w:rPr>
          <w:szCs w:val="22"/>
          <w:lang w:val="en-GB" w:eastAsia="en-US"/>
        </w:rPr>
        <w:t xml:space="preserve">contains </w:t>
      </w:r>
      <w:r w:rsidR="00CF5B81" w:rsidRPr="00941759">
        <w:rPr>
          <w:b/>
          <w:szCs w:val="22"/>
          <w:shd w:val="clear" w:color="auto" w:fill="FFFFFF"/>
          <w:lang w:val="en-GB"/>
        </w:rPr>
        <w:t>1600</w:t>
      </w:r>
      <w:r w:rsidR="00CF5B81" w:rsidRPr="001F63EB">
        <w:rPr>
          <w:b/>
          <w:szCs w:val="22"/>
          <w:lang w:val="en-GB"/>
        </w:rPr>
        <w:t> </w:t>
      </w:r>
      <w:r w:rsidRPr="001F63EB">
        <w:rPr>
          <w:szCs w:val="22"/>
          <w:lang w:val="en-GB" w:eastAsia="en-US"/>
        </w:rPr>
        <w:t> mg/</w:t>
      </w:r>
      <w:r w:rsidR="002A0AA2" w:rsidRPr="00941759">
        <w:rPr>
          <w:szCs w:val="22"/>
          <w:shd w:val="clear" w:color="auto" w:fill="FFFFFF"/>
          <w:lang w:val="en-GB" w:eastAsia="en-US"/>
        </w:rPr>
        <w:t>13.4</w:t>
      </w:r>
      <w:r w:rsidRPr="001F63EB">
        <w:rPr>
          <w:szCs w:val="22"/>
          <w:lang w:val="en-GB" w:eastAsia="en-US"/>
        </w:rPr>
        <w:t xml:space="preserve"> mL</w:t>
      </w:r>
      <w:r w:rsidRPr="000400ED">
        <w:rPr>
          <w:szCs w:val="22"/>
          <w:lang w:val="en-GB" w:eastAsia="en-US"/>
        </w:rPr>
        <w:t xml:space="preserve"> of rituximab</w:t>
      </w:r>
      <w:r w:rsidRPr="00D50019">
        <w:rPr>
          <w:szCs w:val="22"/>
          <w:lang w:val="en-GB" w:eastAsia="en-US"/>
        </w:rPr>
        <w:t>.</w:t>
      </w:r>
    </w:p>
    <w:p w14:paraId="7C332A72" w14:textId="77777777" w:rsidR="0054078B" w:rsidRPr="009A4E5A" w:rsidRDefault="00016F29" w:rsidP="0054078B">
      <w:pPr>
        <w:tabs>
          <w:tab w:val="left" w:pos="567"/>
        </w:tabs>
        <w:ind w:left="567"/>
        <w:rPr>
          <w:szCs w:val="22"/>
          <w:lang w:val="en-GB" w:eastAsia="en-US"/>
        </w:rPr>
      </w:pPr>
      <w:r w:rsidRPr="009A4E5A">
        <w:rPr>
          <w:szCs w:val="22"/>
          <w:lang w:val="en-GB" w:eastAsia="en-GB"/>
        </w:rPr>
        <w:t>Each mL contains 120 mg of rituximab.</w:t>
      </w:r>
    </w:p>
    <w:p w14:paraId="7C332A73" w14:textId="77777777" w:rsidR="0054078B" w:rsidRPr="00FC61B8" w:rsidRDefault="0054078B" w:rsidP="0054078B">
      <w:pPr>
        <w:rPr>
          <w:szCs w:val="22"/>
          <w:lang w:val="en-GB" w:eastAsia="en-US"/>
        </w:rPr>
      </w:pPr>
    </w:p>
    <w:p w14:paraId="7C332A74" w14:textId="77777777" w:rsidR="0054078B" w:rsidRPr="00137FEB" w:rsidRDefault="00016F29" w:rsidP="0054078B">
      <w:pPr>
        <w:tabs>
          <w:tab w:val="left" w:pos="567"/>
        </w:tabs>
        <w:ind w:left="357" w:hanging="357"/>
        <w:rPr>
          <w:szCs w:val="22"/>
          <w:lang w:val="en-GB" w:eastAsia="en-US"/>
        </w:rPr>
      </w:pPr>
      <w:r w:rsidRPr="005214E1">
        <w:rPr>
          <w:rFonts w:ascii="Symbol" w:hAnsi="Symbol"/>
          <w:lang w:val="en-GB"/>
        </w:rPr>
        <w:sym w:font="Symbol" w:char="F0B7"/>
      </w:r>
      <w:r w:rsidRPr="00885E37">
        <w:rPr>
          <w:szCs w:val="22"/>
          <w:lang w:val="en-GB"/>
        </w:rPr>
        <w:tab/>
      </w:r>
      <w:r w:rsidRPr="00885E37">
        <w:rPr>
          <w:szCs w:val="22"/>
          <w:lang w:val="en-GB" w:eastAsia="en-US"/>
        </w:rPr>
        <w:t>The other ingredients are recombinant human hyaluronidase (rHuPH20), L</w:t>
      </w:r>
      <w:r w:rsidR="000A6DDA" w:rsidRPr="00885E37">
        <w:rPr>
          <w:szCs w:val="22"/>
          <w:lang w:val="en-GB" w:eastAsia="en-US"/>
        </w:rPr>
        <w:noBreakHyphen/>
      </w:r>
      <w:r w:rsidRPr="00885E37">
        <w:rPr>
          <w:szCs w:val="22"/>
          <w:lang w:val="en-GB" w:eastAsia="en-US"/>
        </w:rPr>
        <w:t>histidine, L</w:t>
      </w:r>
      <w:r w:rsidR="000A6DDA" w:rsidRPr="00885E37">
        <w:rPr>
          <w:szCs w:val="22"/>
          <w:lang w:val="en-GB" w:eastAsia="en-US"/>
        </w:rPr>
        <w:noBreakHyphen/>
      </w:r>
      <w:r w:rsidRPr="00885E37">
        <w:rPr>
          <w:szCs w:val="22"/>
          <w:lang w:val="en-GB" w:eastAsia="en-US"/>
        </w:rPr>
        <w:t xml:space="preserve">histidine hydrochloride monohydrate, </w:t>
      </w:r>
      <w:r w:rsidR="007830E0" w:rsidRPr="00885E37">
        <w:rPr>
          <w:rFonts w:ascii="Symbol" w:hAnsi="Symbol"/>
          <w:szCs w:val="22"/>
          <w:lang w:val="en-GB" w:eastAsia="en-US"/>
        </w:rPr>
        <w:sym w:font="Symbol" w:char="F061"/>
      </w:r>
      <w:r w:rsidR="007830E0" w:rsidRPr="00885E37">
        <w:rPr>
          <w:szCs w:val="22"/>
          <w:lang w:val="en-GB" w:eastAsia="en-US"/>
        </w:rPr>
        <w:t>,</w:t>
      </w:r>
      <w:r w:rsidR="007830E0" w:rsidRPr="00885E37">
        <w:rPr>
          <w:rFonts w:ascii="Symbol" w:hAnsi="Symbol"/>
          <w:szCs w:val="22"/>
          <w:lang w:val="en-GB" w:eastAsia="en-US"/>
        </w:rPr>
        <w:sym w:font="Symbol" w:char="F061"/>
      </w:r>
      <w:r w:rsidR="000A6DDA" w:rsidRPr="00885E37">
        <w:rPr>
          <w:szCs w:val="22"/>
          <w:lang w:val="en-GB" w:eastAsia="en-US"/>
        </w:rPr>
        <w:noBreakHyphen/>
      </w:r>
      <w:r w:rsidRPr="00885E37">
        <w:rPr>
          <w:szCs w:val="22"/>
          <w:lang w:val="en-GB" w:eastAsia="en-US"/>
        </w:rPr>
        <w:t>trehalose dihydrate, L</w:t>
      </w:r>
      <w:r w:rsidR="000A6DDA" w:rsidRPr="00885E37">
        <w:rPr>
          <w:szCs w:val="22"/>
          <w:lang w:val="en-GB" w:eastAsia="en-US"/>
        </w:rPr>
        <w:noBreakHyphen/>
      </w:r>
      <w:r w:rsidRPr="00885E37">
        <w:rPr>
          <w:szCs w:val="22"/>
          <w:lang w:val="en-GB" w:eastAsia="en-US"/>
        </w:rPr>
        <w:t>methionine, polysorbate 80 and water</w:t>
      </w:r>
      <w:r w:rsidRPr="00137FEB">
        <w:rPr>
          <w:szCs w:val="22"/>
          <w:lang w:val="en-GB" w:eastAsia="en-US"/>
        </w:rPr>
        <w:t xml:space="preserve"> for injections.</w:t>
      </w:r>
    </w:p>
    <w:p w14:paraId="7C332A75" w14:textId="77777777" w:rsidR="0054078B" w:rsidRPr="00137FEB" w:rsidRDefault="0054078B" w:rsidP="0054078B">
      <w:pPr>
        <w:numPr>
          <w:ilvl w:val="12"/>
          <w:numId w:val="0"/>
        </w:numPr>
        <w:ind w:right="-2"/>
        <w:outlineLvl w:val="0"/>
        <w:rPr>
          <w:b/>
          <w:bCs/>
          <w:lang w:val="en-GB"/>
        </w:rPr>
      </w:pPr>
    </w:p>
    <w:p w14:paraId="7C332A76" w14:textId="77777777" w:rsidR="0054078B" w:rsidRPr="001F63EB" w:rsidRDefault="00016F29" w:rsidP="0054078B">
      <w:pPr>
        <w:numPr>
          <w:ilvl w:val="12"/>
          <w:numId w:val="0"/>
        </w:numPr>
        <w:ind w:right="-2"/>
        <w:outlineLvl w:val="0"/>
        <w:rPr>
          <w:b/>
          <w:bCs/>
          <w:lang w:val="en-GB"/>
        </w:rPr>
      </w:pPr>
      <w:r w:rsidRPr="001F63EB">
        <w:rPr>
          <w:b/>
          <w:bCs/>
          <w:lang w:val="en-GB"/>
        </w:rPr>
        <w:t xml:space="preserve">What MabThera </w:t>
      </w:r>
      <w:r w:rsidR="00CF5B81" w:rsidRPr="00941759">
        <w:rPr>
          <w:b/>
          <w:szCs w:val="22"/>
          <w:shd w:val="clear" w:color="auto" w:fill="FFFFFF"/>
          <w:lang w:val="en-GB"/>
        </w:rPr>
        <w:t>1600</w:t>
      </w:r>
      <w:r w:rsidR="00CF5B81" w:rsidRPr="001F63EB">
        <w:rPr>
          <w:b/>
          <w:szCs w:val="22"/>
          <w:lang w:val="en-GB"/>
        </w:rPr>
        <w:t> </w:t>
      </w:r>
      <w:r w:rsidRPr="001F63EB">
        <w:rPr>
          <w:b/>
          <w:szCs w:val="22"/>
          <w:lang w:val="en-GB"/>
        </w:rPr>
        <w:t> mg solution for subcutaneous injection</w:t>
      </w:r>
      <w:r w:rsidRPr="001F63EB">
        <w:rPr>
          <w:b/>
          <w:bCs/>
          <w:lang w:val="en-GB"/>
        </w:rPr>
        <w:t xml:space="preserve"> looks like and contents of the pack</w:t>
      </w:r>
    </w:p>
    <w:p w14:paraId="7C332A77" w14:textId="77777777" w:rsidR="0054078B" w:rsidRPr="00885E37" w:rsidRDefault="00016F29" w:rsidP="0054078B">
      <w:pPr>
        <w:rPr>
          <w:szCs w:val="22"/>
          <w:lang w:val="en-GB"/>
        </w:rPr>
      </w:pPr>
      <w:r w:rsidRPr="001F63EB">
        <w:rPr>
          <w:szCs w:val="22"/>
          <w:lang w:val="en-GB"/>
        </w:rPr>
        <w:t xml:space="preserve">MabThera is a ready to use, clear to opalescent, colourless to yellowish liquid, supplied as a solution for subcutaneous injection in a colourless glass vial </w:t>
      </w:r>
      <w:r w:rsidRPr="001F63EB">
        <w:rPr>
          <w:szCs w:val="22"/>
          <w:lang w:val="en-GB" w:eastAsia="en-US"/>
        </w:rPr>
        <w:t xml:space="preserve">with a butyl rubber stopper with aluminium over </w:t>
      </w:r>
      <w:r w:rsidRPr="00885E37">
        <w:rPr>
          <w:szCs w:val="22"/>
          <w:lang w:val="en-GB" w:eastAsia="en-US"/>
        </w:rPr>
        <w:t xml:space="preserve">seal and a </w:t>
      </w:r>
      <w:r w:rsidR="00A67A3F" w:rsidRPr="00885E37">
        <w:rPr>
          <w:szCs w:val="22"/>
          <w:shd w:val="clear" w:color="auto" w:fill="FFFFFF"/>
          <w:lang w:val="en-GB" w:eastAsia="en-US"/>
        </w:rPr>
        <w:t>blue</w:t>
      </w:r>
      <w:r w:rsidR="00A67A3F" w:rsidRPr="00885E37">
        <w:rPr>
          <w:szCs w:val="22"/>
          <w:lang w:val="en-GB" w:eastAsia="en-US"/>
        </w:rPr>
        <w:t xml:space="preserve"> </w:t>
      </w:r>
      <w:r w:rsidRPr="00885E37">
        <w:rPr>
          <w:szCs w:val="22"/>
          <w:lang w:val="en-GB" w:eastAsia="en-US"/>
        </w:rPr>
        <w:t>plastic flip</w:t>
      </w:r>
      <w:r w:rsidR="000A6DDA" w:rsidRPr="00885E37">
        <w:rPr>
          <w:szCs w:val="22"/>
          <w:lang w:val="en-GB" w:eastAsia="en-US"/>
        </w:rPr>
        <w:noBreakHyphen/>
      </w:r>
      <w:r w:rsidRPr="00885E37">
        <w:rPr>
          <w:szCs w:val="22"/>
          <w:lang w:val="en-GB" w:eastAsia="en-US"/>
        </w:rPr>
        <w:t>off disk</w:t>
      </w:r>
      <w:r w:rsidRPr="00885E37">
        <w:rPr>
          <w:szCs w:val="22"/>
          <w:lang w:val="en-GB"/>
        </w:rPr>
        <w:t>.</w:t>
      </w:r>
      <w:r w:rsidR="00B97E6E" w:rsidRPr="00885E37">
        <w:rPr>
          <w:szCs w:val="22"/>
          <w:lang w:val="en-GB"/>
        </w:rPr>
        <w:t xml:space="preserve"> </w:t>
      </w:r>
    </w:p>
    <w:p w14:paraId="7C332A78" w14:textId="77777777" w:rsidR="0054078B" w:rsidRPr="00885E37" w:rsidRDefault="0054078B" w:rsidP="0054078B">
      <w:pPr>
        <w:tabs>
          <w:tab w:val="left" w:pos="567"/>
        </w:tabs>
        <w:rPr>
          <w:b/>
          <w:szCs w:val="22"/>
          <w:lang w:val="en-GB"/>
        </w:rPr>
      </w:pPr>
    </w:p>
    <w:p w14:paraId="7C332A79" w14:textId="77777777" w:rsidR="0054078B" w:rsidRPr="00885E37" w:rsidRDefault="00016F29" w:rsidP="00063D4E">
      <w:pPr>
        <w:keepNext/>
        <w:keepLines/>
        <w:tabs>
          <w:tab w:val="left" w:pos="567"/>
        </w:tabs>
        <w:rPr>
          <w:b/>
          <w:szCs w:val="22"/>
          <w:lang w:val="en-GB" w:eastAsia="en-US"/>
        </w:rPr>
      </w:pPr>
      <w:r w:rsidRPr="00885E37">
        <w:rPr>
          <w:szCs w:val="22"/>
          <w:lang w:val="en-GB"/>
        </w:rPr>
        <w:t xml:space="preserve">Each vial contains </w:t>
      </w:r>
      <w:r w:rsidR="00A67A3F" w:rsidRPr="00885E37">
        <w:rPr>
          <w:szCs w:val="22"/>
          <w:shd w:val="clear" w:color="auto" w:fill="FFFFFF"/>
          <w:lang w:val="en-GB"/>
        </w:rPr>
        <w:t xml:space="preserve">1600 </w:t>
      </w:r>
      <w:r w:rsidRPr="00885E37">
        <w:rPr>
          <w:szCs w:val="22"/>
          <w:lang w:val="en-GB"/>
        </w:rPr>
        <w:t>mg/</w:t>
      </w:r>
      <w:r w:rsidR="00E7143F" w:rsidRPr="00885E37">
        <w:rPr>
          <w:szCs w:val="22"/>
          <w:shd w:val="clear" w:color="auto" w:fill="FFFFFF"/>
          <w:lang w:val="en-GB"/>
        </w:rPr>
        <w:t>13.4</w:t>
      </w:r>
      <w:r w:rsidRPr="00885E37">
        <w:rPr>
          <w:szCs w:val="22"/>
          <w:lang w:val="en-GB"/>
        </w:rPr>
        <w:t xml:space="preserve"> mL of rituximab. Each carton contains one vial.</w:t>
      </w:r>
      <w:r w:rsidRPr="00885E37">
        <w:rPr>
          <w:b/>
          <w:szCs w:val="22"/>
          <w:lang w:val="en-GB" w:eastAsia="en-US"/>
        </w:rPr>
        <w:t xml:space="preserve"> </w:t>
      </w:r>
    </w:p>
    <w:p w14:paraId="7C332A7A" w14:textId="77777777" w:rsidR="0054078B" w:rsidRPr="00885E37" w:rsidRDefault="0054078B" w:rsidP="00063D4E">
      <w:pPr>
        <w:keepNext/>
        <w:keepLines/>
        <w:tabs>
          <w:tab w:val="left" w:pos="567"/>
        </w:tabs>
        <w:rPr>
          <w:b/>
          <w:szCs w:val="22"/>
          <w:lang w:val="en-GB" w:eastAsia="en-US"/>
        </w:rPr>
      </w:pPr>
    </w:p>
    <w:p w14:paraId="7C332A7B" w14:textId="77777777" w:rsidR="0054078B" w:rsidRPr="00295A1D" w:rsidRDefault="00016F29">
      <w:pPr>
        <w:keepNext/>
        <w:keepLines/>
        <w:outlineLvl w:val="0"/>
        <w:rPr>
          <w:szCs w:val="22"/>
          <w:lang w:val="en-GB"/>
        </w:rPr>
      </w:pPr>
      <w:r w:rsidRPr="00B0192B">
        <w:rPr>
          <w:b/>
          <w:bCs/>
          <w:lang w:val="en-GB"/>
        </w:rPr>
        <w:t>Marketing Authorisation Holder</w:t>
      </w:r>
    </w:p>
    <w:p w14:paraId="7C332A7C" w14:textId="77777777" w:rsidR="00B0361F" w:rsidRPr="00383DC8" w:rsidRDefault="00016F29" w:rsidP="00063D4E">
      <w:pPr>
        <w:keepNext/>
        <w:keepLines/>
      </w:pPr>
      <w:r w:rsidRPr="00383DC8">
        <w:t xml:space="preserve">Roche Registration GmbH </w:t>
      </w:r>
    </w:p>
    <w:p w14:paraId="7C332A7D" w14:textId="77777777" w:rsidR="00B0361F" w:rsidRPr="00383DC8" w:rsidRDefault="00016F29" w:rsidP="00063D4E">
      <w:pPr>
        <w:keepNext/>
        <w:keepLines/>
      </w:pPr>
      <w:r w:rsidRPr="00383DC8">
        <w:t>Emil-Barell-Strasse 1</w:t>
      </w:r>
    </w:p>
    <w:p w14:paraId="7C332A7E" w14:textId="77777777" w:rsidR="00B0361F" w:rsidRPr="00383DC8" w:rsidRDefault="00016F29" w:rsidP="00063D4E">
      <w:pPr>
        <w:keepNext/>
        <w:keepLines/>
      </w:pPr>
      <w:r w:rsidRPr="00383DC8">
        <w:t>79639 Grenzach-Wyhlen</w:t>
      </w:r>
    </w:p>
    <w:p w14:paraId="7C332A7F" w14:textId="77777777" w:rsidR="00B0361F" w:rsidRPr="00896D93" w:rsidRDefault="00016F29" w:rsidP="00B0361F">
      <w:r w:rsidRPr="00896D93">
        <w:t>Germany</w:t>
      </w:r>
    </w:p>
    <w:p w14:paraId="7C332A80" w14:textId="77777777" w:rsidR="0054078B" w:rsidRPr="005214E1" w:rsidRDefault="0054078B" w:rsidP="0054078B">
      <w:pPr>
        <w:keepNext/>
        <w:keepLines/>
        <w:rPr>
          <w:b/>
        </w:rPr>
      </w:pPr>
    </w:p>
    <w:p w14:paraId="7C332A81" w14:textId="77777777" w:rsidR="0054078B" w:rsidRPr="005214E1" w:rsidRDefault="00016F29" w:rsidP="0054078B">
      <w:pPr>
        <w:keepNext/>
        <w:keepLines/>
        <w:rPr>
          <w:b/>
        </w:rPr>
      </w:pPr>
      <w:r w:rsidRPr="005214E1">
        <w:rPr>
          <w:b/>
        </w:rPr>
        <w:t>Manufacturer</w:t>
      </w:r>
    </w:p>
    <w:p w14:paraId="7C332A82" w14:textId="77777777" w:rsidR="0054078B" w:rsidRPr="00383DC8" w:rsidRDefault="00016F29" w:rsidP="0054078B">
      <w:pPr>
        <w:keepNext/>
        <w:keepLines/>
        <w:numPr>
          <w:ilvl w:val="12"/>
          <w:numId w:val="0"/>
        </w:numPr>
        <w:outlineLvl w:val="0"/>
        <w:rPr>
          <w:lang w:val="de-CH"/>
        </w:rPr>
      </w:pPr>
      <w:r w:rsidRPr="00383DC8">
        <w:rPr>
          <w:szCs w:val="22"/>
          <w:lang w:val="de-CH"/>
        </w:rPr>
        <w:t>Roche Pharma</w:t>
      </w:r>
      <w:r w:rsidRPr="00383DC8">
        <w:rPr>
          <w:lang w:val="de-CH"/>
        </w:rPr>
        <w:t xml:space="preserve"> AG</w:t>
      </w:r>
    </w:p>
    <w:p w14:paraId="7C332A83" w14:textId="77777777" w:rsidR="0054078B" w:rsidRPr="00885E37" w:rsidRDefault="00016F29" w:rsidP="0054078B">
      <w:pPr>
        <w:keepNext/>
        <w:keepLines/>
        <w:numPr>
          <w:ilvl w:val="12"/>
          <w:numId w:val="0"/>
        </w:numPr>
        <w:rPr>
          <w:lang w:val="de-DE"/>
        </w:rPr>
      </w:pPr>
      <w:r w:rsidRPr="00885E37">
        <w:rPr>
          <w:lang w:val="de-DE"/>
        </w:rPr>
        <w:t>Emil</w:t>
      </w:r>
      <w:r w:rsidR="000A6DDA" w:rsidRPr="00885E37">
        <w:rPr>
          <w:lang w:val="de-DE"/>
        </w:rPr>
        <w:noBreakHyphen/>
      </w:r>
      <w:r w:rsidRPr="00885E37">
        <w:rPr>
          <w:lang w:val="de-DE"/>
        </w:rPr>
        <w:t>Barell</w:t>
      </w:r>
      <w:r w:rsidR="000A6DDA" w:rsidRPr="00885E37">
        <w:rPr>
          <w:lang w:val="de-DE"/>
        </w:rPr>
        <w:noBreakHyphen/>
      </w:r>
      <w:r w:rsidRPr="00885E37">
        <w:rPr>
          <w:lang w:val="de-DE"/>
        </w:rPr>
        <w:t>Str. 1</w:t>
      </w:r>
    </w:p>
    <w:p w14:paraId="7C332A84" w14:textId="77777777" w:rsidR="0054078B" w:rsidRPr="00383DC8" w:rsidRDefault="00016F29" w:rsidP="0054078B">
      <w:pPr>
        <w:keepNext/>
        <w:keepLines/>
        <w:numPr>
          <w:ilvl w:val="12"/>
          <w:numId w:val="0"/>
        </w:numPr>
      </w:pPr>
      <w:r w:rsidRPr="00383DC8">
        <w:t>D</w:t>
      </w:r>
      <w:r w:rsidR="000A6DDA" w:rsidRPr="00383DC8">
        <w:noBreakHyphen/>
      </w:r>
      <w:r w:rsidRPr="00383DC8">
        <w:t>79639 Grenzach</w:t>
      </w:r>
      <w:r w:rsidR="000A6DDA" w:rsidRPr="00383DC8">
        <w:noBreakHyphen/>
      </w:r>
      <w:r w:rsidRPr="00383DC8">
        <w:t>Wyhlen</w:t>
      </w:r>
    </w:p>
    <w:p w14:paraId="7C332A85" w14:textId="77777777" w:rsidR="0054078B" w:rsidRPr="00885E37" w:rsidRDefault="00016F29" w:rsidP="0054078B">
      <w:pPr>
        <w:keepNext/>
        <w:keepLines/>
        <w:numPr>
          <w:ilvl w:val="12"/>
          <w:numId w:val="0"/>
        </w:numPr>
        <w:rPr>
          <w:lang w:val="en-GB"/>
        </w:rPr>
      </w:pPr>
      <w:r w:rsidRPr="00885E37">
        <w:rPr>
          <w:lang w:val="en-GB"/>
        </w:rPr>
        <w:t>Germany</w:t>
      </w:r>
    </w:p>
    <w:p w14:paraId="7C332A86" w14:textId="77777777" w:rsidR="0054078B" w:rsidRPr="00885E37" w:rsidRDefault="0054078B" w:rsidP="0054078B">
      <w:pPr>
        <w:rPr>
          <w:szCs w:val="22"/>
          <w:lang w:val="en-GB"/>
        </w:rPr>
      </w:pPr>
    </w:p>
    <w:p w14:paraId="7C332A87" w14:textId="77777777" w:rsidR="0054078B" w:rsidRPr="003C313A" w:rsidRDefault="00016F29" w:rsidP="0054078B">
      <w:pPr>
        <w:rPr>
          <w:szCs w:val="22"/>
          <w:lang w:val="en-GB"/>
        </w:rPr>
      </w:pPr>
      <w:r w:rsidRPr="00885E37">
        <w:rPr>
          <w:szCs w:val="22"/>
          <w:lang w:val="en-GB"/>
        </w:rPr>
        <w:t>For any information about this medicine, please contact the local representative of the Marketing</w:t>
      </w:r>
      <w:r w:rsidRPr="003C313A">
        <w:rPr>
          <w:szCs w:val="22"/>
          <w:lang w:val="en-GB"/>
        </w:rPr>
        <w:t xml:space="preserve"> Authorisation Holder:</w:t>
      </w:r>
    </w:p>
    <w:tbl>
      <w:tblPr>
        <w:tblW w:w="0" w:type="auto"/>
        <w:tblInd w:w="-34" w:type="dxa"/>
        <w:shd w:val="clear" w:color="auto" w:fill="FFFFFF"/>
        <w:tblLayout w:type="fixed"/>
        <w:tblLook w:val="0000" w:firstRow="0" w:lastRow="0" w:firstColumn="0" w:lastColumn="0" w:noHBand="0" w:noVBand="0"/>
      </w:tblPr>
      <w:tblGrid>
        <w:gridCol w:w="4624"/>
        <w:gridCol w:w="4590"/>
      </w:tblGrid>
      <w:tr w:rsidR="003A788B" w14:paraId="7C332A90" w14:textId="77777777" w:rsidTr="00BA12B2">
        <w:trPr>
          <w:cantSplit/>
        </w:trPr>
        <w:tc>
          <w:tcPr>
            <w:tcW w:w="4624" w:type="dxa"/>
            <w:shd w:val="clear" w:color="auto" w:fill="FFFFFF"/>
          </w:tcPr>
          <w:p w14:paraId="7C332A88" w14:textId="77777777" w:rsidR="0054078B" w:rsidRPr="004705FC" w:rsidRDefault="00016F29" w:rsidP="00BA12B2">
            <w:pPr>
              <w:tabs>
                <w:tab w:val="left" w:pos="567"/>
              </w:tabs>
              <w:rPr>
                <w:b/>
                <w:noProof/>
                <w:lang w:val="fr-FR"/>
              </w:rPr>
            </w:pPr>
            <w:r w:rsidRPr="004705FC">
              <w:rPr>
                <w:b/>
                <w:noProof/>
                <w:lang w:val="fr-FR"/>
              </w:rPr>
              <w:t>België/Belgique/Belgien</w:t>
            </w:r>
          </w:p>
          <w:p w14:paraId="7C332A89" w14:textId="77777777" w:rsidR="0054078B" w:rsidRPr="004705FC" w:rsidRDefault="00016F29" w:rsidP="00BA12B2">
            <w:pPr>
              <w:tabs>
                <w:tab w:val="left" w:pos="567"/>
              </w:tabs>
              <w:rPr>
                <w:noProof/>
                <w:lang w:val="fr-FR"/>
              </w:rPr>
            </w:pPr>
            <w:r w:rsidRPr="004705FC">
              <w:rPr>
                <w:noProof/>
                <w:lang w:val="fr-FR"/>
              </w:rPr>
              <w:t>N.V. Roche S.A.</w:t>
            </w:r>
          </w:p>
          <w:p w14:paraId="7C332A8A" w14:textId="77777777" w:rsidR="0054078B" w:rsidRPr="0053610E" w:rsidRDefault="00016F29" w:rsidP="00BA12B2">
            <w:pPr>
              <w:tabs>
                <w:tab w:val="left" w:pos="567"/>
              </w:tabs>
              <w:rPr>
                <w:noProof/>
                <w:lang w:val="fr-FR"/>
              </w:rPr>
            </w:pPr>
            <w:r w:rsidRPr="0053610E">
              <w:rPr>
                <w:noProof/>
                <w:lang w:val="fr-FR"/>
              </w:rPr>
              <w:t>Tél/Tel: +32 (0) 2 525 82 11</w:t>
            </w:r>
          </w:p>
          <w:p w14:paraId="7C332A8B" w14:textId="77777777" w:rsidR="0054078B" w:rsidRPr="0053610E" w:rsidRDefault="0054078B" w:rsidP="00BA12B2">
            <w:pPr>
              <w:tabs>
                <w:tab w:val="left" w:pos="567"/>
              </w:tabs>
              <w:rPr>
                <w:b/>
                <w:noProof/>
                <w:lang w:val="fr-FR"/>
              </w:rPr>
            </w:pPr>
          </w:p>
        </w:tc>
        <w:tc>
          <w:tcPr>
            <w:tcW w:w="4590" w:type="dxa"/>
            <w:shd w:val="clear" w:color="auto" w:fill="FFFFFF"/>
          </w:tcPr>
          <w:p w14:paraId="7C332A8C" w14:textId="77777777" w:rsidR="0054078B" w:rsidRPr="004705FC" w:rsidRDefault="00016F29" w:rsidP="00BA12B2">
            <w:pPr>
              <w:tabs>
                <w:tab w:val="left" w:pos="567"/>
              </w:tabs>
              <w:suppressAutoHyphens/>
              <w:rPr>
                <w:b/>
                <w:noProof/>
                <w:lang w:val="fr-FR"/>
              </w:rPr>
            </w:pPr>
            <w:r w:rsidRPr="004705FC">
              <w:rPr>
                <w:b/>
                <w:noProof/>
                <w:lang w:val="fr-FR"/>
              </w:rPr>
              <w:t>Lietuva</w:t>
            </w:r>
          </w:p>
          <w:p w14:paraId="7C332A8D" w14:textId="77777777" w:rsidR="0054078B" w:rsidRPr="004705FC" w:rsidRDefault="00016F29" w:rsidP="00BA12B2">
            <w:pPr>
              <w:tabs>
                <w:tab w:val="left" w:pos="567"/>
              </w:tabs>
              <w:rPr>
                <w:noProof/>
                <w:lang w:val="fr-FR"/>
              </w:rPr>
            </w:pPr>
            <w:r w:rsidRPr="004705FC">
              <w:rPr>
                <w:noProof/>
                <w:lang w:val="fr-FR"/>
              </w:rPr>
              <w:t>UAB “Roche Lietuva”</w:t>
            </w:r>
          </w:p>
          <w:p w14:paraId="7C332A8E" w14:textId="77777777" w:rsidR="0054078B" w:rsidRPr="004705FC" w:rsidRDefault="00016F29" w:rsidP="00BA12B2">
            <w:pPr>
              <w:tabs>
                <w:tab w:val="left" w:pos="567"/>
              </w:tabs>
              <w:rPr>
                <w:noProof/>
                <w:lang w:val="fr-FR"/>
              </w:rPr>
            </w:pPr>
            <w:r w:rsidRPr="004705FC">
              <w:rPr>
                <w:noProof/>
                <w:lang w:val="fr-FR"/>
              </w:rPr>
              <w:t>Tel: +370 5 2546799</w:t>
            </w:r>
          </w:p>
          <w:p w14:paraId="7C332A8F" w14:textId="77777777" w:rsidR="0054078B" w:rsidRPr="004705FC" w:rsidRDefault="0054078B" w:rsidP="00BA12B2">
            <w:pPr>
              <w:tabs>
                <w:tab w:val="left" w:pos="567"/>
              </w:tabs>
              <w:suppressAutoHyphens/>
              <w:rPr>
                <w:b/>
                <w:noProof/>
                <w:lang w:val="fr-FR"/>
              </w:rPr>
            </w:pPr>
          </w:p>
        </w:tc>
      </w:tr>
      <w:tr w:rsidR="003A788B" w:rsidRPr="00833E56" w14:paraId="7C332A98" w14:textId="77777777" w:rsidTr="00BA12B2">
        <w:trPr>
          <w:cantSplit/>
        </w:trPr>
        <w:tc>
          <w:tcPr>
            <w:tcW w:w="4624" w:type="dxa"/>
            <w:shd w:val="clear" w:color="auto" w:fill="FFFFFF"/>
          </w:tcPr>
          <w:p w14:paraId="7C332A91" w14:textId="77777777" w:rsidR="0054078B" w:rsidRPr="003467B7" w:rsidRDefault="00016F29" w:rsidP="00BA12B2">
            <w:pPr>
              <w:tabs>
                <w:tab w:val="left" w:pos="567"/>
              </w:tabs>
              <w:rPr>
                <w:b/>
                <w:noProof/>
                <w:lang w:val="ru-RU"/>
              </w:rPr>
            </w:pPr>
            <w:r w:rsidRPr="003467B7">
              <w:rPr>
                <w:b/>
                <w:noProof/>
                <w:lang w:val="ru-RU"/>
              </w:rPr>
              <w:t>България</w:t>
            </w:r>
          </w:p>
          <w:p w14:paraId="7C332A92" w14:textId="77777777" w:rsidR="0054078B" w:rsidRPr="003467B7" w:rsidRDefault="00016F29" w:rsidP="00BA12B2">
            <w:pPr>
              <w:tabs>
                <w:tab w:val="left" w:pos="567"/>
              </w:tabs>
              <w:rPr>
                <w:noProof/>
                <w:lang w:val="ru-RU"/>
              </w:rPr>
            </w:pPr>
            <w:r w:rsidRPr="003467B7">
              <w:rPr>
                <w:noProof/>
                <w:lang w:val="ru-RU"/>
              </w:rPr>
              <w:t>Рош България ЕООД</w:t>
            </w:r>
          </w:p>
          <w:p w14:paraId="7C332A93" w14:textId="77777777" w:rsidR="0054078B" w:rsidRPr="003467B7" w:rsidRDefault="00016F29" w:rsidP="00BA12B2">
            <w:pPr>
              <w:tabs>
                <w:tab w:val="left" w:pos="567"/>
              </w:tabs>
              <w:rPr>
                <w:noProof/>
                <w:lang w:val="ru-RU"/>
              </w:rPr>
            </w:pPr>
            <w:r w:rsidRPr="003467B7">
              <w:rPr>
                <w:noProof/>
                <w:lang w:val="ru-RU"/>
              </w:rPr>
              <w:t>Тел: +359 2</w:t>
            </w:r>
            <w:r w:rsidR="00153FF8" w:rsidRPr="00083FCE">
              <w:rPr>
                <w:noProof/>
              </w:rPr>
              <w:t> </w:t>
            </w:r>
            <w:r w:rsidRPr="003467B7">
              <w:rPr>
                <w:noProof/>
                <w:lang w:val="ru-RU"/>
              </w:rPr>
              <w:t>818 44 44</w:t>
            </w:r>
          </w:p>
          <w:p w14:paraId="7C332A94" w14:textId="77777777" w:rsidR="0054078B" w:rsidRPr="003467B7" w:rsidRDefault="0054078B" w:rsidP="00BA12B2">
            <w:pPr>
              <w:tabs>
                <w:tab w:val="left" w:pos="567"/>
              </w:tabs>
              <w:rPr>
                <w:b/>
                <w:noProof/>
                <w:lang w:val="ru-RU"/>
              </w:rPr>
            </w:pPr>
          </w:p>
        </w:tc>
        <w:tc>
          <w:tcPr>
            <w:tcW w:w="4590" w:type="dxa"/>
            <w:shd w:val="clear" w:color="auto" w:fill="FFFFFF"/>
          </w:tcPr>
          <w:p w14:paraId="7C332A95" w14:textId="77777777" w:rsidR="0054078B" w:rsidRPr="0053610E" w:rsidRDefault="00016F29" w:rsidP="00BA12B2">
            <w:pPr>
              <w:tabs>
                <w:tab w:val="left" w:pos="567"/>
              </w:tabs>
              <w:suppressAutoHyphens/>
              <w:rPr>
                <w:b/>
                <w:noProof/>
                <w:lang w:val="de-DE"/>
              </w:rPr>
            </w:pPr>
            <w:r w:rsidRPr="0053610E">
              <w:rPr>
                <w:b/>
                <w:noProof/>
                <w:lang w:val="de-DE"/>
              </w:rPr>
              <w:t>Luxembourg/Luxemburg</w:t>
            </w:r>
          </w:p>
          <w:p w14:paraId="7C332A96" w14:textId="77777777" w:rsidR="0054078B" w:rsidRPr="0053610E" w:rsidRDefault="00016F29" w:rsidP="00BA12B2">
            <w:pPr>
              <w:tabs>
                <w:tab w:val="left" w:pos="567"/>
              </w:tabs>
              <w:rPr>
                <w:noProof/>
                <w:lang w:val="de-DE"/>
              </w:rPr>
            </w:pPr>
            <w:r w:rsidRPr="0053610E">
              <w:rPr>
                <w:noProof/>
                <w:lang w:val="de-DE"/>
              </w:rPr>
              <w:t>(Voir/siehe Belgique/Belgien)</w:t>
            </w:r>
          </w:p>
          <w:p w14:paraId="7C332A97" w14:textId="77777777" w:rsidR="0054078B" w:rsidRPr="0053610E" w:rsidRDefault="0054078B" w:rsidP="00BA12B2">
            <w:pPr>
              <w:tabs>
                <w:tab w:val="left" w:pos="567"/>
              </w:tabs>
              <w:suppressAutoHyphens/>
              <w:rPr>
                <w:b/>
                <w:noProof/>
                <w:lang w:val="de-DE"/>
              </w:rPr>
            </w:pPr>
          </w:p>
        </w:tc>
      </w:tr>
      <w:tr w:rsidR="003A788B" w14:paraId="7C332AA1" w14:textId="77777777" w:rsidTr="00BA12B2">
        <w:trPr>
          <w:cantSplit/>
        </w:trPr>
        <w:tc>
          <w:tcPr>
            <w:tcW w:w="4624" w:type="dxa"/>
            <w:shd w:val="clear" w:color="auto" w:fill="FFFFFF"/>
          </w:tcPr>
          <w:p w14:paraId="7C332A99" w14:textId="77777777" w:rsidR="0054078B" w:rsidRPr="00885E37" w:rsidRDefault="00016F29" w:rsidP="00BA12B2">
            <w:pPr>
              <w:tabs>
                <w:tab w:val="left" w:pos="567"/>
              </w:tabs>
              <w:rPr>
                <w:b/>
                <w:noProof/>
                <w:lang w:val="de-DE"/>
              </w:rPr>
            </w:pPr>
            <w:r w:rsidRPr="00885E37">
              <w:rPr>
                <w:b/>
                <w:noProof/>
                <w:lang w:val="de-DE"/>
              </w:rPr>
              <w:t>Česká republika</w:t>
            </w:r>
          </w:p>
          <w:p w14:paraId="7C332A9A" w14:textId="77777777" w:rsidR="0054078B" w:rsidRPr="00885E37" w:rsidRDefault="00016F29" w:rsidP="00BA12B2">
            <w:pPr>
              <w:tabs>
                <w:tab w:val="left" w:pos="567"/>
              </w:tabs>
              <w:rPr>
                <w:noProof/>
                <w:lang w:val="de-DE"/>
              </w:rPr>
            </w:pPr>
            <w:r w:rsidRPr="00885E37">
              <w:rPr>
                <w:noProof/>
                <w:lang w:val="de-DE"/>
              </w:rPr>
              <w:t>Roche s. r. o.</w:t>
            </w:r>
          </w:p>
          <w:p w14:paraId="7C332A9B" w14:textId="77777777" w:rsidR="0054078B" w:rsidRPr="00383DC8" w:rsidRDefault="00016F29" w:rsidP="00BA12B2">
            <w:pPr>
              <w:tabs>
                <w:tab w:val="left" w:pos="567"/>
              </w:tabs>
              <w:rPr>
                <w:noProof/>
                <w:lang w:val="de-DE"/>
              </w:rPr>
            </w:pPr>
            <w:r w:rsidRPr="00383DC8">
              <w:rPr>
                <w:noProof/>
                <w:lang w:val="de-DE"/>
              </w:rPr>
              <w:t xml:space="preserve">Tel: +420 </w:t>
            </w:r>
            <w:r w:rsidRPr="00383DC8">
              <w:rPr>
                <w:noProof/>
                <w:lang w:val="de-DE"/>
              </w:rPr>
              <w:noBreakHyphen/>
              <w:t xml:space="preserve"> 2 20382111</w:t>
            </w:r>
          </w:p>
          <w:p w14:paraId="7C332A9C" w14:textId="77777777" w:rsidR="0054078B" w:rsidRPr="00383DC8" w:rsidRDefault="0054078B" w:rsidP="00BA12B2">
            <w:pPr>
              <w:tabs>
                <w:tab w:val="left" w:pos="567"/>
              </w:tabs>
              <w:rPr>
                <w:b/>
                <w:noProof/>
                <w:lang w:val="de-DE"/>
              </w:rPr>
            </w:pPr>
          </w:p>
        </w:tc>
        <w:tc>
          <w:tcPr>
            <w:tcW w:w="4590" w:type="dxa"/>
            <w:shd w:val="clear" w:color="auto" w:fill="FFFFFF"/>
          </w:tcPr>
          <w:p w14:paraId="7C332A9D" w14:textId="77777777" w:rsidR="0054078B" w:rsidRPr="00F638AF" w:rsidRDefault="00016F29" w:rsidP="00BA12B2">
            <w:pPr>
              <w:tabs>
                <w:tab w:val="left" w:pos="567"/>
              </w:tabs>
              <w:suppressAutoHyphens/>
              <w:rPr>
                <w:b/>
              </w:rPr>
            </w:pPr>
            <w:r w:rsidRPr="00F638AF">
              <w:rPr>
                <w:b/>
              </w:rPr>
              <w:t>Magyarország</w:t>
            </w:r>
          </w:p>
          <w:p w14:paraId="7C332A9E" w14:textId="77777777" w:rsidR="0054078B" w:rsidRPr="00F638AF" w:rsidRDefault="00016F29" w:rsidP="00BA12B2">
            <w:pPr>
              <w:tabs>
                <w:tab w:val="left" w:pos="567"/>
              </w:tabs>
            </w:pPr>
            <w:r w:rsidRPr="00F638AF">
              <w:t>Roche (Magyarország) Kft.</w:t>
            </w:r>
          </w:p>
          <w:p w14:paraId="7C332A9F" w14:textId="77777777" w:rsidR="0054078B" w:rsidRPr="00F638AF" w:rsidRDefault="00016F29" w:rsidP="00BA12B2">
            <w:pPr>
              <w:tabs>
                <w:tab w:val="left" w:pos="567"/>
              </w:tabs>
            </w:pPr>
            <w:r w:rsidRPr="00F638AF">
              <w:t xml:space="preserve">Tel: +36 </w:t>
            </w:r>
            <w:r w:rsidRPr="00F638AF">
              <w:noBreakHyphen/>
              <w:t xml:space="preserve"> 23 446 800</w:t>
            </w:r>
          </w:p>
          <w:p w14:paraId="7C332AA0" w14:textId="77777777" w:rsidR="0054078B" w:rsidRPr="00F638AF" w:rsidRDefault="0054078B" w:rsidP="00BA12B2">
            <w:pPr>
              <w:tabs>
                <w:tab w:val="left" w:pos="567"/>
              </w:tabs>
              <w:suppressAutoHyphens/>
              <w:rPr>
                <w:b/>
              </w:rPr>
            </w:pPr>
          </w:p>
        </w:tc>
      </w:tr>
      <w:tr w:rsidR="003A788B" w14:paraId="7C332AA9" w14:textId="77777777" w:rsidTr="00BA12B2">
        <w:trPr>
          <w:cantSplit/>
        </w:trPr>
        <w:tc>
          <w:tcPr>
            <w:tcW w:w="4624" w:type="dxa"/>
            <w:shd w:val="clear" w:color="auto" w:fill="FFFFFF"/>
          </w:tcPr>
          <w:p w14:paraId="7C332AA2" w14:textId="77777777" w:rsidR="0054078B" w:rsidRPr="00885E37" w:rsidRDefault="00016F29" w:rsidP="00BA12B2">
            <w:pPr>
              <w:tabs>
                <w:tab w:val="left" w:pos="567"/>
              </w:tabs>
              <w:rPr>
                <w:b/>
                <w:noProof/>
                <w:lang w:val="en-GB"/>
              </w:rPr>
            </w:pPr>
            <w:r w:rsidRPr="00885E37">
              <w:rPr>
                <w:b/>
                <w:noProof/>
                <w:lang w:val="en-GB"/>
              </w:rPr>
              <w:t>Danmark</w:t>
            </w:r>
          </w:p>
          <w:p w14:paraId="7C332AA3" w14:textId="77777777" w:rsidR="0054078B" w:rsidRPr="00885E37" w:rsidRDefault="00016F29" w:rsidP="00BA12B2">
            <w:pPr>
              <w:tabs>
                <w:tab w:val="left" w:pos="567"/>
                <w:tab w:val="center" w:pos="2204"/>
              </w:tabs>
              <w:rPr>
                <w:noProof/>
                <w:lang w:val="en-GB"/>
              </w:rPr>
            </w:pPr>
            <w:r w:rsidRPr="00885E37">
              <w:rPr>
                <w:noProof/>
                <w:lang w:val="en-GB"/>
              </w:rPr>
              <w:t>Roche a/s</w:t>
            </w:r>
            <w:r w:rsidRPr="00885E37">
              <w:rPr>
                <w:noProof/>
                <w:lang w:val="en-GB"/>
              </w:rPr>
              <w:tab/>
            </w:r>
          </w:p>
          <w:p w14:paraId="7C332AA4" w14:textId="77777777" w:rsidR="0054078B" w:rsidRPr="00885E37" w:rsidRDefault="00016F29" w:rsidP="00BA12B2">
            <w:pPr>
              <w:tabs>
                <w:tab w:val="left" w:pos="567"/>
              </w:tabs>
              <w:rPr>
                <w:noProof/>
                <w:lang w:val="en-GB"/>
              </w:rPr>
            </w:pPr>
            <w:r w:rsidRPr="00885E37">
              <w:rPr>
                <w:noProof/>
                <w:lang w:val="en-GB"/>
              </w:rPr>
              <w:t xml:space="preserve">Tlf: +45 </w:t>
            </w:r>
            <w:r w:rsidR="000A6DDA" w:rsidRPr="00885E37">
              <w:rPr>
                <w:noProof/>
                <w:lang w:val="en-GB"/>
              </w:rPr>
              <w:noBreakHyphen/>
            </w:r>
            <w:r w:rsidRPr="00885E37">
              <w:rPr>
                <w:noProof/>
                <w:lang w:val="en-GB"/>
              </w:rPr>
              <w:t xml:space="preserve"> 36 39 99 99</w:t>
            </w:r>
          </w:p>
          <w:p w14:paraId="7C332AA5" w14:textId="77777777" w:rsidR="0054078B" w:rsidRPr="00885E37" w:rsidRDefault="0054078B" w:rsidP="00BA12B2">
            <w:pPr>
              <w:tabs>
                <w:tab w:val="left" w:pos="567"/>
              </w:tabs>
              <w:rPr>
                <w:b/>
                <w:noProof/>
                <w:lang w:val="en-GB"/>
              </w:rPr>
            </w:pPr>
          </w:p>
        </w:tc>
        <w:tc>
          <w:tcPr>
            <w:tcW w:w="4590" w:type="dxa"/>
            <w:shd w:val="clear" w:color="auto" w:fill="FFFFFF"/>
          </w:tcPr>
          <w:p w14:paraId="7C332AA6" w14:textId="77777777" w:rsidR="0054078B" w:rsidRPr="00885E37" w:rsidRDefault="00016F29" w:rsidP="00BA12B2">
            <w:pPr>
              <w:tabs>
                <w:tab w:val="left" w:pos="567"/>
              </w:tabs>
              <w:suppressAutoHyphens/>
              <w:rPr>
                <w:b/>
                <w:noProof/>
                <w:lang w:val="en-GB"/>
              </w:rPr>
            </w:pPr>
            <w:r w:rsidRPr="00885E37">
              <w:rPr>
                <w:b/>
                <w:noProof/>
                <w:lang w:val="en-GB"/>
              </w:rPr>
              <w:t>Malta</w:t>
            </w:r>
          </w:p>
          <w:p w14:paraId="7C332AA7" w14:textId="77777777" w:rsidR="0054078B" w:rsidRPr="00885E37" w:rsidRDefault="00016F29" w:rsidP="00BA12B2">
            <w:pPr>
              <w:tabs>
                <w:tab w:val="left" w:pos="567"/>
              </w:tabs>
              <w:rPr>
                <w:noProof/>
                <w:lang w:val="en-GB"/>
              </w:rPr>
            </w:pPr>
            <w:r w:rsidRPr="00885E37">
              <w:rPr>
                <w:noProof/>
                <w:lang w:val="en-GB"/>
              </w:rPr>
              <w:t xml:space="preserve">(See </w:t>
            </w:r>
            <w:r w:rsidR="00B0361F">
              <w:rPr>
                <w:noProof/>
                <w:lang w:val="en-GB"/>
              </w:rPr>
              <w:t>Ireland</w:t>
            </w:r>
            <w:r w:rsidRPr="00885E37">
              <w:rPr>
                <w:noProof/>
                <w:lang w:val="en-GB"/>
              </w:rPr>
              <w:t>)</w:t>
            </w:r>
          </w:p>
          <w:p w14:paraId="7C332AA8" w14:textId="77777777" w:rsidR="0054078B" w:rsidRPr="00885E37" w:rsidRDefault="0054078B" w:rsidP="00BA12B2">
            <w:pPr>
              <w:tabs>
                <w:tab w:val="left" w:pos="567"/>
              </w:tabs>
              <w:suppressAutoHyphens/>
              <w:rPr>
                <w:b/>
                <w:noProof/>
                <w:lang w:val="en-GB"/>
              </w:rPr>
            </w:pPr>
          </w:p>
        </w:tc>
      </w:tr>
      <w:tr w:rsidR="003A788B" w14:paraId="7C332AB2" w14:textId="77777777" w:rsidTr="00BA12B2">
        <w:trPr>
          <w:cantSplit/>
        </w:trPr>
        <w:tc>
          <w:tcPr>
            <w:tcW w:w="4624" w:type="dxa"/>
            <w:shd w:val="clear" w:color="auto" w:fill="FFFFFF"/>
          </w:tcPr>
          <w:p w14:paraId="7C332AAA" w14:textId="77777777" w:rsidR="0054078B" w:rsidRPr="00885E37" w:rsidRDefault="00016F29" w:rsidP="00BA12B2">
            <w:pPr>
              <w:tabs>
                <w:tab w:val="left" w:pos="567"/>
              </w:tabs>
              <w:rPr>
                <w:b/>
                <w:noProof/>
                <w:lang w:val="de-DE"/>
              </w:rPr>
            </w:pPr>
            <w:r w:rsidRPr="00885E37">
              <w:rPr>
                <w:b/>
                <w:noProof/>
                <w:lang w:val="de-DE"/>
              </w:rPr>
              <w:t>Deutschland</w:t>
            </w:r>
          </w:p>
          <w:p w14:paraId="7C332AAB" w14:textId="77777777" w:rsidR="0054078B" w:rsidRPr="00885E37" w:rsidRDefault="00016F29" w:rsidP="00BA12B2">
            <w:pPr>
              <w:tabs>
                <w:tab w:val="left" w:pos="567"/>
              </w:tabs>
              <w:rPr>
                <w:noProof/>
                <w:lang w:val="de-DE"/>
              </w:rPr>
            </w:pPr>
            <w:r w:rsidRPr="00885E37">
              <w:rPr>
                <w:noProof/>
                <w:lang w:val="de-DE"/>
              </w:rPr>
              <w:t>Roche Pharma AG</w:t>
            </w:r>
          </w:p>
          <w:p w14:paraId="7C332AAC" w14:textId="77777777" w:rsidR="0054078B" w:rsidRPr="00885E37" w:rsidRDefault="00016F29" w:rsidP="00BA12B2">
            <w:pPr>
              <w:tabs>
                <w:tab w:val="left" w:pos="567"/>
              </w:tabs>
              <w:rPr>
                <w:noProof/>
                <w:lang w:val="de-DE"/>
              </w:rPr>
            </w:pPr>
            <w:r w:rsidRPr="00885E37">
              <w:rPr>
                <w:noProof/>
                <w:lang w:val="de-DE"/>
              </w:rPr>
              <w:t>Tel: +49 (0) 7624 140</w:t>
            </w:r>
          </w:p>
          <w:p w14:paraId="7C332AAD" w14:textId="77777777" w:rsidR="0054078B" w:rsidRPr="00885E37" w:rsidRDefault="0054078B" w:rsidP="00BA12B2">
            <w:pPr>
              <w:tabs>
                <w:tab w:val="left" w:pos="567"/>
              </w:tabs>
              <w:rPr>
                <w:b/>
                <w:noProof/>
                <w:lang w:val="de-DE"/>
              </w:rPr>
            </w:pPr>
          </w:p>
        </w:tc>
        <w:tc>
          <w:tcPr>
            <w:tcW w:w="4590" w:type="dxa"/>
            <w:shd w:val="clear" w:color="auto" w:fill="FFFFFF"/>
          </w:tcPr>
          <w:p w14:paraId="7C332AAE" w14:textId="77777777" w:rsidR="0054078B" w:rsidRPr="00885E37" w:rsidRDefault="00016F29" w:rsidP="00BA12B2">
            <w:pPr>
              <w:tabs>
                <w:tab w:val="left" w:pos="567"/>
              </w:tabs>
              <w:suppressAutoHyphens/>
              <w:rPr>
                <w:b/>
                <w:noProof/>
                <w:lang w:val="de-DE"/>
              </w:rPr>
            </w:pPr>
            <w:r w:rsidRPr="00885E37">
              <w:rPr>
                <w:b/>
                <w:noProof/>
                <w:lang w:val="de-DE"/>
              </w:rPr>
              <w:t>Nederland</w:t>
            </w:r>
          </w:p>
          <w:p w14:paraId="7C332AAF" w14:textId="77777777" w:rsidR="0054078B" w:rsidRPr="00885E37" w:rsidRDefault="00016F29" w:rsidP="00BA12B2">
            <w:pPr>
              <w:tabs>
                <w:tab w:val="left" w:pos="567"/>
              </w:tabs>
              <w:rPr>
                <w:noProof/>
                <w:lang w:val="de-DE"/>
              </w:rPr>
            </w:pPr>
            <w:r w:rsidRPr="00885E37">
              <w:rPr>
                <w:noProof/>
                <w:lang w:val="de-DE"/>
              </w:rPr>
              <w:t>Roche Nederland B.V.</w:t>
            </w:r>
          </w:p>
          <w:p w14:paraId="7C332AB0" w14:textId="77777777" w:rsidR="0054078B" w:rsidRPr="00885E37" w:rsidRDefault="00016F29" w:rsidP="00BA12B2">
            <w:pPr>
              <w:tabs>
                <w:tab w:val="left" w:pos="567"/>
              </w:tabs>
              <w:rPr>
                <w:noProof/>
                <w:lang w:val="en-GB"/>
              </w:rPr>
            </w:pPr>
            <w:r w:rsidRPr="00885E37">
              <w:rPr>
                <w:noProof/>
                <w:lang w:val="en-GB"/>
              </w:rPr>
              <w:t>Tel: +31 (0) 348 438050</w:t>
            </w:r>
          </w:p>
          <w:p w14:paraId="7C332AB1" w14:textId="77777777" w:rsidR="0054078B" w:rsidRPr="00885E37" w:rsidRDefault="0054078B" w:rsidP="00BA12B2">
            <w:pPr>
              <w:tabs>
                <w:tab w:val="left" w:pos="567"/>
              </w:tabs>
              <w:suppressAutoHyphens/>
              <w:rPr>
                <w:b/>
                <w:noProof/>
                <w:lang w:val="en-GB"/>
              </w:rPr>
            </w:pPr>
          </w:p>
        </w:tc>
      </w:tr>
      <w:tr w:rsidR="003A788B" w14:paraId="7C332ABB" w14:textId="77777777" w:rsidTr="00BA12B2">
        <w:trPr>
          <w:cantSplit/>
        </w:trPr>
        <w:tc>
          <w:tcPr>
            <w:tcW w:w="4624" w:type="dxa"/>
            <w:shd w:val="clear" w:color="auto" w:fill="FFFFFF"/>
          </w:tcPr>
          <w:p w14:paraId="7C332AB3" w14:textId="77777777" w:rsidR="0054078B" w:rsidRPr="00383DC8" w:rsidRDefault="00016F29" w:rsidP="00BA12B2">
            <w:pPr>
              <w:tabs>
                <w:tab w:val="left" w:pos="567"/>
              </w:tabs>
              <w:rPr>
                <w:b/>
                <w:noProof/>
                <w:lang w:val="it-IT"/>
              </w:rPr>
            </w:pPr>
            <w:r w:rsidRPr="00383DC8">
              <w:rPr>
                <w:b/>
                <w:noProof/>
                <w:lang w:val="it-IT"/>
              </w:rPr>
              <w:t>Eesti</w:t>
            </w:r>
          </w:p>
          <w:p w14:paraId="7C332AB4" w14:textId="77777777" w:rsidR="0054078B" w:rsidRPr="00383DC8" w:rsidRDefault="00016F29" w:rsidP="00BA12B2">
            <w:pPr>
              <w:tabs>
                <w:tab w:val="left" w:pos="567"/>
              </w:tabs>
              <w:rPr>
                <w:noProof/>
                <w:lang w:val="it-IT"/>
              </w:rPr>
            </w:pPr>
            <w:r w:rsidRPr="00383DC8">
              <w:rPr>
                <w:noProof/>
                <w:lang w:val="it-IT"/>
              </w:rPr>
              <w:t>Roche Eesti OÜ</w:t>
            </w:r>
          </w:p>
          <w:p w14:paraId="7C332AB5" w14:textId="77777777" w:rsidR="0054078B" w:rsidRPr="00383DC8" w:rsidRDefault="00016F29" w:rsidP="00BA12B2">
            <w:pPr>
              <w:tabs>
                <w:tab w:val="left" w:pos="567"/>
              </w:tabs>
              <w:rPr>
                <w:noProof/>
                <w:lang w:val="it-IT"/>
              </w:rPr>
            </w:pPr>
            <w:r w:rsidRPr="00383DC8">
              <w:rPr>
                <w:noProof/>
                <w:lang w:val="it-IT"/>
              </w:rPr>
              <w:t xml:space="preserve">Tel: + 372 </w:t>
            </w:r>
            <w:r w:rsidRPr="00383DC8">
              <w:rPr>
                <w:noProof/>
                <w:lang w:val="it-IT"/>
              </w:rPr>
              <w:noBreakHyphen/>
              <w:t xml:space="preserve"> 6 177 380</w:t>
            </w:r>
          </w:p>
          <w:p w14:paraId="7C332AB6" w14:textId="77777777" w:rsidR="0054078B" w:rsidRPr="00383DC8" w:rsidRDefault="0054078B" w:rsidP="00BA12B2">
            <w:pPr>
              <w:tabs>
                <w:tab w:val="left" w:pos="567"/>
              </w:tabs>
              <w:rPr>
                <w:b/>
                <w:noProof/>
                <w:lang w:val="it-IT"/>
              </w:rPr>
            </w:pPr>
          </w:p>
        </w:tc>
        <w:tc>
          <w:tcPr>
            <w:tcW w:w="4590" w:type="dxa"/>
            <w:shd w:val="clear" w:color="auto" w:fill="FFFFFF"/>
          </w:tcPr>
          <w:p w14:paraId="7C332AB7" w14:textId="77777777" w:rsidR="0054078B" w:rsidRPr="00885E37" w:rsidRDefault="00016F29" w:rsidP="00BA12B2">
            <w:pPr>
              <w:tabs>
                <w:tab w:val="left" w:pos="567"/>
              </w:tabs>
              <w:suppressAutoHyphens/>
              <w:rPr>
                <w:b/>
                <w:noProof/>
                <w:lang w:val="en-GB"/>
              </w:rPr>
            </w:pPr>
            <w:r w:rsidRPr="00885E37">
              <w:rPr>
                <w:b/>
                <w:noProof/>
                <w:lang w:val="en-GB"/>
              </w:rPr>
              <w:t>Norge</w:t>
            </w:r>
          </w:p>
          <w:p w14:paraId="7C332AB8" w14:textId="77777777" w:rsidR="0054078B" w:rsidRPr="00885E37" w:rsidRDefault="00016F29" w:rsidP="00BA12B2">
            <w:pPr>
              <w:tabs>
                <w:tab w:val="left" w:pos="567"/>
              </w:tabs>
              <w:rPr>
                <w:noProof/>
                <w:lang w:val="en-GB"/>
              </w:rPr>
            </w:pPr>
            <w:r w:rsidRPr="00885E37">
              <w:rPr>
                <w:noProof/>
                <w:lang w:val="en-GB"/>
              </w:rPr>
              <w:t>Roche Norge AS</w:t>
            </w:r>
          </w:p>
          <w:p w14:paraId="7C332AB9" w14:textId="77777777" w:rsidR="0054078B" w:rsidRPr="00885E37" w:rsidRDefault="00016F29" w:rsidP="00BA12B2">
            <w:pPr>
              <w:tabs>
                <w:tab w:val="left" w:pos="567"/>
              </w:tabs>
              <w:rPr>
                <w:noProof/>
                <w:lang w:val="en-GB"/>
              </w:rPr>
            </w:pPr>
            <w:r w:rsidRPr="00885E37">
              <w:rPr>
                <w:noProof/>
                <w:lang w:val="en-GB"/>
              </w:rPr>
              <w:t xml:space="preserve">Tlf: +47 </w:t>
            </w:r>
            <w:r w:rsidR="000A6DDA" w:rsidRPr="00885E37">
              <w:rPr>
                <w:noProof/>
                <w:lang w:val="en-GB"/>
              </w:rPr>
              <w:noBreakHyphen/>
            </w:r>
            <w:r w:rsidRPr="00885E37">
              <w:rPr>
                <w:noProof/>
                <w:lang w:val="en-GB"/>
              </w:rPr>
              <w:t xml:space="preserve"> 22 78 90 00</w:t>
            </w:r>
          </w:p>
          <w:p w14:paraId="7C332ABA" w14:textId="77777777" w:rsidR="0054078B" w:rsidRPr="00885E37" w:rsidRDefault="0054078B" w:rsidP="00BA12B2">
            <w:pPr>
              <w:tabs>
                <w:tab w:val="left" w:pos="567"/>
              </w:tabs>
              <w:suppressAutoHyphens/>
              <w:rPr>
                <w:b/>
                <w:noProof/>
                <w:lang w:val="en-GB"/>
              </w:rPr>
            </w:pPr>
          </w:p>
        </w:tc>
      </w:tr>
      <w:tr w:rsidR="003A788B" w:rsidRPr="00833E56" w14:paraId="7C332AC4" w14:textId="77777777" w:rsidTr="00BA12B2">
        <w:trPr>
          <w:cantSplit/>
        </w:trPr>
        <w:tc>
          <w:tcPr>
            <w:tcW w:w="4624" w:type="dxa"/>
            <w:shd w:val="clear" w:color="auto" w:fill="FFFFFF"/>
          </w:tcPr>
          <w:p w14:paraId="7C332ABC" w14:textId="77777777" w:rsidR="0054078B" w:rsidRPr="00885E37" w:rsidRDefault="00016F29" w:rsidP="00BA12B2">
            <w:pPr>
              <w:tabs>
                <w:tab w:val="left" w:pos="567"/>
              </w:tabs>
              <w:rPr>
                <w:b/>
                <w:noProof/>
                <w:lang w:val="en-GB"/>
              </w:rPr>
            </w:pPr>
            <w:r w:rsidRPr="00885E37">
              <w:rPr>
                <w:b/>
                <w:noProof/>
                <w:lang w:val="en-GB"/>
              </w:rPr>
              <w:t>Ελλάδα</w:t>
            </w:r>
          </w:p>
          <w:p w14:paraId="7C332ABD" w14:textId="77777777" w:rsidR="0054078B" w:rsidRPr="00885E37" w:rsidRDefault="00016F29" w:rsidP="00BA12B2">
            <w:pPr>
              <w:tabs>
                <w:tab w:val="left" w:pos="567"/>
              </w:tabs>
              <w:rPr>
                <w:noProof/>
                <w:lang w:val="en-GB"/>
              </w:rPr>
            </w:pPr>
            <w:r w:rsidRPr="00885E37">
              <w:rPr>
                <w:noProof/>
                <w:lang w:val="en-GB"/>
              </w:rPr>
              <w:t xml:space="preserve">Roche (Hellas) A.E. </w:t>
            </w:r>
          </w:p>
          <w:p w14:paraId="7C332ABE" w14:textId="77777777" w:rsidR="0054078B" w:rsidRPr="00885E37" w:rsidRDefault="00016F29" w:rsidP="00BA12B2">
            <w:pPr>
              <w:tabs>
                <w:tab w:val="left" w:pos="567"/>
              </w:tabs>
              <w:rPr>
                <w:noProof/>
                <w:lang w:val="en-GB"/>
              </w:rPr>
            </w:pPr>
            <w:r w:rsidRPr="00885E37">
              <w:rPr>
                <w:noProof/>
                <w:lang w:val="en-GB"/>
              </w:rPr>
              <w:t>Τηλ: +30 210 61 66 100</w:t>
            </w:r>
          </w:p>
          <w:p w14:paraId="7C332ABF" w14:textId="77777777" w:rsidR="0054078B" w:rsidRPr="00885E37" w:rsidRDefault="0054078B" w:rsidP="00BA12B2">
            <w:pPr>
              <w:tabs>
                <w:tab w:val="left" w:pos="567"/>
              </w:tabs>
              <w:rPr>
                <w:b/>
                <w:noProof/>
                <w:lang w:val="en-GB"/>
              </w:rPr>
            </w:pPr>
          </w:p>
        </w:tc>
        <w:tc>
          <w:tcPr>
            <w:tcW w:w="4590" w:type="dxa"/>
            <w:shd w:val="clear" w:color="auto" w:fill="FFFFFF"/>
          </w:tcPr>
          <w:p w14:paraId="7C332AC0" w14:textId="77777777" w:rsidR="0054078B" w:rsidRPr="00885E37" w:rsidRDefault="00016F29" w:rsidP="00BA12B2">
            <w:pPr>
              <w:tabs>
                <w:tab w:val="left" w:pos="567"/>
              </w:tabs>
              <w:suppressAutoHyphens/>
              <w:rPr>
                <w:b/>
                <w:noProof/>
                <w:lang w:val="de-DE"/>
              </w:rPr>
            </w:pPr>
            <w:r w:rsidRPr="00885E37">
              <w:rPr>
                <w:b/>
                <w:noProof/>
                <w:lang w:val="de-DE"/>
              </w:rPr>
              <w:t>Österreich</w:t>
            </w:r>
          </w:p>
          <w:p w14:paraId="7C332AC1" w14:textId="77777777" w:rsidR="0054078B" w:rsidRPr="00885E37" w:rsidRDefault="00016F29" w:rsidP="00BA12B2">
            <w:pPr>
              <w:tabs>
                <w:tab w:val="left" w:pos="567"/>
              </w:tabs>
              <w:rPr>
                <w:noProof/>
                <w:lang w:val="de-DE"/>
              </w:rPr>
            </w:pPr>
            <w:r w:rsidRPr="00885E37">
              <w:rPr>
                <w:noProof/>
                <w:lang w:val="de-DE"/>
              </w:rPr>
              <w:t>Roche Austria GmbH</w:t>
            </w:r>
          </w:p>
          <w:p w14:paraId="7C332AC2" w14:textId="77777777" w:rsidR="0054078B" w:rsidRPr="00885E37" w:rsidRDefault="00016F29" w:rsidP="00BA12B2">
            <w:pPr>
              <w:tabs>
                <w:tab w:val="left" w:pos="567"/>
              </w:tabs>
              <w:rPr>
                <w:noProof/>
                <w:lang w:val="de-DE"/>
              </w:rPr>
            </w:pPr>
            <w:r w:rsidRPr="00885E37">
              <w:rPr>
                <w:noProof/>
                <w:lang w:val="de-DE"/>
              </w:rPr>
              <w:t>Tel: +43 (0) 1 27739</w:t>
            </w:r>
          </w:p>
          <w:p w14:paraId="7C332AC3" w14:textId="77777777" w:rsidR="0054078B" w:rsidRPr="00885E37" w:rsidRDefault="0054078B" w:rsidP="00BA12B2">
            <w:pPr>
              <w:tabs>
                <w:tab w:val="left" w:pos="567"/>
              </w:tabs>
              <w:suppressAutoHyphens/>
              <w:rPr>
                <w:b/>
                <w:noProof/>
                <w:lang w:val="de-DE"/>
              </w:rPr>
            </w:pPr>
          </w:p>
        </w:tc>
      </w:tr>
      <w:tr w:rsidR="003A788B" w14:paraId="7C332ACD" w14:textId="77777777" w:rsidTr="00BA12B2">
        <w:trPr>
          <w:cantSplit/>
        </w:trPr>
        <w:tc>
          <w:tcPr>
            <w:tcW w:w="4624" w:type="dxa"/>
            <w:shd w:val="clear" w:color="auto" w:fill="FFFFFF"/>
          </w:tcPr>
          <w:p w14:paraId="7C332AC5" w14:textId="77777777" w:rsidR="0054078B" w:rsidRPr="00885E37" w:rsidRDefault="00016F29" w:rsidP="00BA12B2">
            <w:pPr>
              <w:tabs>
                <w:tab w:val="left" w:pos="567"/>
              </w:tabs>
              <w:rPr>
                <w:b/>
                <w:noProof/>
                <w:lang w:val="es-ES"/>
              </w:rPr>
            </w:pPr>
            <w:r w:rsidRPr="00885E37">
              <w:rPr>
                <w:b/>
                <w:noProof/>
                <w:lang w:val="es-ES"/>
              </w:rPr>
              <w:t>España</w:t>
            </w:r>
          </w:p>
          <w:p w14:paraId="7C332AC6" w14:textId="77777777" w:rsidR="0054078B" w:rsidRPr="00885E37" w:rsidRDefault="00016F29" w:rsidP="00BA12B2">
            <w:pPr>
              <w:tabs>
                <w:tab w:val="left" w:pos="567"/>
              </w:tabs>
              <w:rPr>
                <w:noProof/>
                <w:lang w:val="es-ES"/>
              </w:rPr>
            </w:pPr>
            <w:r w:rsidRPr="00885E37">
              <w:rPr>
                <w:noProof/>
                <w:lang w:val="es-ES"/>
              </w:rPr>
              <w:t>Roche Farma S.A.</w:t>
            </w:r>
          </w:p>
          <w:p w14:paraId="7C332AC7" w14:textId="77777777" w:rsidR="0054078B" w:rsidRPr="00885E37" w:rsidRDefault="00016F29" w:rsidP="00BA12B2">
            <w:pPr>
              <w:tabs>
                <w:tab w:val="left" w:pos="567"/>
              </w:tabs>
              <w:rPr>
                <w:noProof/>
                <w:lang w:val="en-GB"/>
              </w:rPr>
            </w:pPr>
            <w:r w:rsidRPr="00885E37">
              <w:rPr>
                <w:noProof/>
                <w:lang w:val="en-GB"/>
              </w:rPr>
              <w:t xml:space="preserve">Tel: +34 </w:t>
            </w:r>
            <w:r w:rsidR="000A6DDA" w:rsidRPr="00885E37">
              <w:rPr>
                <w:noProof/>
                <w:lang w:val="en-GB"/>
              </w:rPr>
              <w:noBreakHyphen/>
            </w:r>
            <w:r w:rsidRPr="00885E37">
              <w:rPr>
                <w:noProof/>
                <w:lang w:val="en-GB"/>
              </w:rPr>
              <w:t xml:space="preserve"> 91 324 81 00</w:t>
            </w:r>
          </w:p>
          <w:p w14:paraId="7C332AC8" w14:textId="77777777" w:rsidR="0054078B" w:rsidRPr="00885E37" w:rsidRDefault="0054078B" w:rsidP="00BA12B2">
            <w:pPr>
              <w:tabs>
                <w:tab w:val="left" w:pos="567"/>
              </w:tabs>
              <w:rPr>
                <w:b/>
                <w:noProof/>
                <w:lang w:val="en-GB"/>
              </w:rPr>
            </w:pPr>
          </w:p>
        </w:tc>
        <w:tc>
          <w:tcPr>
            <w:tcW w:w="4590" w:type="dxa"/>
            <w:shd w:val="clear" w:color="auto" w:fill="FFFFFF"/>
          </w:tcPr>
          <w:p w14:paraId="7C332AC9" w14:textId="77777777" w:rsidR="0054078B" w:rsidRPr="00885E37" w:rsidRDefault="00016F29" w:rsidP="00BA12B2">
            <w:pPr>
              <w:tabs>
                <w:tab w:val="left" w:pos="567"/>
              </w:tabs>
              <w:suppressAutoHyphens/>
              <w:rPr>
                <w:b/>
                <w:noProof/>
                <w:lang w:val="fr-FR"/>
              </w:rPr>
            </w:pPr>
            <w:r w:rsidRPr="00885E37">
              <w:rPr>
                <w:b/>
                <w:noProof/>
                <w:lang w:val="fr-FR"/>
              </w:rPr>
              <w:t>Polska</w:t>
            </w:r>
          </w:p>
          <w:p w14:paraId="7C332ACA" w14:textId="77777777" w:rsidR="0054078B" w:rsidRPr="00885E37" w:rsidRDefault="00016F29" w:rsidP="00BA12B2">
            <w:pPr>
              <w:tabs>
                <w:tab w:val="left" w:pos="567"/>
              </w:tabs>
              <w:rPr>
                <w:noProof/>
                <w:lang w:val="fr-FR"/>
              </w:rPr>
            </w:pPr>
            <w:r w:rsidRPr="00885E37">
              <w:rPr>
                <w:noProof/>
                <w:lang w:val="fr-FR"/>
              </w:rPr>
              <w:t>Roche Polska Sp.z o.o.</w:t>
            </w:r>
          </w:p>
          <w:p w14:paraId="7C332ACB" w14:textId="77777777" w:rsidR="0054078B" w:rsidRPr="00885E37" w:rsidRDefault="00016F29" w:rsidP="00BA12B2">
            <w:pPr>
              <w:tabs>
                <w:tab w:val="left" w:pos="567"/>
              </w:tabs>
              <w:rPr>
                <w:noProof/>
                <w:lang w:val="en-GB"/>
              </w:rPr>
            </w:pPr>
            <w:r w:rsidRPr="00885E37">
              <w:rPr>
                <w:noProof/>
                <w:lang w:val="en-GB"/>
              </w:rPr>
              <w:t xml:space="preserve">Tel: +48 </w:t>
            </w:r>
            <w:r w:rsidR="000A6DDA" w:rsidRPr="00885E37">
              <w:rPr>
                <w:noProof/>
                <w:lang w:val="en-GB"/>
              </w:rPr>
              <w:noBreakHyphen/>
            </w:r>
            <w:r w:rsidRPr="00885E37">
              <w:rPr>
                <w:noProof/>
                <w:lang w:val="en-GB"/>
              </w:rPr>
              <w:t xml:space="preserve"> 22 345 18 88</w:t>
            </w:r>
          </w:p>
          <w:p w14:paraId="7C332ACC" w14:textId="77777777" w:rsidR="0054078B" w:rsidRPr="00885E37" w:rsidRDefault="0054078B" w:rsidP="00BA12B2">
            <w:pPr>
              <w:tabs>
                <w:tab w:val="left" w:pos="567"/>
              </w:tabs>
              <w:suppressAutoHyphens/>
              <w:rPr>
                <w:b/>
                <w:noProof/>
                <w:lang w:val="en-GB"/>
              </w:rPr>
            </w:pPr>
          </w:p>
        </w:tc>
      </w:tr>
      <w:tr w:rsidR="003A788B" w14:paraId="7C332AD6" w14:textId="77777777" w:rsidTr="00BA12B2">
        <w:trPr>
          <w:cantSplit/>
        </w:trPr>
        <w:tc>
          <w:tcPr>
            <w:tcW w:w="4624" w:type="dxa"/>
            <w:shd w:val="clear" w:color="auto" w:fill="FFFFFF"/>
          </w:tcPr>
          <w:p w14:paraId="7C332ACE" w14:textId="77777777" w:rsidR="0054078B" w:rsidRPr="00885E37" w:rsidRDefault="00016F29" w:rsidP="00BA12B2">
            <w:pPr>
              <w:tabs>
                <w:tab w:val="left" w:pos="567"/>
              </w:tabs>
              <w:rPr>
                <w:b/>
                <w:noProof/>
                <w:lang w:val="en-GB"/>
              </w:rPr>
            </w:pPr>
            <w:r w:rsidRPr="00885E37">
              <w:rPr>
                <w:b/>
                <w:noProof/>
                <w:lang w:val="en-GB"/>
              </w:rPr>
              <w:t>France</w:t>
            </w:r>
          </w:p>
          <w:p w14:paraId="7C332ACF" w14:textId="77777777" w:rsidR="0054078B" w:rsidRPr="00885E37" w:rsidRDefault="00016F29" w:rsidP="00BA12B2">
            <w:pPr>
              <w:tabs>
                <w:tab w:val="left" w:pos="567"/>
              </w:tabs>
              <w:rPr>
                <w:noProof/>
                <w:lang w:val="en-GB"/>
              </w:rPr>
            </w:pPr>
            <w:r w:rsidRPr="00885E37">
              <w:rPr>
                <w:noProof/>
                <w:lang w:val="en-GB"/>
              </w:rPr>
              <w:t>Roche</w:t>
            </w:r>
          </w:p>
          <w:p w14:paraId="7C332AD0" w14:textId="77777777" w:rsidR="0054078B" w:rsidRPr="00885E37" w:rsidRDefault="00016F29" w:rsidP="00BA12B2">
            <w:pPr>
              <w:tabs>
                <w:tab w:val="left" w:pos="567"/>
              </w:tabs>
              <w:rPr>
                <w:noProof/>
                <w:lang w:val="en-GB"/>
              </w:rPr>
            </w:pPr>
            <w:r w:rsidRPr="00885E37">
              <w:rPr>
                <w:noProof/>
                <w:lang w:val="en-GB"/>
              </w:rPr>
              <w:t>Tél: +33  (0)1 47 61 40 00</w:t>
            </w:r>
          </w:p>
          <w:p w14:paraId="7C332AD1" w14:textId="77777777" w:rsidR="0054078B" w:rsidRPr="00885E37" w:rsidRDefault="0054078B" w:rsidP="00BA12B2">
            <w:pPr>
              <w:tabs>
                <w:tab w:val="left" w:pos="567"/>
              </w:tabs>
              <w:rPr>
                <w:b/>
                <w:noProof/>
                <w:lang w:val="en-GB"/>
              </w:rPr>
            </w:pPr>
          </w:p>
        </w:tc>
        <w:tc>
          <w:tcPr>
            <w:tcW w:w="4590" w:type="dxa"/>
            <w:shd w:val="clear" w:color="auto" w:fill="FFFFFF"/>
          </w:tcPr>
          <w:p w14:paraId="7C332AD2" w14:textId="77777777" w:rsidR="0054078B" w:rsidRPr="00383DC8" w:rsidRDefault="00016F29" w:rsidP="00BA12B2">
            <w:pPr>
              <w:tabs>
                <w:tab w:val="left" w:pos="567"/>
              </w:tabs>
              <w:suppressAutoHyphens/>
              <w:rPr>
                <w:b/>
                <w:noProof/>
                <w:lang w:val="pt-BR"/>
              </w:rPr>
            </w:pPr>
            <w:r w:rsidRPr="00383DC8">
              <w:rPr>
                <w:b/>
                <w:noProof/>
                <w:lang w:val="pt-BR"/>
              </w:rPr>
              <w:t>Portugal</w:t>
            </w:r>
          </w:p>
          <w:p w14:paraId="7C332AD3" w14:textId="77777777" w:rsidR="0054078B" w:rsidRPr="00383DC8" w:rsidRDefault="00016F29" w:rsidP="00BA12B2">
            <w:pPr>
              <w:tabs>
                <w:tab w:val="left" w:pos="567"/>
              </w:tabs>
              <w:rPr>
                <w:noProof/>
                <w:lang w:val="pt-BR"/>
              </w:rPr>
            </w:pPr>
            <w:r w:rsidRPr="00383DC8">
              <w:rPr>
                <w:noProof/>
                <w:lang w:val="pt-BR"/>
              </w:rPr>
              <w:t>Roche Farmacêutica Química, Lda</w:t>
            </w:r>
          </w:p>
          <w:p w14:paraId="7C332AD4" w14:textId="77777777" w:rsidR="0054078B" w:rsidRPr="00383DC8" w:rsidRDefault="00016F29" w:rsidP="00BA12B2">
            <w:pPr>
              <w:tabs>
                <w:tab w:val="left" w:pos="567"/>
              </w:tabs>
              <w:rPr>
                <w:noProof/>
                <w:lang w:val="pt-BR"/>
              </w:rPr>
            </w:pPr>
            <w:r w:rsidRPr="00383DC8">
              <w:rPr>
                <w:noProof/>
                <w:lang w:val="pt-BR"/>
              </w:rPr>
              <w:t xml:space="preserve">Tel: +351 </w:t>
            </w:r>
            <w:r w:rsidRPr="00383DC8">
              <w:rPr>
                <w:noProof/>
                <w:lang w:val="pt-BR"/>
              </w:rPr>
              <w:noBreakHyphen/>
              <w:t xml:space="preserve"> 21 425 70 00</w:t>
            </w:r>
          </w:p>
          <w:p w14:paraId="7C332AD5" w14:textId="77777777" w:rsidR="0054078B" w:rsidRPr="00383DC8" w:rsidRDefault="0054078B" w:rsidP="00BA12B2">
            <w:pPr>
              <w:tabs>
                <w:tab w:val="left" w:pos="567"/>
              </w:tabs>
              <w:suppressAutoHyphens/>
              <w:rPr>
                <w:b/>
                <w:noProof/>
                <w:lang w:val="pt-BR"/>
              </w:rPr>
            </w:pPr>
          </w:p>
        </w:tc>
      </w:tr>
      <w:tr w:rsidR="003A788B" w14:paraId="7C332ADF" w14:textId="77777777" w:rsidTr="00BA12B2">
        <w:trPr>
          <w:cantSplit/>
        </w:trPr>
        <w:tc>
          <w:tcPr>
            <w:tcW w:w="4624" w:type="dxa"/>
            <w:shd w:val="clear" w:color="auto" w:fill="auto"/>
          </w:tcPr>
          <w:p w14:paraId="7C332AD7" w14:textId="77777777" w:rsidR="0054078B" w:rsidRPr="00885E37" w:rsidRDefault="00016F29" w:rsidP="00BA12B2">
            <w:pPr>
              <w:tabs>
                <w:tab w:val="left" w:pos="567"/>
              </w:tabs>
              <w:rPr>
                <w:b/>
                <w:noProof/>
                <w:lang w:val="de-DE"/>
              </w:rPr>
            </w:pPr>
            <w:r w:rsidRPr="00885E37">
              <w:rPr>
                <w:b/>
                <w:noProof/>
                <w:lang w:val="de-DE"/>
              </w:rPr>
              <w:t>Hrvatska</w:t>
            </w:r>
          </w:p>
          <w:p w14:paraId="7C332AD8" w14:textId="77777777" w:rsidR="0054078B" w:rsidRPr="00885E37" w:rsidRDefault="00016F29" w:rsidP="00BA12B2">
            <w:pPr>
              <w:tabs>
                <w:tab w:val="left" w:pos="567"/>
              </w:tabs>
              <w:rPr>
                <w:noProof/>
                <w:lang w:val="de-DE"/>
              </w:rPr>
            </w:pPr>
            <w:r w:rsidRPr="00885E37">
              <w:rPr>
                <w:noProof/>
                <w:lang w:val="de-DE"/>
              </w:rPr>
              <w:t>Roche d.o.o.</w:t>
            </w:r>
          </w:p>
          <w:p w14:paraId="7C332AD9" w14:textId="77777777" w:rsidR="0054078B" w:rsidRPr="00885E37" w:rsidRDefault="00016F29" w:rsidP="00BA12B2">
            <w:pPr>
              <w:tabs>
                <w:tab w:val="left" w:pos="567"/>
              </w:tabs>
              <w:rPr>
                <w:noProof/>
                <w:lang w:val="en-GB"/>
              </w:rPr>
            </w:pPr>
            <w:r w:rsidRPr="00885E37">
              <w:rPr>
                <w:noProof/>
                <w:lang w:val="en-GB"/>
              </w:rPr>
              <w:t>Tel: + 385 1 47 22 333</w:t>
            </w:r>
          </w:p>
          <w:p w14:paraId="7C332ADA" w14:textId="77777777" w:rsidR="0054078B" w:rsidRPr="00885E37" w:rsidRDefault="0054078B" w:rsidP="00BA12B2">
            <w:pPr>
              <w:tabs>
                <w:tab w:val="left" w:pos="567"/>
              </w:tabs>
              <w:rPr>
                <w:b/>
                <w:noProof/>
                <w:lang w:val="en-GB"/>
              </w:rPr>
            </w:pPr>
          </w:p>
        </w:tc>
        <w:tc>
          <w:tcPr>
            <w:tcW w:w="4590" w:type="dxa"/>
            <w:shd w:val="clear" w:color="auto" w:fill="FFFFFF"/>
          </w:tcPr>
          <w:p w14:paraId="7C332ADB" w14:textId="77777777" w:rsidR="0054078B" w:rsidRPr="00383DC8" w:rsidRDefault="00016F29" w:rsidP="00BA12B2">
            <w:pPr>
              <w:tabs>
                <w:tab w:val="left" w:pos="567"/>
              </w:tabs>
              <w:suppressAutoHyphens/>
              <w:rPr>
                <w:b/>
                <w:noProof/>
                <w:lang w:val="it-IT"/>
              </w:rPr>
            </w:pPr>
            <w:r w:rsidRPr="00383DC8">
              <w:rPr>
                <w:b/>
                <w:noProof/>
                <w:lang w:val="it-IT"/>
              </w:rPr>
              <w:t>România</w:t>
            </w:r>
          </w:p>
          <w:p w14:paraId="7C332ADC" w14:textId="77777777" w:rsidR="0054078B" w:rsidRPr="00383DC8" w:rsidRDefault="00016F29" w:rsidP="00BA12B2">
            <w:pPr>
              <w:tabs>
                <w:tab w:val="left" w:pos="567"/>
              </w:tabs>
              <w:rPr>
                <w:noProof/>
                <w:lang w:val="it-IT"/>
              </w:rPr>
            </w:pPr>
            <w:r w:rsidRPr="00383DC8">
              <w:rPr>
                <w:noProof/>
                <w:lang w:val="it-IT"/>
              </w:rPr>
              <w:t>Roche România S.R.L.</w:t>
            </w:r>
          </w:p>
          <w:p w14:paraId="7C332ADD" w14:textId="77777777" w:rsidR="0054078B" w:rsidRPr="00885E37" w:rsidRDefault="00016F29" w:rsidP="00BA12B2">
            <w:pPr>
              <w:tabs>
                <w:tab w:val="left" w:pos="567"/>
              </w:tabs>
              <w:rPr>
                <w:noProof/>
                <w:lang w:val="en-GB"/>
              </w:rPr>
            </w:pPr>
            <w:r w:rsidRPr="00885E37">
              <w:rPr>
                <w:noProof/>
                <w:lang w:val="en-GB"/>
              </w:rPr>
              <w:t>Tel: +40 21 206 47 01</w:t>
            </w:r>
          </w:p>
          <w:p w14:paraId="7C332ADE" w14:textId="77777777" w:rsidR="0054078B" w:rsidRPr="00885E37" w:rsidRDefault="0054078B" w:rsidP="00BA12B2">
            <w:pPr>
              <w:tabs>
                <w:tab w:val="left" w:pos="567"/>
              </w:tabs>
              <w:suppressAutoHyphens/>
              <w:rPr>
                <w:b/>
                <w:noProof/>
                <w:lang w:val="en-GB"/>
              </w:rPr>
            </w:pPr>
          </w:p>
        </w:tc>
      </w:tr>
      <w:tr w:rsidR="003A788B" w14:paraId="7C332AE8" w14:textId="77777777" w:rsidTr="00BA12B2">
        <w:trPr>
          <w:cantSplit/>
        </w:trPr>
        <w:tc>
          <w:tcPr>
            <w:tcW w:w="4624" w:type="dxa"/>
            <w:shd w:val="clear" w:color="auto" w:fill="FFFFFF"/>
          </w:tcPr>
          <w:p w14:paraId="7C332AE0" w14:textId="77777777" w:rsidR="0054078B" w:rsidRPr="00885E37" w:rsidRDefault="00016F29" w:rsidP="00BA12B2">
            <w:pPr>
              <w:tabs>
                <w:tab w:val="left" w:pos="567"/>
              </w:tabs>
              <w:rPr>
                <w:b/>
                <w:noProof/>
                <w:lang w:val="en-GB"/>
              </w:rPr>
            </w:pPr>
            <w:r w:rsidRPr="00885E37">
              <w:rPr>
                <w:b/>
                <w:noProof/>
                <w:lang w:val="en-GB"/>
              </w:rPr>
              <w:t>Ireland</w:t>
            </w:r>
          </w:p>
          <w:p w14:paraId="7C332AE1" w14:textId="77777777" w:rsidR="0054078B" w:rsidRPr="00885E37" w:rsidRDefault="00016F29" w:rsidP="00BA12B2">
            <w:pPr>
              <w:tabs>
                <w:tab w:val="left" w:pos="567"/>
              </w:tabs>
              <w:rPr>
                <w:noProof/>
                <w:lang w:val="en-GB"/>
              </w:rPr>
            </w:pPr>
            <w:r w:rsidRPr="00885E37">
              <w:rPr>
                <w:noProof/>
                <w:lang w:val="en-GB"/>
              </w:rPr>
              <w:t>Roche Products (Ireland) Ltd.</w:t>
            </w:r>
          </w:p>
          <w:p w14:paraId="7C332AE2" w14:textId="77777777" w:rsidR="0054078B" w:rsidRPr="00885E37" w:rsidRDefault="00016F29" w:rsidP="00BA12B2">
            <w:pPr>
              <w:tabs>
                <w:tab w:val="left" w:pos="567"/>
              </w:tabs>
              <w:rPr>
                <w:noProof/>
                <w:lang w:val="en-GB"/>
              </w:rPr>
            </w:pPr>
            <w:r w:rsidRPr="00885E37">
              <w:rPr>
                <w:noProof/>
                <w:lang w:val="en-GB"/>
              </w:rPr>
              <w:t>Tel: +353 (0) 1 469 0700</w:t>
            </w:r>
          </w:p>
          <w:p w14:paraId="7C332AE3" w14:textId="77777777" w:rsidR="0054078B" w:rsidRPr="00885E37" w:rsidRDefault="0054078B" w:rsidP="00BA12B2">
            <w:pPr>
              <w:tabs>
                <w:tab w:val="left" w:pos="567"/>
              </w:tabs>
              <w:rPr>
                <w:b/>
                <w:noProof/>
                <w:lang w:val="en-GB"/>
              </w:rPr>
            </w:pPr>
          </w:p>
        </w:tc>
        <w:tc>
          <w:tcPr>
            <w:tcW w:w="4590" w:type="dxa"/>
            <w:shd w:val="clear" w:color="auto" w:fill="FFFFFF"/>
          </w:tcPr>
          <w:p w14:paraId="7C332AE4" w14:textId="77777777" w:rsidR="0054078B" w:rsidRPr="00885E37" w:rsidRDefault="00016F29" w:rsidP="00BA12B2">
            <w:pPr>
              <w:tabs>
                <w:tab w:val="left" w:pos="567"/>
              </w:tabs>
              <w:suppressAutoHyphens/>
              <w:rPr>
                <w:b/>
                <w:noProof/>
                <w:lang w:val="en-GB"/>
              </w:rPr>
            </w:pPr>
            <w:r w:rsidRPr="00885E37">
              <w:rPr>
                <w:b/>
                <w:noProof/>
                <w:lang w:val="en-GB"/>
              </w:rPr>
              <w:t>Slovenija</w:t>
            </w:r>
          </w:p>
          <w:p w14:paraId="7C332AE5" w14:textId="77777777" w:rsidR="0054078B" w:rsidRPr="00885E37" w:rsidRDefault="00016F29" w:rsidP="00BA12B2">
            <w:pPr>
              <w:tabs>
                <w:tab w:val="left" w:pos="567"/>
              </w:tabs>
              <w:rPr>
                <w:noProof/>
                <w:lang w:val="en-GB"/>
              </w:rPr>
            </w:pPr>
            <w:r w:rsidRPr="00885E37">
              <w:rPr>
                <w:noProof/>
                <w:lang w:val="en-GB"/>
              </w:rPr>
              <w:t>Roche farmacevtska družba d.o.o.</w:t>
            </w:r>
          </w:p>
          <w:p w14:paraId="7C332AE6" w14:textId="77777777" w:rsidR="0054078B" w:rsidRPr="00885E37" w:rsidRDefault="00016F29" w:rsidP="00BA12B2">
            <w:pPr>
              <w:tabs>
                <w:tab w:val="left" w:pos="567"/>
              </w:tabs>
              <w:rPr>
                <w:noProof/>
                <w:lang w:val="en-GB"/>
              </w:rPr>
            </w:pPr>
            <w:r w:rsidRPr="00885E37">
              <w:rPr>
                <w:noProof/>
                <w:lang w:val="en-GB"/>
              </w:rPr>
              <w:t xml:space="preserve">Tel: +386 </w:t>
            </w:r>
            <w:r w:rsidR="000A6DDA" w:rsidRPr="00885E37">
              <w:rPr>
                <w:noProof/>
                <w:lang w:val="en-GB"/>
              </w:rPr>
              <w:noBreakHyphen/>
            </w:r>
            <w:r w:rsidRPr="00885E37">
              <w:rPr>
                <w:noProof/>
                <w:lang w:val="en-GB"/>
              </w:rPr>
              <w:t xml:space="preserve"> 1 360 26 00</w:t>
            </w:r>
          </w:p>
          <w:p w14:paraId="7C332AE7" w14:textId="77777777" w:rsidR="0054078B" w:rsidRPr="00885E37" w:rsidRDefault="0054078B" w:rsidP="00BA12B2">
            <w:pPr>
              <w:tabs>
                <w:tab w:val="left" w:pos="567"/>
              </w:tabs>
              <w:suppressAutoHyphens/>
              <w:rPr>
                <w:b/>
                <w:noProof/>
                <w:lang w:val="en-GB"/>
              </w:rPr>
            </w:pPr>
          </w:p>
        </w:tc>
      </w:tr>
      <w:tr w:rsidR="003A788B" w14:paraId="7C332AF2" w14:textId="77777777" w:rsidTr="00BA12B2">
        <w:trPr>
          <w:cantSplit/>
        </w:trPr>
        <w:tc>
          <w:tcPr>
            <w:tcW w:w="4624" w:type="dxa"/>
            <w:shd w:val="clear" w:color="auto" w:fill="FFFFFF"/>
          </w:tcPr>
          <w:p w14:paraId="7C332AE9" w14:textId="77777777" w:rsidR="0054078B" w:rsidRPr="00383DC8" w:rsidRDefault="00016F29" w:rsidP="00BA12B2">
            <w:pPr>
              <w:tabs>
                <w:tab w:val="left" w:pos="567"/>
              </w:tabs>
              <w:rPr>
                <w:b/>
                <w:noProof/>
                <w:lang w:val="pt-PT"/>
              </w:rPr>
            </w:pPr>
            <w:r w:rsidRPr="00383DC8">
              <w:rPr>
                <w:b/>
                <w:noProof/>
                <w:lang w:val="pt-PT"/>
              </w:rPr>
              <w:t xml:space="preserve">Ísland </w:t>
            </w:r>
          </w:p>
          <w:p w14:paraId="7C332AEA" w14:textId="77777777" w:rsidR="0054078B" w:rsidRPr="00383DC8" w:rsidRDefault="00016F29" w:rsidP="00BA12B2">
            <w:pPr>
              <w:tabs>
                <w:tab w:val="left" w:pos="567"/>
              </w:tabs>
              <w:rPr>
                <w:noProof/>
                <w:lang w:val="pt-PT"/>
              </w:rPr>
            </w:pPr>
            <w:r w:rsidRPr="00383DC8">
              <w:rPr>
                <w:noProof/>
                <w:lang w:val="pt-PT"/>
              </w:rPr>
              <w:t>Roche a/s</w:t>
            </w:r>
          </w:p>
          <w:p w14:paraId="7C332AEB" w14:textId="77777777" w:rsidR="0054078B" w:rsidRPr="00383DC8" w:rsidRDefault="00016F29" w:rsidP="00BA12B2">
            <w:pPr>
              <w:tabs>
                <w:tab w:val="left" w:pos="567"/>
              </w:tabs>
              <w:rPr>
                <w:noProof/>
                <w:lang w:val="pt-PT"/>
              </w:rPr>
            </w:pPr>
            <w:r w:rsidRPr="00383DC8">
              <w:rPr>
                <w:noProof/>
                <w:lang w:val="pt-PT"/>
              </w:rPr>
              <w:t>c/o Icepharma hf</w:t>
            </w:r>
          </w:p>
          <w:p w14:paraId="7C332AEC" w14:textId="77777777" w:rsidR="0054078B" w:rsidRPr="00383DC8" w:rsidRDefault="00016F29" w:rsidP="00BA12B2">
            <w:pPr>
              <w:tabs>
                <w:tab w:val="left" w:pos="567"/>
              </w:tabs>
              <w:rPr>
                <w:noProof/>
                <w:lang w:val="pt-PT"/>
              </w:rPr>
            </w:pPr>
            <w:r w:rsidRPr="00383DC8">
              <w:rPr>
                <w:noProof/>
                <w:lang w:val="pt-PT"/>
              </w:rPr>
              <w:t>Sími: +354 540 8000</w:t>
            </w:r>
          </w:p>
          <w:p w14:paraId="7C332AED" w14:textId="77777777" w:rsidR="0054078B" w:rsidRPr="00383DC8" w:rsidRDefault="0054078B" w:rsidP="00BA12B2">
            <w:pPr>
              <w:tabs>
                <w:tab w:val="left" w:pos="567"/>
              </w:tabs>
              <w:rPr>
                <w:b/>
                <w:noProof/>
                <w:lang w:val="pt-PT"/>
              </w:rPr>
            </w:pPr>
          </w:p>
        </w:tc>
        <w:tc>
          <w:tcPr>
            <w:tcW w:w="4590" w:type="dxa"/>
            <w:shd w:val="clear" w:color="auto" w:fill="FFFFFF"/>
          </w:tcPr>
          <w:p w14:paraId="7C332AEE" w14:textId="77777777" w:rsidR="0054078B" w:rsidRPr="00383DC8" w:rsidRDefault="00016F29" w:rsidP="00BA12B2">
            <w:pPr>
              <w:tabs>
                <w:tab w:val="left" w:pos="567"/>
              </w:tabs>
              <w:suppressAutoHyphens/>
              <w:rPr>
                <w:b/>
                <w:noProof/>
                <w:lang w:val="it-IT"/>
              </w:rPr>
            </w:pPr>
            <w:r w:rsidRPr="00383DC8">
              <w:rPr>
                <w:b/>
                <w:noProof/>
                <w:lang w:val="it-IT"/>
              </w:rPr>
              <w:t xml:space="preserve">Slovenská republika </w:t>
            </w:r>
          </w:p>
          <w:p w14:paraId="7C332AEF" w14:textId="77777777" w:rsidR="0054078B" w:rsidRPr="00383DC8" w:rsidRDefault="00016F29" w:rsidP="00BA12B2">
            <w:pPr>
              <w:tabs>
                <w:tab w:val="left" w:pos="567"/>
              </w:tabs>
              <w:rPr>
                <w:noProof/>
                <w:lang w:val="it-IT"/>
              </w:rPr>
            </w:pPr>
            <w:r w:rsidRPr="00383DC8">
              <w:rPr>
                <w:noProof/>
                <w:lang w:val="it-IT"/>
              </w:rPr>
              <w:t>Roche Slovensko, s.r.o.</w:t>
            </w:r>
          </w:p>
          <w:p w14:paraId="7C332AF0" w14:textId="77777777" w:rsidR="0054078B" w:rsidRPr="00885E37" w:rsidRDefault="00016F29" w:rsidP="00BA12B2">
            <w:pPr>
              <w:tabs>
                <w:tab w:val="left" w:pos="567"/>
              </w:tabs>
              <w:rPr>
                <w:noProof/>
                <w:lang w:val="en-GB"/>
              </w:rPr>
            </w:pPr>
            <w:r w:rsidRPr="00885E37">
              <w:rPr>
                <w:noProof/>
                <w:lang w:val="en-GB"/>
              </w:rPr>
              <w:t xml:space="preserve">Tel: +421 </w:t>
            </w:r>
            <w:r w:rsidR="000A6DDA" w:rsidRPr="00885E37">
              <w:rPr>
                <w:noProof/>
                <w:lang w:val="en-GB"/>
              </w:rPr>
              <w:noBreakHyphen/>
            </w:r>
            <w:r w:rsidRPr="00885E37">
              <w:rPr>
                <w:noProof/>
                <w:lang w:val="en-GB"/>
              </w:rPr>
              <w:t xml:space="preserve"> 2 52638201</w:t>
            </w:r>
          </w:p>
          <w:p w14:paraId="7C332AF1" w14:textId="77777777" w:rsidR="0054078B" w:rsidRPr="00885E37" w:rsidRDefault="0054078B" w:rsidP="00BA12B2">
            <w:pPr>
              <w:tabs>
                <w:tab w:val="left" w:pos="567"/>
              </w:tabs>
              <w:suppressAutoHyphens/>
              <w:rPr>
                <w:b/>
                <w:noProof/>
                <w:lang w:val="en-GB"/>
              </w:rPr>
            </w:pPr>
          </w:p>
        </w:tc>
      </w:tr>
      <w:tr w:rsidR="003A788B" w:rsidRPr="00833E56" w14:paraId="7C332AFA" w14:textId="77777777" w:rsidTr="00BA12B2">
        <w:trPr>
          <w:cantSplit/>
        </w:trPr>
        <w:tc>
          <w:tcPr>
            <w:tcW w:w="4624" w:type="dxa"/>
            <w:shd w:val="clear" w:color="auto" w:fill="FFFFFF"/>
          </w:tcPr>
          <w:p w14:paraId="7C332AF3" w14:textId="77777777" w:rsidR="0054078B" w:rsidRPr="00383DC8" w:rsidRDefault="00016F29" w:rsidP="00BA12B2">
            <w:pPr>
              <w:tabs>
                <w:tab w:val="left" w:pos="567"/>
              </w:tabs>
              <w:rPr>
                <w:b/>
                <w:noProof/>
                <w:lang w:val="it-IT"/>
              </w:rPr>
            </w:pPr>
            <w:r w:rsidRPr="00383DC8">
              <w:rPr>
                <w:b/>
                <w:noProof/>
                <w:lang w:val="it-IT"/>
              </w:rPr>
              <w:t>Italia</w:t>
            </w:r>
          </w:p>
          <w:p w14:paraId="7C332AF4" w14:textId="77777777" w:rsidR="0054078B" w:rsidRPr="00383DC8" w:rsidRDefault="00016F29" w:rsidP="00BA12B2">
            <w:pPr>
              <w:tabs>
                <w:tab w:val="left" w:pos="567"/>
              </w:tabs>
              <w:rPr>
                <w:noProof/>
                <w:lang w:val="it-IT"/>
              </w:rPr>
            </w:pPr>
            <w:r w:rsidRPr="00383DC8">
              <w:rPr>
                <w:noProof/>
                <w:lang w:val="it-IT"/>
              </w:rPr>
              <w:t>Roche S.p.A.</w:t>
            </w:r>
          </w:p>
          <w:p w14:paraId="7C332AF5" w14:textId="77777777" w:rsidR="0054078B" w:rsidRPr="00885E37" w:rsidRDefault="00016F29" w:rsidP="00BA12B2">
            <w:pPr>
              <w:tabs>
                <w:tab w:val="left" w:pos="567"/>
              </w:tabs>
              <w:rPr>
                <w:b/>
                <w:noProof/>
                <w:lang w:val="de-CH"/>
              </w:rPr>
            </w:pPr>
            <w:r w:rsidRPr="00885E37">
              <w:rPr>
                <w:noProof/>
                <w:lang w:val="de-CH"/>
              </w:rPr>
              <w:t xml:space="preserve">Tel: +39 </w:t>
            </w:r>
            <w:r w:rsidR="000A6DDA" w:rsidRPr="00885E37">
              <w:rPr>
                <w:noProof/>
                <w:lang w:val="de-CH"/>
              </w:rPr>
              <w:noBreakHyphen/>
            </w:r>
            <w:r w:rsidRPr="00885E37">
              <w:rPr>
                <w:noProof/>
                <w:lang w:val="de-CH"/>
              </w:rPr>
              <w:t xml:space="preserve"> 039 2471</w:t>
            </w:r>
          </w:p>
        </w:tc>
        <w:tc>
          <w:tcPr>
            <w:tcW w:w="4590" w:type="dxa"/>
            <w:shd w:val="clear" w:color="auto" w:fill="FFFFFF"/>
          </w:tcPr>
          <w:p w14:paraId="7C332AF6" w14:textId="77777777" w:rsidR="0054078B" w:rsidRPr="00885E37" w:rsidRDefault="00016F29" w:rsidP="00BA12B2">
            <w:pPr>
              <w:tabs>
                <w:tab w:val="left" w:pos="567"/>
              </w:tabs>
              <w:suppressAutoHyphens/>
              <w:rPr>
                <w:b/>
                <w:noProof/>
                <w:lang w:val="de-DE"/>
              </w:rPr>
            </w:pPr>
            <w:r w:rsidRPr="00885E37">
              <w:rPr>
                <w:b/>
                <w:noProof/>
                <w:lang w:val="de-DE"/>
              </w:rPr>
              <w:t>Suomi/Finland</w:t>
            </w:r>
          </w:p>
          <w:p w14:paraId="7C332AF7" w14:textId="77777777" w:rsidR="0054078B" w:rsidRPr="00885E37" w:rsidRDefault="00016F29" w:rsidP="00BA12B2">
            <w:pPr>
              <w:tabs>
                <w:tab w:val="left" w:pos="567"/>
              </w:tabs>
              <w:rPr>
                <w:noProof/>
                <w:lang w:val="de-DE"/>
              </w:rPr>
            </w:pPr>
            <w:r w:rsidRPr="00885E37">
              <w:rPr>
                <w:noProof/>
                <w:lang w:val="de-DE"/>
              </w:rPr>
              <w:t xml:space="preserve">Roche Oy </w:t>
            </w:r>
          </w:p>
          <w:p w14:paraId="7C332AF8" w14:textId="77777777" w:rsidR="0054078B" w:rsidRPr="00885E37" w:rsidRDefault="00016F29" w:rsidP="00BA12B2">
            <w:pPr>
              <w:tabs>
                <w:tab w:val="left" w:pos="567"/>
              </w:tabs>
              <w:rPr>
                <w:noProof/>
                <w:lang w:val="de-DE"/>
              </w:rPr>
            </w:pPr>
            <w:r w:rsidRPr="00885E37">
              <w:rPr>
                <w:noProof/>
                <w:lang w:val="de-DE"/>
              </w:rPr>
              <w:t>Puh/Tel: +358 (0) 10 554 500</w:t>
            </w:r>
          </w:p>
          <w:p w14:paraId="7C332AF9" w14:textId="77777777" w:rsidR="0054078B" w:rsidRPr="00885E37" w:rsidRDefault="0054078B" w:rsidP="00BA12B2">
            <w:pPr>
              <w:tabs>
                <w:tab w:val="left" w:pos="567"/>
              </w:tabs>
              <w:suppressAutoHyphens/>
              <w:rPr>
                <w:b/>
                <w:noProof/>
                <w:lang w:val="de-DE"/>
              </w:rPr>
            </w:pPr>
          </w:p>
        </w:tc>
      </w:tr>
      <w:tr w:rsidR="003A788B" w14:paraId="7C332B03" w14:textId="77777777" w:rsidTr="00BA12B2">
        <w:trPr>
          <w:cantSplit/>
        </w:trPr>
        <w:tc>
          <w:tcPr>
            <w:tcW w:w="4624" w:type="dxa"/>
            <w:shd w:val="clear" w:color="auto" w:fill="FFFFFF"/>
          </w:tcPr>
          <w:p w14:paraId="7C332AFB" w14:textId="77777777" w:rsidR="0054078B" w:rsidRPr="00383DC8" w:rsidRDefault="00016F29" w:rsidP="00BA12B2">
            <w:pPr>
              <w:tabs>
                <w:tab w:val="left" w:pos="567"/>
              </w:tabs>
              <w:rPr>
                <w:b/>
                <w:noProof/>
                <w:lang w:val="de-CH"/>
              </w:rPr>
            </w:pPr>
            <w:r w:rsidRPr="00383DC8">
              <w:rPr>
                <w:b/>
                <w:noProof/>
                <w:lang w:val="de-CH"/>
              </w:rPr>
              <w:t>K</w:t>
            </w:r>
            <w:r w:rsidRPr="00885E37">
              <w:rPr>
                <w:b/>
                <w:noProof/>
                <w:lang w:val="en-GB"/>
              </w:rPr>
              <w:t>ύπρος</w:t>
            </w:r>
            <w:r w:rsidRPr="00383DC8">
              <w:rPr>
                <w:b/>
                <w:noProof/>
                <w:lang w:val="de-CH"/>
              </w:rPr>
              <w:t xml:space="preserve"> </w:t>
            </w:r>
          </w:p>
          <w:p w14:paraId="7C332AFC" w14:textId="77777777" w:rsidR="0054078B" w:rsidRPr="00383DC8" w:rsidRDefault="00016F29" w:rsidP="00BA12B2">
            <w:pPr>
              <w:tabs>
                <w:tab w:val="left" w:pos="567"/>
              </w:tabs>
              <w:rPr>
                <w:noProof/>
                <w:lang w:val="de-CH"/>
              </w:rPr>
            </w:pPr>
            <w:r w:rsidRPr="00885E37">
              <w:rPr>
                <w:noProof/>
                <w:lang w:val="en-GB"/>
              </w:rPr>
              <w:t>Γ</w:t>
            </w:r>
            <w:r w:rsidRPr="00383DC8">
              <w:rPr>
                <w:noProof/>
                <w:lang w:val="de-CH"/>
              </w:rPr>
              <w:t>.</w:t>
            </w:r>
            <w:r w:rsidRPr="00885E37">
              <w:rPr>
                <w:noProof/>
                <w:lang w:val="en-GB"/>
              </w:rPr>
              <w:t>Α</w:t>
            </w:r>
            <w:r w:rsidRPr="00383DC8">
              <w:rPr>
                <w:noProof/>
                <w:lang w:val="de-CH"/>
              </w:rPr>
              <w:t>.</w:t>
            </w:r>
            <w:r w:rsidRPr="00885E37">
              <w:rPr>
                <w:noProof/>
                <w:lang w:val="en-GB"/>
              </w:rPr>
              <w:t>Σταμάτης</w:t>
            </w:r>
            <w:r w:rsidRPr="00383DC8">
              <w:rPr>
                <w:noProof/>
                <w:lang w:val="de-CH"/>
              </w:rPr>
              <w:t xml:space="preserve"> &amp; </w:t>
            </w:r>
            <w:r w:rsidRPr="00885E37">
              <w:rPr>
                <w:noProof/>
                <w:lang w:val="en-GB"/>
              </w:rPr>
              <w:t>Σια</w:t>
            </w:r>
            <w:r w:rsidRPr="00383DC8">
              <w:rPr>
                <w:noProof/>
                <w:lang w:val="de-CH"/>
              </w:rPr>
              <w:t xml:space="preserve"> </w:t>
            </w:r>
            <w:r w:rsidRPr="00885E37">
              <w:rPr>
                <w:noProof/>
                <w:lang w:val="en-GB"/>
              </w:rPr>
              <w:t>Λτδ</w:t>
            </w:r>
            <w:r w:rsidRPr="00383DC8">
              <w:rPr>
                <w:noProof/>
                <w:lang w:val="de-CH"/>
              </w:rPr>
              <w:t>.</w:t>
            </w:r>
          </w:p>
          <w:p w14:paraId="7C332AFD" w14:textId="77777777" w:rsidR="0054078B" w:rsidRPr="00885E37" w:rsidRDefault="00016F29" w:rsidP="00BA12B2">
            <w:pPr>
              <w:tabs>
                <w:tab w:val="left" w:pos="567"/>
              </w:tabs>
              <w:rPr>
                <w:noProof/>
                <w:lang w:val="en-GB"/>
              </w:rPr>
            </w:pPr>
            <w:r w:rsidRPr="00885E37">
              <w:rPr>
                <w:noProof/>
                <w:lang w:val="en-GB"/>
              </w:rPr>
              <w:t xml:space="preserve">Τηλ: +357 </w:t>
            </w:r>
            <w:r w:rsidR="000A6DDA" w:rsidRPr="00885E37">
              <w:rPr>
                <w:noProof/>
                <w:lang w:val="en-GB"/>
              </w:rPr>
              <w:noBreakHyphen/>
            </w:r>
            <w:r w:rsidRPr="00885E37">
              <w:rPr>
                <w:noProof/>
                <w:lang w:val="en-GB"/>
              </w:rPr>
              <w:t xml:space="preserve"> 22 76 62 76</w:t>
            </w:r>
          </w:p>
          <w:p w14:paraId="7C332AFE" w14:textId="77777777" w:rsidR="0054078B" w:rsidRPr="00885E37" w:rsidRDefault="0054078B" w:rsidP="00BA12B2">
            <w:pPr>
              <w:tabs>
                <w:tab w:val="left" w:pos="567"/>
              </w:tabs>
              <w:rPr>
                <w:b/>
                <w:noProof/>
                <w:lang w:val="en-GB"/>
              </w:rPr>
            </w:pPr>
          </w:p>
        </w:tc>
        <w:tc>
          <w:tcPr>
            <w:tcW w:w="4590" w:type="dxa"/>
            <w:shd w:val="clear" w:color="auto" w:fill="FFFFFF"/>
          </w:tcPr>
          <w:p w14:paraId="7C332AFF" w14:textId="77777777" w:rsidR="0054078B" w:rsidRPr="00885E37" w:rsidRDefault="00016F29" w:rsidP="00BA12B2">
            <w:pPr>
              <w:tabs>
                <w:tab w:val="left" w:pos="567"/>
              </w:tabs>
              <w:suppressAutoHyphens/>
              <w:rPr>
                <w:b/>
                <w:noProof/>
                <w:lang w:val="en-GB"/>
              </w:rPr>
            </w:pPr>
            <w:r w:rsidRPr="00885E37">
              <w:rPr>
                <w:b/>
                <w:noProof/>
                <w:lang w:val="en-GB"/>
              </w:rPr>
              <w:t>Sverige</w:t>
            </w:r>
          </w:p>
          <w:p w14:paraId="7C332B00" w14:textId="77777777" w:rsidR="0054078B" w:rsidRPr="00885E37" w:rsidRDefault="00016F29" w:rsidP="00BA12B2">
            <w:pPr>
              <w:tabs>
                <w:tab w:val="left" w:pos="567"/>
              </w:tabs>
              <w:rPr>
                <w:noProof/>
                <w:lang w:val="en-GB"/>
              </w:rPr>
            </w:pPr>
            <w:r w:rsidRPr="00885E37">
              <w:rPr>
                <w:noProof/>
                <w:lang w:val="en-GB"/>
              </w:rPr>
              <w:t>Roche AB</w:t>
            </w:r>
          </w:p>
          <w:p w14:paraId="7C332B01" w14:textId="77777777" w:rsidR="0054078B" w:rsidRPr="00885E37" w:rsidRDefault="00016F29" w:rsidP="00BA12B2">
            <w:pPr>
              <w:tabs>
                <w:tab w:val="left" w:pos="567"/>
              </w:tabs>
              <w:rPr>
                <w:noProof/>
                <w:lang w:val="en-GB"/>
              </w:rPr>
            </w:pPr>
            <w:r w:rsidRPr="00885E37">
              <w:rPr>
                <w:noProof/>
                <w:lang w:val="en-GB"/>
              </w:rPr>
              <w:t>Tel: +46 (0) 8 726 1200</w:t>
            </w:r>
          </w:p>
          <w:p w14:paraId="7C332B02" w14:textId="77777777" w:rsidR="0054078B" w:rsidRPr="00885E37" w:rsidRDefault="0054078B" w:rsidP="00BA12B2">
            <w:pPr>
              <w:tabs>
                <w:tab w:val="left" w:pos="567"/>
              </w:tabs>
              <w:suppressAutoHyphens/>
              <w:rPr>
                <w:b/>
                <w:noProof/>
                <w:lang w:val="en-GB"/>
              </w:rPr>
            </w:pPr>
          </w:p>
        </w:tc>
      </w:tr>
      <w:tr w:rsidR="003A788B" w14:paraId="7C332B0C" w14:textId="77777777" w:rsidTr="00BA12B2">
        <w:trPr>
          <w:cantSplit/>
        </w:trPr>
        <w:tc>
          <w:tcPr>
            <w:tcW w:w="4624" w:type="dxa"/>
            <w:shd w:val="clear" w:color="auto" w:fill="FFFFFF"/>
          </w:tcPr>
          <w:p w14:paraId="7C332B04" w14:textId="77777777" w:rsidR="0054078B" w:rsidRPr="00383DC8" w:rsidRDefault="00016F29" w:rsidP="00BA12B2">
            <w:pPr>
              <w:tabs>
                <w:tab w:val="left" w:pos="567"/>
              </w:tabs>
              <w:rPr>
                <w:b/>
                <w:noProof/>
                <w:lang w:val="it-IT"/>
              </w:rPr>
            </w:pPr>
            <w:r w:rsidRPr="00383DC8">
              <w:rPr>
                <w:b/>
                <w:noProof/>
                <w:lang w:val="it-IT"/>
              </w:rPr>
              <w:t>Latvija</w:t>
            </w:r>
          </w:p>
          <w:p w14:paraId="7C332B05" w14:textId="77777777" w:rsidR="0054078B" w:rsidRPr="00383DC8" w:rsidRDefault="00016F29" w:rsidP="00BA12B2">
            <w:pPr>
              <w:tabs>
                <w:tab w:val="left" w:pos="567"/>
              </w:tabs>
              <w:rPr>
                <w:noProof/>
                <w:lang w:val="it-IT"/>
              </w:rPr>
            </w:pPr>
            <w:r w:rsidRPr="00383DC8">
              <w:rPr>
                <w:noProof/>
                <w:lang w:val="it-IT"/>
              </w:rPr>
              <w:t>Roche Latvija SIA</w:t>
            </w:r>
          </w:p>
          <w:p w14:paraId="7C332B06" w14:textId="77777777" w:rsidR="0054078B" w:rsidRPr="00383DC8" w:rsidRDefault="00016F29" w:rsidP="00BA12B2">
            <w:pPr>
              <w:tabs>
                <w:tab w:val="left" w:pos="567"/>
              </w:tabs>
              <w:rPr>
                <w:noProof/>
                <w:lang w:val="it-IT"/>
              </w:rPr>
            </w:pPr>
            <w:r w:rsidRPr="00383DC8">
              <w:rPr>
                <w:noProof/>
                <w:lang w:val="it-IT"/>
              </w:rPr>
              <w:t xml:space="preserve">Tel: +371 </w:t>
            </w:r>
            <w:r w:rsidRPr="00383DC8">
              <w:rPr>
                <w:noProof/>
                <w:lang w:val="it-IT"/>
              </w:rPr>
              <w:noBreakHyphen/>
              <w:t xml:space="preserve"> 6 7039831</w:t>
            </w:r>
          </w:p>
          <w:p w14:paraId="7C332B07" w14:textId="77777777" w:rsidR="0054078B" w:rsidRPr="00383DC8" w:rsidRDefault="0054078B" w:rsidP="00BA12B2">
            <w:pPr>
              <w:tabs>
                <w:tab w:val="left" w:pos="567"/>
              </w:tabs>
              <w:rPr>
                <w:b/>
                <w:noProof/>
                <w:lang w:val="it-IT"/>
              </w:rPr>
            </w:pPr>
          </w:p>
        </w:tc>
        <w:tc>
          <w:tcPr>
            <w:tcW w:w="4590" w:type="dxa"/>
            <w:shd w:val="clear" w:color="auto" w:fill="FFFFFF"/>
          </w:tcPr>
          <w:p w14:paraId="7C332B08" w14:textId="77777777" w:rsidR="0054078B" w:rsidRPr="00885E37" w:rsidRDefault="00016F29" w:rsidP="00BA12B2">
            <w:pPr>
              <w:tabs>
                <w:tab w:val="left" w:pos="567"/>
              </w:tabs>
              <w:suppressAutoHyphens/>
              <w:rPr>
                <w:b/>
                <w:noProof/>
                <w:lang w:val="en-GB"/>
              </w:rPr>
            </w:pPr>
            <w:r w:rsidRPr="00885E37">
              <w:rPr>
                <w:b/>
                <w:noProof/>
                <w:lang w:val="en-GB"/>
              </w:rPr>
              <w:t>United Kingdom</w:t>
            </w:r>
          </w:p>
          <w:p w14:paraId="7C332B09" w14:textId="77777777" w:rsidR="0054078B" w:rsidRPr="00885E37" w:rsidRDefault="00016F29" w:rsidP="00BA12B2">
            <w:pPr>
              <w:tabs>
                <w:tab w:val="left" w:pos="567"/>
              </w:tabs>
              <w:rPr>
                <w:noProof/>
                <w:lang w:val="en-GB"/>
              </w:rPr>
            </w:pPr>
            <w:r w:rsidRPr="00885E37">
              <w:rPr>
                <w:noProof/>
                <w:lang w:val="en-GB"/>
              </w:rPr>
              <w:t>Roche Products Ltd.</w:t>
            </w:r>
          </w:p>
          <w:p w14:paraId="7C332B0A" w14:textId="77777777" w:rsidR="0054078B" w:rsidRPr="00885E37" w:rsidRDefault="00016F29" w:rsidP="00BA12B2">
            <w:pPr>
              <w:tabs>
                <w:tab w:val="left" w:pos="567"/>
              </w:tabs>
              <w:rPr>
                <w:noProof/>
                <w:lang w:val="en-GB"/>
              </w:rPr>
            </w:pPr>
            <w:r w:rsidRPr="00885E37">
              <w:rPr>
                <w:noProof/>
                <w:lang w:val="en-GB"/>
              </w:rPr>
              <w:t>Tel: +44 (0) 1707 366000</w:t>
            </w:r>
          </w:p>
          <w:p w14:paraId="7C332B0B" w14:textId="77777777" w:rsidR="0054078B" w:rsidRPr="00885E37" w:rsidRDefault="0054078B" w:rsidP="00BA12B2">
            <w:pPr>
              <w:tabs>
                <w:tab w:val="left" w:pos="567"/>
              </w:tabs>
              <w:suppressAutoHyphens/>
              <w:rPr>
                <w:b/>
                <w:noProof/>
                <w:lang w:val="en-GB"/>
              </w:rPr>
            </w:pPr>
          </w:p>
        </w:tc>
      </w:tr>
    </w:tbl>
    <w:p w14:paraId="7C332B0D" w14:textId="77777777" w:rsidR="0054078B" w:rsidRPr="003C313A" w:rsidRDefault="0054078B" w:rsidP="0054078B">
      <w:pPr>
        <w:rPr>
          <w:szCs w:val="22"/>
          <w:lang w:val="en-GB"/>
        </w:rPr>
      </w:pPr>
    </w:p>
    <w:p w14:paraId="7C332B0E" w14:textId="77777777" w:rsidR="0054078B" w:rsidRPr="003C313A" w:rsidRDefault="00016F29" w:rsidP="0054078B">
      <w:pPr>
        <w:outlineLvl w:val="0"/>
        <w:rPr>
          <w:b/>
          <w:szCs w:val="22"/>
          <w:lang w:val="en-GB"/>
        </w:rPr>
      </w:pPr>
      <w:r w:rsidRPr="003C313A">
        <w:rPr>
          <w:b/>
          <w:szCs w:val="22"/>
          <w:lang w:val="en-GB"/>
        </w:rPr>
        <w:t>This leaflet was last revised in</w:t>
      </w:r>
    </w:p>
    <w:p w14:paraId="7C332B0F" w14:textId="77777777" w:rsidR="0054078B" w:rsidRPr="003C313A" w:rsidRDefault="0054078B" w:rsidP="0054078B">
      <w:pPr>
        <w:numPr>
          <w:ilvl w:val="12"/>
          <w:numId w:val="0"/>
        </w:numPr>
        <w:rPr>
          <w:b/>
          <w:lang w:val="en-GB"/>
        </w:rPr>
      </w:pPr>
    </w:p>
    <w:p w14:paraId="7C332B10" w14:textId="77777777" w:rsidR="0054078B" w:rsidRPr="003C313A" w:rsidRDefault="00016F29" w:rsidP="0054078B">
      <w:pPr>
        <w:numPr>
          <w:ilvl w:val="12"/>
          <w:numId w:val="0"/>
        </w:numPr>
        <w:rPr>
          <w:b/>
          <w:lang w:val="en-GB"/>
        </w:rPr>
      </w:pPr>
      <w:r w:rsidRPr="003C313A">
        <w:rPr>
          <w:b/>
          <w:lang w:val="en-GB"/>
        </w:rPr>
        <w:t>Other sources of information</w:t>
      </w:r>
    </w:p>
    <w:p w14:paraId="7C332B11" w14:textId="77777777" w:rsidR="0054078B" w:rsidRPr="003C313A" w:rsidRDefault="0054078B" w:rsidP="0054078B">
      <w:pPr>
        <w:numPr>
          <w:ilvl w:val="12"/>
          <w:numId w:val="0"/>
        </w:numPr>
        <w:ind w:right="-2"/>
        <w:rPr>
          <w:iCs/>
          <w:szCs w:val="22"/>
          <w:lang w:val="en-GB"/>
        </w:rPr>
      </w:pPr>
    </w:p>
    <w:p w14:paraId="7C332B12" w14:textId="77777777" w:rsidR="0054078B" w:rsidRPr="00137FEB" w:rsidRDefault="00016F29" w:rsidP="0054078B">
      <w:pPr>
        <w:numPr>
          <w:ilvl w:val="12"/>
          <w:numId w:val="0"/>
        </w:numPr>
        <w:ind w:right="-2"/>
        <w:rPr>
          <w:szCs w:val="22"/>
          <w:lang w:val="en-GB"/>
        </w:rPr>
      </w:pPr>
      <w:r w:rsidRPr="003C313A">
        <w:rPr>
          <w:iCs/>
          <w:szCs w:val="22"/>
          <w:lang w:val="en-GB"/>
        </w:rPr>
        <w:t xml:space="preserve">Detailed information on this medicine is available on the European Medicines Agency (EMEA) web site: </w:t>
      </w:r>
      <w:hyperlink r:id="rId27" w:history="1">
        <w:r w:rsidRPr="00137FEB">
          <w:rPr>
            <w:color w:val="0000FF"/>
            <w:szCs w:val="22"/>
            <w:u w:val="single"/>
            <w:lang w:val="en-GB"/>
          </w:rPr>
          <w:t>http://www.ema.europa.eu</w:t>
        </w:r>
      </w:hyperlink>
      <w:r w:rsidRPr="00137FEB">
        <w:rPr>
          <w:color w:val="0000FF"/>
          <w:szCs w:val="22"/>
          <w:lang w:val="en-GB"/>
        </w:rPr>
        <w:t>.</w:t>
      </w:r>
      <w:r w:rsidRPr="00137FEB">
        <w:rPr>
          <w:iCs/>
          <w:szCs w:val="22"/>
          <w:lang w:val="en-GB"/>
        </w:rPr>
        <w:t xml:space="preserve"> </w:t>
      </w:r>
    </w:p>
    <w:p w14:paraId="7C332B13" w14:textId="77777777" w:rsidR="0054078B" w:rsidRPr="00C50A4F" w:rsidRDefault="00016F29" w:rsidP="0054078B">
      <w:pPr>
        <w:rPr>
          <w:lang w:val="en-GB"/>
        </w:rPr>
      </w:pPr>
      <w:r w:rsidRPr="00D239C4">
        <w:rPr>
          <w:lang w:val="en-GB"/>
        </w:rPr>
        <w:t>This leaflet is available in all EU/EEA la</w:t>
      </w:r>
      <w:r w:rsidRPr="000400ED">
        <w:rPr>
          <w:lang w:val="en-GB"/>
        </w:rPr>
        <w:t>nguages on the European Medicines Agency website.</w:t>
      </w:r>
    </w:p>
    <w:p w14:paraId="7C332B14" w14:textId="77777777" w:rsidR="00E256ED" w:rsidRPr="00C50A4F" w:rsidRDefault="00E256ED" w:rsidP="00B55F31">
      <w:pPr>
        <w:rPr>
          <w:lang w:val="en-GB"/>
        </w:rPr>
      </w:pPr>
    </w:p>
    <w:sectPr w:rsidR="00E256ED" w:rsidRPr="00C50A4F" w:rsidSect="00E716AF">
      <w:footerReference w:type="default" r:id="rId28"/>
      <w:footerReference w:type="first" r:id="rId29"/>
      <w:endnotePr>
        <w:numFmt w:val="decimal"/>
      </w:endnotePr>
      <w:pgSz w:w="11907" w:h="16840" w:code="9"/>
      <w:pgMar w:top="1134" w:right="1418" w:bottom="1134" w:left="1418"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AFF577" w14:textId="77777777" w:rsidR="00E716AF" w:rsidRDefault="00E716AF">
      <w:r>
        <w:separator/>
      </w:r>
    </w:p>
  </w:endnote>
  <w:endnote w:type="continuationSeparator" w:id="0">
    <w:p w14:paraId="447C711B" w14:textId="77777777" w:rsidR="00E716AF" w:rsidRDefault="00E71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inion">
    <w:panose1 w:val="02040503050201020203"/>
    <w:charset w:val="00"/>
    <w:family w:val="roman"/>
    <w:pitch w:val="variable"/>
    <w:sig w:usb0="E00002AF" w:usb1="5000E07B"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Times New Roman Bold">
    <w:altName w:val="Tahoma"/>
    <w:panose1 w:val="02020803070505020304"/>
    <w:charset w:val="00"/>
    <w:family w:val="auto"/>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PGothic">
    <w:panose1 w:val="020B0600070205080204"/>
    <w:charset w:val="80"/>
    <w:family w:val="swiss"/>
    <w:pitch w:val="variable"/>
    <w:sig w:usb0="E00002FF" w:usb1="6AC7FDFB" w:usb2="08000012" w:usb3="00000000" w:csb0="0002009F" w:csb1="00000000"/>
  </w:font>
  <w:font w:name="TimesNewRomanPSMT">
    <w:altName w:val="Times New Roman"/>
    <w:charset w:val="00"/>
    <w:family w:val="roman"/>
    <w:pitch w:val="variable"/>
    <w:sig w:usb0="E0002AE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New">
    <w:altName w:val="Courier New"/>
    <w:panose1 w:val="00000000000000000000"/>
    <w:charset w:val="00"/>
    <w:family w:val="auto"/>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TimesNewRoman">
    <w:altName w:val="Yu Gothic UI"/>
    <w:panose1 w:val="00000000000000000000"/>
    <w:charset w:val="00"/>
    <w:family w:val="auto"/>
    <w:notTrueType/>
    <w:pitch w:val="default"/>
    <w:sig w:usb0="00000000" w:usb1="08070000" w:usb2="00000010" w:usb3="00000000" w:csb0="0002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32B21" w14:textId="22E69248" w:rsidR="00E716AF" w:rsidRDefault="00E716AF">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sidR="00063D4E">
      <w:rPr>
        <w:rStyle w:val="PageNumber"/>
      </w:rPr>
      <w:t>41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32B22" w14:textId="77777777" w:rsidR="00E716AF" w:rsidRDefault="00E716AF">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rPr>
      <w:t>188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213CB2" w14:textId="77777777" w:rsidR="00E716AF" w:rsidRDefault="00E716AF">
      <w:r>
        <w:separator/>
      </w:r>
    </w:p>
  </w:footnote>
  <w:footnote w:type="continuationSeparator" w:id="0">
    <w:p w14:paraId="58118D0B" w14:textId="77777777" w:rsidR="00E716AF" w:rsidRDefault="00E716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AA009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D"/>
    <w:multiLevelType w:val="singleLevel"/>
    <w:tmpl w:val="CF2415B0"/>
    <w:lvl w:ilvl="0">
      <w:start w:val="1"/>
      <w:numFmt w:val="decimal"/>
      <w:lvlText w:val="%1."/>
      <w:lvlJc w:val="left"/>
      <w:pPr>
        <w:tabs>
          <w:tab w:val="num" w:pos="1209"/>
        </w:tabs>
        <w:ind w:left="1209" w:hanging="360"/>
      </w:pPr>
    </w:lvl>
  </w:abstractNum>
  <w:abstractNum w:abstractNumId="2" w15:restartNumberingAfterBreak="0">
    <w:nsid w:val="01890823"/>
    <w:multiLevelType w:val="multilevel"/>
    <w:tmpl w:val="DFC2CE3C"/>
    <w:lvl w:ilvl="0">
      <w:start w:val="1"/>
      <w:numFmt w:val="decimal"/>
      <w:lvlText w:val="%1."/>
      <w:lvlJc w:val="left"/>
      <w:pPr>
        <w:tabs>
          <w:tab w:val="num" w:pos="1411"/>
        </w:tabs>
        <w:ind w:left="1411" w:hanging="1411"/>
      </w:pPr>
      <w:rPr>
        <w:rFonts w:hint="default"/>
        <w:b/>
        <w:i w:val="0"/>
        <w:sz w:val="28"/>
        <w:szCs w:val="32"/>
      </w:rPr>
    </w:lvl>
    <w:lvl w:ilvl="1">
      <w:start w:val="1"/>
      <w:numFmt w:val="decimal"/>
      <w:lvlText w:val="%1.%2"/>
      <w:lvlJc w:val="left"/>
      <w:pPr>
        <w:tabs>
          <w:tab w:val="num" w:pos="1411"/>
        </w:tabs>
        <w:ind w:left="1411" w:hanging="1411"/>
      </w:pPr>
      <w:rPr>
        <w:rFonts w:hint="default"/>
        <w:b/>
        <w:i w:val="0"/>
        <w:color w:val="auto"/>
        <w:sz w:val="28"/>
        <w:szCs w:val="28"/>
      </w:rPr>
    </w:lvl>
    <w:lvl w:ilvl="2">
      <w:start w:val="1"/>
      <w:numFmt w:val="decimal"/>
      <w:lvlText w:val="%1.%2.%3"/>
      <w:lvlJc w:val="left"/>
      <w:pPr>
        <w:tabs>
          <w:tab w:val="num" w:pos="1411"/>
        </w:tabs>
        <w:ind w:left="1411" w:hanging="1411"/>
      </w:pPr>
      <w:rPr>
        <w:rFonts w:hint="default"/>
        <w:b/>
        <w:bCs w:val="0"/>
        <w:i w:val="0"/>
        <w:iCs w:val="0"/>
        <w:caps w:val="0"/>
        <w:smallCaps w:val="0"/>
        <w:strike w:val="0"/>
        <w:dstrike w:val="0"/>
        <w:vanish w:val="0"/>
        <w:color w:val="000000"/>
        <w:spacing w:val="0"/>
        <w:kern w:val="0"/>
        <w:position w:val="0"/>
        <w:sz w:val="24"/>
        <w:szCs w:val="26"/>
        <w:u w:val="none"/>
        <w:vertAlign w:val="baseline"/>
      </w:rPr>
    </w:lvl>
    <w:lvl w:ilvl="3">
      <w:start w:val="1"/>
      <w:numFmt w:val="decimal"/>
      <w:pStyle w:val="Heading4"/>
      <w:lvlText w:val="%1.%2.%3.%4"/>
      <w:lvlJc w:val="left"/>
      <w:pPr>
        <w:tabs>
          <w:tab w:val="num" w:pos="1411"/>
        </w:tabs>
        <w:ind w:left="1411" w:hanging="1411"/>
      </w:pPr>
      <w:rPr>
        <w:rFonts w:hint="default"/>
        <w:b/>
        <w:i w:val="0"/>
        <w:sz w:val="24"/>
        <w:szCs w:val="24"/>
      </w:rPr>
    </w:lvl>
    <w:lvl w:ilvl="4">
      <w:start w:val="1"/>
      <w:numFmt w:val="decimal"/>
      <w:pStyle w:val="Heading5"/>
      <w:lvlText w:val="%1.%2.%3.%4.%5"/>
      <w:lvlJc w:val="left"/>
      <w:pPr>
        <w:tabs>
          <w:tab w:val="num" w:pos="1411"/>
        </w:tabs>
        <w:ind w:left="1411" w:hanging="1411"/>
      </w:pPr>
      <w:rPr>
        <w:rFonts w:hint="default"/>
        <w:b/>
        <w:i w:val="0"/>
        <w:sz w:val="24"/>
      </w:rPr>
    </w:lvl>
    <w:lvl w:ilvl="5">
      <w:start w:val="1"/>
      <w:numFmt w:val="decimal"/>
      <w:pStyle w:val="Heading6"/>
      <w:lvlText w:val="%1.%2.%3.%4.%5.%6"/>
      <w:lvlJc w:val="left"/>
      <w:pPr>
        <w:tabs>
          <w:tab w:val="num" w:pos="1411"/>
        </w:tabs>
        <w:ind w:left="1411" w:hanging="1411"/>
      </w:pPr>
      <w:rPr>
        <w:rFonts w:hint="default"/>
        <w:b/>
        <w:i w:val="0"/>
        <w:sz w:val="24"/>
      </w:rPr>
    </w:lvl>
    <w:lvl w:ilvl="6">
      <w:start w:val="1"/>
      <w:numFmt w:val="decimal"/>
      <w:pStyle w:val="Heading7"/>
      <w:lvlText w:val="%1.%2.%3.%4.%5.%6.%7"/>
      <w:lvlJc w:val="left"/>
      <w:pPr>
        <w:tabs>
          <w:tab w:val="num" w:pos="1411"/>
        </w:tabs>
        <w:ind w:left="1411" w:hanging="1411"/>
      </w:pPr>
      <w:rPr>
        <w:rFonts w:hint="default"/>
        <w:b/>
        <w:i w:val="0"/>
        <w:sz w:val="24"/>
      </w:rPr>
    </w:lvl>
    <w:lvl w:ilvl="7">
      <w:start w:val="1"/>
      <w:numFmt w:val="decimal"/>
      <w:pStyle w:val="Heading8"/>
      <w:lvlText w:val="%1.%2.%3.%4.%5.%6.%7.%8"/>
      <w:lvlJc w:val="left"/>
      <w:pPr>
        <w:tabs>
          <w:tab w:val="num" w:pos="1411"/>
        </w:tabs>
        <w:ind w:left="1411" w:hanging="1411"/>
      </w:pPr>
      <w:rPr>
        <w:rFonts w:hint="default"/>
        <w:b/>
        <w:i w:val="0"/>
        <w:sz w:val="24"/>
      </w:rPr>
    </w:lvl>
    <w:lvl w:ilvl="8">
      <w:start w:val="1"/>
      <w:numFmt w:val="decimal"/>
      <w:pStyle w:val="Heading9"/>
      <w:lvlText w:val="%1.%2.%3.%4.%5.%6.%7.%8.%9"/>
      <w:lvlJc w:val="left"/>
      <w:pPr>
        <w:tabs>
          <w:tab w:val="num" w:pos="1411"/>
        </w:tabs>
        <w:ind w:left="1411" w:hanging="1411"/>
      </w:pPr>
      <w:rPr>
        <w:rFonts w:hint="default"/>
        <w:b/>
        <w:i w:val="0"/>
        <w:sz w:val="24"/>
      </w:rPr>
    </w:lvl>
  </w:abstractNum>
  <w:abstractNum w:abstractNumId="3" w15:restartNumberingAfterBreak="0">
    <w:nsid w:val="02B05481"/>
    <w:multiLevelType w:val="hybridMultilevel"/>
    <w:tmpl w:val="3544014A"/>
    <w:lvl w:ilvl="0" w:tplc="64D83874">
      <w:start w:val="1"/>
      <w:numFmt w:val="bullet"/>
      <w:lvlText w:val=""/>
      <w:lvlJc w:val="left"/>
      <w:pPr>
        <w:ind w:left="720" w:hanging="360"/>
      </w:pPr>
      <w:rPr>
        <w:rFonts w:ascii="Symbol" w:hAnsi="Symbol" w:hint="default"/>
      </w:rPr>
    </w:lvl>
    <w:lvl w:ilvl="1" w:tplc="318C182C" w:tentative="1">
      <w:start w:val="1"/>
      <w:numFmt w:val="bullet"/>
      <w:lvlText w:val="o"/>
      <w:lvlJc w:val="left"/>
      <w:pPr>
        <w:ind w:left="1440" w:hanging="360"/>
      </w:pPr>
      <w:rPr>
        <w:rFonts w:ascii="Courier New" w:hAnsi="Courier New" w:cs="Courier New" w:hint="default"/>
      </w:rPr>
    </w:lvl>
    <w:lvl w:ilvl="2" w:tplc="B088E314" w:tentative="1">
      <w:start w:val="1"/>
      <w:numFmt w:val="bullet"/>
      <w:lvlText w:val=""/>
      <w:lvlJc w:val="left"/>
      <w:pPr>
        <w:ind w:left="2160" w:hanging="360"/>
      </w:pPr>
      <w:rPr>
        <w:rFonts w:ascii="Wingdings" w:hAnsi="Wingdings" w:hint="default"/>
      </w:rPr>
    </w:lvl>
    <w:lvl w:ilvl="3" w:tplc="00669894" w:tentative="1">
      <w:start w:val="1"/>
      <w:numFmt w:val="bullet"/>
      <w:lvlText w:val=""/>
      <w:lvlJc w:val="left"/>
      <w:pPr>
        <w:ind w:left="2880" w:hanging="360"/>
      </w:pPr>
      <w:rPr>
        <w:rFonts w:ascii="Symbol" w:hAnsi="Symbol" w:hint="default"/>
      </w:rPr>
    </w:lvl>
    <w:lvl w:ilvl="4" w:tplc="DDE8A264" w:tentative="1">
      <w:start w:val="1"/>
      <w:numFmt w:val="bullet"/>
      <w:lvlText w:val="o"/>
      <w:lvlJc w:val="left"/>
      <w:pPr>
        <w:ind w:left="3600" w:hanging="360"/>
      </w:pPr>
      <w:rPr>
        <w:rFonts w:ascii="Courier New" w:hAnsi="Courier New" w:cs="Courier New" w:hint="default"/>
      </w:rPr>
    </w:lvl>
    <w:lvl w:ilvl="5" w:tplc="4B36BC6A" w:tentative="1">
      <w:start w:val="1"/>
      <w:numFmt w:val="bullet"/>
      <w:lvlText w:val=""/>
      <w:lvlJc w:val="left"/>
      <w:pPr>
        <w:ind w:left="4320" w:hanging="360"/>
      </w:pPr>
      <w:rPr>
        <w:rFonts w:ascii="Wingdings" w:hAnsi="Wingdings" w:hint="default"/>
      </w:rPr>
    </w:lvl>
    <w:lvl w:ilvl="6" w:tplc="C002C790" w:tentative="1">
      <w:start w:val="1"/>
      <w:numFmt w:val="bullet"/>
      <w:lvlText w:val=""/>
      <w:lvlJc w:val="left"/>
      <w:pPr>
        <w:ind w:left="5040" w:hanging="360"/>
      </w:pPr>
      <w:rPr>
        <w:rFonts w:ascii="Symbol" w:hAnsi="Symbol" w:hint="default"/>
      </w:rPr>
    </w:lvl>
    <w:lvl w:ilvl="7" w:tplc="986AA754" w:tentative="1">
      <w:start w:val="1"/>
      <w:numFmt w:val="bullet"/>
      <w:lvlText w:val="o"/>
      <w:lvlJc w:val="left"/>
      <w:pPr>
        <w:ind w:left="5760" w:hanging="360"/>
      </w:pPr>
      <w:rPr>
        <w:rFonts w:ascii="Courier New" w:hAnsi="Courier New" w:cs="Courier New" w:hint="default"/>
      </w:rPr>
    </w:lvl>
    <w:lvl w:ilvl="8" w:tplc="E4BEF50A" w:tentative="1">
      <w:start w:val="1"/>
      <w:numFmt w:val="bullet"/>
      <w:lvlText w:val=""/>
      <w:lvlJc w:val="left"/>
      <w:pPr>
        <w:ind w:left="6480" w:hanging="360"/>
      </w:pPr>
      <w:rPr>
        <w:rFonts w:ascii="Wingdings" w:hAnsi="Wingdings" w:hint="default"/>
      </w:rPr>
    </w:lvl>
  </w:abstractNum>
  <w:abstractNum w:abstractNumId="4" w15:restartNumberingAfterBreak="0">
    <w:nsid w:val="03E51A68"/>
    <w:multiLevelType w:val="hybridMultilevel"/>
    <w:tmpl w:val="2D4647C2"/>
    <w:lvl w:ilvl="0" w:tplc="E81299DC">
      <w:start w:val="1"/>
      <w:numFmt w:val="bullet"/>
      <w:lvlText w:val=""/>
      <w:lvlJc w:val="left"/>
      <w:pPr>
        <w:ind w:left="720" w:hanging="360"/>
      </w:pPr>
      <w:rPr>
        <w:rFonts w:ascii="Symbol" w:hAnsi="Symbol" w:hint="default"/>
      </w:rPr>
    </w:lvl>
    <w:lvl w:ilvl="1" w:tplc="3A287E80" w:tentative="1">
      <w:start w:val="1"/>
      <w:numFmt w:val="bullet"/>
      <w:lvlText w:val="o"/>
      <w:lvlJc w:val="left"/>
      <w:pPr>
        <w:ind w:left="1440" w:hanging="360"/>
      </w:pPr>
      <w:rPr>
        <w:rFonts w:ascii="Courier New" w:hAnsi="Courier New" w:cs="Courier New" w:hint="default"/>
      </w:rPr>
    </w:lvl>
    <w:lvl w:ilvl="2" w:tplc="5CBCF618" w:tentative="1">
      <w:start w:val="1"/>
      <w:numFmt w:val="bullet"/>
      <w:lvlText w:val=""/>
      <w:lvlJc w:val="left"/>
      <w:pPr>
        <w:ind w:left="2160" w:hanging="360"/>
      </w:pPr>
      <w:rPr>
        <w:rFonts w:ascii="Wingdings" w:hAnsi="Wingdings" w:hint="default"/>
      </w:rPr>
    </w:lvl>
    <w:lvl w:ilvl="3" w:tplc="B3AC5D80" w:tentative="1">
      <w:start w:val="1"/>
      <w:numFmt w:val="bullet"/>
      <w:lvlText w:val=""/>
      <w:lvlJc w:val="left"/>
      <w:pPr>
        <w:ind w:left="2880" w:hanging="360"/>
      </w:pPr>
      <w:rPr>
        <w:rFonts w:ascii="Symbol" w:hAnsi="Symbol" w:hint="default"/>
      </w:rPr>
    </w:lvl>
    <w:lvl w:ilvl="4" w:tplc="622CB0F8" w:tentative="1">
      <w:start w:val="1"/>
      <w:numFmt w:val="bullet"/>
      <w:lvlText w:val="o"/>
      <w:lvlJc w:val="left"/>
      <w:pPr>
        <w:ind w:left="3600" w:hanging="360"/>
      </w:pPr>
      <w:rPr>
        <w:rFonts w:ascii="Courier New" w:hAnsi="Courier New" w:cs="Courier New" w:hint="default"/>
      </w:rPr>
    </w:lvl>
    <w:lvl w:ilvl="5" w:tplc="B9BCF1CA" w:tentative="1">
      <w:start w:val="1"/>
      <w:numFmt w:val="bullet"/>
      <w:lvlText w:val=""/>
      <w:lvlJc w:val="left"/>
      <w:pPr>
        <w:ind w:left="4320" w:hanging="360"/>
      </w:pPr>
      <w:rPr>
        <w:rFonts w:ascii="Wingdings" w:hAnsi="Wingdings" w:hint="default"/>
      </w:rPr>
    </w:lvl>
    <w:lvl w:ilvl="6" w:tplc="7A4E74C6" w:tentative="1">
      <w:start w:val="1"/>
      <w:numFmt w:val="bullet"/>
      <w:lvlText w:val=""/>
      <w:lvlJc w:val="left"/>
      <w:pPr>
        <w:ind w:left="5040" w:hanging="360"/>
      </w:pPr>
      <w:rPr>
        <w:rFonts w:ascii="Symbol" w:hAnsi="Symbol" w:hint="default"/>
      </w:rPr>
    </w:lvl>
    <w:lvl w:ilvl="7" w:tplc="6E00986E" w:tentative="1">
      <w:start w:val="1"/>
      <w:numFmt w:val="bullet"/>
      <w:lvlText w:val="o"/>
      <w:lvlJc w:val="left"/>
      <w:pPr>
        <w:ind w:left="5760" w:hanging="360"/>
      </w:pPr>
      <w:rPr>
        <w:rFonts w:ascii="Courier New" w:hAnsi="Courier New" w:cs="Courier New" w:hint="default"/>
      </w:rPr>
    </w:lvl>
    <w:lvl w:ilvl="8" w:tplc="4A5C0B60" w:tentative="1">
      <w:start w:val="1"/>
      <w:numFmt w:val="bullet"/>
      <w:lvlText w:val=""/>
      <w:lvlJc w:val="left"/>
      <w:pPr>
        <w:ind w:left="6480" w:hanging="360"/>
      </w:pPr>
      <w:rPr>
        <w:rFonts w:ascii="Wingdings" w:hAnsi="Wingdings" w:hint="default"/>
      </w:rPr>
    </w:lvl>
  </w:abstractNum>
  <w:abstractNum w:abstractNumId="5" w15:restartNumberingAfterBreak="0">
    <w:nsid w:val="0414161C"/>
    <w:multiLevelType w:val="hybridMultilevel"/>
    <w:tmpl w:val="B960480E"/>
    <w:lvl w:ilvl="0" w:tplc="F2D8F638">
      <w:start w:val="1"/>
      <w:numFmt w:val="bullet"/>
      <w:lvlText w:val=""/>
      <w:lvlJc w:val="left"/>
      <w:pPr>
        <w:ind w:left="720" w:hanging="360"/>
      </w:pPr>
      <w:rPr>
        <w:rFonts w:ascii="Symbol" w:hAnsi="Symbol" w:hint="default"/>
      </w:rPr>
    </w:lvl>
    <w:lvl w:ilvl="1" w:tplc="7E7842DE" w:tentative="1">
      <w:start w:val="1"/>
      <w:numFmt w:val="bullet"/>
      <w:lvlText w:val="o"/>
      <w:lvlJc w:val="left"/>
      <w:pPr>
        <w:ind w:left="1440" w:hanging="360"/>
      </w:pPr>
      <w:rPr>
        <w:rFonts w:ascii="Courier New" w:hAnsi="Courier New" w:cs="Courier New" w:hint="default"/>
      </w:rPr>
    </w:lvl>
    <w:lvl w:ilvl="2" w:tplc="BF583512" w:tentative="1">
      <w:start w:val="1"/>
      <w:numFmt w:val="bullet"/>
      <w:lvlText w:val=""/>
      <w:lvlJc w:val="left"/>
      <w:pPr>
        <w:ind w:left="2160" w:hanging="360"/>
      </w:pPr>
      <w:rPr>
        <w:rFonts w:ascii="Wingdings" w:hAnsi="Wingdings" w:hint="default"/>
      </w:rPr>
    </w:lvl>
    <w:lvl w:ilvl="3" w:tplc="76BEB11C" w:tentative="1">
      <w:start w:val="1"/>
      <w:numFmt w:val="bullet"/>
      <w:lvlText w:val=""/>
      <w:lvlJc w:val="left"/>
      <w:pPr>
        <w:ind w:left="2880" w:hanging="360"/>
      </w:pPr>
      <w:rPr>
        <w:rFonts w:ascii="Symbol" w:hAnsi="Symbol" w:hint="default"/>
      </w:rPr>
    </w:lvl>
    <w:lvl w:ilvl="4" w:tplc="1B5878C0" w:tentative="1">
      <w:start w:val="1"/>
      <w:numFmt w:val="bullet"/>
      <w:lvlText w:val="o"/>
      <w:lvlJc w:val="left"/>
      <w:pPr>
        <w:ind w:left="3600" w:hanging="360"/>
      </w:pPr>
      <w:rPr>
        <w:rFonts w:ascii="Courier New" w:hAnsi="Courier New" w:cs="Courier New" w:hint="default"/>
      </w:rPr>
    </w:lvl>
    <w:lvl w:ilvl="5" w:tplc="E73220F4" w:tentative="1">
      <w:start w:val="1"/>
      <w:numFmt w:val="bullet"/>
      <w:lvlText w:val=""/>
      <w:lvlJc w:val="left"/>
      <w:pPr>
        <w:ind w:left="4320" w:hanging="360"/>
      </w:pPr>
      <w:rPr>
        <w:rFonts w:ascii="Wingdings" w:hAnsi="Wingdings" w:hint="default"/>
      </w:rPr>
    </w:lvl>
    <w:lvl w:ilvl="6" w:tplc="98CAFD82" w:tentative="1">
      <w:start w:val="1"/>
      <w:numFmt w:val="bullet"/>
      <w:lvlText w:val=""/>
      <w:lvlJc w:val="left"/>
      <w:pPr>
        <w:ind w:left="5040" w:hanging="360"/>
      </w:pPr>
      <w:rPr>
        <w:rFonts w:ascii="Symbol" w:hAnsi="Symbol" w:hint="default"/>
      </w:rPr>
    </w:lvl>
    <w:lvl w:ilvl="7" w:tplc="1E66AEE4" w:tentative="1">
      <w:start w:val="1"/>
      <w:numFmt w:val="bullet"/>
      <w:lvlText w:val="o"/>
      <w:lvlJc w:val="left"/>
      <w:pPr>
        <w:ind w:left="5760" w:hanging="360"/>
      </w:pPr>
      <w:rPr>
        <w:rFonts w:ascii="Courier New" w:hAnsi="Courier New" w:cs="Courier New" w:hint="default"/>
      </w:rPr>
    </w:lvl>
    <w:lvl w:ilvl="8" w:tplc="F718EA26" w:tentative="1">
      <w:start w:val="1"/>
      <w:numFmt w:val="bullet"/>
      <w:lvlText w:val=""/>
      <w:lvlJc w:val="left"/>
      <w:pPr>
        <w:ind w:left="6480" w:hanging="360"/>
      </w:pPr>
      <w:rPr>
        <w:rFonts w:ascii="Wingdings" w:hAnsi="Wingdings" w:hint="default"/>
      </w:rPr>
    </w:lvl>
  </w:abstractNum>
  <w:abstractNum w:abstractNumId="6" w15:restartNumberingAfterBreak="0">
    <w:nsid w:val="093B5EE7"/>
    <w:multiLevelType w:val="singleLevel"/>
    <w:tmpl w:val="4AB0C090"/>
    <w:lvl w:ilvl="0">
      <w:start w:val="1"/>
      <w:numFmt w:val="bullet"/>
      <w:pStyle w:val="TextDash"/>
      <w:lvlText w:val=""/>
      <w:lvlJc w:val="left"/>
      <w:pPr>
        <w:tabs>
          <w:tab w:val="num" w:pos="360"/>
        </w:tabs>
        <w:ind w:left="360" w:hanging="360"/>
      </w:pPr>
      <w:rPr>
        <w:rFonts w:ascii="Symbol" w:hAnsi="Symbol" w:hint="default"/>
      </w:rPr>
    </w:lvl>
  </w:abstractNum>
  <w:abstractNum w:abstractNumId="7" w15:restartNumberingAfterBreak="0">
    <w:nsid w:val="0C0E2EC1"/>
    <w:multiLevelType w:val="hybridMultilevel"/>
    <w:tmpl w:val="CEAC1E42"/>
    <w:lvl w:ilvl="0" w:tplc="A5600138">
      <w:start w:val="1"/>
      <w:numFmt w:val="bullet"/>
      <w:lvlText w:val=""/>
      <w:lvlJc w:val="left"/>
      <w:pPr>
        <w:ind w:left="720" w:hanging="360"/>
      </w:pPr>
      <w:rPr>
        <w:rFonts w:ascii="Symbol" w:hAnsi="Symbol" w:hint="default"/>
      </w:rPr>
    </w:lvl>
    <w:lvl w:ilvl="1" w:tplc="284C5360" w:tentative="1">
      <w:start w:val="1"/>
      <w:numFmt w:val="bullet"/>
      <w:lvlText w:val="o"/>
      <w:lvlJc w:val="left"/>
      <w:pPr>
        <w:ind w:left="1440" w:hanging="360"/>
      </w:pPr>
      <w:rPr>
        <w:rFonts w:ascii="Courier New" w:hAnsi="Courier New" w:cs="Courier New" w:hint="default"/>
      </w:rPr>
    </w:lvl>
    <w:lvl w:ilvl="2" w:tplc="E42C10A8" w:tentative="1">
      <w:start w:val="1"/>
      <w:numFmt w:val="bullet"/>
      <w:lvlText w:val=""/>
      <w:lvlJc w:val="left"/>
      <w:pPr>
        <w:ind w:left="2160" w:hanging="360"/>
      </w:pPr>
      <w:rPr>
        <w:rFonts w:ascii="Wingdings" w:hAnsi="Wingdings" w:hint="default"/>
      </w:rPr>
    </w:lvl>
    <w:lvl w:ilvl="3" w:tplc="485C5C30" w:tentative="1">
      <w:start w:val="1"/>
      <w:numFmt w:val="bullet"/>
      <w:lvlText w:val=""/>
      <w:lvlJc w:val="left"/>
      <w:pPr>
        <w:ind w:left="2880" w:hanging="360"/>
      </w:pPr>
      <w:rPr>
        <w:rFonts w:ascii="Symbol" w:hAnsi="Symbol" w:hint="default"/>
      </w:rPr>
    </w:lvl>
    <w:lvl w:ilvl="4" w:tplc="2BACC75E" w:tentative="1">
      <w:start w:val="1"/>
      <w:numFmt w:val="bullet"/>
      <w:lvlText w:val="o"/>
      <w:lvlJc w:val="left"/>
      <w:pPr>
        <w:ind w:left="3600" w:hanging="360"/>
      </w:pPr>
      <w:rPr>
        <w:rFonts w:ascii="Courier New" w:hAnsi="Courier New" w:cs="Courier New" w:hint="default"/>
      </w:rPr>
    </w:lvl>
    <w:lvl w:ilvl="5" w:tplc="17BAB368" w:tentative="1">
      <w:start w:val="1"/>
      <w:numFmt w:val="bullet"/>
      <w:lvlText w:val=""/>
      <w:lvlJc w:val="left"/>
      <w:pPr>
        <w:ind w:left="4320" w:hanging="360"/>
      </w:pPr>
      <w:rPr>
        <w:rFonts w:ascii="Wingdings" w:hAnsi="Wingdings" w:hint="default"/>
      </w:rPr>
    </w:lvl>
    <w:lvl w:ilvl="6" w:tplc="1584EE98" w:tentative="1">
      <w:start w:val="1"/>
      <w:numFmt w:val="bullet"/>
      <w:lvlText w:val=""/>
      <w:lvlJc w:val="left"/>
      <w:pPr>
        <w:ind w:left="5040" w:hanging="360"/>
      </w:pPr>
      <w:rPr>
        <w:rFonts w:ascii="Symbol" w:hAnsi="Symbol" w:hint="default"/>
      </w:rPr>
    </w:lvl>
    <w:lvl w:ilvl="7" w:tplc="D7C652EE" w:tentative="1">
      <w:start w:val="1"/>
      <w:numFmt w:val="bullet"/>
      <w:lvlText w:val="o"/>
      <w:lvlJc w:val="left"/>
      <w:pPr>
        <w:ind w:left="5760" w:hanging="360"/>
      </w:pPr>
      <w:rPr>
        <w:rFonts w:ascii="Courier New" w:hAnsi="Courier New" w:cs="Courier New" w:hint="default"/>
      </w:rPr>
    </w:lvl>
    <w:lvl w:ilvl="8" w:tplc="FDA40CE0" w:tentative="1">
      <w:start w:val="1"/>
      <w:numFmt w:val="bullet"/>
      <w:lvlText w:val=""/>
      <w:lvlJc w:val="left"/>
      <w:pPr>
        <w:ind w:left="6480" w:hanging="360"/>
      </w:pPr>
      <w:rPr>
        <w:rFonts w:ascii="Wingdings" w:hAnsi="Wingdings" w:hint="default"/>
      </w:rPr>
    </w:lvl>
  </w:abstractNum>
  <w:abstractNum w:abstractNumId="8" w15:restartNumberingAfterBreak="0">
    <w:nsid w:val="0E545432"/>
    <w:multiLevelType w:val="hybridMultilevel"/>
    <w:tmpl w:val="AFAA8C54"/>
    <w:lvl w:ilvl="0" w:tplc="8FA2A41E">
      <w:start w:val="1"/>
      <w:numFmt w:val="bullet"/>
      <w:lvlText w:val=""/>
      <w:lvlJc w:val="left"/>
      <w:pPr>
        <w:ind w:left="717" w:hanging="360"/>
      </w:pPr>
      <w:rPr>
        <w:rFonts w:ascii="Symbol" w:hAnsi="Symbol" w:hint="default"/>
      </w:rPr>
    </w:lvl>
    <w:lvl w:ilvl="1" w:tplc="B29C9854" w:tentative="1">
      <w:start w:val="1"/>
      <w:numFmt w:val="bullet"/>
      <w:lvlText w:val="o"/>
      <w:lvlJc w:val="left"/>
      <w:pPr>
        <w:ind w:left="1437" w:hanging="360"/>
      </w:pPr>
      <w:rPr>
        <w:rFonts w:ascii="Courier New" w:hAnsi="Courier New" w:cs="Courier New" w:hint="default"/>
      </w:rPr>
    </w:lvl>
    <w:lvl w:ilvl="2" w:tplc="5BF64C28" w:tentative="1">
      <w:start w:val="1"/>
      <w:numFmt w:val="bullet"/>
      <w:lvlText w:val=""/>
      <w:lvlJc w:val="left"/>
      <w:pPr>
        <w:ind w:left="2157" w:hanging="360"/>
      </w:pPr>
      <w:rPr>
        <w:rFonts w:ascii="Wingdings" w:hAnsi="Wingdings" w:hint="default"/>
      </w:rPr>
    </w:lvl>
    <w:lvl w:ilvl="3" w:tplc="342A7F46" w:tentative="1">
      <w:start w:val="1"/>
      <w:numFmt w:val="bullet"/>
      <w:lvlText w:val=""/>
      <w:lvlJc w:val="left"/>
      <w:pPr>
        <w:ind w:left="2877" w:hanging="360"/>
      </w:pPr>
      <w:rPr>
        <w:rFonts w:ascii="Symbol" w:hAnsi="Symbol" w:hint="default"/>
      </w:rPr>
    </w:lvl>
    <w:lvl w:ilvl="4" w:tplc="17B4BBFE" w:tentative="1">
      <w:start w:val="1"/>
      <w:numFmt w:val="bullet"/>
      <w:lvlText w:val="o"/>
      <w:lvlJc w:val="left"/>
      <w:pPr>
        <w:ind w:left="3597" w:hanging="360"/>
      </w:pPr>
      <w:rPr>
        <w:rFonts w:ascii="Courier New" w:hAnsi="Courier New" w:cs="Courier New" w:hint="default"/>
      </w:rPr>
    </w:lvl>
    <w:lvl w:ilvl="5" w:tplc="81CE5A6E" w:tentative="1">
      <w:start w:val="1"/>
      <w:numFmt w:val="bullet"/>
      <w:lvlText w:val=""/>
      <w:lvlJc w:val="left"/>
      <w:pPr>
        <w:ind w:left="4317" w:hanging="360"/>
      </w:pPr>
      <w:rPr>
        <w:rFonts w:ascii="Wingdings" w:hAnsi="Wingdings" w:hint="default"/>
      </w:rPr>
    </w:lvl>
    <w:lvl w:ilvl="6" w:tplc="CBA04CE0" w:tentative="1">
      <w:start w:val="1"/>
      <w:numFmt w:val="bullet"/>
      <w:lvlText w:val=""/>
      <w:lvlJc w:val="left"/>
      <w:pPr>
        <w:ind w:left="5037" w:hanging="360"/>
      </w:pPr>
      <w:rPr>
        <w:rFonts w:ascii="Symbol" w:hAnsi="Symbol" w:hint="default"/>
      </w:rPr>
    </w:lvl>
    <w:lvl w:ilvl="7" w:tplc="AD4A8B5C" w:tentative="1">
      <w:start w:val="1"/>
      <w:numFmt w:val="bullet"/>
      <w:lvlText w:val="o"/>
      <w:lvlJc w:val="left"/>
      <w:pPr>
        <w:ind w:left="5757" w:hanging="360"/>
      </w:pPr>
      <w:rPr>
        <w:rFonts w:ascii="Courier New" w:hAnsi="Courier New" w:cs="Courier New" w:hint="default"/>
      </w:rPr>
    </w:lvl>
    <w:lvl w:ilvl="8" w:tplc="D518B7FE" w:tentative="1">
      <w:start w:val="1"/>
      <w:numFmt w:val="bullet"/>
      <w:lvlText w:val=""/>
      <w:lvlJc w:val="left"/>
      <w:pPr>
        <w:ind w:left="6477" w:hanging="360"/>
      </w:pPr>
      <w:rPr>
        <w:rFonts w:ascii="Wingdings" w:hAnsi="Wingdings" w:hint="default"/>
      </w:rPr>
    </w:lvl>
  </w:abstractNum>
  <w:abstractNum w:abstractNumId="9" w15:restartNumberingAfterBreak="0">
    <w:nsid w:val="118546C1"/>
    <w:multiLevelType w:val="hybridMultilevel"/>
    <w:tmpl w:val="5070531A"/>
    <w:lvl w:ilvl="0" w:tplc="69A444CC">
      <w:start w:val="1"/>
      <w:numFmt w:val="bullet"/>
      <w:lvlText w:val=""/>
      <w:lvlJc w:val="left"/>
      <w:pPr>
        <w:ind w:left="780" w:hanging="360"/>
      </w:pPr>
      <w:rPr>
        <w:rFonts w:ascii="Symbol" w:hAnsi="Symbol" w:hint="default"/>
      </w:rPr>
    </w:lvl>
    <w:lvl w:ilvl="1" w:tplc="A986EED8" w:tentative="1">
      <w:start w:val="1"/>
      <w:numFmt w:val="bullet"/>
      <w:lvlText w:val="o"/>
      <w:lvlJc w:val="left"/>
      <w:pPr>
        <w:ind w:left="1500" w:hanging="360"/>
      </w:pPr>
      <w:rPr>
        <w:rFonts w:ascii="Courier New" w:hAnsi="Courier New" w:cs="Courier New" w:hint="default"/>
      </w:rPr>
    </w:lvl>
    <w:lvl w:ilvl="2" w:tplc="779CFC04" w:tentative="1">
      <w:start w:val="1"/>
      <w:numFmt w:val="bullet"/>
      <w:lvlText w:val=""/>
      <w:lvlJc w:val="left"/>
      <w:pPr>
        <w:ind w:left="2220" w:hanging="360"/>
      </w:pPr>
      <w:rPr>
        <w:rFonts w:ascii="Wingdings" w:hAnsi="Wingdings" w:hint="default"/>
      </w:rPr>
    </w:lvl>
    <w:lvl w:ilvl="3" w:tplc="DDACB70C" w:tentative="1">
      <w:start w:val="1"/>
      <w:numFmt w:val="bullet"/>
      <w:lvlText w:val=""/>
      <w:lvlJc w:val="left"/>
      <w:pPr>
        <w:ind w:left="2940" w:hanging="360"/>
      </w:pPr>
      <w:rPr>
        <w:rFonts w:ascii="Symbol" w:hAnsi="Symbol" w:hint="default"/>
      </w:rPr>
    </w:lvl>
    <w:lvl w:ilvl="4" w:tplc="EF425A42" w:tentative="1">
      <w:start w:val="1"/>
      <w:numFmt w:val="bullet"/>
      <w:lvlText w:val="o"/>
      <w:lvlJc w:val="left"/>
      <w:pPr>
        <w:ind w:left="3660" w:hanging="360"/>
      </w:pPr>
      <w:rPr>
        <w:rFonts w:ascii="Courier New" w:hAnsi="Courier New" w:cs="Courier New" w:hint="default"/>
      </w:rPr>
    </w:lvl>
    <w:lvl w:ilvl="5" w:tplc="0A2467F6" w:tentative="1">
      <w:start w:val="1"/>
      <w:numFmt w:val="bullet"/>
      <w:lvlText w:val=""/>
      <w:lvlJc w:val="left"/>
      <w:pPr>
        <w:ind w:left="4380" w:hanging="360"/>
      </w:pPr>
      <w:rPr>
        <w:rFonts w:ascii="Wingdings" w:hAnsi="Wingdings" w:hint="default"/>
      </w:rPr>
    </w:lvl>
    <w:lvl w:ilvl="6" w:tplc="E58A7E3E" w:tentative="1">
      <w:start w:val="1"/>
      <w:numFmt w:val="bullet"/>
      <w:lvlText w:val=""/>
      <w:lvlJc w:val="left"/>
      <w:pPr>
        <w:ind w:left="5100" w:hanging="360"/>
      </w:pPr>
      <w:rPr>
        <w:rFonts w:ascii="Symbol" w:hAnsi="Symbol" w:hint="default"/>
      </w:rPr>
    </w:lvl>
    <w:lvl w:ilvl="7" w:tplc="8F123BEC" w:tentative="1">
      <w:start w:val="1"/>
      <w:numFmt w:val="bullet"/>
      <w:lvlText w:val="o"/>
      <w:lvlJc w:val="left"/>
      <w:pPr>
        <w:ind w:left="5820" w:hanging="360"/>
      </w:pPr>
      <w:rPr>
        <w:rFonts w:ascii="Courier New" w:hAnsi="Courier New" w:cs="Courier New" w:hint="default"/>
      </w:rPr>
    </w:lvl>
    <w:lvl w:ilvl="8" w:tplc="3F9E22E2" w:tentative="1">
      <w:start w:val="1"/>
      <w:numFmt w:val="bullet"/>
      <w:lvlText w:val=""/>
      <w:lvlJc w:val="left"/>
      <w:pPr>
        <w:ind w:left="6540" w:hanging="360"/>
      </w:pPr>
      <w:rPr>
        <w:rFonts w:ascii="Wingdings" w:hAnsi="Wingdings" w:hint="default"/>
      </w:rPr>
    </w:lvl>
  </w:abstractNum>
  <w:abstractNum w:abstractNumId="10" w15:restartNumberingAfterBreak="0">
    <w:nsid w:val="14A12624"/>
    <w:multiLevelType w:val="hybridMultilevel"/>
    <w:tmpl w:val="F9B67588"/>
    <w:lvl w:ilvl="0" w:tplc="3ABC86DC">
      <w:start w:val="1"/>
      <w:numFmt w:val="bullet"/>
      <w:lvlText w:val=""/>
      <w:lvlJc w:val="left"/>
      <w:pPr>
        <w:ind w:left="921" w:hanging="360"/>
      </w:pPr>
      <w:rPr>
        <w:rFonts w:ascii="Symbol" w:hAnsi="Symbol" w:hint="default"/>
      </w:rPr>
    </w:lvl>
    <w:lvl w:ilvl="1" w:tplc="1E6C9588" w:tentative="1">
      <w:start w:val="1"/>
      <w:numFmt w:val="bullet"/>
      <w:lvlText w:val="o"/>
      <w:lvlJc w:val="left"/>
      <w:pPr>
        <w:ind w:left="1641" w:hanging="360"/>
      </w:pPr>
      <w:rPr>
        <w:rFonts w:ascii="Courier New" w:hAnsi="Courier New" w:cs="Courier New" w:hint="default"/>
      </w:rPr>
    </w:lvl>
    <w:lvl w:ilvl="2" w:tplc="154C7DAE" w:tentative="1">
      <w:start w:val="1"/>
      <w:numFmt w:val="bullet"/>
      <w:lvlText w:val=""/>
      <w:lvlJc w:val="left"/>
      <w:pPr>
        <w:ind w:left="2361" w:hanging="360"/>
      </w:pPr>
      <w:rPr>
        <w:rFonts w:ascii="Wingdings" w:hAnsi="Wingdings" w:hint="default"/>
      </w:rPr>
    </w:lvl>
    <w:lvl w:ilvl="3" w:tplc="E8C6791C" w:tentative="1">
      <w:start w:val="1"/>
      <w:numFmt w:val="bullet"/>
      <w:lvlText w:val=""/>
      <w:lvlJc w:val="left"/>
      <w:pPr>
        <w:ind w:left="3081" w:hanging="360"/>
      </w:pPr>
      <w:rPr>
        <w:rFonts w:ascii="Symbol" w:hAnsi="Symbol" w:hint="default"/>
      </w:rPr>
    </w:lvl>
    <w:lvl w:ilvl="4" w:tplc="A3E4EE3E" w:tentative="1">
      <w:start w:val="1"/>
      <w:numFmt w:val="bullet"/>
      <w:lvlText w:val="o"/>
      <w:lvlJc w:val="left"/>
      <w:pPr>
        <w:ind w:left="3801" w:hanging="360"/>
      </w:pPr>
      <w:rPr>
        <w:rFonts w:ascii="Courier New" w:hAnsi="Courier New" w:cs="Courier New" w:hint="default"/>
      </w:rPr>
    </w:lvl>
    <w:lvl w:ilvl="5" w:tplc="885800FA" w:tentative="1">
      <w:start w:val="1"/>
      <w:numFmt w:val="bullet"/>
      <w:lvlText w:val=""/>
      <w:lvlJc w:val="left"/>
      <w:pPr>
        <w:ind w:left="4521" w:hanging="360"/>
      </w:pPr>
      <w:rPr>
        <w:rFonts w:ascii="Wingdings" w:hAnsi="Wingdings" w:hint="default"/>
      </w:rPr>
    </w:lvl>
    <w:lvl w:ilvl="6" w:tplc="CFB2621A" w:tentative="1">
      <w:start w:val="1"/>
      <w:numFmt w:val="bullet"/>
      <w:lvlText w:val=""/>
      <w:lvlJc w:val="left"/>
      <w:pPr>
        <w:ind w:left="5241" w:hanging="360"/>
      </w:pPr>
      <w:rPr>
        <w:rFonts w:ascii="Symbol" w:hAnsi="Symbol" w:hint="default"/>
      </w:rPr>
    </w:lvl>
    <w:lvl w:ilvl="7" w:tplc="F7EE323C" w:tentative="1">
      <w:start w:val="1"/>
      <w:numFmt w:val="bullet"/>
      <w:lvlText w:val="o"/>
      <w:lvlJc w:val="left"/>
      <w:pPr>
        <w:ind w:left="5961" w:hanging="360"/>
      </w:pPr>
      <w:rPr>
        <w:rFonts w:ascii="Courier New" w:hAnsi="Courier New" w:cs="Courier New" w:hint="default"/>
      </w:rPr>
    </w:lvl>
    <w:lvl w:ilvl="8" w:tplc="7FBE1994" w:tentative="1">
      <w:start w:val="1"/>
      <w:numFmt w:val="bullet"/>
      <w:lvlText w:val=""/>
      <w:lvlJc w:val="left"/>
      <w:pPr>
        <w:ind w:left="6681" w:hanging="360"/>
      </w:pPr>
      <w:rPr>
        <w:rFonts w:ascii="Wingdings" w:hAnsi="Wingdings" w:hint="default"/>
      </w:rPr>
    </w:lvl>
  </w:abstractNum>
  <w:abstractNum w:abstractNumId="11" w15:restartNumberingAfterBreak="0">
    <w:nsid w:val="17B05E35"/>
    <w:multiLevelType w:val="hybridMultilevel"/>
    <w:tmpl w:val="A1384FC4"/>
    <w:lvl w:ilvl="0" w:tplc="98C405FE">
      <w:start w:val="1"/>
      <w:numFmt w:val="bullet"/>
      <w:lvlText w:val=""/>
      <w:lvlJc w:val="left"/>
      <w:pPr>
        <w:ind w:left="720" w:hanging="360"/>
      </w:pPr>
      <w:rPr>
        <w:rFonts w:ascii="Symbol" w:hAnsi="Symbol" w:hint="default"/>
      </w:rPr>
    </w:lvl>
    <w:lvl w:ilvl="1" w:tplc="20EE8FF8" w:tentative="1">
      <w:start w:val="1"/>
      <w:numFmt w:val="bullet"/>
      <w:lvlText w:val="o"/>
      <w:lvlJc w:val="left"/>
      <w:pPr>
        <w:ind w:left="1440" w:hanging="360"/>
      </w:pPr>
      <w:rPr>
        <w:rFonts w:ascii="Courier New" w:hAnsi="Courier New" w:cs="Courier New" w:hint="default"/>
      </w:rPr>
    </w:lvl>
    <w:lvl w:ilvl="2" w:tplc="A96AEECA" w:tentative="1">
      <w:start w:val="1"/>
      <w:numFmt w:val="bullet"/>
      <w:lvlText w:val=""/>
      <w:lvlJc w:val="left"/>
      <w:pPr>
        <w:ind w:left="2160" w:hanging="360"/>
      </w:pPr>
      <w:rPr>
        <w:rFonts w:ascii="Wingdings" w:hAnsi="Wingdings" w:hint="default"/>
      </w:rPr>
    </w:lvl>
    <w:lvl w:ilvl="3" w:tplc="4672DC9A" w:tentative="1">
      <w:start w:val="1"/>
      <w:numFmt w:val="bullet"/>
      <w:lvlText w:val=""/>
      <w:lvlJc w:val="left"/>
      <w:pPr>
        <w:ind w:left="2880" w:hanging="360"/>
      </w:pPr>
      <w:rPr>
        <w:rFonts w:ascii="Symbol" w:hAnsi="Symbol" w:hint="default"/>
      </w:rPr>
    </w:lvl>
    <w:lvl w:ilvl="4" w:tplc="A912C6DE" w:tentative="1">
      <w:start w:val="1"/>
      <w:numFmt w:val="bullet"/>
      <w:lvlText w:val="o"/>
      <w:lvlJc w:val="left"/>
      <w:pPr>
        <w:ind w:left="3600" w:hanging="360"/>
      </w:pPr>
      <w:rPr>
        <w:rFonts w:ascii="Courier New" w:hAnsi="Courier New" w:cs="Courier New" w:hint="default"/>
      </w:rPr>
    </w:lvl>
    <w:lvl w:ilvl="5" w:tplc="E9CE0214" w:tentative="1">
      <w:start w:val="1"/>
      <w:numFmt w:val="bullet"/>
      <w:lvlText w:val=""/>
      <w:lvlJc w:val="left"/>
      <w:pPr>
        <w:ind w:left="4320" w:hanging="360"/>
      </w:pPr>
      <w:rPr>
        <w:rFonts w:ascii="Wingdings" w:hAnsi="Wingdings" w:hint="default"/>
      </w:rPr>
    </w:lvl>
    <w:lvl w:ilvl="6" w:tplc="0DEEB33E" w:tentative="1">
      <w:start w:val="1"/>
      <w:numFmt w:val="bullet"/>
      <w:lvlText w:val=""/>
      <w:lvlJc w:val="left"/>
      <w:pPr>
        <w:ind w:left="5040" w:hanging="360"/>
      </w:pPr>
      <w:rPr>
        <w:rFonts w:ascii="Symbol" w:hAnsi="Symbol" w:hint="default"/>
      </w:rPr>
    </w:lvl>
    <w:lvl w:ilvl="7" w:tplc="0962658E" w:tentative="1">
      <w:start w:val="1"/>
      <w:numFmt w:val="bullet"/>
      <w:lvlText w:val="o"/>
      <w:lvlJc w:val="left"/>
      <w:pPr>
        <w:ind w:left="5760" w:hanging="360"/>
      </w:pPr>
      <w:rPr>
        <w:rFonts w:ascii="Courier New" w:hAnsi="Courier New" w:cs="Courier New" w:hint="default"/>
      </w:rPr>
    </w:lvl>
    <w:lvl w:ilvl="8" w:tplc="7EE2016A" w:tentative="1">
      <w:start w:val="1"/>
      <w:numFmt w:val="bullet"/>
      <w:lvlText w:val=""/>
      <w:lvlJc w:val="left"/>
      <w:pPr>
        <w:ind w:left="6480" w:hanging="360"/>
      </w:pPr>
      <w:rPr>
        <w:rFonts w:ascii="Wingdings" w:hAnsi="Wingdings" w:hint="default"/>
      </w:rPr>
    </w:lvl>
  </w:abstractNum>
  <w:abstractNum w:abstractNumId="12" w15:restartNumberingAfterBreak="0">
    <w:nsid w:val="19E7641B"/>
    <w:multiLevelType w:val="hybridMultilevel"/>
    <w:tmpl w:val="7E10CDEE"/>
    <w:lvl w:ilvl="0" w:tplc="F7A8B46E">
      <w:numFmt w:val="bullet"/>
      <w:lvlText w:val="•"/>
      <w:lvlJc w:val="left"/>
      <w:pPr>
        <w:ind w:left="1211" w:hanging="360"/>
      </w:pPr>
      <w:rPr>
        <w:rFonts w:ascii="Calibri" w:eastAsia="Times New Roman" w:hAnsi="Calibri" w:cs="Calibri" w:hint="default"/>
        <w:color w:val="F79646"/>
      </w:rPr>
    </w:lvl>
    <w:lvl w:ilvl="1" w:tplc="648010E2">
      <w:numFmt w:val="bullet"/>
      <w:lvlText w:val="-"/>
      <w:lvlJc w:val="left"/>
      <w:pPr>
        <w:ind w:left="1931" w:hanging="360"/>
      </w:pPr>
      <w:rPr>
        <w:rFonts w:ascii="Calibri" w:eastAsia="Times New Roman" w:hAnsi="Calibri" w:cs="Times New Roman" w:hint="default"/>
        <w:color w:val="F79646"/>
      </w:rPr>
    </w:lvl>
    <w:lvl w:ilvl="2" w:tplc="EE782EB2">
      <w:start w:val="1"/>
      <w:numFmt w:val="bullet"/>
      <w:lvlText w:val=""/>
      <w:lvlJc w:val="left"/>
      <w:pPr>
        <w:ind w:left="2651" w:hanging="360"/>
      </w:pPr>
      <w:rPr>
        <w:rFonts w:ascii="Wingdings" w:hAnsi="Wingdings" w:hint="default"/>
      </w:rPr>
    </w:lvl>
    <w:lvl w:ilvl="3" w:tplc="DB5ACB2E">
      <w:start w:val="1"/>
      <w:numFmt w:val="bullet"/>
      <w:lvlText w:val=""/>
      <w:lvlJc w:val="left"/>
      <w:pPr>
        <w:ind w:left="3371" w:hanging="360"/>
      </w:pPr>
      <w:rPr>
        <w:rFonts w:ascii="Symbol" w:hAnsi="Symbol" w:hint="default"/>
      </w:rPr>
    </w:lvl>
    <w:lvl w:ilvl="4" w:tplc="1C1EEA24">
      <w:start w:val="1"/>
      <w:numFmt w:val="bullet"/>
      <w:lvlText w:val="o"/>
      <w:lvlJc w:val="left"/>
      <w:pPr>
        <w:ind w:left="4091" w:hanging="360"/>
      </w:pPr>
      <w:rPr>
        <w:rFonts w:ascii="Courier New" w:hAnsi="Courier New" w:cs="Courier New" w:hint="default"/>
      </w:rPr>
    </w:lvl>
    <w:lvl w:ilvl="5" w:tplc="076C37F0">
      <w:start w:val="1"/>
      <w:numFmt w:val="bullet"/>
      <w:lvlText w:val=""/>
      <w:lvlJc w:val="left"/>
      <w:pPr>
        <w:ind w:left="4811" w:hanging="360"/>
      </w:pPr>
      <w:rPr>
        <w:rFonts w:ascii="Wingdings" w:hAnsi="Wingdings" w:hint="default"/>
      </w:rPr>
    </w:lvl>
    <w:lvl w:ilvl="6" w:tplc="4A34246A">
      <w:start w:val="1"/>
      <w:numFmt w:val="bullet"/>
      <w:lvlText w:val=""/>
      <w:lvlJc w:val="left"/>
      <w:pPr>
        <w:ind w:left="5531" w:hanging="360"/>
      </w:pPr>
      <w:rPr>
        <w:rFonts w:ascii="Symbol" w:hAnsi="Symbol" w:hint="default"/>
      </w:rPr>
    </w:lvl>
    <w:lvl w:ilvl="7" w:tplc="770ED352">
      <w:start w:val="1"/>
      <w:numFmt w:val="bullet"/>
      <w:lvlText w:val="o"/>
      <w:lvlJc w:val="left"/>
      <w:pPr>
        <w:ind w:left="6251" w:hanging="360"/>
      </w:pPr>
      <w:rPr>
        <w:rFonts w:ascii="Courier New" w:hAnsi="Courier New" w:cs="Courier New" w:hint="default"/>
      </w:rPr>
    </w:lvl>
    <w:lvl w:ilvl="8" w:tplc="79FE8458">
      <w:start w:val="1"/>
      <w:numFmt w:val="bullet"/>
      <w:lvlText w:val=""/>
      <w:lvlJc w:val="left"/>
      <w:pPr>
        <w:ind w:left="6971" w:hanging="360"/>
      </w:pPr>
      <w:rPr>
        <w:rFonts w:ascii="Wingdings" w:hAnsi="Wingdings" w:hint="default"/>
      </w:rPr>
    </w:lvl>
  </w:abstractNum>
  <w:abstractNum w:abstractNumId="13" w15:restartNumberingAfterBreak="0">
    <w:nsid w:val="1CB5097D"/>
    <w:multiLevelType w:val="hybridMultilevel"/>
    <w:tmpl w:val="657E2526"/>
    <w:lvl w:ilvl="0" w:tplc="EC483604">
      <w:start w:val="1"/>
      <w:numFmt w:val="bullet"/>
      <w:lvlText w:val=""/>
      <w:lvlJc w:val="left"/>
      <w:pPr>
        <w:ind w:left="720" w:hanging="360"/>
      </w:pPr>
      <w:rPr>
        <w:rFonts w:ascii="Symbol" w:hAnsi="Symbol" w:hint="default"/>
      </w:rPr>
    </w:lvl>
    <w:lvl w:ilvl="1" w:tplc="AA24B292" w:tentative="1">
      <w:start w:val="1"/>
      <w:numFmt w:val="bullet"/>
      <w:lvlText w:val="o"/>
      <w:lvlJc w:val="left"/>
      <w:pPr>
        <w:ind w:left="1440" w:hanging="360"/>
      </w:pPr>
      <w:rPr>
        <w:rFonts w:ascii="Courier New" w:hAnsi="Courier New" w:cs="Courier New" w:hint="default"/>
      </w:rPr>
    </w:lvl>
    <w:lvl w:ilvl="2" w:tplc="3BC085C4" w:tentative="1">
      <w:start w:val="1"/>
      <w:numFmt w:val="bullet"/>
      <w:lvlText w:val=""/>
      <w:lvlJc w:val="left"/>
      <w:pPr>
        <w:ind w:left="2160" w:hanging="360"/>
      </w:pPr>
      <w:rPr>
        <w:rFonts w:ascii="Wingdings" w:hAnsi="Wingdings" w:hint="default"/>
      </w:rPr>
    </w:lvl>
    <w:lvl w:ilvl="3" w:tplc="32040B44" w:tentative="1">
      <w:start w:val="1"/>
      <w:numFmt w:val="bullet"/>
      <w:lvlText w:val=""/>
      <w:lvlJc w:val="left"/>
      <w:pPr>
        <w:ind w:left="2880" w:hanging="360"/>
      </w:pPr>
      <w:rPr>
        <w:rFonts w:ascii="Symbol" w:hAnsi="Symbol" w:hint="default"/>
      </w:rPr>
    </w:lvl>
    <w:lvl w:ilvl="4" w:tplc="6D000838" w:tentative="1">
      <w:start w:val="1"/>
      <w:numFmt w:val="bullet"/>
      <w:lvlText w:val="o"/>
      <w:lvlJc w:val="left"/>
      <w:pPr>
        <w:ind w:left="3600" w:hanging="360"/>
      </w:pPr>
      <w:rPr>
        <w:rFonts w:ascii="Courier New" w:hAnsi="Courier New" w:cs="Courier New" w:hint="default"/>
      </w:rPr>
    </w:lvl>
    <w:lvl w:ilvl="5" w:tplc="CA441EC2" w:tentative="1">
      <w:start w:val="1"/>
      <w:numFmt w:val="bullet"/>
      <w:lvlText w:val=""/>
      <w:lvlJc w:val="left"/>
      <w:pPr>
        <w:ind w:left="4320" w:hanging="360"/>
      </w:pPr>
      <w:rPr>
        <w:rFonts w:ascii="Wingdings" w:hAnsi="Wingdings" w:hint="default"/>
      </w:rPr>
    </w:lvl>
    <w:lvl w:ilvl="6" w:tplc="5CF0D63C" w:tentative="1">
      <w:start w:val="1"/>
      <w:numFmt w:val="bullet"/>
      <w:lvlText w:val=""/>
      <w:lvlJc w:val="left"/>
      <w:pPr>
        <w:ind w:left="5040" w:hanging="360"/>
      </w:pPr>
      <w:rPr>
        <w:rFonts w:ascii="Symbol" w:hAnsi="Symbol" w:hint="default"/>
      </w:rPr>
    </w:lvl>
    <w:lvl w:ilvl="7" w:tplc="39ACF560" w:tentative="1">
      <w:start w:val="1"/>
      <w:numFmt w:val="bullet"/>
      <w:lvlText w:val="o"/>
      <w:lvlJc w:val="left"/>
      <w:pPr>
        <w:ind w:left="5760" w:hanging="360"/>
      </w:pPr>
      <w:rPr>
        <w:rFonts w:ascii="Courier New" w:hAnsi="Courier New" w:cs="Courier New" w:hint="default"/>
      </w:rPr>
    </w:lvl>
    <w:lvl w:ilvl="8" w:tplc="295E7846" w:tentative="1">
      <w:start w:val="1"/>
      <w:numFmt w:val="bullet"/>
      <w:lvlText w:val=""/>
      <w:lvlJc w:val="left"/>
      <w:pPr>
        <w:ind w:left="6480" w:hanging="360"/>
      </w:pPr>
      <w:rPr>
        <w:rFonts w:ascii="Wingdings" w:hAnsi="Wingdings" w:hint="default"/>
      </w:rPr>
    </w:lvl>
  </w:abstractNum>
  <w:abstractNum w:abstractNumId="14" w15:restartNumberingAfterBreak="0">
    <w:nsid w:val="207E3D78"/>
    <w:multiLevelType w:val="singleLevel"/>
    <w:tmpl w:val="E43EDEE6"/>
    <w:lvl w:ilvl="0">
      <w:start w:val="1"/>
      <w:numFmt w:val="decimal"/>
      <w:pStyle w:val="TextRef"/>
      <w:lvlText w:val="%1."/>
      <w:lvlJc w:val="left"/>
      <w:pPr>
        <w:tabs>
          <w:tab w:val="num" w:pos="360"/>
        </w:tabs>
        <w:ind w:left="360" w:hanging="360"/>
      </w:pPr>
    </w:lvl>
  </w:abstractNum>
  <w:abstractNum w:abstractNumId="15" w15:restartNumberingAfterBreak="0">
    <w:nsid w:val="27814340"/>
    <w:multiLevelType w:val="hybridMultilevel"/>
    <w:tmpl w:val="625A81D2"/>
    <w:lvl w:ilvl="0" w:tplc="83722786">
      <w:start w:val="1"/>
      <w:numFmt w:val="bullet"/>
      <w:lvlText w:val=""/>
      <w:lvlJc w:val="left"/>
      <w:pPr>
        <w:ind w:left="720" w:hanging="360"/>
      </w:pPr>
      <w:rPr>
        <w:rFonts w:ascii="Symbol" w:hAnsi="Symbol" w:hint="default"/>
      </w:rPr>
    </w:lvl>
    <w:lvl w:ilvl="1" w:tplc="C01A264A" w:tentative="1">
      <w:start w:val="1"/>
      <w:numFmt w:val="bullet"/>
      <w:lvlText w:val="o"/>
      <w:lvlJc w:val="left"/>
      <w:pPr>
        <w:ind w:left="1440" w:hanging="360"/>
      </w:pPr>
      <w:rPr>
        <w:rFonts w:ascii="Courier New" w:hAnsi="Courier New" w:cs="Courier New" w:hint="default"/>
      </w:rPr>
    </w:lvl>
    <w:lvl w:ilvl="2" w:tplc="6106A164" w:tentative="1">
      <w:start w:val="1"/>
      <w:numFmt w:val="bullet"/>
      <w:lvlText w:val=""/>
      <w:lvlJc w:val="left"/>
      <w:pPr>
        <w:ind w:left="2160" w:hanging="360"/>
      </w:pPr>
      <w:rPr>
        <w:rFonts w:ascii="Wingdings" w:hAnsi="Wingdings" w:hint="default"/>
      </w:rPr>
    </w:lvl>
    <w:lvl w:ilvl="3" w:tplc="27B21EB2" w:tentative="1">
      <w:start w:val="1"/>
      <w:numFmt w:val="bullet"/>
      <w:lvlText w:val=""/>
      <w:lvlJc w:val="left"/>
      <w:pPr>
        <w:ind w:left="2880" w:hanging="360"/>
      </w:pPr>
      <w:rPr>
        <w:rFonts w:ascii="Symbol" w:hAnsi="Symbol" w:hint="default"/>
      </w:rPr>
    </w:lvl>
    <w:lvl w:ilvl="4" w:tplc="D32000CA" w:tentative="1">
      <w:start w:val="1"/>
      <w:numFmt w:val="bullet"/>
      <w:lvlText w:val="o"/>
      <w:lvlJc w:val="left"/>
      <w:pPr>
        <w:ind w:left="3600" w:hanging="360"/>
      </w:pPr>
      <w:rPr>
        <w:rFonts w:ascii="Courier New" w:hAnsi="Courier New" w:cs="Courier New" w:hint="default"/>
      </w:rPr>
    </w:lvl>
    <w:lvl w:ilvl="5" w:tplc="A8844D72" w:tentative="1">
      <w:start w:val="1"/>
      <w:numFmt w:val="bullet"/>
      <w:lvlText w:val=""/>
      <w:lvlJc w:val="left"/>
      <w:pPr>
        <w:ind w:left="4320" w:hanging="360"/>
      </w:pPr>
      <w:rPr>
        <w:rFonts w:ascii="Wingdings" w:hAnsi="Wingdings" w:hint="default"/>
      </w:rPr>
    </w:lvl>
    <w:lvl w:ilvl="6" w:tplc="7DA804C8" w:tentative="1">
      <w:start w:val="1"/>
      <w:numFmt w:val="bullet"/>
      <w:lvlText w:val=""/>
      <w:lvlJc w:val="left"/>
      <w:pPr>
        <w:ind w:left="5040" w:hanging="360"/>
      </w:pPr>
      <w:rPr>
        <w:rFonts w:ascii="Symbol" w:hAnsi="Symbol" w:hint="default"/>
      </w:rPr>
    </w:lvl>
    <w:lvl w:ilvl="7" w:tplc="CBB22802" w:tentative="1">
      <w:start w:val="1"/>
      <w:numFmt w:val="bullet"/>
      <w:lvlText w:val="o"/>
      <w:lvlJc w:val="left"/>
      <w:pPr>
        <w:ind w:left="5760" w:hanging="360"/>
      </w:pPr>
      <w:rPr>
        <w:rFonts w:ascii="Courier New" w:hAnsi="Courier New" w:cs="Courier New" w:hint="default"/>
      </w:rPr>
    </w:lvl>
    <w:lvl w:ilvl="8" w:tplc="1E340C88" w:tentative="1">
      <w:start w:val="1"/>
      <w:numFmt w:val="bullet"/>
      <w:lvlText w:val=""/>
      <w:lvlJc w:val="left"/>
      <w:pPr>
        <w:ind w:left="6480" w:hanging="360"/>
      </w:pPr>
      <w:rPr>
        <w:rFonts w:ascii="Wingdings" w:hAnsi="Wingdings" w:hint="default"/>
      </w:rPr>
    </w:lvl>
  </w:abstractNum>
  <w:abstractNum w:abstractNumId="16" w15:restartNumberingAfterBreak="0">
    <w:nsid w:val="28795AE4"/>
    <w:multiLevelType w:val="hybridMultilevel"/>
    <w:tmpl w:val="F7A8B45A"/>
    <w:lvl w:ilvl="0" w:tplc="0D9C829C">
      <w:start w:val="14"/>
      <w:numFmt w:val="bullet"/>
      <w:lvlText w:val="-"/>
      <w:lvlJc w:val="left"/>
      <w:pPr>
        <w:ind w:left="720" w:hanging="360"/>
      </w:pPr>
      <w:rPr>
        <w:rFonts w:ascii="Times New Roman" w:eastAsia="Times New Roman" w:hAnsi="Times New Roman" w:cs="Times New Roman" w:hint="default"/>
      </w:rPr>
    </w:lvl>
    <w:lvl w:ilvl="1" w:tplc="23586FD4" w:tentative="1">
      <w:start w:val="1"/>
      <w:numFmt w:val="bullet"/>
      <w:lvlText w:val="o"/>
      <w:lvlJc w:val="left"/>
      <w:pPr>
        <w:ind w:left="1440" w:hanging="360"/>
      </w:pPr>
      <w:rPr>
        <w:rFonts w:ascii="Courier New" w:hAnsi="Courier New" w:cs="Courier New" w:hint="default"/>
      </w:rPr>
    </w:lvl>
    <w:lvl w:ilvl="2" w:tplc="AAAE6662" w:tentative="1">
      <w:start w:val="1"/>
      <w:numFmt w:val="bullet"/>
      <w:lvlText w:val=""/>
      <w:lvlJc w:val="left"/>
      <w:pPr>
        <w:ind w:left="2160" w:hanging="360"/>
      </w:pPr>
      <w:rPr>
        <w:rFonts w:ascii="Wingdings" w:hAnsi="Wingdings" w:hint="default"/>
      </w:rPr>
    </w:lvl>
    <w:lvl w:ilvl="3" w:tplc="516CF504" w:tentative="1">
      <w:start w:val="1"/>
      <w:numFmt w:val="bullet"/>
      <w:lvlText w:val=""/>
      <w:lvlJc w:val="left"/>
      <w:pPr>
        <w:ind w:left="2880" w:hanging="360"/>
      </w:pPr>
      <w:rPr>
        <w:rFonts w:ascii="Symbol" w:hAnsi="Symbol" w:hint="default"/>
      </w:rPr>
    </w:lvl>
    <w:lvl w:ilvl="4" w:tplc="5A18A362" w:tentative="1">
      <w:start w:val="1"/>
      <w:numFmt w:val="bullet"/>
      <w:lvlText w:val="o"/>
      <w:lvlJc w:val="left"/>
      <w:pPr>
        <w:ind w:left="3600" w:hanging="360"/>
      </w:pPr>
      <w:rPr>
        <w:rFonts w:ascii="Courier New" w:hAnsi="Courier New" w:cs="Courier New" w:hint="default"/>
      </w:rPr>
    </w:lvl>
    <w:lvl w:ilvl="5" w:tplc="8B06C79A" w:tentative="1">
      <w:start w:val="1"/>
      <w:numFmt w:val="bullet"/>
      <w:lvlText w:val=""/>
      <w:lvlJc w:val="left"/>
      <w:pPr>
        <w:ind w:left="4320" w:hanging="360"/>
      </w:pPr>
      <w:rPr>
        <w:rFonts w:ascii="Wingdings" w:hAnsi="Wingdings" w:hint="default"/>
      </w:rPr>
    </w:lvl>
    <w:lvl w:ilvl="6" w:tplc="184CA53C" w:tentative="1">
      <w:start w:val="1"/>
      <w:numFmt w:val="bullet"/>
      <w:lvlText w:val=""/>
      <w:lvlJc w:val="left"/>
      <w:pPr>
        <w:ind w:left="5040" w:hanging="360"/>
      </w:pPr>
      <w:rPr>
        <w:rFonts w:ascii="Symbol" w:hAnsi="Symbol" w:hint="default"/>
      </w:rPr>
    </w:lvl>
    <w:lvl w:ilvl="7" w:tplc="A2866B6C" w:tentative="1">
      <w:start w:val="1"/>
      <w:numFmt w:val="bullet"/>
      <w:lvlText w:val="o"/>
      <w:lvlJc w:val="left"/>
      <w:pPr>
        <w:ind w:left="5760" w:hanging="360"/>
      </w:pPr>
      <w:rPr>
        <w:rFonts w:ascii="Courier New" w:hAnsi="Courier New" w:cs="Courier New" w:hint="default"/>
      </w:rPr>
    </w:lvl>
    <w:lvl w:ilvl="8" w:tplc="AF46A700" w:tentative="1">
      <w:start w:val="1"/>
      <w:numFmt w:val="bullet"/>
      <w:lvlText w:val=""/>
      <w:lvlJc w:val="left"/>
      <w:pPr>
        <w:ind w:left="6480" w:hanging="360"/>
      </w:pPr>
      <w:rPr>
        <w:rFonts w:ascii="Wingdings" w:hAnsi="Wingdings" w:hint="default"/>
      </w:rPr>
    </w:lvl>
  </w:abstractNum>
  <w:abstractNum w:abstractNumId="17" w15:restartNumberingAfterBreak="0">
    <w:nsid w:val="28835C9F"/>
    <w:multiLevelType w:val="hybridMultilevel"/>
    <w:tmpl w:val="39BC648C"/>
    <w:lvl w:ilvl="0" w:tplc="8B34DF86">
      <w:start w:val="1"/>
      <w:numFmt w:val="bullet"/>
      <w:lvlText w:val=""/>
      <w:lvlJc w:val="left"/>
      <w:pPr>
        <w:ind w:left="720" w:hanging="360"/>
      </w:pPr>
      <w:rPr>
        <w:rFonts w:ascii="Symbol" w:hAnsi="Symbol" w:hint="default"/>
      </w:rPr>
    </w:lvl>
    <w:lvl w:ilvl="1" w:tplc="B4E2F0DA" w:tentative="1">
      <w:start w:val="1"/>
      <w:numFmt w:val="bullet"/>
      <w:lvlText w:val="o"/>
      <w:lvlJc w:val="left"/>
      <w:pPr>
        <w:ind w:left="1440" w:hanging="360"/>
      </w:pPr>
      <w:rPr>
        <w:rFonts w:ascii="Courier New" w:hAnsi="Courier New" w:cs="Courier New" w:hint="default"/>
      </w:rPr>
    </w:lvl>
    <w:lvl w:ilvl="2" w:tplc="7610DDAA" w:tentative="1">
      <w:start w:val="1"/>
      <w:numFmt w:val="bullet"/>
      <w:lvlText w:val=""/>
      <w:lvlJc w:val="left"/>
      <w:pPr>
        <w:ind w:left="2160" w:hanging="360"/>
      </w:pPr>
      <w:rPr>
        <w:rFonts w:ascii="Wingdings" w:hAnsi="Wingdings" w:hint="default"/>
      </w:rPr>
    </w:lvl>
    <w:lvl w:ilvl="3" w:tplc="74208BE2" w:tentative="1">
      <w:start w:val="1"/>
      <w:numFmt w:val="bullet"/>
      <w:lvlText w:val=""/>
      <w:lvlJc w:val="left"/>
      <w:pPr>
        <w:ind w:left="2880" w:hanging="360"/>
      </w:pPr>
      <w:rPr>
        <w:rFonts w:ascii="Symbol" w:hAnsi="Symbol" w:hint="default"/>
      </w:rPr>
    </w:lvl>
    <w:lvl w:ilvl="4" w:tplc="EE34BFF0" w:tentative="1">
      <w:start w:val="1"/>
      <w:numFmt w:val="bullet"/>
      <w:lvlText w:val="o"/>
      <w:lvlJc w:val="left"/>
      <w:pPr>
        <w:ind w:left="3600" w:hanging="360"/>
      </w:pPr>
      <w:rPr>
        <w:rFonts w:ascii="Courier New" w:hAnsi="Courier New" w:cs="Courier New" w:hint="default"/>
      </w:rPr>
    </w:lvl>
    <w:lvl w:ilvl="5" w:tplc="12F8019C" w:tentative="1">
      <w:start w:val="1"/>
      <w:numFmt w:val="bullet"/>
      <w:lvlText w:val=""/>
      <w:lvlJc w:val="left"/>
      <w:pPr>
        <w:ind w:left="4320" w:hanging="360"/>
      </w:pPr>
      <w:rPr>
        <w:rFonts w:ascii="Wingdings" w:hAnsi="Wingdings" w:hint="default"/>
      </w:rPr>
    </w:lvl>
    <w:lvl w:ilvl="6" w:tplc="FC6456C8" w:tentative="1">
      <w:start w:val="1"/>
      <w:numFmt w:val="bullet"/>
      <w:lvlText w:val=""/>
      <w:lvlJc w:val="left"/>
      <w:pPr>
        <w:ind w:left="5040" w:hanging="360"/>
      </w:pPr>
      <w:rPr>
        <w:rFonts w:ascii="Symbol" w:hAnsi="Symbol" w:hint="default"/>
      </w:rPr>
    </w:lvl>
    <w:lvl w:ilvl="7" w:tplc="B2C604B8" w:tentative="1">
      <w:start w:val="1"/>
      <w:numFmt w:val="bullet"/>
      <w:lvlText w:val="o"/>
      <w:lvlJc w:val="left"/>
      <w:pPr>
        <w:ind w:left="5760" w:hanging="360"/>
      </w:pPr>
      <w:rPr>
        <w:rFonts w:ascii="Courier New" w:hAnsi="Courier New" w:cs="Courier New" w:hint="default"/>
      </w:rPr>
    </w:lvl>
    <w:lvl w:ilvl="8" w:tplc="6570081C" w:tentative="1">
      <w:start w:val="1"/>
      <w:numFmt w:val="bullet"/>
      <w:lvlText w:val=""/>
      <w:lvlJc w:val="left"/>
      <w:pPr>
        <w:ind w:left="6480" w:hanging="360"/>
      </w:pPr>
      <w:rPr>
        <w:rFonts w:ascii="Wingdings" w:hAnsi="Wingdings" w:hint="default"/>
      </w:rPr>
    </w:lvl>
  </w:abstractNum>
  <w:abstractNum w:abstractNumId="18" w15:restartNumberingAfterBreak="0">
    <w:nsid w:val="28E34BAB"/>
    <w:multiLevelType w:val="hybridMultilevel"/>
    <w:tmpl w:val="31444E22"/>
    <w:lvl w:ilvl="0" w:tplc="C8B8AD58">
      <w:start w:val="1"/>
      <w:numFmt w:val="bullet"/>
      <w:lvlText w:val=""/>
      <w:lvlJc w:val="left"/>
      <w:pPr>
        <w:ind w:left="720" w:hanging="360"/>
      </w:pPr>
      <w:rPr>
        <w:rFonts w:ascii="Symbol" w:hAnsi="Symbol" w:hint="default"/>
      </w:rPr>
    </w:lvl>
    <w:lvl w:ilvl="1" w:tplc="A3B49A98">
      <w:start w:val="1"/>
      <w:numFmt w:val="bullet"/>
      <w:lvlText w:val="o"/>
      <w:lvlJc w:val="left"/>
      <w:pPr>
        <w:ind w:left="1440" w:hanging="360"/>
      </w:pPr>
      <w:rPr>
        <w:rFonts w:ascii="Courier New" w:hAnsi="Courier New" w:cs="Courier New" w:hint="default"/>
      </w:rPr>
    </w:lvl>
    <w:lvl w:ilvl="2" w:tplc="63EE2A2C">
      <w:start w:val="1"/>
      <w:numFmt w:val="bullet"/>
      <w:lvlText w:val=""/>
      <w:lvlJc w:val="left"/>
      <w:pPr>
        <w:ind w:left="2160" w:hanging="360"/>
      </w:pPr>
      <w:rPr>
        <w:rFonts w:ascii="Wingdings" w:hAnsi="Wingdings" w:hint="default"/>
      </w:rPr>
    </w:lvl>
    <w:lvl w:ilvl="3" w:tplc="56EC12A6">
      <w:start w:val="1"/>
      <w:numFmt w:val="bullet"/>
      <w:lvlText w:val=""/>
      <w:lvlJc w:val="left"/>
      <w:pPr>
        <w:ind w:left="2880" w:hanging="360"/>
      </w:pPr>
      <w:rPr>
        <w:rFonts w:ascii="Symbol" w:hAnsi="Symbol" w:hint="default"/>
      </w:rPr>
    </w:lvl>
    <w:lvl w:ilvl="4" w:tplc="D4984120">
      <w:start w:val="1"/>
      <w:numFmt w:val="bullet"/>
      <w:lvlText w:val="o"/>
      <w:lvlJc w:val="left"/>
      <w:pPr>
        <w:ind w:left="3600" w:hanging="360"/>
      </w:pPr>
      <w:rPr>
        <w:rFonts w:ascii="Courier New" w:hAnsi="Courier New" w:cs="Courier New" w:hint="default"/>
      </w:rPr>
    </w:lvl>
    <w:lvl w:ilvl="5" w:tplc="BDB20F22">
      <w:start w:val="1"/>
      <w:numFmt w:val="bullet"/>
      <w:lvlText w:val=""/>
      <w:lvlJc w:val="left"/>
      <w:pPr>
        <w:ind w:left="4320" w:hanging="360"/>
      </w:pPr>
      <w:rPr>
        <w:rFonts w:ascii="Wingdings" w:hAnsi="Wingdings" w:hint="default"/>
      </w:rPr>
    </w:lvl>
    <w:lvl w:ilvl="6" w:tplc="E2FEACDC">
      <w:start w:val="1"/>
      <w:numFmt w:val="bullet"/>
      <w:lvlText w:val=""/>
      <w:lvlJc w:val="left"/>
      <w:pPr>
        <w:ind w:left="5040" w:hanging="360"/>
      </w:pPr>
      <w:rPr>
        <w:rFonts w:ascii="Symbol" w:hAnsi="Symbol" w:hint="default"/>
      </w:rPr>
    </w:lvl>
    <w:lvl w:ilvl="7" w:tplc="226AB878">
      <w:start w:val="1"/>
      <w:numFmt w:val="bullet"/>
      <w:lvlText w:val="o"/>
      <w:lvlJc w:val="left"/>
      <w:pPr>
        <w:ind w:left="5760" w:hanging="360"/>
      </w:pPr>
      <w:rPr>
        <w:rFonts w:ascii="Courier New" w:hAnsi="Courier New" w:cs="Courier New" w:hint="default"/>
      </w:rPr>
    </w:lvl>
    <w:lvl w:ilvl="8" w:tplc="7932ECBA">
      <w:start w:val="1"/>
      <w:numFmt w:val="bullet"/>
      <w:lvlText w:val=""/>
      <w:lvlJc w:val="left"/>
      <w:pPr>
        <w:ind w:left="6480" w:hanging="360"/>
      </w:pPr>
      <w:rPr>
        <w:rFonts w:ascii="Wingdings" w:hAnsi="Wingdings" w:hint="default"/>
      </w:rPr>
    </w:lvl>
  </w:abstractNum>
  <w:abstractNum w:abstractNumId="19" w15:restartNumberingAfterBreak="0">
    <w:nsid w:val="2DBB1547"/>
    <w:multiLevelType w:val="hybridMultilevel"/>
    <w:tmpl w:val="578ABF6A"/>
    <w:lvl w:ilvl="0" w:tplc="1CC284CA">
      <w:start w:val="1"/>
      <w:numFmt w:val="bullet"/>
      <w:lvlText w:val=""/>
      <w:lvlJc w:val="left"/>
      <w:pPr>
        <w:tabs>
          <w:tab w:val="num" w:pos="927"/>
        </w:tabs>
        <w:ind w:left="927" w:hanging="360"/>
      </w:pPr>
      <w:rPr>
        <w:rFonts w:ascii="Symbol" w:hAnsi="Symbol" w:hint="default"/>
        <w:color w:val="auto"/>
      </w:rPr>
    </w:lvl>
    <w:lvl w:ilvl="1" w:tplc="BB7297A0" w:tentative="1">
      <w:start w:val="1"/>
      <w:numFmt w:val="bullet"/>
      <w:lvlText w:val="o"/>
      <w:lvlJc w:val="left"/>
      <w:pPr>
        <w:tabs>
          <w:tab w:val="num" w:pos="2007"/>
        </w:tabs>
        <w:ind w:left="2007" w:hanging="360"/>
      </w:pPr>
      <w:rPr>
        <w:rFonts w:ascii="Courier New" w:hAnsi="Courier New" w:cs="Courier New" w:hint="default"/>
      </w:rPr>
    </w:lvl>
    <w:lvl w:ilvl="2" w:tplc="5B123D08" w:tentative="1">
      <w:start w:val="1"/>
      <w:numFmt w:val="bullet"/>
      <w:lvlText w:val=""/>
      <w:lvlJc w:val="left"/>
      <w:pPr>
        <w:tabs>
          <w:tab w:val="num" w:pos="2727"/>
        </w:tabs>
        <w:ind w:left="2727" w:hanging="360"/>
      </w:pPr>
      <w:rPr>
        <w:rFonts w:ascii="Wingdings" w:hAnsi="Wingdings" w:hint="default"/>
      </w:rPr>
    </w:lvl>
    <w:lvl w:ilvl="3" w:tplc="B8B8237C" w:tentative="1">
      <w:start w:val="1"/>
      <w:numFmt w:val="bullet"/>
      <w:lvlText w:val=""/>
      <w:lvlJc w:val="left"/>
      <w:pPr>
        <w:tabs>
          <w:tab w:val="num" w:pos="3447"/>
        </w:tabs>
        <w:ind w:left="3447" w:hanging="360"/>
      </w:pPr>
      <w:rPr>
        <w:rFonts w:ascii="Symbol" w:hAnsi="Symbol" w:hint="default"/>
      </w:rPr>
    </w:lvl>
    <w:lvl w:ilvl="4" w:tplc="94E6E76E" w:tentative="1">
      <w:start w:val="1"/>
      <w:numFmt w:val="bullet"/>
      <w:lvlText w:val="o"/>
      <w:lvlJc w:val="left"/>
      <w:pPr>
        <w:tabs>
          <w:tab w:val="num" w:pos="4167"/>
        </w:tabs>
        <w:ind w:left="4167" w:hanging="360"/>
      </w:pPr>
      <w:rPr>
        <w:rFonts w:ascii="Courier New" w:hAnsi="Courier New" w:cs="Courier New" w:hint="default"/>
      </w:rPr>
    </w:lvl>
    <w:lvl w:ilvl="5" w:tplc="F91689DE" w:tentative="1">
      <w:start w:val="1"/>
      <w:numFmt w:val="bullet"/>
      <w:lvlText w:val=""/>
      <w:lvlJc w:val="left"/>
      <w:pPr>
        <w:tabs>
          <w:tab w:val="num" w:pos="4887"/>
        </w:tabs>
        <w:ind w:left="4887" w:hanging="360"/>
      </w:pPr>
      <w:rPr>
        <w:rFonts w:ascii="Wingdings" w:hAnsi="Wingdings" w:hint="default"/>
      </w:rPr>
    </w:lvl>
    <w:lvl w:ilvl="6" w:tplc="9AD429BE" w:tentative="1">
      <w:start w:val="1"/>
      <w:numFmt w:val="bullet"/>
      <w:lvlText w:val=""/>
      <w:lvlJc w:val="left"/>
      <w:pPr>
        <w:tabs>
          <w:tab w:val="num" w:pos="5607"/>
        </w:tabs>
        <w:ind w:left="5607" w:hanging="360"/>
      </w:pPr>
      <w:rPr>
        <w:rFonts w:ascii="Symbol" w:hAnsi="Symbol" w:hint="default"/>
      </w:rPr>
    </w:lvl>
    <w:lvl w:ilvl="7" w:tplc="C1D0F0B0" w:tentative="1">
      <w:start w:val="1"/>
      <w:numFmt w:val="bullet"/>
      <w:lvlText w:val="o"/>
      <w:lvlJc w:val="left"/>
      <w:pPr>
        <w:tabs>
          <w:tab w:val="num" w:pos="6327"/>
        </w:tabs>
        <w:ind w:left="6327" w:hanging="360"/>
      </w:pPr>
      <w:rPr>
        <w:rFonts w:ascii="Courier New" w:hAnsi="Courier New" w:cs="Courier New" w:hint="default"/>
      </w:rPr>
    </w:lvl>
    <w:lvl w:ilvl="8" w:tplc="205856FC" w:tentative="1">
      <w:start w:val="1"/>
      <w:numFmt w:val="bullet"/>
      <w:lvlText w:val=""/>
      <w:lvlJc w:val="left"/>
      <w:pPr>
        <w:tabs>
          <w:tab w:val="num" w:pos="7047"/>
        </w:tabs>
        <w:ind w:left="7047" w:hanging="360"/>
      </w:pPr>
      <w:rPr>
        <w:rFonts w:ascii="Wingdings" w:hAnsi="Wingdings" w:hint="default"/>
      </w:rPr>
    </w:lvl>
  </w:abstractNum>
  <w:abstractNum w:abstractNumId="20" w15:restartNumberingAfterBreak="0">
    <w:nsid w:val="2EE24575"/>
    <w:multiLevelType w:val="singleLevel"/>
    <w:tmpl w:val="AA5ADB5A"/>
    <w:lvl w:ilvl="0">
      <w:start w:val="1"/>
      <w:numFmt w:val="decimal"/>
      <w:lvlText w:val="%1."/>
      <w:lvlJc w:val="left"/>
      <w:pPr>
        <w:tabs>
          <w:tab w:val="num" w:pos="570"/>
        </w:tabs>
        <w:ind w:left="570" w:hanging="570"/>
      </w:pPr>
      <w:rPr>
        <w:rFonts w:hint="default"/>
      </w:rPr>
    </w:lvl>
  </w:abstractNum>
  <w:abstractNum w:abstractNumId="21" w15:restartNumberingAfterBreak="0">
    <w:nsid w:val="30E44B4D"/>
    <w:multiLevelType w:val="hybridMultilevel"/>
    <w:tmpl w:val="F2BE2D7A"/>
    <w:lvl w:ilvl="0" w:tplc="E5709EDA">
      <w:start w:val="1"/>
      <w:numFmt w:val="bullet"/>
      <w:lvlText w:val=""/>
      <w:lvlJc w:val="left"/>
      <w:pPr>
        <w:tabs>
          <w:tab w:val="num" w:pos="720"/>
        </w:tabs>
        <w:ind w:left="720" w:hanging="360"/>
      </w:pPr>
      <w:rPr>
        <w:rFonts w:ascii="Symbol" w:hAnsi="Symbol" w:hint="default"/>
        <w:color w:val="auto"/>
      </w:rPr>
    </w:lvl>
    <w:lvl w:ilvl="1" w:tplc="9EF007B4">
      <w:start w:val="1"/>
      <w:numFmt w:val="bullet"/>
      <w:lvlText w:val=""/>
      <w:lvlJc w:val="left"/>
      <w:pPr>
        <w:tabs>
          <w:tab w:val="num" w:pos="1800"/>
        </w:tabs>
        <w:ind w:left="1800" w:hanging="360"/>
      </w:pPr>
      <w:rPr>
        <w:rFonts w:ascii="Symbol" w:hAnsi="Symbol" w:hint="default"/>
        <w:color w:val="auto"/>
      </w:rPr>
    </w:lvl>
    <w:lvl w:ilvl="2" w:tplc="CFDCBD26" w:tentative="1">
      <w:start w:val="1"/>
      <w:numFmt w:val="bullet"/>
      <w:lvlText w:val=""/>
      <w:lvlJc w:val="left"/>
      <w:pPr>
        <w:tabs>
          <w:tab w:val="num" w:pos="2520"/>
        </w:tabs>
        <w:ind w:left="2520" w:hanging="360"/>
      </w:pPr>
      <w:rPr>
        <w:rFonts w:ascii="Wingdings" w:hAnsi="Wingdings" w:hint="default"/>
      </w:rPr>
    </w:lvl>
    <w:lvl w:ilvl="3" w:tplc="EC702D40" w:tentative="1">
      <w:start w:val="1"/>
      <w:numFmt w:val="bullet"/>
      <w:lvlText w:val=""/>
      <w:lvlJc w:val="left"/>
      <w:pPr>
        <w:tabs>
          <w:tab w:val="num" w:pos="3240"/>
        </w:tabs>
        <w:ind w:left="3240" w:hanging="360"/>
      </w:pPr>
      <w:rPr>
        <w:rFonts w:ascii="Symbol" w:hAnsi="Symbol" w:hint="default"/>
      </w:rPr>
    </w:lvl>
    <w:lvl w:ilvl="4" w:tplc="3B967BE8" w:tentative="1">
      <w:start w:val="1"/>
      <w:numFmt w:val="bullet"/>
      <w:lvlText w:val="o"/>
      <w:lvlJc w:val="left"/>
      <w:pPr>
        <w:tabs>
          <w:tab w:val="num" w:pos="3960"/>
        </w:tabs>
        <w:ind w:left="3960" w:hanging="360"/>
      </w:pPr>
      <w:rPr>
        <w:rFonts w:ascii="Courier New" w:hAnsi="Courier New" w:cs="Courier New" w:hint="default"/>
      </w:rPr>
    </w:lvl>
    <w:lvl w:ilvl="5" w:tplc="E54ACCF6" w:tentative="1">
      <w:start w:val="1"/>
      <w:numFmt w:val="bullet"/>
      <w:lvlText w:val=""/>
      <w:lvlJc w:val="left"/>
      <w:pPr>
        <w:tabs>
          <w:tab w:val="num" w:pos="4680"/>
        </w:tabs>
        <w:ind w:left="4680" w:hanging="360"/>
      </w:pPr>
      <w:rPr>
        <w:rFonts w:ascii="Wingdings" w:hAnsi="Wingdings" w:hint="default"/>
      </w:rPr>
    </w:lvl>
    <w:lvl w:ilvl="6" w:tplc="88000A3E" w:tentative="1">
      <w:start w:val="1"/>
      <w:numFmt w:val="bullet"/>
      <w:lvlText w:val=""/>
      <w:lvlJc w:val="left"/>
      <w:pPr>
        <w:tabs>
          <w:tab w:val="num" w:pos="5400"/>
        </w:tabs>
        <w:ind w:left="5400" w:hanging="360"/>
      </w:pPr>
      <w:rPr>
        <w:rFonts w:ascii="Symbol" w:hAnsi="Symbol" w:hint="default"/>
      </w:rPr>
    </w:lvl>
    <w:lvl w:ilvl="7" w:tplc="3210F8CC" w:tentative="1">
      <w:start w:val="1"/>
      <w:numFmt w:val="bullet"/>
      <w:lvlText w:val="o"/>
      <w:lvlJc w:val="left"/>
      <w:pPr>
        <w:tabs>
          <w:tab w:val="num" w:pos="6120"/>
        </w:tabs>
        <w:ind w:left="6120" w:hanging="360"/>
      </w:pPr>
      <w:rPr>
        <w:rFonts w:ascii="Courier New" w:hAnsi="Courier New" w:cs="Courier New" w:hint="default"/>
      </w:rPr>
    </w:lvl>
    <w:lvl w:ilvl="8" w:tplc="5EE60BB2"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31E01FD5"/>
    <w:multiLevelType w:val="multilevel"/>
    <w:tmpl w:val="E62A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5C6365"/>
    <w:multiLevelType w:val="hybridMultilevel"/>
    <w:tmpl w:val="D37014F6"/>
    <w:lvl w:ilvl="0" w:tplc="D370FC52">
      <w:start w:val="1"/>
      <w:numFmt w:val="bullet"/>
      <w:lvlText w:val=""/>
      <w:lvlJc w:val="left"/>
      <w:pPr>
        <w:ind w:left="783" w:hanging="360"/>
      </w:pPr>
      <w:rPr>
        <w:rFonts w:ascii="Symbol" w:hAnsi="Symbol" w:hint="default"/>
      </w:rPr>
    </w:lvl>
    <w:lvl w:ilvl="1" w:tplc="6CA200DE" w:tentative="1">
      <w:start w:val="1"/>
      <w:numFmt w:val="bullet"/>
      <w:lvlText w:val="o"/>
      <w:lvlJc w:val="left"/>
      <w:pPr>
        <w:ind w:left="1503" w:hanging="360"/>
      </w:pPr>
      <w:rPr>
        <w:rFonts w:ascii="Courier New" w:hAnsi="Courier New" w:cs="Courier New" w:hint="default"/>
      </w:rPr>
    </w:lvl>
    <w:lvl w:ilvl="2" w:tplc="B3EE2424" w:tentative="1">
      <w:start w:val="1"/>
      <w:numFmt w:val="bullet"/>
      <w:lvlText w:val=""/>
      <w:lvlJc w:val="left"/>
      <w:pPr>
        <w:ind w:left="2223" w:hanging="360"/>
      </w:pPr>
      <w:rPr>
        <w:rFonts w:ascii="Wingdings" w:hAnsi="Wingdings" w:hint="default"/>
      </w:rPr>
    </w:lvl>
    <w:lvl w:ilvl="3" w:tplc="DA8CC7CA" w:tentative="1">
      <w:start w:val="1"/>
      <w:numFmt w:val="bullet"/>
      <w:lvlText w:val=""/>
      <w:lvlJc w:val="left"/>
      <w:pPr>
        <w:ind w:left="2943" w:hanging="360"/>
      </w:pPr>
      <w:rPr>
        <w:rFonts w:ascii="Symbol" w:hAnsi="Symbol" w:hint="default"/>
      </w:rPr>
    </w:lvl>
    <w:lvl w:ilvl="4" w:tplc="0748B826" w:tentative="1">
      <w:start w:val="1"/>
      <w:numFmt w:val="bullet"/>
      <w:lvlText w:val="o"/>
      <w:lvlJc w:val="left"/>
      <w:pPr>
        <w:ind w:left="3663" w:hanging="360"/>
      </w:pPr>
      <w:rPr>
        <w:rFonts w:ascii="Courier New" w:hAnsi="Courier New" w:cs="Courier New" w:hint="default"/>
      </w:rPr>
    </w:lvl>
    <w:lvl w:ilvl="5" w:tplc="1BCCC55C" w:tentative="1">
      <w:start w:val="1"/>
      <w:numFmt w:val="bullet"/>
      <w:lvlText w:val=""/>
      <w:lvlJc w:val="left"/>
      <w:pPr>
        <w:ind w:left="4383" w:hanging="360"/>
      </w:pPr>
      <w:rPr>
        <w:rFonts w:ascii="Wingdings" w:hAnsi="Wingdings" w:hint="default"/>
      </w:rPr>
    </w:lvl>
    <w:lvl w:ilvl="6" w:tplc="EA1A9206" w:tentative="1">
      <w:start w:val="1"/>
      <w:numFmt w:val="bullet"/>
      <w:lvlText w:val=""/>
      <w:lvlJc w:val="left"/>
      <w:pPr>
        <w:ind w:left="5103" w:hanging="360"/>
      </w:pPr>
      <w:rPr>
        <w:rFonts w:ascii="Symbol" w:hAnsi="Symbol" w:hint="default"/>
      </w:rPr>
    </w:lvl>
    <w:lvl w:ilvl="7" w:tplc="84AADD78" w:tentative="1">
      <w:start w:val="1"/>
      <w:numFmt w:val="bullet"/>
      <w:lvlText w:val="o"/>
      <w:lvlJc w:val="left"/>
      <w:pPr>
        <w:ind w:left="5823" w:hanging="360"/>
      </w:pPr>
      <w:rPr>
        <w:rFonts w:ascii="Courier New" w:hAnsi="Courier New" w:cs="Courier New" w:hint="default"/>
      </w:rPr>
    </w:lvl>
    <w:lvl w:ilvl="8" w:tplc="F2F06756" w:tentative="1">
      <w:start w:val="1"/>
      <w:numFmt w:val="bullet"/>
      <w:lvlText w:val=""/>
      <w:lvlJc w:val="left"/>
      <w:pPr>
        <w:ind w:left="6543" w:hanging="360"/>
      </w:pPr>
      <w:rPr>
        <w:rFonts w:ascii="Wingdings" w:hAnsi="Wingdings" w:hint="default"/>
      </w:rPr>
    </w:lvl>
  </w:abstractNum>
  <w:abstractNum w:abstractNumId="24" w15:restartNumberingAfterBreak="0">
    <w:nsid w:val="42D1001E"/>
    <w:multiLevelType w:val="singleLevel"/>
    <w:tmpl w:val="5F661F9E"/>
    <w:lvl w:ilvl="0">
      <w:start w:val="1"/>
      <w:numFmt w:val="bullet"/>
      <w:pStyle w:val="TextBull"/>
      <w:lvlText w:val=""/>
      <w:lvlJc w:val="left"/>
      <w:pPr>
        <w:tabs>
          <w:tab w:val="num" w:pos="360"/>
        </w:tabs>
        <w:ind w:left="360" w:hanging="360"/>
      </w:pPr>
      <w:rPr>
        <w:rFonts w:ascii="Symbol" w:hAnsi="Symbol" w:hint="default"/>
      </w:rPr>
    </w:lvl>
  </w:abstractNum>
  <w:abstractNum w:abstractNumId="25" w15:restartNumberingAfterBreak="0">
    <w:nsid w:val="447E479E"/>
    <w:multiLevelType w:val="hybridMultilevel"/>
    <w:tmpl w:val="92927CFE"/>
    <w:lvl w:ilvl="0" w:tplc="1562D6FC">
      <w:start w:val="1"/>
      <w:numFmt w:val="bullet"/>
      <w:lvlText w:val=""/>
      <w:lvlJc w:val="left"/>
      <w:pPr>
        <w:ind w:left="921" w:hanging="360"/>
      </w:pPr>
      <w:rPr>
        <w:rFonts w:ascii="Symbol" w:hAnsi="Symbol" w:hint="default"/>
      </w:rPr>
    </w:lvl>
    <w:lvl w:ilvl="1" w:tplc="3D34790C" w:tentative="1">
      <w:start w:val="1"/>
      <w:numFmt w:val="bullet"/>
      <w:lvlText w:val="o"/>
      <w:lvlJc w:val="left"/>
      <w:pPr>
        <w:ind w:left="1641" w:hanging="360"/>
      </w:pPr>
      <w:rPr>
        <w:rFonts w:ascii="Courier New" w:hAnsi="Courier New" w:cs="Courier New" w:hint="default"/>
      </w:rPr>
    </w:lvl>
    <w:lvl w:ilvl="2" w:tplc="5CB02790" w:tentative="1">
      <w:start w:val="1"/>
      <w:numFmt w:val="bullet"/>
      <w:lvlText w:val=""/>
      <w:lvlJc w:val="left"/>
      <w:pPr>
        <w:ind w:left="2361" w:hanging="360"/>
      </w:pPr>
      <w:rPr>
        <w:rFonts w:ascii="Wingdings" w:hAnsi="Wingdings" w:hint="default"/>
      </w:rPr>
    </w:lvl>
    <w:lvl w:ilvl="3" w:tplc="02A4B274" w:tentative="1">
      <w:start w:val="1"/>
      <w:numFmt w:val="bullet"/>
      <w:lvlText w:val=""/>
      <w:lvlJc w:val="left"/>
      <w:pPr>
        <w:ind w:left="3081" w:hanging="360"/>
      </w:pPr>
      <w:rPr>
        <w:rFonts w:ascii="Symbol" w:hAnsi="Symbol" w:hint="default"/>
      </w:rPr>
    </w:lvl>
    <w:lvl w:ilvl="4" w:tplc="A7EEC844" w:tentative="1">
      <w:start w:val="1"/>
      <w:numFmt w:val="bullet"/>
      <w:lvlText w:val="o"/>
      <w:lvlJc w:val="left"/>
      <w:pPr>
        <w:ind w:left="3801" w:hanging="360"/>
      </w:pPr>
      <w:rPr>
        <w:rFonts w:ascii="Courier New" w:hAnsi="Courier New" w:cs="Courier New" w:hint="default"/>
      </w:rPr>
    </w:lvl>
    <w:lvl w:ilvl="5" w:tplc="774ACD50" w:tentative="1">
      <w:start w:val="1"/>
      <w:numFmt w:val="bullet"/>
      <w:lvlText w:val=""/>
      <w:lvlJc w:val="left"/>
      <w:pPr>
        <w:ind w:left="4521" w:hanging="360"/>
      </w:pPr>
      <w:rPr>
        <w:rFonts w:ascii="Wingdings" w:hAnsi="Wingdings" w:hint="default"/>
      </w:rPr>
    </w:lvl>
    <w:lvl w:ilvl="6" w:tplc="131C5DD0" w:tentative="1">
      <w:start w:val="1"/>
      <w:numFmt w:val="bullet"/>
      <w:lvlText w:val=""/>
      <w:lvlJc w:val="left"/>
      <w:pPr>
        <w:ind w:left="5241" w:hanging="360"/>
      </w:pPr>
      <w:rPr>
        <w:rFonts w:ascii="Symbol" w:hAnsi="Symbol" w:hint="default"/>
      </w:rPr>
    </w:lvl>
    <w:lvl w:ilvl="7" w:tplc="91E0DB2C" w:tentative="1">
      <w:start w:val="1"/>
      <w:numFmt w:val="bullet"/>
      <w:lvlText w:val="o"/>
      <w:lvlJc w:val="left"/>
      <w:pPr>
        <w:ind w:left="5961" w:hanging="360"/>
      </w:pPr>
      <w:rPr>
        <w:rFonts w:ascii="Courier New" w:hAnsi="Courier New" w:cs="Courier New" w:hint="default"/>
      </w:rPr>
    </w:lvl>
    <w:lvl w:ilvl="8" w:tplc="CAAC9D0C" w:tentative="1">
      <w:start w:val="1"/>
      <w:numFmt w:val="bullet"/>
      <w:lvlText w:val=""/>
      <w:lvlJc w:val="left"/>
      <w:pPr>
        <w:ind w:left="6681" w:hanging="360"/>
      </w:pPr>
      <w:rPr>
        <w:rFonts w:ascii="Wingdings" w:hAnsi="Wingdings" w:hint="default"/>
      </w:rPr>
    </w:lvl>
  </w:abstractNum>
  <w:abstractNum w:abstractNumId="26" w15:restartNumberingAfterBreak="0">
    <w:nsid w:val="471D60A8"/>
    <w:multiLevelType w:val="hybridMultilevel"/>
    <w:tmpl w:val="927C0450"/>
    <w:lvl w:ilvl="0" w:tplc="A858BC02">
      <w:start w:val="1"/>
      <w:numFmt w:val="bullet"/>
      <w:lvlText w:val=""/>
      <w:lvlJc w:val="left"/>
      <w:pPr>
        <w:tabs>
          <w:tab w:val="num" w:pos="720"/>
        </w:tabs>
        <w:ind w:left="720" w:hanging="360"/>
      </w:pPr>
      <w:rPr>
        <w:rFonts w:ascii="Symbol" w:hAnsi="Symbol" w:hint="default"/>
        <w:color w:val="auto"/>
      </w:rPr>
    </w:lvl>
    <w:lvl w:ilvl="1" w:tplc="15EA0D46" w:tentative="1">
      <w:start w:val="1"/>
      <w:numFmt w:val="bullet"/>
      <w:lvlText w:val="o"/>
      <w:lvlJc w:val="left"/>
      <w:pPr>
        <w:tabs>
          <w:tab w:val="num" w:pos="1440"/>
        </w:tabs>
        <w:ind w:left="1440" w:hanging="360"/>
      </w:pPr>
      <w:rPr>
        <w:rFonts w:ascii="Courier New" w:hAnsi="Courier New" w:cs="Courier New" w:hint="default"/>
      </w:rPr>
    </w:lvl>
    <w:lvl w:ilvl="2" w:tplc="984AC3CA" w:tentative="1">
      <w:start w:val="1"/>
      <w:numFmt w:val="bullet"/>
      <w:lvlText w:val=""/>
      <w:lvlJc w:val="left"/>
      <w:pPr>
        <w:tabs>
          <w:tab w:val="num" w:pos="2160"/>
        </w:tabs>
        <w:ind w:left="2160" w:hanging="360"/>
      </w:pPr>
      <w:rPr>
        <w:rFonts w:ascii="Wingdings" w:hAnsi="Wingdings" w:hint="default"/>
      </w:rPr>
    </w:lvl>
    <w:lvl w:ilvl="3" w:tplc="B44EC7EE" w:tentative="1">
      <w:start w:val="1"/>
      <w:numFmt w:val="bullet"/>
      <w:lvlText w:val=""/>
      <w:lvlJc w:val="left"/>
      <w:pPr>
        <w:tabs>
          <w:tab w:val="num" w:pos="2880"/>
        </w:tabs>
        <w:ind w:left="2880" w:hanging="360"/>
      </w:pPr>
      <w:rPr>
        <w:rFonts w:ascii="Symbol" w:hAnsi="Symbol" w:hint="default"/>
      </w:rPr>
    </w:lvl>
    <w:lvl w:ilvl="4" w:tplc="B01482E2" w:tentative="1">
      <w:start w:val="1"/>
      <w:numFmt w:val="bullet"/>
      <w:lvlText w:val="o"/>
      <w:lvlJc w:val="left"/>
      <w:pPr>
        <w:tabs>
          <w:tab w:val="num" w:pos="3600"/>
        </w:tabs>
        <w:ind w:left="3600" w:hanging="360"/>
      </w:pPr>
      <w:rPr>
        <w:rFonts w:ascii="Courier New" w:hAnsi="Courier New" w:cs="Courier New" w:hint="default"/>
      </w:rPr>
    </w:lvl>
    <w:lvl w:ilvl="5" w:tplc="9EE05E20" w:tentative="1">
      <w:start w:val="1"/>
      <w:numFmt w:val="bullet"/>
      <w:lvlText w:val=""/>
      <w:lvlJc w:val="left"/>
      <w:pPr>
        <w:tabs>
          <w:tab w:val="num" w:pos="4320"/>
        </w:tabs>
        <w:ind w:left="4320" w:hanging="360"/>
      </w:pPr>
      <w:rPr>
        <w:rFonts w:ascii="Wingdings" w:hAnsi="Wingdings" w:hint="default"/>
      </w:rPr>
    </w:lvl>
    <w:lvl w:ilvl="6" w:tplc="4F4C8266" w:tentative="1">
      <w:start w:val="1"/>
      <w:numFmt w:val="bullet"/>
      <w:lvlText w:val=""/>
      <w:lvlJc w:val="left"/>
      <w:pPr>
        <w:tabs>
          <w:tab w:val="num" w:pos="5040"/>
        </w:tabs>
        <w:ind w:left="5040" w:hanging="360"/>
      </w:pPr>
      <w:rPr>
        <w:rFonts w:ascii="Symbol" w:hAnsi="Symbol" w:hint="default"/>
      </w:rPr>
    </w:lvl>
    <w:lvl w:ilvl="7" w:tplc="E83E1666" w:tentative="1">
      <w:start w:val="1"/>
      <w:numFmt w:val="bullet"/>
      <w:lvlText w:val="o"/>
      <w:lvlJc w:val="left"/>
      <w:pPr>
        <w:tabs>
          <w:tab w:val="num" w:pos="5760"/>
        </w:tabs>
        <w:ind w:left="5760" w:hanging="360"/>
      </w:pPr>
      <w:rPr>
        <w:rFonts w:ascii="Courier New" w:hAnsi="Courier New" w:cs="Courier New" w:hint="default"/>
      </w:rPr>
    </w:lvl>
    <w:lvl w:ilvl="8" w:tplc="9CF4B50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AF26AED"/>
    <w:multiLevelType w:val="hybridMultilevel"/>
    <w:tmpl w:val="C1A20B9E"/>
    <w:lvl w:ilvl="0" w:tplc="E03C098C">
      <w:start w:val="1"/>
      <w:numFmt w:val="bullet"/>
      <w:lvlText w:val=""/>
      <w:lvlJc w:val="left"/>
      <w:pPr>
        <w:ind w:left="1077" w:hanging="360"/>
      </w:pPr>
      <w:rPr>
        <w:rFonts w:ascii="Symbol" w:hAnsi="Symbol" w:hint="default"/>
      </w:rPr>
    </w:lvl>
    <w:lvl w:ilvl="1" w:tplc="81007AC4" w:tentative="1">
      <w:start w:val="1"/>
      <w:numFmt w:val="bullet"/>
      <w:lvlText w:val="o"/>
      <w:lvlJc w:val="left"/>
      <w:pPr>
        <w:ind w:left="1797" w:hanging="360"/>
      </w:pPr>
      <w:rPr>
        <w:rFonts w:ascii="Courier New" w:hAnsi="Courier New" w:cs="Courier New" w:hint="default"/>
      </w:rPr>
    </w:lvl>
    <w:lvl w:ilvl="2" w:tplc="1CF68FF0" w:tentative="1">
      <w:start w:val="1"/>
      <w:numFmt w:val="bullet"/>
      <w:lvlText w:val=""/>
      <w:lvlJc w:val="left"/>
      <w:pPr>
        <w:ind w:left="2517" w:hanging="360"/>
      </w:pPr>
      <w:rPr>
        <w:rFonts w:ascii="Wingdings" w:hAnsi="Wingdings" w:hint="default"/>
      </w:rPr>
    </w:lvl>
    <w:lvl w:ilvl="3" w:tplc="53728C3C" w:tentative="1">
      <w:start w:val="1"/>
      <w:numFmt w:val="bullet"/>
      <w:lvlText w:val=""/>
      <w:lvlJc w:val="left"/>
      <w:pPr>
        <w:ind w:left="3237" w:hanging="360"/>
      </w:pPr>
      <w:rPr>
        <w:rFonts w:ascii="Symbol" w:hAnsi="Symbol" w:hint="default"/>
      </w:rPr>
    </w:lvl>
    <w:lvl w:ilvl="4" w:tplc="5A1201A6" w:tentative="1">
      <w:start w:val="1"/>
      <w:numFmt w:val="bullet"/>
      <w:lvlText w:val="o"/>
      <w:lvlJc w:val="left"/>
      <w:pPr>
        <w:ind w:left="3957" w:hanging="360"/>
      </w:pPr>
      <w:rPr>
        <w:rFonts w:ascii="Courier New" w:hAnsi="Courier New" w:cs="Courier New" w:hint="default"/>
      </w:rPr>
    </w:lvl>
    <w:lvl w:ilvl="5" w:tplc="8272DDD4" w:tentative="1">
      <w:start w:val="1"/>
      <w:numFmt w:val="bullet"/>
      <w:lvlText w:val=""/>
      <w:lvlJc w:val="left"/>
      <w:pPr>
        <w:ind w:left="4677" w:hanging="360"/>
      </w:pPr>
      <w:rPr>
        <w:rFonts w:ascii="Wingdings" w:hAnsi="Wingdings" w:hint="default"/>
      </w:rPr>
    </w:lvl>
    <w:lvl w:ilvl="6" w:tplc="AA8A1F40" w:tentative="1">
      <w:start w:val="1"/>
      <w:numFmt w:val="bullet"/>
      <w:lvlText w:val=""/>
      <w:lvlJc w:val="left"/>
      <w:pPr>
        <w:ind w:left="5397" w:hanging="360"/>
      </w:pPr>
      <w:rPr>
        <w:rFonts w:ascii="Symbol" w:hAnsi="Symbol" w:hint="default"/>
      </w:rPr>
    </w:lvl>
    <w:lvl w:ilvl="7" w:tplc="5A865EBC" w:tentative="1">
      <w:start w:val="1"/>
      <w:numFmt w:val="bullet"/>
      <w:lvlText w:val="o"/>
      <w:lvlJc w:val="left"/>
      <w:pPr>
        <w:ind w:left="6117" w:hanging="360"/>
      </w:pPr>
      <w:rPr>
        <w:rFonts w:ascii="Courier New" w:hAnsi="Courier New" w:cs="Courier New" w:hint="default"/>
      </w:rPr>
    </w:lvl>
    <w:lvl w:ilvl="8" w:tplc="A9C0B3F4" w:tentative="1">
      <w:start w:val="1"/>
      <w:numFmt w:val="bullet"/>
      <w:lvlText w:val=""/>
      <w:lvlJc w:val="left"/>
      <w:pPr>
        <w:ind w:left="6837" w:hanging="360"/>
      </w:pPr>
      <w:rPr>
        <w:rFonts w:ascii="Wingdings" w:hAnsi="Wingdings" w:hint="default"/>
      </w:rPr>
    </w:lvl>
  </w:abstractNum>
  <w:abstractNum w:abstractNumId="28" w15:restartNumberingAfterBreak="0">
    <w:nsid w:val="4DEF20BD"/>
    <w:multiLevelType w:val="hybridMultilevel"/>
    <w:tmpl w:val="CC161E56"/>
    <w:lvl w:ilvl="0" w:tplc="7B36517A">
      <w:start w:val="1"/>
      <w:numFmt w:val="bullet"/>
      <w:lvlText w:val=""/>
      <w:lvlJc w:val="left"/>
      <w:pPr>
        <w:ind w:left="720" w:hanging="360"/>
      </w:pPr>
      <w:rPr>
        <w:rFonts w:ascii="Symbol" w:hAnsi="Symbol" w:hint="default"/>
      </w:rPr>
    </w:lvl>
    <w:lvl w:ilvl="1" w:tplc="132839FE" w:tentative="1">
      <w:start w:val="1"/>
      <w:numFmt w:val="bullet"/>
      <w:lvlText w:val="o"/>
      <w:lvlJc w:val="left"/>
      <w:pPr>
        <w:ind w:left="1440" w:hanging="360"/>
      </w:pPr>
      <w:rPr>
        <w:rFonts w:ascii="Courier New" w:hAnsi="Courier New" w:cs="Courier New" w:hint="default"/>
      </w:rPr>
    </w:lvl>
    <w:lvl w:ilvl="2" w:tplc="5308EA00" w:tentative="1">
      <w:start w:val="1"/>
      <w:numFmt w:val="bullet"/>
      <w:lvlText w:val=""/>
      <w:lvlJc w:val="left"/>
      <w:pPr>
        <w:ind w:left="2160" w:hanging="360"/>
      </w:pPr>
      <w:rPr>
        <w:rFonts w:ascii="Wingdings" w:hAnsi="Wingdings" w:hint="default"/>
      </w:rPr>
    </w:lvl>
    <w:lvl w:ilvl="3" w:tplc="9B84A43A" w:tentative="1">
      <w:start w:val="1"/>
      <w:numFmt w:val="bullet"/>
      <w:lvlText w:val=""/>
      <w:lvlJc w:val="left"/>
      <w:pPr>
        <w:ind w:left="2880" w:hanging="360"/>
      </w:pPr>
      <w:rPr>
        <w:rFonts w:ascii="Symbol" w:hAnsi="Symbol" w:hint="default"/>
      </w:rPr>
    </w:lvl>
    <w:lvl w:ilvl="4" w:tplc="ED3E0456" w:tentative="1">
      <w:start w:val="1"/>
      <w:numFmt w:val="bullet"/>
      <w:lvlText w:val="o"/>
      <w:lvlJc w:val="left"/>
      <w:pPr>
        <w:ind w:left="3600" w:hanging="360"/>
      </w:pPr>
      <w:rPr>
        <w:rFonts w:ascii="Courier New" w:hAnsi="Courier New" w:cs="Courier New" w:hint="default"/>
      </w:rPr>
    </w:lvl>
    <w:lvl w:ilvl="5" w:tplc="B9D0E2D0" w:tentative="1">
      <w:start w:val="1"/>
      <w:numFmt w:val="bullet"/>
      <w:lvlText w:val=""/>
      <w:lvlJc w:val="left"/>
      <w:pPr>
        <w:ind w:left="4320" w:hanging="360"/>
      </w:pPr>
      <w:rPr>
        <w:rFonts w:ascii="Wingdings" w:hAnsi="Wingdings" w:hint="default"/>
      </w:rPr>
    </w:lvl>
    <w:lvl w:ilvl="6" w:tplc="04904F6C" w:tentative="1">
      <w:start w:val="1"/>
      <w:numFmt w:val="bullet"/>
      <w:lvlText w:val=""/>
      <w:lvlJc w:val="left"/>
      <w:pPr>
        <w:ind w:left="5040" w:hanging="360"/>
      </w:pPr>
      <w:rPr>
        <w:rFonts w:ascii="Symbol" w:hAnsi="Symbol" w:hint="default"/>
      </w:rPr>
    </w:lvl>
    <w:lvl w:ilvl="7" w:tplc="7774F82A" w:tentative="1">
      <w:start w:val="1"/>
      <w:numFmt w:val="bullet"/>
      <w:lvlText w:val="o"/>
      <w:lvlJc w:val="left"/>
      <w:pPr>
        <w:ind w:left="5760" w:hanging="360"/>
      </w:pPr>
      <w:rPr>
        <w:rFonts w:ascii="Courier New" w:hAnsi="Courier New" w:cs="Courier New" w:hint="default"/>
      </w:rPr>
    </w:lvl>
    <w:lvl w:ilvl="8" w:tplc="E662F636" w:tentative="1">
      <w:start w:val="1"/>
      <w:numFmt w:val="bullet"/>
      <w:lvlText w:val=""/>
      <w:lvlJc w:val="left"/>
      <w:pPr>
        <w:ind w:left="6480" w:hanging="360"/>
      </w:pPr>
      <w:rPr>
        <w:rFonts w:ascii="Wingdings" w:hAnsi="Wingdings" w:hint="default"/>
      </w:rPr>
    </w:lvl>
  </w:abstractNum>
  <w:abstractNum w:abstractNumId="29" w15:restartNumberingAfterBreak="0">
    <w:nsid w:val="50C143A8"/>
    <w:multiLevelType w:val="hybridMultilevel"/>
    <w:tmpl w:val="B5007388"/>
    <w:lvl w:ilvl="0" w:tplc="C0725192">
      <w:start w:val="10"/>
      <w:numFmt w:val="bullet"/>
      <w:lvlText w:val="-"/>
      <w:lvlJc w:val="left"/>
      <w:pPr>
        <w:ind w:left="720" w:hanging="360"/>
      </w:pPr>
      <w:rPr>
        <w:rFonts w:ascii="Times New Roman" w:eastAsia="Times New Roman" w:hAnsi="Times New Roman" w:cs="Times New Roman" w:hint="default"/>
      </w:rPr>
    </w:lvl>
    <w:lvl w:ilvl="1" w:tplc="BC8247BA" w:tentative="1">
      <w:start w:val="1"/>
      <w:numFmt w:val="bullet"/>
      <w:lvlText w:val="o"/>
      <w:lvlJc w:val="left"/>
      <w:pPr>
        <w:ind w:left="1440" w:hanging="360"/>
      </w:pPr>
      <w:rPr>
        <w:rFonts w:ascii="Courier New" w:hAnsi="Courier New" w:cs="Courier New" w:hint="default"/>
      </w:rPr>
    </w:lvl>
    <w:lvl w:ilvl="2" w:tplc="113C7376" w:tentative="1">
      <w:start w:val="1"/>
      <w:numFmt w:val="bullet"/>
      <w:lvlText w:val=""/>
      <w:lvlJc w:val="left"/>
      <w:pPr>
        <w:ind w:left="2160" w:hanging="360"/>
      </w:pPr>
      <w:rPr>
        <w:rFonts w:ascii="Wingdings" w:hAnsi="Wingdings" w:hint="default"/>
      </w:rPr>
    </w:lvl>
    <w:lvl w:ilvl="3" w:tplc="F1A6FFE0" w:tentative="1">
      <w:start w:val="1"/>
      <w:numFmt w:val="bullet"/>
      <w:lvlText w:val=""/>
      <w:lvlJc w:val="left"/>
      <w:pPr>
        <w:ind w:left="2880" w:hanging="360"/>
      </w:pPr>
      <w:rPr>
        <w:rFonts w:ascii="Symbol" w:hAnsi="Symbol" w:hint="default"/>
      </w:rPr>
    </w:lvl>
    <w:lvl w:ilvl="4" w:tplc="E78CA590" w:tentative="1">
      <w:start w:val="1"/>
      <w:numFmt w:val="bullet"/>
      <w:lvlText w:val="o"/>
      <w:lvlJc w:val="left"/>
      <w:pPr>
        <w:ind w:left="3600" w:hanging="360"/>
      </w:pPr>
      <w:rPr>
        <w:rFonts w:ascii="Courier New" w:hAnsi="Courier New" w:cs="Courier New" w:hint="default"/>
      </w:rPr>
    </w:lvl>
    <w:lvl w:ilvl="5" w:tplc="0CA2F24E" w:tentative="1">
      <w:start w:val="1"/>
      <w:numFmt w:val="bullet"/>
      <w:lvlText w:val=""/>
      <w:lvlJc w:val="left"/>
      <w:pPr>
        <w:ind w:left="4320" w:hanging="360"/>
      </w:pPr>
      <w:rPr>
        <w:rFonts w:ascii="Wingdings" w:hAnsi="Wingdings" w:hint="default"/>
      </w:rPr>
    </w:lvl>
    <w:lvl w:ilvl="6" w:tplc="4AD07400" w:tentative="1">
      <w:start w:val="1"/>
      <w:numFmt w:val="bullet"/>
      <w:lvlText w:val=""/>
      <w:lvlJc w:val="left"/>
      <w:pPr>
        <w:ind w:left="5040" w:hanging="360"/>
      </w:pPr>
      <w:rPr>
        <w:rFonts w:ascii="Symbol" w:hAnsi="Symbol" w:hint="default"/>
      </w:rPr>
    </w:lvl>
    <w:lvl w:ilvl="7" w:tplc="BCB02802" w:tentative="1">
      <w:start w:val="1"/>
      <w:numFmt w:val="bullet"/>
      <w:lvlText w:val="o"/>
      <w:lvlJc w:val="left"/>
      <w:pPr>
        <w:ind w:left="5760" w:hanging="360"/>
      </w:pPr>
      <w:rPr>
        <w:rFonts w:ascii="Courier New" w:hAnsi="Courier New" w:cs="Courier New" w:hint="default"/>
      </w:rPr>
    </w:lvl>
    <w:lvl w:ilvl="8" w:tplc="373EA9A0" w:tentative="1">
      <w:start w:val="1"/>
      <w:numFmt w:val="bullet"/>
      <w:lvlText w:val=""/>
      <w:lvlJc w:val="left"/>
      <w:pPr>
        <w:ind w:left="6480" w:hanging="360"/>
      </w:pPr>
      <w:rPr>
        <w:rFonts w:ascii="Wingdings" w:hAnsi="Wingdings" w:hint="default"/>
      </w:rPr>
    </w:lvl>
  </w:abstractNum>
  <w:abstractNum w:abstractNumId="30" w15:restartNumberingAfterBreak="0">
    <w:nsid w:val="54836A53"/>
    <w:multiLevelType w:val="hybridMultilevel"/>
    <w:tmpl w:val="607E5CC4"/>
    <w:lvl w:ilvl="0" w:tplc="50FE8E02">
      <w:start w:val="1"/>
      <w:numFmt w:val="bullet"/>
      <w:lvlText w:val=""/>
      <w:lvlJc w:val="left"/>
      <w:pPr>
        <w:ind w:left="717" w:hanging="360"/>
      </w:pPr>
      <w:rPr>
        <w:rFonts w:ascii="Symbol" w:hAnsi="Symbol" w:hint="default"/>
      </w:rPr>
    </w:lvl>
    <w:lvl w:ilvl="1" w:tplc="795A07FC" w:tentative="1">
      <w:start w:val="1"/>
      <w:numFmt w:val="bullet"/>
      <w:lvlText w:val="o"/>
      <w:lvlJc w:val="left"/>
      <w:pPr>
        <w:ind w:left="1437" w:hanging="360"/>
      </w:pPr>
      <w:rPr>
        <w:rFonts w:ascii="Courier New" w:hAnsi="Courier New" w:cs="Courier New" w:hint="default"/>
      </w:rPr>
    </w:lvl>
    <w:lvl w:ilvl="2" w:tplc="AD10F184" w:tentative="1">
      <w:start w:val="1"/>
      <w:numFmt w:val="bullet"/>
      <w:lvlText w:val=""/>
      <w:lvlJc w:val="left"/>
      <w:pPr>
        <w:ind w:left="2157" w:hanging="360"/>
      </w:pPr>
      <w:rPr>
        <w:rFonts w:ascii="Wingdings" w:hAnsi="Wingdings" w:hint="default"/>
      </w:rPr>
    </w:lvl>
    <w:lvl w:ilvl="3" w:tplc="103C448A" w:tentative="1">
      <w:start w:val="1"/>
      <w:numFmt w:val="bullet"/>
      <w:lvlText w:val=""/>
      <w:lvlJc w:val="left"/>
      <w:pPr>
        <w:ind w:left="2877" w:hanging="360"/>
      </w:pPr>
      <w:rPr>
        <w:rFonts w:ascii="Symbol" w:hAnsi="Symbol" w:hint="default"/>
      </w:rPr>
    </w:lvl>
    <w:lvl w:ilvl="4" w:tplc="B4603DC4" w:tentative="1">
      <w:start w:val="1"/>
      <w:numFmt w:val="bullet"/>
      <w:lvlText w:val="o"/>
      <w:lvlJc w:val="left"/>
      <w:pPr>
        <w:ind w:left="3597" w:hanging="360"/>
      </w:pPr>
      <w:rPr>
        <w:rFonts w:ascii="Courier New" w:hAnsi="Courier New" w:cs="Courier New" w:hint="default"/>
      </w:rPr>
    </w:lvl>
    <w:lvl w:ilvl="5" w:tplc="E44A9A20" w:tentative="1">
      <w:start w:val="1"/>
      <w:numFmt w:val="bullet"/>
      <w:lvlText w:val=""/>
      <w:lvlJc w:val="left"/>
      <w:pPr>
        <w:ind w:left="4317" w:hanging="360"/>
      </w:pPr>
      <w:rPr>
        <w:rFonts w:ascii="Wingdings" w:hAnsi="Wingdings" w:hint="default"/>
      </w:rPr>
    </w:lvl>
    <w:lvl w:ilvl="6" w:tplc="51964186" w:tentative="1">
      <w:start w:val="1"/>
      <w:numFmt w:val="bullet"/>
      <w:lvlText w:val=""/>
      <w:lvlJc w:val="left"/>
      <w:pPr>
        <w:ind w:left="5037" w:hanging="360"/>
      </w:pPr>
      <w:rPr>
        <w:rFonts w:ascii="Symbol" w:hAnsi="Symbol" w:hint="default"/>
      </w:rPr>
    </w:lvl>
    <w:lvl w:ilvl="7" w:tplc="0A1059DA" w:tentative="1">
      <w:start w:val="1"/>
      <w:numFmt w:val="bullet"/>
      <w:lvlText w:val="o"/>
      <w:lvlJc w:val="left"/>
      <w:pPr>
        <w:ind w:left="5757" w:hanging="360"/>
      </w:pPr>
      <w:rPr>
        <w:rFonts w:ascii="Courier New" w:hAnsi="Courier New" w:cs="Courier New" w:hint="default"/>
      </w:rPr>
    </w:lvl>
    <w:lvl w:ilvl="8" w:tplc="74F69124" w:tentative="1">
      <w:start w:val="1"/>
      <w:numFmt w:val="bullet"/>
      <w:lvlText w:val=""/>
      <w:lvlJc w:val="left"/>
      <w:pPr>
        <w:ind w:left="6477" w:hanging="360"/>
      </w:pPr>
      <w:rPr>
        <w:rFonts w:ascii="Wingdings" w:hAnsi="Wingdings" w:hint="default"/>
      </w:rPr>
    </w:lvl>
  </w:abstractNum>
  <w:abstractNum w:abstractNumId="31" w15:restartNumberingAfterBreak="0">
    <w:nsid w:val="5570736D"/>
    <w:multiLevelType w:val="hybridMultilevel"/>
    <w:tmpl w:val="4BBE49FC"/>
    <w:lvl w:ilvl="0" w:tplc="071C1758">
      <w:start w:val="1"/>
      <w:numFmt w:val="bullet"/>
      <w:lvlText w:val=""/>
      <w:lvlJc w:val="left"/>
      <w:pPr>
        <w:ind w:left="1170" w:hanging="360"/>
      </w:pPr>
      <w:rPr>
        <w:rFonts w:ascii="Symbol" w:hAnsi="Symbol" w:hint="default"/>
      </w:rPr>
    </w:lvl>
    <w:lvl w:ilvl="1" w:tplc="FE3AAEF2" w:tentative="1">
      <w:start w:val="1"/>
      <w:numFmt w:val="bullet"/>
      <w:lvlText w:val="o"/>
      <w:lvlJc w:val="left"/>
      <w:pPr>
        <w:ind w:left="1890" w:hanging="360"/>
      </w:pPr>
      <w:rPr>
        <w:rFonts w:ascii="Courier New" w:hAnsi="Courier New" w:cs="Courier New" w:hint="default"/>
      </w:rPr>
    </w:lvl>
    <w:lvl w:ilvl="2" w:tplc="0492A44E" w:tentative="1">
      <w:start w:val="1"/>
      <w:numFmt w:val="bullet"/>
      <w:lvlText w:val=""/>
      <w:lvlJc w:val="left"/>
      <w:pPr>
        <w:ind w:left="2610" w:hanging="360"/>
      </w:pPr>
      <w:rPr>
        <w:rFonts w:ascii="Wingdings" w:hAnsi="Wingdings" w:hint="default"/>
      </w:rPr>
    </w:lvl>
    <w:lvl w:ilvl="3" w:tplc="F5229FC2" w:tentative="1">
      <w:start w:val="1"/>
      <w:numFmt w:val="bullet"/>
      <w:lvlText w:val=""/>
      <w:lvlJc w:val="left"/>
      <w:pPr>
        <w:ind w:left="3330" w:hanging="360"/>
      </w:pPr>
      <w:rPr>
        <w:rFonts w:ascii="Symbol" w:hAnsi="Symbol" w:hint="default"/>
      </w:rPr>
    </w:lvl>
    <w:lvl w:ilvl="4" w:tplc="4FD626B4" w:tentative="1">
      <w:start w:val="1"/>
      <w:numFmt w:val="bullet"/>
      <w:lvlText w:val="o"/>
      <w:lvlJc w:val="left"/>
      <w:pPr>
        <w:ind w:left="4050" w:hanging="360"/>
      </w:pPr>
      <w:rPr>
        <w:rFonts w:ascii="Courier New" w:hAnsi="Courier New" w:cs="Courier New" w:hint="default"/>
      </w:rPr>
    </w:lvl>
    <w:lvl w:ilvl="5" w:tplc="524484A8" w:tentative="1">
      <w:start w:val="1"/>
      <w:numFmt w:val="bullet"/>
      <w:lvlText w:val=""/>
      <w:lvlJc w:val="left"/>
      <w:pPr>
        <w:ind w:left="4770" w:hanging="360"/>
      </w:pPr>
      <w:rPr>
        <w:rFonts w:ascii="Wingdings" w:hAnsi="Wingdings" w:hint="default"/>
      </w:rPr>
    </w:lvl>
    <w:lvl w:ilvl="6" w:tplc="B34AB83E" w:tentative="1">
      <w:start w:val="1"/>
      <w:numFmt w:val="bullet"/>
      <w:lvlText w:val=""/>
      <w:lvlJc w:val="left"/>
      <w:pPr>
        <w:ind w:left="5490" w:hanging="360"/>
      </w:pPr>
      <w:rPr>
        <w:rFonts w:ascii="Symbol" w:hAnsi="Symbol" w:hint="default"/>
      </w:rPr>
    </w:lvl>
    <w:lvl w:ilvl="7" w:tplc="CCFA0FB2" w:tentative="1">
      <w:start w:val="1"/>
      <w:numFmt w:val="bullet"/>
      <w:lvlText w:val="o"/>
      <w:lvlJc w:val="left"/>
      <w:pPr>
        <w:ind w:left="6210" w:hanging="360"/>
      </w:pPr>
      <w:rPr>
        <w:rFonts w:ascii="Courier New" w:hAnsi="Courier New" w:cs="Courier New" w:hint="default"/>
      </w:rPr>
    </w:lvl>
    <w:lvl w:ilvl="8" w:tplc="7DD860E4" w:tentative="1">
      <w:start w:val="1"/>
      <w:numFmt w:val="bullet"/>
      <w:lvlText w:val=""/>
      <w:lvlJc w:val="left"/>
      <w:pPr>
        <w:ind w:left="6930" w:hanging="360"/>
      </w:pPr>
      <w:rPr>
        <w:rFonts w:ascii="Wingdings" w:hAnsi="Wingdings" w:hint="default"/>
      </w:rPr>
    </w:lvl>
  </w:abstractNum>
  <w:abstractNum w:abstractNumId="32" w15:restartNumberingAfterBreak="0">
    <w:nsid w:val="580E4BDA"/>
    <w:multiLevelType w:val="hybridMultilevel"/>
    <w:tmpl w:val="2786A25C"/>
    <w:lvl w:ilvl="0" w:tplc="78D88256">
      <w:numFmt w:val="bullet"/>
      <w:lvlText w:val="•"/>
      <w:lvlJc w:val="left"/>
      <w:pPr>
        <w:ind w:left="1211" w:hanging="360"/>
      </w:pPr>
      <w:rPr>
        <w:rFonts w:ascii="Calibri" w:eastAsia="Times New Roman" w:hAnsi="Calibri" w:cs="Calibri" w:hint="default"/>
        <w:color w:val="F79646"/>
      </w:rPr>
    </w:lvl>
    <w:lvl w:ilvl="1" w:tplc="BA42F4A8">
      <w:start w:val="1"/>
      <w:numFmt w:val="bullet"/>
      <w:lvlText w:val="o"/>
      <w:lvlJc w:val="left"/>
      <w:pPr>
        <w:ind w:left="1931" w:hanging="360"/>
      </w:pPr>
      <w:rPr>
        <w:rFonts w:ascii="Courier New" w:hAnsi="Courier New" w:cs="Courier New" w:hint="default"/>
      </w:rPr>
    </w:lvl>
    <w:lvl w:ilvl="2" w:tplc="62B88404">
      <w:start w:val="1"/>
      <w:numFmt w:val="bullet"/>
      <w:lvlText w:val=""/>
      <w:lvlJc w:val="left"/>
      <w:pPr>
        <w:ind w:left="2651" w:hanging="360"/>
      </w:pPr>
      <w:rPr>
        <w:rFonts w:ascii="Wingdings" w:hAnsi="Wingdings" w:hint="default"/>
      </w:rPr>
    </w:lvl>
    <w:lvl w:ilvl="3" w:tplc="EBE8D194">
      <w:start w:val="1"/>
      <w:numFmt w:val="bullet"/>
      <w:lvlText w:val=""/>
      <w:lvlJc w:val="left"/>
      <w:pPr>
        <w:ind w:left="3371" w:hanging="360"/>
      </w:pPr>
      <w:rPr>
        <w:rFonts w:ascii="Symbol" w:hAnsi="Symbol" w:hint="default"/>
      </w:rPr>
    </w:lvl>
    <w:lvl w:ilvl="4" w:tplc="D8826C5E">
      <w:start w:val="1"/>
      <w:numFmt w:val="bullet"/>
      <w:lvlText w:val="o"/>
      <w:lvlJc w:val="left"/>
      <w:pPr>
        <w:ind w:left="4091" w:hanging="360"/>
      </w:pPr>
      <w:rPr>
        <w:rFonts w:ascii="Courier New" w:hAnsi="Courier New" w:cs="Courier New" w:hint="default"/>
      </w:rPr>
    </w:lvl>
    <w:lvl w:ilvl="5" w:tplc="B81E0B36">
      <w:start w:val="1"/>
      <w:numFmt w:val="bullet"/>
      <w:lvlText w:val=""/>
      <w:lvlJc w:val="left"/>
      <w:pPr>
        <w:ind w:left="4811" w:hanging="360"/>
      </w:pPr>
      <w:rPr>
        <w:rFonts w:ascii="Wingdings" w:hAnsi="Wingdings" w:hint="default"/>
      </w:rPr>
    </w:lvl>
    <w:lvl w:ilvl="6" w:tplc="7AC66D5E">
      <w:start w:val="1"/>
      <w:numFmt w:val="bullet"/>
      <w:lvlText w:val=""/>
      <w:lvlJc w:val="left"/>
      <w:pPr>
        <w:ind w:left="5531" w:hanging="360"/>
      </w:pPr>
      <w:rPr>
        <w:rFonts w:ascii="Symbol" w:hAnsi="Symbol" w:hint="default"/>
      </w:rPr>
    </w:lvl>
    <w:lvl w:ilvl="7" w:tplc="4B543A8E">
      <w:start w:val="1"/>
      <w:numFmt w:val="bullet"/>
      <w:lvlText w:val="o"/>
      <w:lvlJc w:val="left"/>
      <w:pPr>
        <w:ind w:left="6251" w:hanging="360"/>
      </w:pPr>
      <w:rPr>
        <w:rFonts w:ascii="Courier New" w:hAnsi="Courier New" w:cs="Courier New" w:hint="default"/>
      </w:rPr>
    </w:lvl>
    <w:lvl w:ilvl="8" w:tplc="EBE69D28">
      <w:start w:val="1"/>
      <w:numFmt w:val="bullet"/>
      <w:lvlText w:val=""/>
      <w:lvlJc w:val="left"/>
      <w:pPr>
        <w:ind w:left="6971" w:hanging="360"/>
      </w:pPr>
      <w:rPr>
        <w:rFonts w:ascii="Wingdings" w:hAnsi="Wingdings" w:hint="default"/>
      </w:rPr>
    </w:lvl>
  </w:abstractNum>
  <w:abstractNum w:abstractNumId="33" w15:restartNumberingAfterBreak="0">
    <w:nsid w:val="5C045882"/>
    <w:multiLevelType w:val="hybridMultilevel"/>
    <w:tmpl w:val="8CBEE628"/>
    <w:lvl w:ilvl="0" w:tplc="436AAD1C">
      <w:start w:val="1"/>
      <w:numFmt w:val="bullet"/>
      <w:lvlText w:val=""/>
      <w:lvlJc w:val="left"/>
      <w:pPr>
        <w:tabs>
          <w:tab w:val="num" w:pos="644"/>
        </w:tabs>
        <w:ind w:left="644" w:hanging="360"/>
      </w:pPr>
      <w:rPr>
        <w:rFonts w:ascii="Symbol" w:hAnsi="Symbol" w:hint="default"/>
      </w:rPr>
    </w:lvl>
    <w:lvl w:ilvl="1" w:tplc="875EC0CC" w:tentative="1">
      <w:start w:val="1"/>
      <w:numFmt w:val="bullet"/>
      <w:lvlText w:val="o"/>
      <w:lvlJc w:val="left"/>
      <w:pPr>
        <w:tabs>
          <w:tab w:val="num" w:pos="1440"/>
        </w:tabs>
        <w:ind w:left="1440" w:hanging="360"/>
      </w:pPr>
      <w:rPr>
        <w:rFonts w:ascii="Courier New" w:hAnsi="Courier New" w:cs="Courier New" w:hint="default"/>
      </w:rPr>
    </w:lvl>
    <w:lvl w:ilvl="2" w:tplc="DD3E468A" w:tentative="1">
      <w:start w:val="1"/>
      <w:numFmt w:val="bullet"/>
      <w:lvlText w:val=""/>
      <w:lvlJc w:val="left"/>
      <w:pPr>
        <w:tabs>
          <w:tab w:val="num" w:pos="2160"/>
        </w:tabs>
        <w:ind w:left="2160" w:hanging="360"/>
      </w:pPr>
      <w:rPr>
        <w:rFonts w:ascii="Wingdings" w:hAnsi="Wingdings" w:hint="default"/>
      </w:rPr>
    </w:lvl>
    <w:lvl w:ilvl="3" w:tplc="6AC463C6" w:tentative="1">
      <w:start w:val="1"/>
      <w:numFmt w:val="bullet"/>
      <w:lvlText w:val=""/>
      <w:lvlJc w:val="left"/>
      <w:pPr>
        <w:tabs>
          <w:tab w:val="num" w:pos="2880"/>
        </w:tabs>
        <w:ind w:left="2880" w:hanging="360"/>
      </w:pPr>
      <w:rPr>
        <w:rFonts w:ascii="Symbol" w:hAnsi="Symbol" w:hint="default"/>
      </w:rPr>
    </w:lvl>
    <w:lvl w:ilvl="4" w:tplc="3A402CBC" w:tentative="1">
      <w:start w:val="1"/>
      <w:numFmt w:val="bullet"/>
      <w:lvlText w:val="o"/>
      <w:lvlJc w:val="left"/>
      <w:pPr>
        <w:tabs>
          <w:tab w:val="num" w:pos="3600"/>
        </w:tabs>
        <w:ind w:left="3600" w:hanging="360"/>
      </w:pPr>
      <w:rPr>
        <w:rFonts w:ascii="Courier New" w:hAnsi="Courier New" w:cs="Courier New" w:hint="default"/>
      </w:rPr>
    </w:lvl>
    <w:lvl w:ilvl="5" w:tplc="7832B97E" w:tentative="1">
      <w:start w:val="1"/>
      <w:numFmt w:val="bullet"/>
      <w:lvlText w:val=""/>
      <w:lvlJc w:val="left"/>
      <w:pPr>
        <w:tabs>
          <w:tab w:val="num" w:pos="4320"/>
        </w:tabs>
        <w:ind w:left="4320" w:hanging="360"/>
      </w:pPr>
      <w:rPr>
        <w:rFonts w:ascii="Wingdings" w:hAnsi="Wingdings" w:hint="default"/>
      </w:rPr>
    </w:lvl>
    <w:lvl w:ilvl="6" w:tplc="B9BE3C36" w:tentative="1">
      <w:start w:val="1"/>
      <w:numFmt w:val="bullet"/>
      <w:lvlText w:val=""/>
      <w:lvlJc w:val="left"/>
      <w:pPr>
        <w:tabs>
          <w:tab w:val="num" w:pos="5040"/>
        </w:tabs>
        <w:ind w:left="5040" w:hanging="360"/>
      </w:pPr>
      <w:rPr>
        <w:rFonts w:ascii="Symbol" w:hAnsi="Symbol" w:hint="default"/>
      </w:rPr>
    </w:lvl>
    <w:lvl w:ilvl="7" w:tplc="70E8F1AA" w:tentative="1">
      <w:start w:val="1"/>
      <w:numFmt w:val="bullet"/>
      <w:lvlText w:val="o"/>
      <w:lvlJc w:val="left"/>
      <w:pPr>
        <w:tabs>
          <w:tab w:val="num" w:pos="5760"/>
        </w:tabs>
        <w:ind w:left="5760" w:hanging="360"/>
      </w:pPr>
      <w:rPr>
        <w:rFonts w:ascii="Courier New" w:hAnsi="Courier New" w:cs="Courier New" w:hint="default"/>
      </w:rPr>
    </w:lvl>
    <w:lvl w:ilvl="8" w:tplc="CEBC8332"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DF54CEC"/>
    <w:multiLevelType w:val="hybridMultilevel"/>
    <w:tmpl w:val="951A80A4"/>
    <w:lvl w:ilvl="0" w:tplc="040815FA">
      <w:start w:val="1"/>
      <w:numFmt w:val="bullet"/>
      <w:lvlText w:val=""/>
      <w:lvlJc w:val="left"/>
      <w:pPr>
        <w:ind w:left="360" w:hanging="360"/>
      </w:pPr>
      <w:rPr>
        <w:rFonts w:ascii="Symbol" w:hAnsi="Symbol" w:hint="default"/>
      </w:rPr>
    </w:lvl>
    <w:lvl w:ilvl="1" w:tplc="758259CC">
      <w:start w:val="1"/>
      <w:numFmt w:val="bullet"/>
      <w:lvlText w:val="o"/>
      <w:lvlJc w:val="left"/>
      <w:pPr>
        <w:ind w:left="1080" w:hanging="360"/>
      </w:pPr>
      <w:rPr>
        <w:rFonts w:ascii="Courier New" w:hAnsi="Courier New" w:cs="Courier New" w:hint="default"/>
      </w:rPr>
    </w:lvl>
    <w:lvl w:ilvl="2" w:tplc="490E071A" w:tentative="1">
      <w:start w:val="1"/>
      <w:numFmt w:val="bullet"/>
      <w:lvlText w:val=""/>
      <w:lvlJc w:val="left"/>
      <w:pPr>
        <w:ind w:left="1800" w:hanging="360"/>
      </w:pPr>
      <w:rPr>
        <w:rFonts w:ascii="Wingdings" w:hAnsi="Wingdings" w:hint="default"/>
      </w:rPr>
    </w:lvl>
    <w:lvl w:ilvl="3" w:tplc="EE06E43E" w:tentative="1">
      <w:start w:val="1"/>
      <w:numFmt w:val="bullet"/>
      <w:lvlText w:val=""/>
      <w:lvlJc w:val="left"/>
      <w:pPr>
        <w:ind w:left="2520" w:hanging="360"/>
      </w:pPr>
      <w:rPr>
        <w:rFonts w:ascii="Symbol" w:hAnsi="Symbol" w:hint="default"/>
      </w:rPr>
    </w:lvl>
    <w:lvl w:ilvl="4" w:tplc="ABEACE46" w:tentative="1">
      <w:start w:val="1"/>
      <w:numFmt w:val="bullet"/>
      <w:lvlText w:val="o"/>
      <w:lvlJc w:val="left"/>
      <w:pPr>
        <w:ind w:left="3240" w:hanging="360"/>
      </w:pPr>
      <w:rPr>
        <w:rFonts w:ascii="Courier New" w:hAnsi="Courier New" w:cs="Courier New" w:hint="default"/>
      </w:rPr>
    </w:lvl>
    <w:lvl w:ilvl="5" w:tplc="0DCEEFD2" w:tentative="1">
      <w:start w:val="1"/>
      <w:numFmt w:val="bullet"/>
      <w:lvlText w:val=""/>
      <w:lvlJc w:val="left"/>
      <w:pPr>
        <w:ind w:left="3960" w:hanging="360"/>
      </w:pPr>
      <w:rPr>
        <w:rFonts w:ascii="Wingdings" w:hAnsi="Wingdings" w:hint="default"/>
      </w:rPr>
    </w:lvl>
    <w:lvl w:ilvl="6" w:tplc="D9867ECA" w:tentative="1">
      <w:start w:val="1"/>
      <w:numFmt w:val="bullet"/>
      <w:lvlText w:val=""/>
      <w:lvlJc w:val="left"/>
      <w:pPr>
        <w:ind w:left="4680" w:hanging="360"/>
      </w:pPr>
      <w:rPr>
        <w:rFonts w:ascii="Symbol" w:hAnsi="Symbol" w:hint="default"/>
      </w:rPr>
    </w:lvl>
    <w:lvl w:ilvl="7" w:tplc="ACAE2E9E" w:tentative="1">
      <w:start w:val="1"/>
      <w:numFmt w:val="bullet"/>
      <w:lvlText w:val="o"/>
      <w:lvlJc w:val="left"/>
      <w:pPr>
        <w:ind w:left="5400" w:hanging="360"/>
      </w:pPr>
      <w:rPr>
        <w:rFonts w:ascii="Courier New" w:hAnsi="Courier New" w:cs="Courier New" w:hint="default"/>
      </w:rPr>
    </w:lvl>
    <w:lvl w:ilvl="8" w:tplc="B5482E58" w:tentative="1">
      <w:start w:val="1"/>
      <w:numFmt w:val="bullet"/>
      <w:lvlText w:val=""/>
      <w:lvlJc w:val="left"/>
      <w:pPr>
        <w:ind w:left="6120" w:hanging="360"/>
      </w:pPr>
      <w:rPr>
        <w:rFonts w:ascii="Wingdings" w:hAnsi="Wingdings" w:hint="default"/>
      </w:rPr>
    </w:lvl>
  </w:abstractNum>
  <w:abstractNum w:abstractNumId="35" w15:restartNumberingAfterBreak="0">
    <w:nsid w:val="607B274E"/>
    <w:multiLevelType w:val="hybridMultilevel"/>
    <w:tmpl w:val="1F462D46"/>
    <w:lvl w:ilvl="0" w:tplc="615A1CC0">
      <w:start w:val="1"/>
      <w:numFmt w:val="bullet"/>
      <w:pStyle w:val="cdb-ListBulleted"/>
      <w:lvlText w:val=""/>
      <w:lvlJc w:val="left"/>
      <w:pPr>
        <w:tabs>
          <w:tab w:val="num" w:pos="360"/>
        </w:tabs>
        <w:ind w:left="360" w:hanging="360"/>
      </w:pPr>
      <w:rPr>
        <w:rFonts w:ascii="Symbol" w:hAnsi="Symbol" w:hint="default"/>
      </w:rPr>
    </w:lvl>
    <w:lvl w:ilvl="1" w:tplc="6C80F26A" w:tentative="1">
      <w:start w:val="1"/>
      <w:numFmt w:val="bullet"/>
      <w:lvlText w:val="o"/>
      <w:lvlJc w:val="left"/>
      <w:pPr>
        <w:tabs>
          <w:tab w:val="num" w:pos="1440"/>
        </w:tabs>
        <w:ind w:left="1440" w:hanging="360"/>
      </w:pPr>
      <w:rPr>
        <w:rFonts w:ascii="Courier New" w:hAnsi="Courier New" w:cs="Courier New" w:hint="default"/>
      </w:rPr>
    </w:lvl>
    <w:lvl w:ilvl="2" w:tplc="4B9CFA08" w:tentative="1">
      <w:start w:val="1"/>
      <w:numFmt w:val="bullet"/>
      <w:lvlText w:val=""/>
      <w:lvlJc w:val="left"/>
      <w:pPr>
        <w:tabs>
          <w:tab w:val="num" w:pos="2160"/>
        </w:tabs>
        <w:ind w:left="2160" w:hanging="360"/>
      </w:pPr>
      <w:rPr>
        <w:rFonts w:ascii="Wingdings" w:hAnsi="Wingdings" w:hint="default"/>
      </w:rPr>
    </w:lvl>
    <w:lvl w:ilvl="3" w:tplc="A25C0EBC" w:tentative="1">
      <w:start w:val="1"/>
      <w:numFmt w:val="bullet"/>
      <w:lvlText w:val=""/>
      <w:lvlJc w:val="left"/>
      <w:pPr>
        <w:tabs>
          <w:tab w:val="num" w:pos="2880"/>
        </w:tabs>
        <w:ind w:left="2880" w:hanging="360"/>
      </w:pPr>
      <w:rPr>
        <w:rFonts w:ascii="Symbol" w:hAnsi="Symbol" w:hint="default"/>
      </w:rPr>
    </w:lvl>
    <w:lvl w:ilvl="4" w:tplc="A654804C" w:tentative="1">
      <w:start w:val="1"/>
      <w:numFmt w:val="bullet"/>
      <w:lvlText w:val="o"/>
      <w:lvlJc w:val="left"/>
      <w:pPr>
        <w:tabs>
          <w:tab w:val="num" w:pos="3600"/>
        </w:tabs>
        <w:ind w:left="3600" w:hanging="360"/>
      </w:pPr>
      <w:rPr>
        <w:rFonts w:ascii="Courier New" w:hAnsi="Courier New" w:cs="Courier New" w:hint="default"/>
      </w:rPr>
    </w:lvl>
    <w:lvl w:ilvl="5" w:tplc="7F485CB6" w:tentative="1">
      <w:start w:val="1"/>
      <w:numFmt w:val="bullet"/>
      <w:lvlText w:val=""/>
      <w:lvlJc w:val="left"/>
      <w:pPr>
        <w:tabs>
          <w:tab w:val="num" w:pos="4320"/>
        </w:tabs>
        <w:ind w:left="4320" w:hanging="360"/>
      </w:pPr>
      <w:rPr>
        <w:rFonts w:ascii="Wingdings" w:hAnsi="Wingdings" w:hint="default"/>
      </w:rPr>
    </w:lvl>
    <w:lvl w:ilvl="6" w:tplc="10E6B584" w:tentative="1">
      <w:start w:val="1"/>
      <w:numFmt w:val="bullet"/>
      <w:lvlText w:val=""/>
      <w:lvlJc w:val="left"/>
      <w:pPr>
        <w:tabs>
          <w:tab w:val="num" w:pos="5040"/>
        </w:tabs>
        <w:ind w:left="5040" w:hanging="360"/>
      </w:pPr>
      <w:rPr>
        <w:rFonts w:ascii="Symbol" w:hAnsi="Symbol" w:hint="default"/>
      </w:rPr>
    </w:lvl>
    <w:lvl w:ilvl="7" w:tplc="F6908820" w:tentative="1">
      <w:start w:val="1"/>
      <w:numFmt w:val="bullet"/>
      <w:lvlText w:val="o"/>
      <w:lvlJc w:val="left"/>
      <w:pPr>
        <w:tabs>
          <w:tab w:val="num" w:pos="5760"/>
        </w:tabs>
        <w:ind w:left="5760" w:hanging="360"/>
      </w:pPr>
      <w:rPr>
        <w:rFonts w:ascii="Courier New" w:hAnsi="Courier New" w:cs="Courier New" w:hint="default"/>
      </w:rPr>
    </w:lvl>
    <w:lvl w:ilvl="8" w:tplc="9AAC2F4A"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5177C59"/>
    <w:multiLevelType w:val="hybridMultilevel"/>
    <w:tmpl w:val="8E46B7C0"/>
    <w:lvl w:ilvl="0" w:tplc="12D26E5C">
      <w:start w:val="1"/>
      <w:numFmt w:val="bullet"/>
      <w:lvlText w:val=""/>
      <w:lvlJc w:val="left"/>
      <w:pPr>
        <w:ind w:left="720" w:hanging="360"/>
      </w:pPr>
      <w:rPr>
        <w:rFonts w:ascii="Symbol" w:hAnsi="Symbol" w:hint="default"/>
      </w:rPr>
    </w:lvl>
    <w:lvl w:ilvl="1" w:tplc="48205FBC" w:tentative="1">
      <w:start w:val="1"/>
      <w:numFmt w:val="bullet"/>
      <w:lvlText w:val="o"/>
      <w:lvlJc w:val="left"/>
      <w:pPr>
        <w:ind w:left="1440" w:hanging="360"/>
      </w:pPr>
      <w:rPr>
        <w:rFonts w:ascii="Courier New" w:hAnsi="Courier New" w:cs="Courier New" w:hint="default"/>
      </w:rPr>
    </w:lvl>
    <w:lvl w:ilvl="2" w:tplc="1B0E42A4" w:tentative="1">
      <w:start w:val="1"/>
      <w:numFmt w:val="bullet"/>
      <w:lvlText w:val=""/>
      <w:lvlJc w:val="left"/>
      <w:pPr>
        <w:ind w:left="2160" w:hanging="360"/>
      </w:pPr>
      <w:rPr>
        <w:rFonts w:ascii="Wingdings" w:hAnsi="Wingdings" w:hint="default"/>
      </w:rPr>
    </w:lvl>
    <w:lvl w:ilvl="3" w:tplc="F612C228" w:tentative="1">
      <w:start w:val="1"/>
      <w:numFmt w:val="bullet"/>
      <w:lvlText w:val=""/>
      <w:lvlJc w:val="left"/>
      <w:pPr>
        <w:ind w:left="2880" w:hanging="360"/>
      </w:pPr>
      <w:rPr>
        <w:rFonts w:ascii="Symbol" w:hAnsi="Symbol" w:hint="default"/>
      </w:rPr>
    </w:lvl>
    <w:lvl w:ilvl="4" w:tplc="F4C83FFC" w:tentative="1">
      <w:start w:val="1"/>
      <w:numFmt w:val="bullet"/>
      <w:lvlText w:val="o"/>
      <w:lvlJc w:val="left"/>
      <w:pPr>
        <w:ind w:left="3600" w:hanging="360"/>
      </w:pPr>
      <w:rPr>
        <w:rFonts w:ascii="Courier New" w:hAnsi="Courier New" w:cs="Courier New" w:hint="default"/>
      </w:rPr>
    </w:lvl>
    <w:lvl w:ilvl="5" w:tplc="250CBDD0" w:tentative="1">
      <w:start w:val="1"/>
      <w:numFmt w:val="bullet"/>
      <w:lvlText w:val=""/>
      <w:lvlJc w:val="left"/>
      <w:pPr>
        <w:ind w:left="4320" w:hanging="360"/>
      </w:pPr>
      <w:rPr>
        <w:rFonts w:ascii="Wingdings" w:hAnsi="Wingdings" w:hint="default"/>
      </w:rPr>
    </w:lvl>
    <w:lvl w:ilvl="6" w:tplc="623E650E" w:tentative="1">
      <w:start w:val="1"/>
      <w:numFmt w:val="bullet"/>
      <w:lvlText w:val=""/>
      <w:lvlJc w:val="left"/>
      <w:pPr>
        <w:ind w:left="5040" w:hanging="360"/>
      </w:pPr>
      <w:rPr>
        <w:rFonts w:ascii="Symbol" w:hAnsi="Symbol" w:hint="default"/>
      </w:rPr>
    </w:lvl>
    <w:lvl w:ilvl="7" w:tplc="62748FD2" w:tentative="1">
      <w:start w:val="1"/>
      <w:numFmt w:val="bullet"/>
      <w:lvlText w:val="o"/>
      <w:lvlJc w:val="left"/>
      <w:pPr>
        <w:ind w:left="5760" w:hanging="360"/>
      </w:pPr>
      <w:rPr>
        <w:rFonts w:ascii="Courier New" w:hAnsi="Courier New" w:cs="Courier New" w:hint="default"/>
      </w:rPr>
    </w:lvl>
    <w:lvl w:ilvl="8" w:tplc="0FC2D14C" w:tentative="1">
      <w:start w:val="1"/>
      <w:numFmt w:val="bullet"/>
      <w:lvlText w:val=""/>
      <w:lvlJc w:val="left"/>
      <w:pPr>
        <w:ind w:left="6480" w:hanging="360"/>
      </w:pPr>
      <w:rPr>
        <w:rFonts w:ascii="Wingdings" w:hAnsi="Wingdings" w:hint="default"/>
      </w:rPr>
    </w:lvl>
  </w:abstractNum>
  <w:abstractNum w:abstractNumId="37" w15:restartNumberingAfterBreak="0">
    <w:nsid w:val="687068C4"/>
    <w:multiLevelType w:val="hybridMultilevel"/>
    <w:tmpl w:val="09A42340"/>
    <w:lvl w:ilvl="0" w:tplc="309427B2">
      <w:start w:val="1"/>
      <w:numFmt w:val="bullet"/>
      <w:lvlText w:val=""/>
      <w:lvlJc w:val="left"/>
      <w:pPr>
        <w:ind w:left="720" w:hanging="360"/>
      </w:pPr>
      <w:rPr>
        <w:rFonts w:ascii="Symbol" w:hAnsi="Symbol" w:hint="default"/>
      </w:rPr>
    </w:lvl>
    <w:lvl w:ilvl="1" w:tplc="43A8EC24" w:tentative="1">
      <w:start w:val="1"/>
      <w:numFmt w:val="bullet"/>
      <w:lvlText w:val="o"/>
      <w:lvlJc w:val="left"/>
      <w:pPr>
        <w:ind w:left="1440" w:hanging="360"/>
      </w:pPr>
      <w:rPr>
        <w:rFonts w:ascii="Courier New" w:hAnsi="Courier New" w:cs="Courier New" w:hint="default"/>
      </w:rPr>
    </w:lvl>
    <w:lvl w:ilvl="2" w:tplc="ABD24B84" w:tentative="1">
      <w:start w:val="1"/>
      <w:numFmt w:val="bullet"/>
      <w:lvlText w:val=""/>
      <w:lvlJc w:val="left"/>
      <w:pPr>
        <w:ind w:left="2160" w:hanging="360"/>
      </w:pPr>
      <w:rPr>
        <w:rFonts w:ascii="Wingdings" w:hAnsi="Wingdings" w:hint="default"/>
      </w:rPr>
    </w:lvl>
    <w:lvl w:ilvl="3" w:tplc="6A84C2EE" w:tentative="1">
      <w:start w:val="1"/>
      <w:numFmt w:val="bullet"/>
      <w:lvlText w:val=""/>
      <w:lvlJc w:val="left"/>
      <w:pPr>
        <w:ind w:left="2880" w:hanging="360"/>
      </w:pPr>
      <w:rPr>
        <w:rFonts w:ascii="Symbol" w:hAnsi="Symbol" w:hint="default"/>
      </w:rPr>
    </w:lvl>
    <w:lvl w:ilvl="4" w:tplc="A0E281C2" w:tentative="1">
      <w:start w:val="1"/>
      <w:numFmt w:val="bullet"/>
      <w:lvlText w:val="o"/>
      <w:lvlJc w:val="left"/>
      <w:pPr>
        <w:ind w:left="3600" w:hanging="360"/>
      </w:pPr>
      <w:rPr>
        <w:rFonts w:ascii="Courier New" w:hAnsi="Courier New" w:cs="Courier New" w:hint="default"/>
      </w:rPr>
    </w:lvl>
    <w:lvl w:ilvl="5" w:tplc="8A066FF8" w:tentative="1">
      <w:start w:val="1"/>
      <w:numFmt w:val="bullet"/>
      <w:lvlText w:val=""/>
      <w:lvlJc w:val="left"/>
      <w:pPr>
        <w:ind w:left="4320" w:hanging="360"/>
      </w:pPr>
      <w:rPr>
        <w:rFonts w:ascii="Wingdings" w:hAnsi="Wingdings" w:hint="default"/>
      </w:rPr>
    </w:lvl>
    <w:lvl w:ilvl="6" w:tplc="12F6A750" w:tentative="1">
      <w:start w:val="1"/>
      <w:numFmt w:val="bullet"/>
      <w:lvlText w:val=""/>
      <w:lvlJc w:val="left"/>
      <w:pPr>
        <w:ind w:left="5040" w:hanging="360"/>
      </w:pPr>
      <w:rPr>
        <w:rFonts w:ascii="Symbol" w:hAnsi="Symbol" w:hint="default"/>
      </w:rPr>
    </w:lvl>
    <w:lvl w:ilvl="7" w:tplc="18EA1522" w:tentative="1">
      <w:start w:val="1"/>
      <w:numFmt w:val="bullet"/>
      <w:lvlText w:val="o"/>
      <w:lvlJc w:val="left"/>
      <w:pPr>
        <w:ind w:left="5760" w:hanging="360"/>
      </w:pPr>
      <w:rPr>
        <w:rFonts w:ascii="Courier New" w:hAnsi="Courier New" w:cs="Courier New" w:hint="default"/>
      </w:rPr>
    </w:lvl>
    <w:lvl w:ilvl="8" w:tplc="3CC004B4" w:tentative="1">
      <w:start w:val="1"/>
      <w:numFmt w:val="bullet"/>
      <w:lvlText w:val=""/>
      <w:lvlJc w:val="left"/>
      <w:pPr>
        <w:ind w:left="6480" w:hanging="360"/>
      </w:pPr>
      <w:rPr>
        <w:rFonts w:ascii="Wingdings" w:hAnsi="Wingdings" w:hint="default"/>
      </w:rPr>
    </w:lvl>
  </w:abstractNum>
  <w:abstractNum w:abstractNumId="38" w15:restartNumberingAfterBreak="0">
    <w:nsid w:val="691C3590"/>
    <w:multiLevelType w:val="hybridMultilevel"/>
    <w:tmpl w:val="38044910"/>
    <w:lvl w:ilvl="0" w:tplc="7F2EAD4A">
      <w:numFmt w:val="bullet"/>
      <w:lvlText w:val=""/>
      <w:lvlJc w:val="left"/>
      <w:pPr>
        <w:ind w:left="717" w:hanging="360"/>
      </w:pPr>
      <w:rPr>
        <w:rFonts w:ascii="Symbol" w:eastAsia="Times New Roman" w:hAnsi="Symbol" w:cs="Times New Roman" w:hint="default"/>
      </w:rPr>
    </w:lvl>
    <w:lvl w:ilvl="1" w:tplc="6D6C307A" w:tentative="1">
      <w:start w:val="1"/>
      <w:numFmt w:val="bullet"/>
      <w:lvlText w:val="o"/>
      <w:lvlJc w:val="left"/>
      <w:pPr>
        <w:ind w:left="1437" w:hanging="360"/>
      </w:pPr>
      <w:rPr>
        <w:rFonts w:ascii="Courier New" w:hAnsi="Courier New" w:cs="Courier New" w:hint="default"/>
      </w:rPr>
    </w:lvl>
    <w:lvl w:ilvl="2" w:tplc="39E21DC4" w:tentative="1">
      <w:start w:val="1"/>
      <w:numFmt w:val="bullet"/>
      <w:lvlText w:val=""/>
      <w:lvlJc w:val="left"/>
      <w:pPr>
        <w:ind w:left="2157" w:hanging="360"/>
      </w:pPr>
      <w:rPr>
        <w:rFonts w:ascii="Wingdings" w:hAnsi="Wingdings" w:hint="default"/>
      </w:rPr>
    </w:lvl>
    <w:lvl w:ilvl="3" w:tplc="708644CE" w:tentative="1">
      <w:start w:val="1"/>
      <w:numFmt w:val="bullet"/>
      <w:lvlText w:val=""/>
      <w:lvlJc w:val="left"/>
      <w:pPr>
        <w:ind w:left="2877" w:hanging="360"/>
      </w:pPr>
      <w:rPr>
        <w:rFonts w:ascii="Symbol" w:hAnsi="Symbol" w:hint="default"/>
      </w:rPr>
    </w:lvl>
    <w:lvl w:ilvl="4" w:tplc="1B3EA288" w:tentative="1">
      <w:start w:val="1"/>
      <w:numFmt w:val="bullet"/>
      <w:lvlText w:val="o"/>
      <w:lvlJc w:val="left"/>
      <w:pPr>
        <w:ind w:left="3597" w:hanging="360"/>
      </w:pPr>
      <w:rPr>
        <w:rFonts w:ascii="Courier New" w:hAnsi="Courier New" w:cs="Courier New" w:hint="default"/>
      </w:rPr>
    </w:lvl>
    <w:lvl w:ilvl="5" w:tplc="A2621616" w:tentative="1">
      <w:start w:val="1"/>
      <w:numFmt w:val="bullet"/>
      <w:lvlText w:val=""/>
      <w:lvlJc w:val="left"/>
      <w:pPr>
        <w:ind w:left="4317" w:hanging="360"/>
      </w:pPr>
      <w:rPr>
        <w:rFonts w:ascii="Wingdings" w:hAnsi="Wingdings" w:hint="default"/>
      </w:rPr>
    </w:lvl>
    <w:lvl w:ilvl="6" w:tplc="C0C02B54" w:tentative="1">
      <w:start w:val="1"/>
      <w:numFmt w:val="bullet"/>
      <w:lvlText w:val=""/>
      <w:lvlJc w:val="left"/>
      <w:pPr>
        <w:ind w:left="5037" w:hanging="360"/>
      </w:pPr>
      <w:rPr>
        <w:rFonts w:ascii="Symbol" w:hAnsi="Symbol" w:hint="default"/>
      </w:rPr>
    </w:lvl>
    <w:lvl w:ilvl="7" w:tplc="93580F94" w:tentative="1">
      <w:start w:val="1"/>
      <w:numFmt w:val="bullet"/>
      <w:lvlText w:val="o"/>
      <w:lvlJc w:val="left"/>
      <w:pPr>
        <w:ind w:left="5757" w:hanging="360"/>
      </w:pPr>
      <w:rPr>
        <w:rFonts w:ascii="Courier New" w:hAnsi="Courier New" w:cs="Courier New" w:hint="default"/>
      </w:rPr>
    </w:lvl>
    <w:lvl w:ilvl="8" w:tplc="1E40EBA6" w:tentative="1">
      <w:start w:val="1"/>
      <w:numFmt w:val="bullet"/>
      <w:lvlText w:val=""/>
      <w:lvlJc w:val="left"/>
      <w:pPr>
        <w:ind w:left="6477" w:hanging="360"/>
      </w:pPr>
      <w:rPr>
        <w:rFonts w:ascii="Wingdings" w:hAnsi="Wingdings" w:hint="default"/>
      </w:rPr>
    </w:lvl>
  </w:abstractNum>
  <w:abstractNum w:abstractNumId="39" w15:restartNumberingAfterBreak="0">
    <w:nsid w:val="6B1F5EA0"/>
    <w:multiLevelType w:val="hybridMultilevel"/>
    <w:tmpl w:val="ED64B522"/>
    <w:lvl w:ilvl="0" w:tplc="832A7298">
      <w:start w:val="1"/>
      <w:numFmt w:val="bullet"/>
      <w:lvlText w:val=""/>
      <w:lvlJc w:val="left"/>
      <w:pPr>
        <w:ind w:left="717" w:hanging="360"/>
      </w:pPr>
      <w:rPr>
        <w:rFonts w:ascii="Symbol" w:hAnsi="Symbol" w:hint="default"/>
      </w:rPr>
    </w:lvl>
    <w:lvl w:ilvl="1" w:tplc="93409E1C" w:tentative="1">
      <w:start w:val="1"/>
      <w:numFmt w:val="bullet"/>
      <w:lvlText w:val="o"/>
      <w:lvlJc w:val="left"/>
      <w:pPr>
        <w:ind w:left="1437" w:hanging="360"/>
      </w:pPr>
      <w:rPr>
        <w:rFonts w:ascii="Courier New" w:hAnsi="Courier New" w:cs="Courier New" w:hint="default"/>
      </w:rPr>
    </w:lvl>
    <w:lvl w:ilvl="2" w:tplc="4806839A" w:tentative="1">
      <w:start w:val="1"/>
      <w:numFmt w:val="bullet"/>
      <w:lvlText w:val=""/>
      <w:lvlJc w:val="left"/>
      <w:pPr>
        <w:ind w:left="2157" w:hanging="360"/>
      </w:pPr>
      <w:rPr>
        <w:rFonts w:ascii="Wingdings" w:hAnsi="Wingdings" w:hint="default"/>
      </w:rPr>
    </w:lvl>
    <w:lvl w:ilvl="3" w:tplc="1318F2CC" w:tentative="1">
      <w:start w:val="1"/>
      <w:numFmt w:val="bullet"/>
      <w:lvlText w:val=""/>
      <w:lvlJc w:val="left"/>
      <w:pPr>
        <w:ind w:left="2877" w:hanging="360"/>
      </w:pPr>
      <w:rPr>
        <w:rFonts w:ascii="Symbol" w:hAnsi="Symbol" w:hint="default"/>
      </w:rPr>
    </w:lvl>
    <w:lvl w:ilvl="4" w:tplc="30080A08" w:tentative="1">
      <w:start w:val="1"/>
      <w:numFmt w:val="bullet"/>
      <w:lvlText w:val="o"/>
      <w:lvlJc w:val="left"/>
      <w:pPr>
        <w:ind w:left="3597" w:hanging="360"/>
      </w:pPr>
      <w:rPr>
        <w:rFonts w:ascii="Courier New" w:hAnsi="Courier New" w:cs="Courier New" w:hint="default"/>
      </w:rPr>
    </w:lvl>
    <w:lvl w:ilvl="5" w:tplc="1CB0EFA4" w:tentative="1">
      <w:start w:val="1"/>
      <w:numFmt w:val="bullet"/>
      <w:lvlText w:val=""/>
      <w:lvlJc w:val="left"/>
      <w:pPr>
        <w:ind w:left="4317" w:hanging="360"/>
      </w:pPr>
      <w:rPr>
        <w:rFonts w:ascii="Wingdings" w:hAnsi="Wingdings" w:hint="default"/>
      </w:rPr>
    </w:lvl>
    <w:lvl w:ilvl="6" w:tplc="FF38B164" w:tentative="1">
      <w:start w:val="1"/>
      <w:numFmt w:val="bullet"/>
      <w:lvlText w:val=""/>
      <w:lvlJc w:val="left"/>
      <w:pPr>
        <w:ind w:left="5037" w:hanging="360"/>
      </w:pPr>
      <w:rPr>
        <w:rFonts w:ascii="Symbol" w:hAnsi="Symbol" w:hint="default"/>
      </w:rPr>
    </w:lvl>
    <w:lvl w:ilvl="7" w:tplc="EAE02580" w:tentative="1">
      <w:start w:val="1"/>
      <w:numFmt w:val="bullet"/>
      <w:lvlText w:val="o"/>
      <w:lvlJc w:val="left"/>
      <w:pPr>
        <w:ind w:left="5757" w:hanging="360"/>
      </w:pPr>
      <w:rPr>
        <w:rFonts w:ascii="Courier New" w:hAnsi="Courier New" w:cs="Courier New" w:hint="default"/>
      </w:rPr>
    </w:lvl>
    <w:lvl w:ilvl="8" w:tplc="1CE24AA4" w:tentative="1">
      <w:start w:val="1"/>
      <w:numFmt w:val="bullet"/>
      <w:lvlText w:val=""/>
      <w:lvlJc w:val="left"/>
      <w:pPr>
        <w:ind w:left="6477" w:hanging="360"/>
      </w:pPr>
      <w:rPr>
        <w:rFonts w:ascii="Wingdings" w:hAnsi="Wingdings" w:hint="default"/>
      </w:rPr>
    </w:lvl>
  </w:abstractNum>
  <w:abstractNum w:abstractNumId="40" w15:restartNumberingAfterBreak="0">
    <w:nsid w:val="6C5D70F3"/>
    <w:multiLevelType w:val="hybridMultilevel"/>
    <w:tmpl w:val="FEE68908"/>
    <w:lvl w:ilvl="0" w:tplc="5CC8DE02">
      <w:start w:val="1"/>
      <w:numFmt w:val="bullet"/>
      <w:lvlText w:val=""/>
      <w:lvlJc w:val="left"/>
      <w:pPr>
        <w:ind w:left="720" w:hanging="360"/>
      </w:pPr>
      <w:rPr>
        <w:rFonts w:ascii="Symbol" w:hAnsi="Symbol" w:hint="default"/>
      </w:rPr>
    </w:lvl>
    <w:lvl w:ilvl="1" w:tplc="857A0BB8">
      <w:start w:val="1"/>
      <w:numFmt w:val="bullet"/>
      <w:lvlText w:val="o"/>
      <w:lvlJc w:val="left"/>
      <w:pPr>
        <w:ind w:left="1440" w:hanging="360"/>
      </w:pPr>
      <w:rPr>
        <w:rFonts w:ascii="Courier New" w:hAnsi="Courier New" w:cs="Courier New" w:hint="default"/>
      </w:rPr>
    </w:lvl>
    <w:lvl w:ilvl="2" w:tplc="E8CA54A2">
      <w:start w:val="1"/>
      <w:numFmt w:val="bullet"/>
      <w:lvlText w:val=""/>
      <w:lvlJc w:val="left"/>
      <w:pPr>
        <w:ind w:left="2160" w:hanging="360"/>
      </w:pPr>
      <w:rPr>
        <w:rFonts w:ascii="Wingdings" w:hAnsi="Wingdings" w:hint="default"/>
      </w:rPr>
    </w:lvl>
    <w:lvl w:ilvl="3" w:tplc="5848158A" w:tentative="1">
      <w:start w:val="1"/>
      <w:numFmt w:val="bullet"/>
      <w:lvlText w:val=""/>
      <w:lvlJc w:val="left"/>
      <w:pPr>
        <w:ind w:left="2880" w:hanging="360"/>
      </w:pPr>
      <w:rPr>
        <w:rFonts w:ascii="Symbol" w:hAnsi="Symbol" w:hint="default"/>
      </w:rPr>
    </w:lvl>
    <w:lvl w:ilvl="4" w:tplc="9A984D70" w:tentative="1">
      <w:start w:val="1"/>
      <w:numFmt w:val="bullet"/>
      <w:lvlText w:val="o"/>
      <w:lvlJc w:val="left"/>
      <w:pPr>
        <w:ind w:left="3600" w:hanging="360"/>
      </w:pPr>
      <w:rPr>
        <w:rFonts w:ascii="Courier New" w:hAnsi="Courier New" w:cs="Courier New" w:hint="default"/>
      </w:rPr>
    </w:lvl>
    <w:lvl w:ilvl="5" w:tplc="3ADED2CE" w:tentative="1">
      <w:start w:val="1"/>
      <w:numFmt w:val="bullet"/>
      <w:lvlText w:val=""/>
      <w:lvlJc w:val="left"/>
      <w:pPr>
        <w:ind w:left="4320" w:hanging="360"/>
      </w:pPr>
      <w:rPr>
        <w:rFonts w:ascii="Wingdings" w:hAnsi="Wingdings" w:hint="default"/>
      </w:rPr>
    </w:lvl>
    <w:lvl w:ilvl="6" w:tplc="DCD452F6" w:tentative="1">
      <w:start w:val="1"/>
      <w:numFmt w:val="bullet"/>
      <w:lvlText w:val=""/>
      <w:lvlJc w:val="left"/>
      <w:pPr>
        <w:ind w:left="5040" w:hanging="360"/>
      </w:pPr>
      <w:rPr>
        <w:rFonts w:ascii="Symbol" w:hAnsi="Symbol" w:hint="default"/>
      </w:rPr>
    </w:lvl>
    <w:lvl w:ilvl="7" w:tplc="3D3A6BCC" w:tentative="1">
      <w:start w:val="1"/>
      <w:numFmt w:val="bullet"/>
      <w:lvlText w:val="o"/>
      <w:lvlJc w:val="left"/>
      <w:pPr>
        <w:ind w:left="5760" w:hanging="360"/>
      </w:pPr>
      <w:rPr>
        <w:rFonts w:ascii="Courier New" w:hAnsi="Courier New" w:cs="Courier New" w:hint="default"/>
      </w:rPr>
    </w:lvl>
    <w:lvl w:ilvl="8" w:tplc="CFA464A6" w:tentative="1">
      <w:start w:val="1"/>
      <w:numFmt w:val="bullet"/>
      <w:lvlText w:val=""/>
      <w:lvlJc w:val="left"/>
      <w:pPr>
        <w:ind w:left="6480" w:hanging="360"/>
      </w:pPr>
      <w:rPr>
        <w:rFonts w:ascii="Wingdings" w:hAnsi="Wingdings" w:hint="default"/>
      </w:rPr>
    </w:lvl>
  </w:abstractNum>
  <w:abstractNum w:abstractNumId="41" w15:restartNumberingAfterBreak="0">
    <w:nsid w:val="6CF25903"/>
    <w:multiLevelType w:val="hybridMultilevel"/>
    <w:tmpl w:val="29945F80"/>
    <w:lvl w:ilvl="0" w:tplc="1B4A3552">
      <w:start w:val="1"/>
      <w:numFmt w:val="bullet"/>
      <w:lvlText w:val=""/>
      <w:lvlJc w:val="left"/>
      <w:pPr>
        <w:ind w:left="717" w:hanging="360"/>
      </w:pPr>
      <w:rPr>
        <w:rFonts w:ascii="Symbol" w:hAnsi="Symbol" w:hint="default"/>
      </w:rPr>
    </w:lvl>
    <w:lvl w:ilvl="1" w:tplc="F880E2F0" w:tentative="1">
      <w:start w:val="1"/>
      <w:numFmt w:val="bullet"/>
      <w:lvlText w:val="o"/>
      <w:lvlJc w:val="left"/>
      <w:pPr>
        <w:ind w:left="1437" w:hanging="360"/>
      </w:pPr>
      <w:rPr>
        <w:rFonts w:ascii="Courier New" w:hAnsi="Courier New" w:cs="Courier New" w:hint="default"/>
      </w:rPr>
    </w:lvl>
    <w:lvl w:ilvl="2" w:tplc="A1827314" w:tentative="1">
      <w:start w:val="1"/>
      <w:numFmt w:val="bullet"/>
      <w:lvlText w:val=""/>
      <w:lvlJc w:val="left"/>
      <w:pPr>
        <w:ind w:left="2157" w:hanging="360"/>
      </w:pPr>
      <w:rPr>
        <w:rFonts w:ascii="Wingdings" w:hAnsi="Wingdings" w:hint="default"/>
      </w:rPr>
    </w:lvl>
    <w:lvl w:ilvl="3" w:tplc="5DFE6834" w:tentative="1">
      <w:start w:val="1"/>
      <w:numFmt w:val="bullet"/>
      <w:lvlText w:val=""/>
      <w:lvlJc w:val="left"/>
      <w:pPr>
        <w:ind w:left="2877" w:hanging="360"/>
      </w:pPr>
      <w:rPr>
        <w:rFonts w:ascii="Symbol" w:hAnsi="Symbol" w:hint="default"/>
      </w:rPr>
    </w:lvl>
    <w:lvl w:ilvl="4" w:tplc="FEDA7A7E" w:tentative="1">
      <w:start w:val="1"/>
      <w:numFmt w:val="bullet"/>
      <w:lvlText w:val="o"/>
      <w:lvlJc w:val="left"/>
      <w:pPr>
        <w:ind w:left="3597" w:hanging="360"/>
      </w:pPr>
      <w:rPr>
        <w:rFonts w:ascii="Courier New" w:hAnsi="Courier New" w:cs="Courier New" w:hint="default"/>
      </w:rPr>
    </w:lvl>
    <w:lvl w:ilvl="5" w:tplc="98407442" w:tentative="1">
      <w:start w:val="1"/>
      <w:numFmt w:val="bullet"/>
      <w:lvlText w:val=""/>
      <w:lvlJc w:val="left"/>
      <w:pPr>
        <w:ind w:left="4317" w:hanging="360"/>
      </w:pPr>
      <w:rPr>
        <w:rFonts w:ascii="Wingdings" w:hAnsi="Wingdings" w:hint="default"/>
      </w:rPr>
    </w:lvl>
    <w:lvl w:ilvl="6" w:tplc="9336E238" w:tentative="1">
      <w:start w:val="1"/>
      <w:numFmt w:val="bullet"/>
      <w:lvlText w:val=""/>
      <w:lvlJc w:val="left"/>
      <w:pPr>
        <w:ind w:left="5037" w:hanging="360"/>
      </w:pPr>
      <w:rPr>
        <w:rFonts w:ascii="Symbol" w:hAnsi="Symbol" w:hint="default"/>
      </w:rPr>
    </w:lvl>
    <w:lvl w:ilvl="7" w:tplc="346EB5AA" w:tentative="1">
      <w:start w:val="1"/>
      <w:numFmt w:val="bullet"/>
      <w:lvlText w:val="o"/>
      <w:lvlJc w:val="left"/>
      <w:pPr>
        <w:ind w:left="5757" w:hanging="360"/>
      </w:pPr>
      <w:rPr>
        <w:rFonts w:ascii="Courier New" w:hAnsi="Courier New" w:cs="Courier New" w:hint="default"/>
      </w:rPr>
    </w:lvl>
    <w:lvl w:ilvl="8" w:tplc="EF320386" w:tentative="1">
      <w:start w:val="1"/>
      <w:numFmt w:val="bullet"/>
      <w:lvlText w:val=""/>
      <w:lvlJc w:val="left"/>
      <w:pPr>
        <w:ind w:left="6477" w:hanging="360"/>
      </w:pPr>
      <w:rPr>
        <w:rFonts w:ascii="Wingdings" w:hAnsi="Wingdings" w:hint="default"/>
      </w:rPr>
    </w:lvl>
  </w:abstractNum>
  <w:abstractNum w:abstractNumId="42" w15:restartNumberingAfterBreak="0">
    <w:nsid w:val="6EC256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6EE045D5"/>
    <w:multiLevelType w:val="hybridMultilevel"/>
    <w:tmpl w:val="A15CE54C"/>
    <w:lvl w:ilvl="0" w:tplc="926E2396">
      <w:start w:val="1"/>
      <w:numFmt w:val="bullet"/>
      <w:lvlText w:val=""/>
      <w:lvlJc w:val="left"/>
      <w:pPr>
        <w:ind w:left="720" w:hanging="360"/>
      </w:pPr>
      <w:rPr>
        <w:rFonts w:ascii="Symbol" w:hAnsi="Symbol" w:hint="default"/>
      </w:rPr>
    </w:lvl>
    <w:lvl w:ilvl="1" w:tplc="87C65E2E" w:tentative="1">
      <w:start w:val="1"/>
      <w:numFmt w:val="bullet"/>
      <w:lvlText w:val="o"/>
      <w:lvlJc w:val="left"/>
      <w:pPr>
        <w:ind w:left="1440" w:hanging="360"/>
      </w:pPr>
      <w:rPr>
        <w:rFonts w:ascii="Courier New" w:hAnsi="Courier New" w:cs="Courier New" w:hint="default"/>
      </w:rPr>
    </w:lvl>
    <w:lvl w:ilvl="2" w:tplc="92BA53D6" w:tentative="1">
      <w:start w:val="1"/>
      <w:numFmt w:val="bullet"/>
      <w:lvlText w:val=""/>
      <w:lvlJc w:val="left"/>
      <w:pPr>
        <w:ind w:left="2160" w:hanging="360"/>
      </w:pPr>
      <w:rPr>
        <w:rFonts w:ascii="Wingdings" w:hAnsi="Wingdings" w:hint="default"/>
      </w:rPr>
    </w:lvl>
    <w:lvl w:ilvl="3" w:tplc="95767AD4" w:tentative="1">
      <w:start w:val="1"/>
      <w:numFmt w:val="bullet"/>
      <w:lvlText w:val=""/>
      <w:lvlJc w:val="left"/>
      <w:pPr>
        <w:ind w:left="2880" w:hanging="360"/>
      </w:pPr>
      <w:rPr>
        <w:rFonts w:ascii="Symbol" w:hAnsi="Symbol" w:hint="default"/>
      </w:rPr>
    </w:lvl>
    <w:lvl w:ilvl="4" w:tplc="AE185106" w:tentative="1">
      <w:start w:val="1"/>
      <w:numFmt w:val="bullet"/>
      <w:lvlText w:val="o"/>
      <w:lvlJc w:val="left"/>
      <w:pPr>
        <w:ind w:left="3600" w:hanging="360"/>
      </w:pPr>
      <w:rPr>
        <w:rFonts w:ascii="Courier New" w:hAnsi="Courier New" w:cs="Courier New" w:hint="default"/>
      </w:rPr>
    </w:lvl>
    <w:lvl w:ilvl="5" w:tplc="C254CAA8" w:tentative="1">
      <w:start w:val="1"/>
      <w:numFmt w:val="bullet"/>
      <w:lvlText w:val=""/>
      <w:lvlJc w:val="left"/>
      <w:pPr>
        <w:ind w:left="4320" w:hanging="360"/>
      </w:pPr>
      <w:rPr>
        <w:rFonts w:ascii="Wingdings" w:hAnsi="Wingdings" w:hint="default"/>
      </w:rPr>
    </w:lvl>
    <w:lvl w:ilvl="6" w:tplc="027CB9C2" w:tentative="1">
      <w:start w:val="1"/>
      <w:numFmt w:val="bullet"/>
      <w:lvlText w:val=""/>
      <w:lvlJc w:val="left"/>
      <w:pPr>
        <w:ind w:left="5040" w:hanging="360"/>
      </w:pPr>
      <w:rPr>
        <w:rFonts w:ascii="Symbol" w:hAnsi="Symbol" w:hint="default"/>
      </w:rPr>
    </w:lvl>
    <w:lvl w:ilvl="7" w:tplc="E24E8642" w:tentative="1">
      <w:start w:val="1"/>
      <w:numFmt w:val="bullet"/>
      <w:lvlText w:val="o"/>
      <w:lvlJc w:val="left"/>
      <w:pPr>
        <w:ind w:left="5760" w:hanging="360"/>
      </w:pPr>
      <w:rPr>
        <w:rFonts w:ascii="Courier New" w:hAnsi="Courier New" w:cs="Courier New" w:hint="default"/>
      </w:rPr>
    </w:lvl>
    <w:lvl w:ilvl="8" w:tplc="2918EBF2" w:tentative="1">
      <w:start w:val="1"/>
      <w:numFmt w:val="bullet"/>
      <w:lvlText w:val=""/>
      <w:lvlJc w:val="left"/>
      <w:pPr>
        <w:ind w:left="6480" w:hanging="360"/>
      </w:pPr>
      <w:rPr>
        <w:rFonts w:ascii="Wingdings" w:hAnsi="Wingdings" w:hint="default"/>
      </w:rPr>
    </w:lvl>
  </w:abstractNum>
  <w:abstractNum w:abstractNumId="44" w15:restartNumberingAfterBreak="0">
    <w:nsid w:val="6F9337D0"/>
    <w:multiLevelType w:val="hybridMultilevel"/>
    <w:tmpl w:val="E2C662E6"/>
    <w:lvl w:ilvl="0" w:tplc="B1FEE9B6">
      <w:start w:val="1"/>
      <w:numFmt w:val="bullet"/>
      <w:lvlText w:val=""/>
      <w:lvlJc w:val="left"/>
      <w:pPr>
        <w:tabs>
          <w:tab w:val="num" w:pos="720"/>
        </w:tabs>
        <w:ind w:left="720" w:hanging="360"/>
      </w:pPr>
      <w:rPr>
        <w:rFonts w:ascii="Symbol" w:hAnsi="Symbol" w:hint="default"/>
      </w:rPr>
    </w:lvl>
    <w:lvl w:ilvl="1" w:tplc="A9641048">
      <w:start w:val="1"/>
      <w:numFmt w:val="bullet"/>
      <w:lvlText w:val="o"/>
      <w:lvlJc w:val="left"/>
      <w:pPr>
        <w:tabs>
          <w:tab w:val="num" w:pos="1440"/>
        </w:tabs>
        <w:ind w:left="1440" w:hanging="360"/>
      </w:pPr>
      <w:rPr>
        <w:rFonts w:ascii="Courier New" w:hAnsi="Courier New" w:cs="Courier New" w:hint="default"/>
      </w:rPr>
    </w:lvl>
    <w:lvl w:ilvl="2" w:tplc="F0962A8C">
      <w:start w:val="1"/>
      <w:numFmt w:val="bullet"/>
      <w:lvlText w:val=""/>
      <w:lvlJc w:val="left"/>
      <w:pPr>
        <w:tabs>
          <w:tab w:val="num" w:pos="2160"/>
        </w:tabs>
        <w:ind w:left="2160" w:hanging="360"/>
      </w:pPr>
      <w:rPr>
        <w:rFonts w:ascii="Wingdings" w:hAnsi="Wingdings" w:hint="default"/>
      </w:rPr>
    </w:lvl>
    <w:lvl w:ilvl="3" w:tplc="B86ED8FA">
      <w:start w:val="1"/>
      <w:numFmt w:val="bullet"/>
      <w:lvlText w:val=""/>
      <w:lvlJc w:val="left"/>
      <w:pPr>
        <w:tabs>
          <w:tab w:val="num" w:pos="2880"/>
        </w:tabs>
        <w:ind w:left="2880" w:hanging="360"/>
      </w:pPr>
      <w:rPr>
        <w:rFonts w:ascii="Symbol" w:hAnsi="Symbol" w:hint="default"/>
      </w:rPr>
    </w:lvl>
    <w:lvl w:ilvl="4" w:tplc="747E8262">
      <w:start w:val="1"/>
      <w:numFmt w:val="bullet"/>
      <w:lvlText w:val="o"/>
      <w:lvlJc w:val="left"/>
      <w:pPr>
        <w:tabs>
          <w:tab w:val="num" w:pos="3600"/>
        </w:tabs>
        <w:ind w:left="3600" w:hanging="360"/>
      </w:pPr>
      <w:rPr>
        <w:rFonts w:ascii="Courier New" w:hAnsi="Courier New" w:cs="Courier New" w:hint="default"/>
      </w:rPr>
    </w:lvl>
    <w:lvl w:ilvl="5" w:tplc="80B8AE68">
      <w:start w:val="1"/>
      <w:numFmt w:val="bullet"/>
      <w:lvlText w:val=""/>
      <w:lvlJc w:val="left"/>
      <w:pPr>
        <w:tabs>
          <w:tab w:val="num" w:pos="4320"/>
        </w:tabs>
        <w:ind w:left="4320" w:hanging="360"/>
      </w:pPr>
      <w:rPr>
        <w:rFonts w:ascii="Wingdings" w:hAnsi="Wingdings" w:hint="default"/>
      </w:rPr>
    </w:lvl>
    <w:lvl w:ilvl="6" w:tplc="78723F26">
      <w:start w:val="1"/>
      <w:numFmt w:val="bullet"/>
      <w:lvlText w:val=""/>
      <w:lvlJc w:val="left"/>
      <w:pPr>
        <w:tabs>
          <w:tab w:val="num" w:pos="5040"/>
        </w:tabs>
        <w:ind w:left="5040" w:hanging="360"/>
      </w:pPr>
      <w:rPr>
        <w:rFonts w:ascii="Symbol" w:hAnsi="Symbol" w:hint="default"/>
      </w:rPr>
    </w:lvl>
    <w:lvl w:ilvl="7" w:tplc="289EA94E">
      <w:start w:val="1"/>
      <w:numFmt w:val="bullet"/>
      <w:lvlText w:val="o"/>
      <w:lvlJc w:val="left"/>
      <w:pPr>
        <w:tabs>
          <w:tab w:val="num" w:pos="5760"/>
        </w:tabs>
        <w:ind w:left="5760" w:hanging="360"/>
      </w:pPr>
      <w:rPr>
        <w:rFonts w:ascii="Courier New" w:hAnsi="Courier New" w:cs="Courier New" w:hint="default"/>
      </w:rPr>
    </w:lvl>
    <w:lvl w:ilvl="8" w:tplc="9ABC8C66">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FB83113"/>
    <w:multiLevelType w:val="hybridMultilevel"/>
    <w:tmpl w:val="FD76209E"/>
    <w:lvl w:ilvl="0" w:tplc="39ACE6B8">
      <w:start w:val="2"/>
      <w:numFmt w:val="decimal"/>
      <w:lvlText w:val="%1)"/>
      <w:lvlJc w:val="left"/>
      <w:pPr>
        <w:ind w:left="720" w:hanging="360"/>
      </w:pPr>
      <w:rPr>
        <w:rFonts w:hint="default"/>
      </w:rPr>
    </w:lvl>
    <w:lvl w:ilvl="1" w:tplc="D6369268" w:tentative="1">
      <w:start w:val="1"/>
      <w:numFmt w:val="lowerLetter"/>
      <w:lvlText w:val="%2."/>
      <w:lvlJc w:val="left"/>
      <w:pPr>
        <w:ind w:left="1440" w:hanging="360"/>
      </w:pPr>
    </w:lvl>
    <w:lvl w:ilvl="2" w:tplc="35623E24" w:tentative="1">
      <w:start w:val="1"/>
      <w:numFmt w:val="lowerRoman"/>
      <w:lvlText w:val="%3."/>
      <w:lvlJc w:val="right"/>
      <w:pPr>
        <w:ind w:left="2160" w:hanging="180"/>
      </w:pPr>
    </w:lvl>
    <w:lvl w:ilvl="3" w:tplc="6F56B892" w:tentative="1">
      <w:start w:val="1"/>
      <w:numFmt w:val="decimal"/>
      <w:lvlText w:val="%4."/>
      <w:lvlJc w:val="left"/>
      <w:pPr>
        <w:ind w:left="2880" w:hanging="360"/>
      </w:pPr>
    </w:lvl>
    <w:lvl w:ilvl="4" w:tplc="522CCF9A" w:tentative="1">
      <w:start w:val="1"/>
      <w:numFmt w:val="lowerLetter"/>
      <w:lvlText w:val="%5."/>
      <w:lvlJc w:val="left"/>
      <w:pPr>
        <w:ind w:left="3600" w:hanging="360"/>
      </w:pPr>
    </w:lvl>
    <w:lvl w:ilvl="5" w:tplc="FB6AB890" w:tentative="1">
      <w:start w:val="1"/>
      <w:numFmt w:val="lowerRoman"/>
      <w:lvlText w:val="%6."/>
      <w:lvlJc w:val="right"/>
      <w:pPr>
        <w:ind w:left="4320" w:hanging="180"/>
      </w:pPr>
    </w:lvl>
    <w:lvl w:ilvl="6" w:tplc="E370C900" w:tentative="1">
      <w:start w:val="1"/>
      <w:numFmt w:val="decimal"/>
      <w:lvlText w:val="%7."/>
      <w:lvlJc w:val="left"/>
      <w:pPr>
        <w:ind w:left="5040" w:hanging="360"/>
      </w:pPr>
    </w:lvl>
    <w:lvl w:ilvl="7" w:tplc="C3CCF29E" w:tentative="1">
      <w:start w:val="1"/>
      <w:numFmt w:val="lowerLetter"/>
      <w:lvlText w:val="%8."/>
      <w:lvlJc w:val="left"/>
      <w:pPr>
        <w:ind w:left="5760" w:hanging="360"/>
      </w:pPr>
    </w:lvl>
    <w:lvl w:ilvl="8" w:tplc="19F2CBC8" w:tentative="1">
      <w:start w:val="1"/>
      <w:numFmt w:val="lowerRoman"/>
      <w:lvlText w:val="%9."/>
      <w:lvlJc w:val="right"/>
      <w:pPr>
        <w:ind w:left="6480" w:hanging="180"/>
      </w:pPr>
    </w:lvl>
  </w:abstractNum>
  <w:abstractNum w:abstractNumId="46" w15:restartNumberingAfterBreak="0">
    <w:nsid w:val="7326443F"/>
    <w:multiLevelType w:val="hybridMultilevel"/>
    <w:tmpl w:val="74A8BD28"/>
    <w:lvl w:ilvl="0" w:tplc="C9A08DC0">
      <w:start w:val="1"/>
      <w:numFmt w:val="bullet"/>
      <w:lvlText w:val=""/>
      <w:lvlJc w:val="left"/>
      <w:pPr>
        <w:ind w:left="720" w:hanging="360"/>
      </w:pPr>
      <w:rPr>
        <w:rFonts w:ascii="Symbol" w:hAnsi="Symbol" w:hint="default"/>
      </w:rPr>
    </w:lvl>
    <w:lvl w:ilvl="1" w:tplc="7D1C4326">
      <w:start w:val="1600"/>
      <w:numFmt w:val="bullet"/>
      <w:lvlText w:val="-"/>
      <w:lvlJc w:val="left"/>
      <w:pPr>
        <w:ind w:left="1440" w:hanging="360"/>
      </w:pPr>
      <w:rPr>
        <w:rFonts w:ascii="Times New Roman" w:eastAsia="Times New Roman" w:hAnsi="Times New Roman" w:cs="Times New Roman" w:hint="default"/>
      </w:rPr>
    </w:lvl>
    <w:lvl w:ilvl="2" w:tplc="74427BD4" w:tentative="1">
      <w:start w:val="1"/>
      <w:numFmt w:val="bullet"/>
      <w:lvlText w:val=""/>
      <w:lvlJc w:val="left"/>
      <w:pPr>
        <w:ind w:left="2160" w:hanging="360"/>
      </w:pPr>
      <w:rPr>
        <w:rFonts w:ascii="Wingdings" w:hAnsi="Wingdings" w:hint="default"/>
      </w:rPr>
    </w:lvl>
    <w:lvl w:ilvl="3" w:tplc="D284C978" w:tentative="1">
      <w:start w:val="1"/>
      <w:numFmt w:val="bullet"/>
      <w:lvlText w:val=""/>
      <w:lvlJc w:val="left"/>
      <w:pPr>
        <w:ind w:left="2880" w:hanging="360"/>
      </w:pPr>
      <w:rPr>
        <w:rFonts w:ascii="Symbol" w:hAnsi="Symbol" w:hint="default"/>
      </w:rPr>
    </w:lvl>
    <w:lvl w:ilvl="4" w:tplc="A64C33A6" w:tentative="1">
      <w:start w:val="1"/>
      <w:numFmt w:val="bullet"/>
      <w:lvlText w:val="o"/>
      <w:lvlJc w:val="left"/>
      <w:pPr>
        <w:ind w:left="3600" w:hanging="360"/>
      </w:pPr>
      <w:rPr>
        <w:rFonts w:ascii="Courier New" w:hAnsi="Courier New" w:cs="Courier New" w:hint="default"/>
      </w:rPr>
    </w:lvl>
    <w:lvl w:ilvl="5" w:tplc="D2105946" w:tentative="1">
      <w:start w:val="1"/>
      <w:numFmt w:val="bullet"/>
      <w:lvlText w:val=""/>
      <w:lvlJc w:val="left"/>
      <w:pPr>
        <w:ind w:left="4320" w:hanging="360"/>
      </w:pPr>
      <w:rPr>
        <w:rFonts w:ascii="Wingdings" w:hAnsi="Wingdings" w:hint="default"/>
      </w:rPr>
    </w:lvl>
    <w:lvl w:ilvl="6" w:tplc="63622B20" w:tentative="1">
      <w:start w:val="1"/>
      <w:numFmt w:val="bullet"/>
      <w:lvlText w:val=""/>
      <w:lvlJc w:val="left"/>
      <w:pPr>
        <w:ind w:left="5040" w:hanging="360"/>
      </w:pPr>
      <w:rPr>
        <w:rFonts w:ascii="Symbol" w:hAnsi="Symbol" w:hint="default"/>
      </w:rPr>
    </w:lvl>
    <w:lvl w:ilvl="7" w:tplc="BD6C8EEE" w:tentative="1">
      <w:start w:val="1"/>
      <w:numFmt w:val="bullet"/>
      <w:lvlText w:val="o"/>
      <w:lvlJc w:val="left"/>
      <w:pPr>
        <w:ind w:left="5760" w:hanging="360"/>
      </w:pPr>
      <w:rPr>
        <w:rFonts w:ascii="Courier New" w:hAnsi="Courier New" w:cs="Courier New" w:hint="default"/>
      </w:rPr>
    </w:lvl>
    <w:lvl w:ilvl="8" w:tplc="C45ECB66" w:tentative="1">
      <w:start w:val="1"/>
      <w:numFmt w:val="bullet"/>
      <w:lvlText w:val=""/>
      <w:lvlJc w:val="left"/>
      <w:pPr>
        <w:ind w:left="6480" w:hanging="360"/>
      </w:pPr>
      <w:rPr>
        <w:rFonts w:ascii="Wingdings" w:hAnsi="Wingdings" w:hint="default"/>
      </w:rPr>
    </w:lvl>
  </w:abstractNum>
  <w:abstractNum w:abstractNumId="47" w15:restartNumberingAfterBreak="0">
    <w:nsid w:val="744B29CE"/>
    <w:multiLevelType w:val="hybridMultilevel"/>
    <w:tmpl w:val="E9AE5A12"/>
    <w:lvl w:ilvl="0" w:tplc="13DA16E0">
      <w:start w:val="1"/>
      <w:numFmt w:val="bullet"/>
      <w:lvlText w:val=""/>
      <w:lvlJc w:val="left"/>
      <w:pPr>
        <w:ind w:left="720" w:hanging="360"/>
      </w:pPr>
      <w:rPr>
        <w:rFonts w:ascii="Symbol" w:hAnsi="Symbol" w:hint="default"/>
      </w:rPr>
    </w:lvl>
    <w:lvl w:ilvl="1" w:tplc="13AC3396" w:tentative="1">
      <w:start w:val="1"/>
      <w:numFmt w:val="bullet"/>
      <w:lvlText w:val="o"/>
      <w:lvlJc w:val="left"/>
      <w:pPr>
        <w:ind w:left="1440" w:hanging="360"/>
      </w:pPr>
      <w:rPr>
        <w:rFonts w:ascii="Courier New" w:hAnsi="Courier New" w:cs="Courier New" w:hint="default"/>
      </w:rPr>
    </w:lvl>
    <w:lvl w:ilvl="2" w:tplc="93BAE418" w:tentative="1">
      <w:start w:val="1"/>
      <w:numFmt w:val="bullet"/>
      <w:lvlText w:val=""/>
      <w:lvlJc w:val="left"/>
      <w:pPr>
        <w:ind w:left="2160" w:hanging="360"/>
      </w:pPr>
      <w:rPr>
        <w:rFonts w:ascii="Wingdings" w:hAnsi="Wingdings" w:hint="default"/>
      </w:rPr>
    </w:lvl>
    <w:lvl w:ilvl="3" w:tplc="029A290A" w:tentative="1">
      <w:start w:val="1"/>
      <w:numFmt w:val="bullet"/>
      <w:lvlText w:val=""/>
      <w:lvlJc w:val="left"/>
      <w:pPr>
        <w:ind w:left="2880" w:hanging="360"/>
      </w:pPr>
      <w:rPr>
        <w:rFonts w:ascii="Symbol" w:hAnsi="Symbol" w:hint="default"/>
      </w:rPr>
    </w:lvl>
    <w:lvl w:ilvl="4" w:tplc="BD7EF9E0" w:tentative="1">
      <w:start w:val="1"/>
      <w:numFmt w:val="bullet"/>
      <w:lvlText w:val="o"/>
      <w:lvlJc w:val="left"/>
      <w:pPr>
        <w:ind w:left="3600" w:hanging="360"/>
      </w:pPr>
      <w:rPr>
        <w:rFonts w:ascii="Courier New" w:hAnsi="Courier New" w:cs="Courier New" w:hint="default"/>
      </w:rPr>
    </w:lvl>
    <w:lvl w:ilvl="5" w:tplc="B32C532A" w:tentative="1">
      <w:start w:val="1"/>
      <w:numFmt w:val="bullet"/>
      <w:lvlText w:val=""/>
      <w:lvlJc w:val="left"/>
      <w:pPr>
        <w:ind w:left="4320" w:hanging="360"/>
      </w:pPr>
      <w:rPr>
        <w:rFonts w:ascii="Wingdings" w:hAnsi="Wingdings" w:hint="default"/>
      </w:rPr>
    </w:lvl>
    <w:lvl w:ilvl="6" w:tplc="FD1CA530" w:tentative="1">
      <w:start w:val="1"/>
      <w:numFmt w:val="bullet"/>
      <w:lvlText w:val=""/>
      <w:lvlJc w:val="left"/>
      <w:pPr>
        <w:ind w:left="5040" w:hanging="360"/>
      </w:pPr>
      <w:rPr>
        <w:rFonts w:ascii="Symbol" w:hAnsi="Symbol" w:hint="default"/>
      </w:rPr>
    </w:lvl>
    <w:lvl w:ilvl="7" w:tplc="B8A8775E" w:tentative="1">
      <w:start w:val="1"/>
      <w:numFmt w:val="bullet"/>
      <w:lvlText w:val="o"/>
      <w:lvlJc w:val="left"/>
      <w:pPr>
        <w:ind w:left="5760" w:hanging="360"/>
      </w:pPr>
      <w:rPr>
        <w:rFonts w:ascii="Courier New" w:hAnsi="Courier New" w:cs="Courier New" w:hint="default"/>
      </w:rPr>
    </w:lvl>
    <w:lvl w:ilvl="8" w:tplc="DAAA6350" w:tentative="1">
      <w:start w:val="1"/>
      <w:numFmt w:val="bullet"/>
      <w:lvlText w:val=""/>
      <w:lvlJc w:val="left"/>
      <w:pPr>
        <w:ind w:left="6480" w:hanging="360"/>
      </w:pPr>
      <w:rPr>
        <w:rFonts w:ascii="Wingdings" w:hAnsi="Wingdings" w:hint="default"/>
      </w:rPr>
    </w:lvl>
  </w:abstractNum>
  <w:abstractNum w:abstractNumId="48" w15:restartNumberingAfterBreak="0">
    <w:nsid w:val="74AD5552"/>
    <w:multiLevelType w:val="hybridMultilevel"/>
    <w:tmpl w:val="A0460598"/>
    <w:lvl w:ilvl="0" w:tplc="810290D2">
      <w:start w:val="1"/>
      <w:numFmt w:val="bullet"/>
      <w:lvlText w:val=""/>
      <w:lvlJc w:val="left"/>
      <w:pPr>
        <w:ind w:left="1384" w:hanging="360"/>
      </w:pPr>
      <w:rPr>
        <w:rFonts w:ascii="Symbol" w:hAnsi="Symbol" w:hint="default"/>
      </w:rPr>
    </w:lvl>
    <w:lvl w:ilvl="1" w:tplc="6284E636">
      <w:start w:val="1"/>
      <w:numFmt w:val="bullet"/>
      <w:lvlText w:val="o"/>
      <w:lvlJc w:val="left"/>
      <w:pPr>
        <w:ind w:left="2104" w:hanging="360"/>
      </w:pPr>
      <w:rPr>
        <w:rFonts w:ascii="Courier New" w:hAnsi="Courier New" w:cs="Courier New" w:hint="default"/>
      </w:rPr>
    </w:lvl>
    <w:lvl w:ilvl="2" w:tplc="2854AD66" w:tentative="1">
      <w:start w:val="1"/>
      <w:numFmt w:val="bullet"/>
      <w:lvlText w:val=""/>
      <w:lvlJc w:val="left"/>
      <w:pPr>
        <w:ind w:left="2824" w:hanging="360"/>
      </w:pPr>
      <w:rPr>
        <w:rFonts w:ascii="Wingdings" w:hAnsi="Wingdings" w:hint="default"/>
      </w:rPr>
    </w:lvl>
    <w:lvl w:ilvl="3" w:tplc="9224E634" w:tentative="1">
      <w:start w:val="1"/>
      <w:numFmt w:val="bullet"/>
      <w:lvlText w:val=""/>
      <w:lvlJc w:val="left"/>
      <w:pPr>
        <w:ind w:left="3544" w:hanging="360"/>
      </w:pPr>
      <w:rPr>
        <w:rFonts w:ascii="Symbol" w:hAnsi="Symbol" w:hint="default"/>
      </w:rPr>
    </w:lvl>
    <w:lvl w:ilvl="4" w:tplc="EA1CE552" w:tentative="1">
      <w:start w:val="1"/>
      <w:numFmt w:val="bullet"/>
      <w:lvlText w:val="o"/>
      <w:lvlJc w:val="left"/>
      <w:pPr>
        <w:ind w:left="4264" w:hanging="360"/>
      </w:pPr>
      <w:rPr>
        <w:rFonts w:ascii="Courier New" w:hAnsi="Courier New" w:cs="Courier New" w:hint="default"/>
      </w:rPr>
    </w:lvl>
    <w:lvl w:ilvl="5" w:tplc="3250724C" w:tentative="1">
      <w:start w:val="1"/>
      <w:numFmt w:val="bullet"/>
      <w:lvlText w:val=""/>
      <w:lvlJc w:val="left"/>
      <w:pPr>
        <w:ind w:left="4984" w:hanging="360"/>
      </w:pPr>
      <w:rPr>
        <w:rFonts w:ascii="Wingdings" w:hAnsi="Wingdings" w:hint="default"/>
      </w:rPr>
    </w:lvl>
    <w:lvl w:ilvl="6" w:tplc="410825EE" w:tentative="1">
      <w:start w:val="1"/>
      <w:numFmt w:val="bullet"/>
      <w:lvlText w:val=""/>
      <w:lvlJc w:val="left"/>
      <w:pPr>
        <w:ind w:left="5704" w:hanging="360"/>
      </w:pPr>
      <w:rPr>
        <w:rFonts w:ascii="Symbol" w:hAnsi="Symbol" w:hint="default"/>
      </w:rPr>
    </w:lvl>
    <w:lvl w:ilvl="7" w:tplc="5F907DD2" w:tentative="1">
      <w:start w:val="1"/>
      <w:numFmt w:val="bullet"/>
      <w:lvlText w:val="o"/>
      <w:lvlJc w:val="left"/>
      <w:pPr>
        <w:ind w:left="6424" w:hanging="360"/>
      </w:pPr>
      <w:rPr>
        <w:rFonts w:ascii="Courier New" w:hAnsi="Courier New" w:cs="Courier New" w:hint="default"/>
      </w:rPr>
    </w:lvl>
    <w:lvl w:ilvl="8" w:tplc="5D9A7432" w:tentative="1">
      <w:start w:val="1"/>
      <w:numFmt w:val="bullet"/>
      <w:lvlText w:val=""/>
      <w:lvlJc w:val="left"/>
      <w:pPr>
        <w:ind w:left="7144" w:hanging="360"/>
      </w:pPr>
      <w:rPr>
        <w:rFonts w:ascii="Wingdings" w:hAnsi="Wingdings" w:hint="default"/>
      </w:rPr>
    </w:lvl>
  </w:abstractNum>
  <w:abstractNum w:abstractNumId="49" w15:restartNumberingAfterBreak="0">
    <w:nsid w:val="772F1497"/>
    <w:multiLevelType w:val="hybridMultilevel"/>
    <w:tmpl w:val="52B2FDAE"/>
    <w:lvl w:ilvl="0" w:tplc="C7629A72">
      <w:start w:val="1"/>
      <w:numFmt w:val="bullet"/>
      <w:lvlText w:val=""/>
      <w:lvlJc w:val="left"/>
      <w:pPr>
        <w:ind w:left="720" w:hanging="360"/>
      </w:pPr>
      <w:rPr>
        <w:rFonts w:ascii="Symbol" w:hAnsi="Symbol" w:hint="default"/>
      </w:rPr>
    </w:lvl>
    <w:lvl w:ilvl="1" w:tplc="6CBCE794" w:tentative="1">
      <w:start w:val="1"/>
      <w:numFmt w:val="bullet"/>
      <w:lvlText w:val="o"/>
      <w:lvlJc w:val="left"/>
      <w:pPr>
        <w:ind w:left="1440" w:hanging="360"/>
      </w:pPr>
      <w:rPr>
        <w:rFonts w:ascii="Courier New" w:hAnsi="Courier New" w:cs="Courier New" w:hint="default"/>
      </w:rPr>
    </w:lvl>
    <w:lvl w:ilvl="2" w:tplc="BC40798E" w:tentative="1">
      <w:start w:val="1"/>
      <w:numFmt w:val="bullet"/>
      <w:lvlText w:val=""/>
      <w:lvlJc w:val="left"/>
      <w:pPr>
        <w:ind w:left="2160" w:hanging="360"/>
      </w:pPr>
      <w:rPr>
        <w:rFonts w:ascii="Wingdings" w:hAnsi="Wingdings" w:hint="default"/>
      </w:rPr>
    </w:lvl>
    <w:lvl w:ilvl="3" w:tplc="B8CAAA22" w:tentative="1">
      <w:start w:val="1"/>
      <w:numFmt w:val="bullet"/>
      <w:lvlText w:val=""/>
      <w:lvlJc w:val="left"/>
      <w:pPr>
        <w:ind w:left="2880" w:hanging="360"/>
      </w:pPr>
      <w:rPr>
        <w:rFonts w:ascii="Symbol" w:hAnsi="Symbol" w:hint="default"/>
      </w:rPr>
    </w:lvl>
    <w:lvl w:ilvl="4" w:tplc="580066D0" w:tentative="1">
      <w:start w:val="1"/>
      <w:numFmt w:val="bullet"/>
      <w:lvlText w:val="o"/>
      <w:lvlJc w:val="left"/>
      <w:pPr>
        <w:ind w:left="3600" w:hanging="360"/>
      </w:pPr>
      <w:rPr>
        <w:rFonts w:ascii="Courier New" w:hAnsi="Courier New" w:cs="Courier New" w:hint="default"/>
      </w:rPr>
    </w:lvl>
    <w:lvl w:ilvl="5" w:tplc="BFFA741E" w:tentative="1">
      <w:start w:val="1"/>
      <w:numFmt w:val="bullet"/>
      <w:lvlText w:val=""/>
      <w:lvlJc w:val="left"/>
      <w:pPr>
        <w:ind w:left="4320" w:hanging="360"/>
      </w:pPr>
      <w:rPr>
        <w:rFonts w:ascii="Wingdings" w:hAnsi="Wingdings" w:hint="default"/>
      </w:rPr>
    </w:lvl>
    <w:lvl w:ilvl="6" w:tplc="390CF5C4" w:tentative="1">
      <w:start w:val="1"/>
      <w:numFmt w:val="bullet"/>
      <w:lvlText w:val=""/>
      <w:lvlJc w:val="left"/>
      <w:pPr>
        <w:ind w:left="5040" w:hanging="360"/>
      </w:pPr>
      <w:rPr>
        <w:rFonts w:ascii="Symbol" w:hAnsi="Symbol" w:hint="default"/>
      </w:rPr>
    </w:lvl>
    <w:lvl w:ilvl="7" w:tplc="18B429FC" w:tentative="1">
      <w:start w:val="1"/>
      <w:numFmt w:val="bullet"/>
      <w:lvlText w:val="o"/>
      <w:lvlJc w:val="left"/>
      <w:pPr>
        <w:ind w:left="5760" w:hanging="360"/>
      </w:pPr>
      <w:rPr>
        <w:rFonts w:ascii="Courier New" w:hAnsi="Courier New" w:cs="Courier New" w:hint="default"/>
      </w:rPr>
    </w:lvl>
    <w:lvl w:ilvl="8" w:tplc="373C88F4" w:tentative="1">
      <w:start w:val="1"/>
      <w:numFmt w:val="bullet"/>
      <w:lvlText w:val=""/>
      <w:lvlJc w:val="left"/>
      <w:pPr>
        <w:ind w:left="6480" w:hanging="360"/>
      </w:pPr>
      <w:rPr>
        <w:rFonts w:ascii="Wingdings" w:hAnsi="Wingdings" w:hint="default"/>
      </w:rPr>
    </w:lvl>
  </w:abstractNum>
  <w:abstractNum w:abstractNumId="50" w15:restartNumberingAfterBreak="0">
    <w:nsid w:val="79865481"/>
    <w:multiLevelType w:val="hybridMultilevel"/>
    <w:tmpl w:val="5C2ECF82"/>
    <w:lvl w:ilvl="0" w:tplc="AA1A110C">
      <w:start w:val="1"/>
      <w:numFmt w:val="bullet"/>
      <w:lvlText w:val=""/>
      <w:lvlJc w:val="left"/>
      <w:pPr>
        <w:ind w:left="360" w:hanging="360"/>
      </w:pPr>
      <w:rPr>
        <w:rFonts w:ascii="Symbol" w:hAnsi="Symbol" w:hint="default"/>
      </w:rPr>
    </w:lvl>
    <w:lvl w:ilvl="1" w:tplc="427AD27A" w:tentative="1">
      <w:start w:val="1"/>
      <w:numFmt w:val="bullet"/>
      <w:lvlText w:val="o"/>
      <w:lvlJc w:val="left"/>
      <w:pPr>
        <w:ind w:left="1080" w:hanging="360"/>
      </w:pPr>
      <w:rPr>
        <w:rFonts w:ascii="Courier New" w:hAnsi="Courier New" w:cs="Courier New" w:hint="default"/>
      </w:rPr>
    </w:lvl>
    <w:lvl w:ilvl="2" w:tplc="0CA6C16C" w:tentative="1">
      <w:start w:val="1"/>
      <w:numFmt w:val="bullet"/>
      <w:lvlText w:val=""/>
      <w:lvlJc w:val="left"/>
      <w:pPr>
        <w:ind w:left="1800" w:hanging="360"/>
      </w:pPr>
      <w:rPr>
        <w:rFonts w:ascii="Wingdings" w:hAnsi="Wingdings" w:hint="default"/>
      </w:rPr>
    </w:lvl>
    <w:lvl w:ilvl="3" w:tplc="C304284A" w:tentative="1">
      <w:start w:val="1"/>
      <w:numFmt w:val="bullet"/>
      <w:lvlText w:val=""/>
      <w:lvlJc w:val="left"/>
      <w:pPr>
        <w:ind w:left="2520" w:hanging="360"/>
      </w:pPr>
      <w:rPr>
        <w:rFonts w:ascii="Symbol" w:hAnsi="Symbol" w:hint="default"/>
      </w:rPr>
    </w:lvl>
    <w:lvl w:ilvl="4" w:tplc="25DA9886" w:tentative="1">
      <w:start w:val="1"/>
      <w:numFmt w:val="bullet"/>
      <w:lvlText w:val="o"/>
      <w:lvlJc w:val="left"/>
      <w:pPr>
        <w:ind w:left="3240" w:hanging="360"/>
      </w:pPr>
      <w:rPr>
        <w:rFonts w:ascii="Courier New" w:hAnsi="Courier New" w:cs="Courier New" w:hint="default"/>
      </w:rPr>
    </w:lvl>
    <w:lvl w:ilvl="5" w:tplc="C654FD76" w:tentative="1">
      <w:start w:val="1"/>
      <w:numFmt w:val="bullet"/>
      <w:lvlText w:val=""/>
      <w:lvlJc w:val="left"/>
      <w:pPr>
        <w:ind w:left="3960" w:hanging="360"/>
      </w:pPr>
      <w:rPr>
        <w:rFonts w:ascii="Wingdings" w:hAnsi="Wingdings" w:hint="default"/>
      </w:rPr>
    </w:lvl>
    <w:lvl w:ilvl="6" w:tplc="433CCCCA" w:tentative="1">
      <w:start w:val="1"/>
      <w:numFmt w:val="bullet"/>
      <w:lvlText w:val=""/>
      <w:lvlJc w:val="left"/>
      <w:pPr>
        <w:ind w:left="4680" w:hanging="360"/>
      </w:pPr>
      <w:rPr>
        <w:rFonts w:ascii="Symbol" w:hAnsi="Symbol" w:hint="default"/>
      </w:rPr>
    </w:lvl>
    <w:lvl w:ilvl="7" w:tplc="E94A768C" w:tentative="1">
      <w:start w:val="1"/>
      <w:numFmt w:val="bullet"/>
      <w:lvlText w:val="o"/>
      <w:lvlJc w:val="left"/>
      <w:pPr>
        <w:ind w:left="5400" w:hanging="360"/>
      </w:pPr>
      <w:rPr>
        <w:rFonts w:ascii="Courier New" w:hAnsi="Courier New" w:cs="Courier New" w:hint="default"/>
      </w:rPr>
    </w:lvl>
    <w:lvl w:ilvl="8" w:tplc="77325548" w:tentative="1">
      <w:start w:val="1"/>
      <w:numFmt w:val="bullet"/>
      <w:lvlText w:val=""/>
      <w:lvlJc w:val="left"/>
      <w:pPr>
        <w:ind w:left="6120" w:hanging="360"/>
      </w:pPr>
      <w:rPr>
        <w:rFonts w:ascii="Wingdings" w:hAnsi="Wingdings" w:hint="default"/>
      </w:rPr>
    </w:lvl>
  </w:abstractNum>
  <w:abstractNum w:abstractNumId="51" w15:restartNumberingAfterBreak="0">
    <w:nsid w:val="7AA43169"/>
    <w:multiLevelType w:val="hybridMultilevel"/>
    <w:tmpl w:val="6BD071CE"/>
    <w:lvl w:ilvl="0" w:tplc="9884784C">
      <w:start w:val="10"/>
      <w:numFmt w:val="bullet"/>
      <w:lvlText w:val="-"/>
      <w:lvlJc w:val="left"/>
      <w:pPr>
        <w:ind w:left="720" w:hanging="360"/>
      </w:pPr>
      <w:rPr>
        <w:rFonts w:ascii="Times New Roman" w:eastAsia="Times New Roman" w:hAnsi="Times New Roman" w:cs="Times New Roman" w:hint="default"/>
      </w:rPr>
    </w:lvl>
    <w:lvl w:ilvl="1" w:tplc="9F74D284" w:tentative="1">
      <w:start w:val="1"/>
      <w:numFmt w:val="bullet"/>
      <w:lvlText w:val="o"/>
      <w:lvlJc w:val="left"/>
      <w:pPr>
        <w:ind w:left="1440" w:hanging="360"/>
      </w:pPr>
      <w:rPr>
        <w:rFonts w:ascii="Courier New" w:hAnsi="Courier New" w:cs="Courier New" w:hint="default"/>
      </w:rPr>
    </w:lvl>
    <w:lvl w:ilvl="2" w:tplc="9E3E2258" w:tentative="1">
      <w:start w:val="1"/>
      <w:numFmt w:val="bullet"/>
      <w:lvlText w:val=""/>
      <w:lvlJc w:val="left"/>
      <w:pPr>
        <w:ind w:left="2160" w:hanging="360"/>
      </w:pPr>
      <w:rPr>
        <w:rFonts w:ascii="Wingdings" w:hAnsi="Wingdings" w:hint="default"/>
      </w:rPr>
    </w:lvl>
    <w:lvl w:ilvl="3" w:tplc="139E0BBA" w:tentative="1">
      <w:start w:val="1"/>
      <w:numFmt w:val="bullet"/>
      <w:lvlText w:val=""/>
      <w:lvlJc w:val="left"/>
      <w:pPr>
        <w:ind w:left="2880" w:hanging="360"/>
      </w:pPr>
      <w:rPr>
        <w:rFonts w:ascii="Symbol" w:hAnsi="Symbol" w:hint="default"/>
      </w:rPr>
    </w:lvl>
    <w:lvl w:ilvl="4" w:tplc="1C788254" w:tentative="1">
      <w:start w:val="1"/>
      <w:numFmt w:val="bullet"/>
      <w:lvlText w:val="o"/>
      <w:lvlJc w:val="left"/>
      <w:pPr>
        <w:ind w:left="3600" w:hanging="360"/>
      </w:pPr>
      <w:rPr>
        <w:rFonts w:ascii="Courier New" w:hAnsi="Courier New" w:cs="Courier New" w:hint="default"/>
      </w:rPr>
    </w:lvl>
    <w:lvl w:ilvl="5" w:tplc="3FCE0BD6" w:tentative="1">
      <w:start w:val="1"/>
      <w:numFmt w:val="bullet"/>
      <w:lvlText w:val=""/>
      <w:lvlJc w:val="left"/>
      <w:pPr>
        <w:ind w:left="4320" w:hanging="360"/>
      </w:pPr>
      <w:rPr>
        <w:rFonts w:ascii="Wingdings" w:hAnsi="Wingdings" w:hint="default"/>
      </w:rPr>
    </w:lvl>
    <w:lvl w:ilvl="6" w:tplc="50C64A96" w:tentative="1">
      <w:start w:val="1"/>
      <w:numFmt w:val="bullet"/>
      <w:lvlText w:val=""/>
      <w:lvlJc w:val="left"/>
      <w:pPr>
        <w:ind w:left="5040" w:hanging="360"/>
      </w:pPr>
      <w:rPr>
        <w:rFonts w:ascii="Symbol" w:hAnsi="Symbol" w:hint="default"/>
      </w:rPr>
    </w:lvl>
    <w:lvl w:ilvl="7" w:tplc="D6261DAC" w:tentative="1">
      <w:start w:val="1"/>
      <w:numFmt w:val="bullet"/>
      <w:lvlText w:val="o"/>
      <w:lvlJc w:val="left"/>
      <w:pPr>
        <w:ind w:left="5760" w:hanging="360"/>
      </w:pPr>
      <w:rPr>
        <w:rFonts w:ascii="Courier New" w:hAnsi="Courier New" w:cs="Courier New" w:hint="default"/>
      </w:rPr>
    </w:lvl>
    <w:lvl w:ilvl="8" w:tplc="D14E5BB4" w:tentative="1">
      <w:start w:val="1"/>
      <w:numFmt w:val="bullet"/>
      <w:lvlText w:val=""/>
      <w:lvlJc w:val="left"/>
      <w:pPr>
        <w:ind w:left="6480" w:hanging="360"/>
      </w:pPr>
      <w:rPr>
        <w:rFonts w:ascii="Wingdings" w:hAnsi="Wingdings" w:hint="default"/>
      </w:rPr>
    </w:lvl>
  </w:abstractNum>
  <w:abstractNum w:abstractNumId="52" w15:restartNumberingAfterBreak="0">
    <w:nsid w:val="7E085398"/>
    <w:multiLevelType w:val="hybridMultilevel"/>
    <w:tmpl w:val="8654D378"/>
    <w:lvl w:ilvl="0" w:tplc="1B3417CC">
      <w:start w:val="1"/>
      <w:numFmt w:val="bullet"/>
      <w:lvlText w:val=""/>
      <w:lvlJc w:val="left"/>
      <w:pPr>
        <w:ind w:left="720" w:hanging="360"/>
      </w:pPr>
      <w:rPr>
        <w:rFonts w:ascii="Symbol" w:hAnsi="Symbol" w:hint="default"/>
      </w:rPr>
    </w:lvl>
    <w:lvl w:ilvl="1" w:tplc="3CB69818" w:tentative="1">
      <w:start w:val="1"/>
      <w:numFmt w:val="bullet"/>
      <w:lvlText w:val="o"/>
      <w:lvlJc w:val="left"/>
      <w:pPr>
        <w:ind w:left="1440" w:hanging="360"/>
      </w:pPr>
      <w:rPr>
        <w:rFonts w:ascii="Courier New" w:hAnsi="Courier New" w:cs="Courier New" w:hint="default"/>
      </w:rPr>
    </w:lvl>
    <w:lvl w:ilvl="2" w:tplc="4D30A01E" w:tentative="1">
      <w:start w:val="1"/>
      <w:numFmt w:val="bullet"/>
      <w:lvlText w:val=""/>
      <w:lvlJc w:val="left"/>
      <w:pPr>
        <w:ind w:left="2160" w:hanging="360"/>
      </w:pPr>
      <w:rPr>
        <w:rFonts w:ascii="Wingdings" w:hAnsi="Wingdings" w:hint="default"/>
      </w:rPr>
    </w:lvl>
    <w:lvl w:ilvl="3" w:tplc="065085E2" w:tentative="1">
      <w:start w:val="1"/>
      <w:numFmt w:val="bullet"/>
      <w:lvlText w:val=""/>
      <w:lvlJc w:val="left"/>
      <w:pPr>
        <w:ind w:left="2880" w:hanging="360"/>
      </w:pPr>
      <w:rPr>
        <w:rFonts w:ascii="Symbol" w:hAnsi="Symbol" w:hint="default"/>
      </w:rPr>
    </w:lvl>
    <w:lvl w:ilvl="4" w:tplc="8FBA707C" w:tentative="1">
      <w:start w:val="1"/>
      <w:numFmt w:val="bullet"/>
      <w:lvlText w:val="o"/>
      <w:lvlJc w:val="left"/>
      <w:pPr>
        <w:ind w:left="3600" w:hanging="360"/>
      </w:pPr>
      <w:rPr>
        <w:rFonts w:ascii="Courier New" w:hAnsi="Courier New" w:cs="Courier New" w:hint="default"/>
      </w:rPr>
    </w:lvl>
    <w:lvl w:ilvl="5" w:tplc="B69641AA" w:tentative="1">
      <w:start w:val="1"/>
      <w:numFmt w:val="bullet"/>
      <w:lvlText w:val=""/>
      <w:lvlJc w:val="left"/>
      <w:pPr>
        <w:ind w:left="4320" w:hanging="360"/>
      </w:pPr>
      <w:rPr>
        <w:rFonts w:ascii="Wingdings" w:hAnsi="Wingdings" w:hint="default"/>
      </w:rPr>
    </w:lvl>
    <w:lvl w:ilvl="6" w:tplc="7548A908" w:tentative="1">
      <w:start w:val="1"/>
      <w:numFmt w:val="bullet"/>
      <w:lvlText w:val=""/>
      <w:lvlJc w:val="left"/>
      <w:pPr>
        <w:ind w:left="5040" w:hanging="360"/>
      </w:pPr>
      <w:rPr>
        <w:rFonts w:ascii="Symbol" w:hAnsi="Symbol" w:hint="default"/>
      </w:rPr>
    </w:lvl>
    <w:lvl w:ilvl="7" w:tplc="1E0C105E" w:tentative="1">
      <w:start w:val="1"/>
      <w:numFmt w:val="bullet"/>
      <w:lvlText w:val="o"/>
      <w:lvlJc w:val="left"/>
      <w:pPr>
        <w:ind w:left="5760" w:hanging="360"/>
      </w:pPr>
      <w:rPr>
        <w:rFonts w:ascii="Courier New" w:hAnsi="Courier New" w:cs="Courier New" w:hint="default"/>
      </w:rPr>
    </w:lvl>
    <w:lvl w:ilvl="8" w:tplc="30D232CC"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6"/>
  </w:num>
  <w:num w:numId="4">
    <w:abstractNumId w:val="35"/>
  </w:num>
  <w:num w:numId="5">
    <w:abstractNumId w:val="26"/>
  </w:num>
  <w:num w:numId="6">
    <w:abstractNumId w:val="19"/>
  </w:num>
  <w:num w:numId="7">
    <w:abstractNumId w:val="21"/>
  </w:num>
  <w:num w:numId="8">
    <w:abstractNumId w:val="33"/>
  </w:num>
  <w:num w:numId="9">
    <w:abstractNumId w:val="43"/>
  </w:num>
  <w:num w:numId="10">
    <w:abstractNumId w:val="2"/>
  </w:num>
  <w:num w:numId="11">
    <w:abstractNumId w:val="34"/>
  </w:num>
  <w:num w:numId="12">
    <w:abstractNumId w:val="49"/>
  </w:num>
  <w:num w:numId="13">
    <w:abstractNumId w:val="40"/>
  </w:num>
  <w:num w:numId="14">
    <w:abstractNumId w:val="37"/>
  </w:num>
  <w:num w:numId="15">
    <w:abstractNumId w:val="9"/>
  </w:num>
  <w:num w:numId="16">
    <w:abstractNumId w:val="44"/>
  </w:num>
  <w:num w:numId="17">
    <w:abstractNumId w:val="7"/>
  </w:num>
  <w:num w:numId="18">
    <w:abstractNumId w:val="48"/>
  </w:num>
  <w:num w:numId="19">
    <w:abstractNumId w:val="45"/>
  </w:num>
  <w:num w:numId="20">
    <w:abstractNumId w:val="44"/>
  </w:num>
  <w:num w:numId="21">
    <w:abstractNumId w:val="50"/>
  </w:num>
  <w:num w:numId="22">
    <w:abstractNumId w:val="36"/>
  </w:num>
  <w:num w:numId="23">
    <w:abstractNumId w:val="28"/>
  </w:num>
  <w:num w:numId="24">
    <w:abstractNumId w:val="4"/>
  </w:num>
  <w:num w:numId="25">
    <w:abstractNumId w:val="13"/>
  </w:num>
  <w:num w:numId="26">
    <w:abstractNumId w:val="47"/>
  </w:num>
  <w:num w:numId="27">
    <w:abstractNumId w:val="15"/>
  </w:num>
  <w:num w:numId="28">
    <w:abstractNumId w:val="32"/>
  </w:num>
  <w:num w:numId="29">
    <w:abstractNumId w:val="12"/>
  </w:num>
  <w:num w:numId="30">
    <w:abstractNumId w:val="31"/>
  </w:num>
  <w:num w:numId="31">
    <w:abstractNumId w:val="23"/>
  </w:num>
  <w:num w:numId="32">
    <w:abstractNumId w:val="52"/>
  </w:num>
  <w:num w:numId="33">
    <w:abstractNumId w:val="18"/>
  </w:num>
  <w:num w:numId="34">
    <w:abstractNumId w:val="0"/>
  </w:num>
  <w:num w:numId="35">
    <w:abstractNumId w:val="29"/>
  </w:num>
  <w:num w:numId="36">
    <w:abstractNumId w:val="51"/>
  </w:num>
  <w:num w:numId="37">
    <w:abstractNumId w:val="46"/>
  </w:num>
  <w:num w:numId="38">
    <w:abstractNumId w:val="17"/>
  </w:num>
  <w:num w:numId="39">
    <w:abstractNumId w:val="1"/>
  </w:num>
  <w:num w:numId="40">
    <w:abstractNumId w:val="20"/>
  </w:num>
  <w:num w:numId="41">
    <w:abstractNumId w:val="42"/>
  </w:num>
  <w:num w:numId="42">
    <w:abstractNumId w:val="11"/>
  </w:num>
  <w:num w:numId="43">
    <w:abstractNumId w:val="16"/>
  </w:num>
  <w:num w:numId="44">
    <w:abstractNumId w:val="10"/>
  </w:num>
  <w:num w:numId="45">
    <w:abstractNumId w:val="22"/>
  </w:num>
  <w:num w:numId="46">
    <w:abstractNumId w:val="38"/>
  </w:num>
  <w:num w:numId="47">
    <w:abstractNumId w:val="5"/>
  </w:num>
  <w:num w:numId="48">
    <w:abstractNumId w:val="30"/>
  </w:num>
  <w:num w:numId="49">
    <w:abstractNumId w:val="25"/>
  </w:num>
  <w:num w:numId="50">
    <w:abstractNumId w:val="27"/>
  </w:num>
  <w:num w:numId="51">
    <w:abstractNumId w:val="8"/>
  </w:num>
  <w:num w:numId="52">
    <w:abstractNumId w:val="41"/>
  </w:num>
  <w:num w:numId="53">
    <w:abstractNumId w:val="39"/>
  </w:num>
  <w:num w:numId="54">
    <w:abstractNumId w:val="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561"/>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ldViewShowStyleArea" w:val="3"/>
    <w:docVar w:name="Registered" w:val="-1"/>
    <w:docVar w:name="Version" w:val="0"/>
  </w:docVars>
  <w:rsids>
    <w:rsidRoot w:val="00BA77A8"/>
    <w:rsid w:val="00000666"/>
    <w:rsid w:val="00000777"/>
    <w:rsid w:val="00000EE3"/>
    <w:rsid w:val="00001B4E"/>
    <w:rsid w:val="00002758"/>
    <w:rsid w:val="00002CFE"/>
    <w:rsid w:val="00003196"/>
    <w:rsid w:val="00003265"/>
    <w:rsid w:val="0000336F"/>
    <w:rsid w:val="00004665"/>
    <w:rsid w:val="000048B1"/>
    <w:rsid w:val="00004CBB"/>
    <w:rsid w:val="000055A0"/>
    <w:rsid w:val="00005722"/>
    <w:rsid w:val="00005733"/>
    <w:rsid w:val="00005E7A"/>
    <w:rsid w:val="000061B8"/>
    <w:rsid w:val="00006566"/>
    <w:rsid w:val="00006977"/>
    <w:rsid w:val="00006EE7"/>
    <w:rsid w:val="00006F0C"/>
    <w:rsid w:val="00007513"/>
    <w:rsid w:val="00007530"/>
    <w:rsid w:val="00007B86"/>
    <w:rsid w:val="00007D32"/>
    <w:rsid w:val="00010081"/>
    <w:rsid w:val="00010501"/>
    <w:rsid w:val="00010C70"/>
    <w:rsid w:val="00010DFB"/>
    <w:rsid w:val="00011017"/>
    <w:rsid w:val="00011691"/>
    <w:rsid w:val="000117C4"/>
    <w:rsid w:val="00012034"/>
    <w:rsid w:val="00012546"/>
    <w:rsid w:val="00012804"/>
    <w:rsid w:val="00012949"/>
    <w:rsid w:val="00012EAA"/>
    <w:rsid w:val="000145AB"/>
    <w:rsid w:val="00014DED"/>
    <w:rsid w:val="00015071"/>
    <w:rsid w:val="00015B1B"/>
    <w:rsid w:val="00015B45"/>
    <w:rsid w:val="000164B0"/>
    <w:rsid w:val="00016871"/>
    <w:rsid w:val="00016A92"/>
    <w:rsid w:val="00016F29"/>
    <w:rsid w:val="00017A53"/>
    <w:rsid w:val="00021024"/>
    <w:rsid w:val="000219D0"/>
    <w:rsid w:val="000221AA"/>
    <w:rsid w:val="0002249A"/>
    <w:rsid w:val="0002394C"/>
    <w:rsid w:val="00024161"/>
    <w:rsid w:val="00025483"/>
    <w:rsid w:val="000265D1"/>
    <w:rsid w:val="00026A4D"/>
    <w:rsid w:val="00026CB7"/>
    <w:rsid w:val="00026E7C"/>
    <w:rsid w:val="00026E87"/>
    <w:rsid w:val="00027230"/>
    <w:rsid w:val="00027520"/>
    <w:rsid w:val="00027991"/>
    <w:rsid w:val="00027A47"/>
    <w:rsid w:val="00027FE2"/>
    <w:rsid w:val="0003018B"/>
    <w:rsid w:val="00030419"/>
    <w:rsid w:val="00030A90"/>
    <w:rsid w:val="00030C59"/>
    <w:rsid w:val="00031212"/>
    <w:rsid w:val="0003183E"/>
    <w:rsid w:val="000318C9"/>
    <w:rsid w:val="0003191C"/>
    <w:rsid w:val="00031A70"/>
    <w:rsid w:val="00031FDC"/>
    <w:rsid w:val="000320CC"/>
    <w:rsid w:val="000321DB"/>
    <w:rsid w:val="000325E6"/>
    <w:rsid w:val="0003280B"/>
    <w:rsid w:val="00032DF6"/>
    <w:rsid w:val="00032E35"/>
    <w:rsid w:val="00033652"/>
    <w:rsid w:val="0003407B"/>
    <w:rsid w:val="00035138"/>
    <w:rsid w:val="00035649"/>
    <w:rsid w:val="000365F0"/>
    <w:rsid w:val="00037E4E"/>
    <w:rsid w:val="000400ED"/>
    <w:rsid w:val="00041027"/>
    <w:rsid w:val="0004266B"/>
    <w:rsid w:val="0004399A"/>
    <w:rsid w:val="00043E24"/>
    <w:rsid w:val="00044ADE"/>
    <w:rsid w:val="00046C61"/>
    <w:rsid w:val="000470B5"/>
    <w:rsid w:val="00047A80"/>
    <w:rsid w:val="000501E1"/>
    <w:rsid w:val="000502DC"/>
    <w:rsid w:val="0005068E"/>
    <w:rsid w:val="00050BC3"/>
    <w:rsid w:val="000510F3"/>
    <w:rsid w:val="00051BC7"/>
    <w:rsid w:val="000538BC"/>
    <w:rsid w:val="00055860"/>
    <w:rsid w:val="00055BE6"/>
    <w:rsid w:val="00056200"/>
    <w:rsid w:val="000578E3"/>
    <w:rsid w:val="00060B1E"/>
    <w:rsid w:val="00061D00"/>
    <w:rsid w:val="000625D1"/>
    <w:rsid w:val="000626C6"/>
    <w:rsid w:val="000629C8"/>
    <w:rsid w:val="00062A9C"/>
    <w:rsid w:val="00062B87"/>
    <w:rsid w:val="00062FBE"/>
    <w:rsid w:val="000631DE"/>
    <w:rsid w:val="000633DC"/>
    <w:rsid w:val="00063B13"/>
    <w:rsid w:val="00063D4E"/>
    <w:rsid w:val="0006464B"/>
    <w:rsid w:val="000646B4"/>
    <w:rsid w:val="00064CD5"/>
    <w:rsid w:val="00064DA7"/>
    <w:rsid w:val="00065584"/>
    <w:rsid w:val="00065B4F"/>
    <w:rsid w:val="00065F2B"/>
    <w:rsid w:val="00066A95"/>
    <w:rsid w:val="00067A03"/>
    <w:rsid w:val="00070B30"/>
    <w:rsid w:val="00071F1D"/>
    <w:rsid w:val="000733FA"/>
    <w:rsid w:val="000738EF"/>
    <w:rsid w:val="0007405D"/>
    <w:rsid w:val="00074130"/>
    <w:rsid w:val="0007443D"/>
    <w:rsid w:val="00075253"/>
    <w:rsid w:val="000755F7"/>
    <w:rsid w:val="00075B70"/>
    <w:rsid w:val="00075CC1"/>
    <w:rsid w:val="00075CC7"/>
    <w:rsid w:val="00075D67"/>
    <w:rsid w:val="000761B8"/>
    <w:rsid w:val="00076489"/>
    <w:rsid w:val="00076C0D"/>
    <w:rsid w:val="00076F06"/>
    <w:rsid w:val="0007744A"/>
    <w:rsid w:val="000778DE"/>
    <w:rsid w:val="00080610"/>
    <w:rsid w:val="00080D78"/>
    <w:rsid w:val="00081823"/>
    <w:rsid w:val="00082069"/>
    <w:rsid w:val="00082990"/>
    <w:rsid w:val="00083FCE"/>
    <w:rsid w:val="000848DB"/>
    <w:rsid w:val="00084F8E"/>
    <w:rsid w:val="00085874"/>
    <w:rsid w:val="00085B0C"/>
    <w:rsid w:val="000877A9"/>
    <w:rsid w:val="0008794C"/>
    <w:rsid w:val="0009110E"/>
    <w:rsid w:val="00091A31"/>
    <w:rsid w:val="00091B3E"/>
    <w:rsid w:val="00091CB2"/>
    <w:rsid w:val="00091EB5"/>
    <w:rsid w:val="00091F42"/>
    <w:rsid w:val="00091FB3"/>
    <w:rsid w:val="0009206E"/>
    <w:rsid w:val="0009285C"/>
    <w:rsid w:val="00092DA3"/>
    <w:rsid w:val="000937E2"/>
    <w:rsid w:val="0009419F"/>
    <w:rsid w:val="00094A6C"/>
    <w:rsid w:val="00094BA0"/>
    <w:rsid w:val="00094DF1"/>
    <w:rsid w:val="000960A5"/>
    <w:rsid w:val="00096789"/>
    <w:rsid w:val="00096C15"/>
    <w:rsid w:val="000973DE"/>
    <w:rsid w:val="0009779E"/>
    <w:rsid w:val="000A0201"/>
    <w:rsid w:val="000A10C0"/>
    <w:rsid w:val="000A10E9"/>
    <w:rsid w:val="000A1F91"/>
    <w:rsid w:val="000A2C76"/>
    <w:rsid w:val="000A30B9"/>
    <w:rsid w:val="000A32DD"/>
    <w:rsid w:val="000A3F2E"/>
    <w:rsid w:val="000A4240"/>
    <w:rsid w:val="000A42B4"/>
    <w:rsid w:val="000A4325"/>
    <w:rsid w:val="000A4B19"/>
    <w:rsid w:val="000A58C3"/>
    <w:rsid w:val="000A59C0"/>
    <w:rsid w:val="000A5CE0"/>
    <w:rsid w:val="000A65DC"/>
    <w:rsid w:val="000A6DDA"/>
    <w:rsid w:val="000A6F70"/>
    <w:rsid w:val="000B044F"/>
    <w:rsid w:val="000B06F9"/>
    <w:rsid w:val="000B1826"/>
    <w:rsid w:val="000B30DB"/>
    <w:rsid w:val="000B3C2E"/>
    <w:rsid w:val="000B46F5"/>
    <w:rsid w:val="000B4EFE"/>
    <w:rsid w:val="000B5685"/>
    <w:rsid w:val="000B5F64"/>
    <w:rsid w:val="000B6974"/>
    <w:rsid w:val="000B76B2"/>
    <w:rsid w:val="000C066D"/>
    <w:rsid w:val="000C14CB"/>
    <w:rsid w:val="000C1CC1"/>
    <w:rsid w:val="000C317D"/>
    <w:rsid w:val="000C3576"/>
    <w:rsid w:val="000C35A5"/>
    <w:rsid w:val="000C3680"/>
    <w:rsid w:val="000C36D7"/>
    <w:rsid w:val="000C3C93"/>
    <w:rsid w:val="000C3EA7"/>
    <w:rsid w:val="000C4D2A"/>
    <w:rsid w:val="000C5867"/>
    <w:rsid w:val="000C6D1C"/>
    <w:rsid w:val="000C7A77"/>
    <w:rsid w:val="000C7AA0"/>
    <w:rsid w:val="000C7C8E"/>
    <w:rsid w:val="000D0ED0"/>
    <w:rsid w:val="000D25EA"/>
    <w:rsid w:val="000D2B90"/>
    <w:rsid w:val="000D2BA5"/>
    <w:rsid w:val="000D2FB3"/>
    <w:rsid w:val="000D4865"/>
    <w:rsid w:val="000D49B6"/>
    <w:rsid w:val="000D5EFF"/>
    <w:rsid w:val="000D61CF"/>
    <w:rsid w:val="000D68FB"/>
    <w:rsid w:val="000D6CCA"/>
    <w:rsid w:val="000E01C7"/>
    <w:rsid w:val="000E0D4A"/>
    <w:rsid w:val="000E2377"/>
    <w:rsid w:val="000E2610"/>
    <w:rsid w:val="000E26EC"/>
    <w:rsid w:val="000E27A5"/>
    <w:rsid w:val="000E2F2E"/>
    <w:rsid w:val="000E370F"/>
    <w:rsid w:val="000E3D66"/>
    <w:rsid w:val="000E5AFB"/>
    <w:rsid w:val="000E5EE6"/>
    <w:rsid w:val="000E6025"/>
    <w:rsid w:val="000E744B"/>
    <w:rsid w:val="000E78AB"/>
    <w:rsid w:val="000F00A4"/>
    <w:rsid w:val="000F093E"/>
    <w:rsid w:val="000F0A93"/>
    <w:rsid w:val="000F0F23"/>
    <w:rsid w:val="000F1E5D"/>
    <w:rsid w:val="000F23CC"/>
    <w:rsid w:val="000F26CA"/>
    <w:rsid w:val="000F2963"/>
    <w:rsid w:val="000F2CCF"/>
    <w:rsid w:val="000F3D5B"/>
    <w:rsid w:val="000F46E4"/>
    <w:rsid w:val="000F4964"/>
    <w:rsid w:val="000F4A09"/>
    <w:rsid w:val="000F4FF8"/>
    <w:rsid w:val="000F5D40"/>
    <w:rsid w:val="000F68EF"/>
    <w:rsid w:val="000F6E60"/>
    <w:rsid w:val="000F6E99"/>
    <w:rsid w:val="000F79D0"/>
    <w:rsid w:val="001007FB"/>
    <w:rsid w:val="00100CD0"/>
    <w:rsid w:val="001010CF"/>
    <w:rsid w:val="001013CD"/>
    <w:rsid w:val="00101605"/>
    <w:rsid w:val="0010294E"/>
    <w:rsid w:val="00102D5D"/>
    <w:rsid w:val="001034A6"/>
    <w:rsid w:val="00103794"/>
    <w:rsid w:val="00103F90"/>
    <w:rsid w:val="001045B9"/>
    <w:rsid w:val="00105868"/>
    <w:rsid w:val="001058E1"/>
    <w:rsid w:val="001069CB"/>
    <w:rsid w:val="001070E2"/>
    <w:rsid w:val="00107629"/>
    <w:rsid w:val="001103EE"/>
    <w:rsid w:val="00110BC3"/>
    <w:rsid w:val="00110DB5"/>
    <w:rsid w:val="00111144"/>
    <w:rsid w:val="00112B0F"/>
    <w:rsid w:val="00112B57"/>
    <w:rsid w:val="00112F4C"/>
    <w:rsid w:val="00113A1B"/>
    <w:rsid w:val="00113AAE"/>
    <w:rsid w:val="00113B0C"/>
    <w:rsid w:val="00114011"/>
    <w:rsid w:val="001150B9"/>
    <w:rsid w:val="00116173"/>
    <w:rsid w:val="00116E34"/>
    <w:rsid w:val="001173BC"/>
    <w:rsid w:val="00117AE7"/>
    <w:rsid w:val="001200D0"/>
    <w:rsid w:val="0012111B"/>
    <w:rsid w:val="00121DA9"/>
    <w:rsid w:val="001220AB"/>
    <w:rsid w:val="001244EF"/>
    <w:rsid w:val="00125271"/>
    <w:rsid w:val="0012558A"/>
    <w:rsid w:val="001256CD"/>
    <w:rsid w:val="001268B1"/>
    <w:rsid w:val="00126A4E"/>
    <w:rsid w:val="00126CB5"/>
    <w:rsid w:val="0012747B"/>
    <w:rsid w:val="00127F83"/>
    <w:rsid w:val="00130D02"/>
    <w:rsid w:val="001319EF"/>
    <w:rsid w:val="00131A90"/>
    <w:rsid w:val="00131C64"/>
    <w:rsid w:val="0013231C"/>
    <w:rsid w:val="001323B3"/>
    <w:rsid w:val="00134E12"/>
    <w:rsid w:val="0013558A"/>
    <w:rsid w:val="0013624C"/>
    <w:rsid w:val="00137CC9"/>
    <w:rsid w:val="00137D35"/>
    <w:rsid w:val="00137FEB"/>
    <w:rsid w:val="001403CF"/>
    <w:rsid w:val="00140416"/>
    <w:rsid w:val="00141A61"/>
    <w:rsid w:val="00141B74"/>
    <w:rsid w:val="00142420"/>
    <w:rsid w:val="00142D7D"/>
    <w:rsid w:val="00142E95"/>
    <w:rsid w:val="0014304D"/>
    <w:rsid w:val="00143514"/>
    <w:rsid w:val="0014385D"/>
    <w:rsid w:val="00143ECF"/>
    <w:rsid w:val="001444DF"/>
    <w:rsid w:val="00144840"/>
    <w:rsid w:val="00144989"/>
    <w:rsid w:val="00144C14"/>
    <w:rsid w:val="00144DD8"/>
    <w:rsid w:val="00145885"/>
    <w:rsid w:val="0014665E"/>
    <w:rsid w:val="00146E9E"/>
    <w:rsid w:val="001475ED"/>
    <w:rsid w:val="00147733"/>
    <w:rsid w:val="0014793E"/>
    <w:rsid w:val="00147969"/>
    <w:rsid w:val="0015006E"/>
    <w:rsid w:val="001500B3"/>
    <w:rsid w:val="001506E1"/>
    <w:rsid w:val="00151941"/>
    <w:rsid w:val="00151E27"/>
    <w:rsid w:val="00152B23"/>
    <w:rsid w:val="00153C08"/>
    <w:rsid w:val="00153E10"/>
    <w:rsid w:val="00153FF8"/>
    <w:rsid w:val="00154989"/>
    <w:rsid w:val="00155111"/>
    <w:rsid w:val="0015529E"/>
    <w:rsid w:val="00155CF8"/>
    <w:rsid w:val="001564D6"/>
    <w:rsid w:val="0015671E"/>
    <w:rsid w:val="001568D1"/>
    <w:rsid w:val="00156B63"/>
    <w:rsid w:val="00157040"/>
    <w:rsid w:val="001574F3"/>
    <w:rsid w:val="001604A3"/>
    <w:rsid w:val="00160587"/>
    <w:rsid w:val="0016144B"/>
    <w:rsid w:val="00161CF0"/>
    <w:rsid w:val="00162462"/>
    <w:rsid w:val="00162BC2"/>
    <w:rsid w:val="00162E6D"/>
    <w:rsid w:val="001632FD"/>
    <w:rsid w:val="001635E4"/>
    <w:rsid w:val="001636CF"/>
    <w:rsid w:val="00163B89"/>
    <w:rsid w:val="0016463F"/>
    <w:rsid w:val="001646A7"/>
    <w:rsid w:val="00170577"/>
    <w:rsid w:val="001705F6"/>
    <w:rsid w:val="00170753"/>
    <w:rsid w:val="0017076E"/>
    <w:rsid w:val="00170D6F"/>
    <w:rsid w:val="001719DC"/>
    <w:rsid w:val="00173200"/>
    <w:rsid w:val="00174C00"/>
    <w:rsid w:val="00175306"/>
    <w:rsid w:val="00175ABF"/>
    <w:rsid w:val="00176335"/>
    <w:rsid w:val="0017643E"/>
    <w:rsid w:val="00176947"/>
    <w:rsid w:val="00177602"/>
    <w:rsid w:val="00177D67"/>
    <w:rsid w:val="00177E6C"/>
    <w:rsid w:val="00177F35"/>
    <w:rsid w:val="0018038B"/>
    <w:rsid w:val="001804D1"/>
    <w:rsid w:val="001816EB"/>
    <w:rsid w:val="00181841"/>
    <w:rsid w:val="00181E0A"/>
    <w:rsid w:val="00182848"/>
    <w:rsid w:val="0018292F"/>
    <w:rsid w:val="0018325D"/>
    <w:rsid w:val="00183A2A"/>
    <w:rsid w:val="00185671"/>
    <w:rsid w:val="00190144"/>
    <w:rsid w:val="001901B8"/>
    <w:rsid w:val="001904C0"/>
    <w:rsid w:val="00190901"/>
    <w:rsid w:val="00190F13"/>
    <w:rsid w:val="001917D5"/>
    <w:rsid w:val="00193897"/>
    <w:rsid w:val="0019431A"/>
    <w:rsid w:val="0019485A"/>
    <w:rsid w:val="00195F0F"/>
    <w:rsid w:val="001960F5"/>
    <w:rsid w:val="001962AF"/>
    <w:rsid w:val="001968A0"/>
    <w:rsid w:val="00196A3D"/>
    <w:rsid w:val="00196D54"/>
    <w:rsid w:val="00197141"/>
    <w:rsid w:val="001971DD"/>
    <w:rsid w:val="001976F0"/>
    <w:rsid w:val="00197BDE"/>
    <w:rsid w:val="001A0104"/>
    <w:rsid w:val="001A0694"/>
    <w:rsid w:val="001A0C50"/>
    <w:rsid w:val="001A0CA2"/>
    <w:rsid w:val="001A1228"/>
    <w:rsid w:val="001A12E2"/>
    <w:rsid w:val="001A22AC"/>
    <w:rsid w:val="001A2A18"/>
    <w:rsid w:val="001A2D52"/>
    <w:rsid w:val="001A36D7"/>
    <w:rsid w:val="001A3CBB"/>
    <w:rsid w:val="001A4B64"/>
    <w:rsid w:val="001A72EB"/>
    <w:rsid w:val="001B0CA0"/>
    <w:rsid w:val="001B0F0A"/>
    <w:rsid w:val="001B146C"/>
    <w:rsid w:val="001B1F6F"/>
    <w:rsid w:val="001B223E"/>
    <w:rsid w:val="001B2664"/>
    <w:rsid w:val="001B35D0"/>
    <w:rsid w:val="001B4231"/>
    <w:rsid w:val="001B4E28"/>
    <w:rsid w:val="001B535D"/>
    <w:rsid w:val="001B5543"/>
    <w:rsid w:val="001B55AD"/>
    <w:rsid w:val="001B5B65"/>
    <w:rsid w:val="001B5DB6"/>
    <w:rsid w:val="001B6BC5"/>
    <w:rsid w:val="001B6FC3"/>
    <w:rsid w:val="001B7936"/>
    <w:rsid w:val="001C0303"/>
    <w:rsid w:val="001C0522"/>
    <w:rsid w:val="001C1122"/>
    <w:rsid w:val="001C148F"/>
    <w:rsid w:val="001C1640"/>
    <w:rsid w:val="001C2111"/>
    <w:rsid w:val="001C260E"/>
    <w:rsid w:val="001C3192"/>
    <w:rsid w:val="001C32E2"/>
    <w:rsid w:val="001C371A"/>
    <w:rsid w:val="001C4DAA"/>
    <w:rsid w:val="001C57FA"/>
    <w:rsid w:val="001C582B"/>
    <w:rsid w:val="001C592D"/>
    <w:rsid w:val="001C6498"/>
    <w:rsid w:val="001C6618"/>
    <w:rsid w:val="001C76AE"/>
    <w:rsid w:val="001C79EE"/>
    <w:rsid w:val="001C7A35"/>
    <w:rsid w:val="001D0447"/>
    <w:rsid w:val="001D0D9D"/>
    <w:rsid w:val="001D1363"/>
    <w:rsid w:val="001D1B3C"/>
    <w:rsid w:val="001D268A"/>
    <w:rsid w:val="001D2733"/>
    <w:rsid w:val="001D3317"/>
    <w:rsid w:val="001D4382"/>
    <w:rsid w:val="001D46B4"/>
    <w:rsid w:val="001D4783"/>
    <w:rsid w:val="001D5111"/>
    <w:rsid w:val="001D6675"/>
    <w:rsid w:val="001D6937"/>
    <w:rsid w:val="001D6E3B"/>
    <w:rsid w:val="001D772A"/>
    <w:rsid w:val="001E055C"/>
    <w:rsid w:val="001E0DFC"/>
    <w:rsid w:val="001E0EB9"/>
    <w:rsid w:val="001E10CB"/>
    <w:rsid w:val="001E1B16"/>
    <w:rsid w:val="001E1B73"/>
    <w:rsid w:val="001E1D61"/>
    <w:rsid w:val="001E1FA4"/>
    <w:rsid w:val="001E2040"/>
    <w:rsid w:val="001E288E"/>
    <w:rsid w:val="001E2899"/>
    <w:rsid w:val="001E2C3A"/>
    <w:rsid w:val="001E3910"/>
    <w:rsid w:val="001E5B4D"/>
    <w:rsid w:val="001E78C3"/>
    <w:rsid w:val="001F09EB"/>
    <w:rsid w:val="001F0E21"/>
    <w:rsid w:val="001F0F0C"/>
    <w:rsid w:val="001F12DD"/>
    <w:rsid w:val="001F182E"/>
    <w:rsid w:val="001F187C"/>
    <w:rsid w:val="001F1DBE"/>
    <w:rsid w:val="001F2107"/>
    <w:rsid w:val="001F220E"/>
    <w:rsid w:val="001F35A8"/>
    <w:rsid w:val="001F368C"/>
    <w:rsid w:val="001F38EA"/>
    <w:rsid w:val="001F3CE0"/>
    <w:rsid w:val="001F453C"/>
    <w:rsid w:val="001F47E4"/>
    <w:rsid w:val="001F5847"/>
    <w:rsid w:val="001F5953"/>
    <w:rsid w:val="001F5F4D"/>
    <w:rsid w:val="001F62D4"/>
    <w:rsid w:val="001F63D0"/>
    <w:rsid w:val="001F63EB"/>
    <w:rsid w:val="001F644A"/>
    <w:rsid w:val="001F75F5"/>
    <w:rsid w:val="00200266"/>
    <w:rsid w:val="00200A51"/>
    <w:rsid w:val="00200BDC"/>
    <w:rsid w:val="00200D8E"/>
    <w:rsid w:val="0020145E"/>
    <w:rsid w:val="00201D0E"/>
    <w:rsid w:val="00201EEC"/>
    <w:rsid w:val="0020216D"/>
    <w:rsid w:val="00202670"/>
    <w:rsid w:val="002031D2"/>
    <w:rsid w:val="002032DF"/>
    <w:rsid w:val="002035A2"/>
    <w:rsid w:val="00203D7F"/>
    <w:rsid w:val="002042DF"/>
    <w:rsid w:val="00204558"/>
    <w:rsid w:val="0020698F"/>
    <w:rsid w:val="002072E2"/>
    <w:rsid w:val="00207325"/>
    <w:rsid w:val="002076DB"/>
    <w:rsid w:val="00210831"/>
    <w:rsid w:val="00210C97"/>
    <w:rsid w:val="00210CE2"/>
    <w:rsid w:val="00211233"/>
    <w:rsid w:val="00212139"/>
    <w:rsid w:val="002122C0"/>
    <w:rsid w:val="002126D2"/>
    <w:rsid w:val="002130CF"/>
    <w:rsid w:val="00214CEC"/>
    <w:rsid w:val="00215289"/>
    <w:rsid w:val="0021578F"/>
    <w:rsid w:val="00215F7B"/>
    <w:rsid w:val="00216CC5"/>
    <w:rsid w:val="00216EE2"/>
    <w:rsid w:val="00217657"/>
    <w:rsid w:val="002176E5"/>
    <w:rsid w:val="002200C0"/>
    <w:rsid w:val="0022027A"/>
    <w:rsid w:val="00220B10"/>
    <w:rsid w:val="00221B13"/>
    <w:rsid w:val="00221C10"/>
    <w:rsid w:val="00221C9D"/>
    <w:rsid w:val="00222437"/>
    <w:rsid w:val="00222848"/>
    <w:rsid w:val="00222882"/>
    <w:rsid w:val="00223535"/>
    <w:rsid w:val="00223B1F"/>
    <w:rsid w:val="002246FF"/>
    <w:rsid w:val="00224A55"/>
    <w:rsid w:val="00224C2F"/>
    <w:rsid w:val="00224C40"/>
    <w:rsid w:val="002256AC"/>
    <w:rsid w:val="002259DD"/>
    <w:rsid w:val="00225AD8"/>
    <w:rsid w:val="0022624C"/>
    <w:rsid w:val="00227011"/>
    <w:rsid w:val="00227642"/>
    <w:rsid w:val="00227F5D"/>
    <w:rsid w:val="0023032A"/>
    <w:rsid w:val="002306C2"/>
    <w:rsid w:val="00230943"/>
    <w:rsid w:val="002318C2"/>
    <w:rsid w:val="00232040"/>
    <w:rsid w:val="00232618"/>
    <w:rsid w:val="00232C36"/>
    <w:rsid w:val="00232CA3"/>
    <w:rsid w:val="00232E97"/>
    <w:rsid w:val="00233878"/>
    <w:rsid w:val="0023440C"/>
    <w:rsid w:val="002345CA"/>
    <w:rsid w:val="00235150"/>
    <w:rsid w:val="002353B0"/>
    <w:rsid w:val="002354FC"/>
    <w:rsid w:val="002356A5"/>
    <w:rsid w:val="0023585D"/>
    <w:rsid w:val="00235D3F"/>
    <w:rsid w:val="00236A35"/>
    <w:rsid w:val="00237132"/>
    <w:rsid w:val="002374BE"/>
    <w:rsid w:val="002375C1"/>
    <w:rsid w:val="00237667"/>
    <w:rsid w:val="0023780E"/>
    <w:rsid w:val="0023793F"/>
    <w:rsid w:val="00237DB5"/>
    <w:rsid w:val="00237F5A"/>
    <w:rsid w:val="00240274"/>
    <w:rsid w:val="00240C3A"/>
    <w:rsid w:val="002433FE"/>
    <w:rsid w:val="002437D3"/>
    <w:rsid w:val="00243A8A"/>
    <w:rsid w:val="00243ABD"/>
    <w:rsid w:val="0024416E"/>
    <w:rsid w:val="00244535"/>
    <w:rsid w:val="002445BD"/>
    <w:rsid w:val="00244DBC"/>
    <w:rsid w:val="00244E2E"/>
    <w:rsid w:val="00245D63"/>
    <w:rsid w:val="00246630"/>
    <w:rsid w:val="00246F36"/>
    <w:rsid w:val="0024704B"/>
    <w:rsid w:val="00247713"/>
    <w:rsid w:val="00247AD0"/>
    <w:rsid w:val="00247F31"/>
    <w:rsid w:val="00250391"/>
    <w:rsid w:val="00250542"/>
    <w:rsid w:val="0025063C"/>
    <w:rsid w:val="00250B53"/>
    <w:rsid w:val="00251348"/>
    <w:rsid w:val="00251C85"/>
    <w:rsid w:val="0025217C"/>
    <w:rsid w:val="0025220B"/>
    <w:rsid w:val="002522CF"/>
    <w:rsid w:val="00252768"/>
    <w:rsid w:val="002529E1"/>
    <w:rsid w:val="00252F33"/>
    <w:rsid w:val="0025421F"/>
    <w:rsid w:val="002559D6"/>
    <w:rsid w:val="00255B8F"/>
    <w:rsid w:val="002567A8"/>
    <w:rsid w:val="00256B25"/>
    <w:rsid w:val="00257B2F"/>
    <w:rsid w:val="002601B1"/>
    <w:rsid w:val="0026044D"/>
    <w:rsid w:val="00260790"/>
    <w:rsid w:val="00260A8D"/>
    <w:rsid w:val="002610D9"/>
    <w:rsid w:val="00261749"/>
    <w:rsid w:val="002617EF"/>
    <w:rsid w:val="00261AA0"/>
    <w:rsid w:val="0026226E"/>
    <w:rsid w:val="00262CE3"/>
    <w:rsid w:val="002632E4"/>
    <w:rsid w:val="002641CB"/>
    <w:rsid w:val="00264BF4"/>
    <w:rsid w:val="00264CD1"/>
    <w:rsid w:val="002662FD"/>
    <w:rsid w:val="002667BA"/>
    <w:rsid w:val="00266AE0"/>
    <w:rsid w:val="00266C49"/>
    <w:rsid w:val="00266F2F"/>
    <w:rsid w:val="0027025F"/>
    <w:rsid w:val="00270FD4"/>
    <w:rsid w:val="00271406"/>
    <w:rsid w:val="00271B66"/>
    <w:rsid w:val="00271EEF"/>
    <w:rsid w:val="002729E4"/>
    <w:rsid w:val="0027333E"/>
    <w:rsid w:val="00275243"/>
    <w:rsid w:val="002756B5"/>
    <w:rsid w:val="00275868"/>
    <w:rsid w:val="00277453"/>
    <w:rsid w:val="00277487"/>
    <w:rsid w:val="00277AED"/>
    <w:rsid w:val="00277D1B"/>
    <w:rsid w:val="002803F0"/>
    <w:rsid w:val="0028075D"/>
    <w:rsid w:val="002819A5"/>
    <w:rsid w:val="00281A13"/>
    <w:rsid w:val="00281EE9"/>
    <w:rsid w:val="0028214C"/>
    <w:rsid w:val="002821DE"/>
    <w:rsid w:val="00282A63"/>
    <w:rsid w:val="00282D9F"/>
    <w:rsid w:val="002837BD"/>
    <w:rsid w:val="00284092"/>
    <w:rsid w:val="00284D11"/>
    <w:rsid w:val="00284E3E"/>
    <w:rsid w:val="0028513A"/>
    <w:rsid w:val="00285345"/>
    <w:rsid w:val="00287118"/>
    <w:rsid w:val="00287994"/>
    <w:rsid w:val="00287D6E"/>
    <w:rsid w:val="002904FE"/>
    <w:rsid w:val="00291F25"/>
    <w:rsid w:val="002942D3"/>
    <w:rsid w:val="00294502"/>
    <w:rsid w:val="00294AE0"/>
    <w:rsid w:val="00294F2D"/>
    <w:rsid w:val="0029513F"/>
    <w:rsid w:val="0029524A"/>
    <w:rsid w:val="0029534C"/>
    <w:rsid w:val="00295A1D"/>
    <w:rsid w:val="00296933"/>
    <w:rsid w:val="00297558"/>
    <w:rsid w:val="0029764E"/>
    <w:rsid w:val="002976A2"/>
    <w:rsid w:val="002A00AD"/>
    <w:rsid w:val="002A0AA2"/>
    <w:rsid w:val="002A0AD9"/>
    <w:rsid w:val="002A1F91"/>
    <w:rsid w:val="002A2448"/>
    <w:rsid w:val="002A2A05"/>
    <w:rsid w:val="002A3324"/>
    <w:rsid w:val="002A4163"/>
    <w:rsid w:val="002A4725"/>
    <w:rsid w:val="002A5713"/>
    <w:rsid w:val="002A58A6"/>
    <w:rsid w:val="002A5B3A"/>
    <w:rsid w:val="002A7023"/>
    <w:rsid w:val="002A7060"/>
    <w:rsid w:val="002A717D"/>
    <w:rsid w:val="002A7668"/>
    <w:rsid w:val="002A786D"/>
    <w:rsid w:val="002A7C24"/>
    <w:rsid w:val="002B065D"/>
    <w:rsid w:val="002B093A"/>
    <w:rsid w:val="002B1373"/>
    <w:rsid w:val="002B1EFC"/>
    <w:rsid w:val="002B2766"/>
    <w:rsid w:val="002B32F4"/>
    <w:rsid w:val="002B4839"/>
    <w:rsid w:val="002B4963"/>
    <w:rsid w:val="002B4CA8"/>
    <w:rsid w:val="002B5214"/>
    <w:rsid w:val="002B5881"/>
    <w:rsid w:val="002B5D55"/>
    <w:rsid w:val="002B6E96"/>
    <w:rsid w:val="002B7065"/>
    <w:rsid w:val="002B7226"/>
    <w:rsid w:val="002B7713"/>
    <w:rsid w:val="002C1044"/>
    <w:rsid w:val="002C1548"/>
    <w:rsid w:val="002C160A"/>
    <w:rsid w:val="002C172C"/>
    <w:rsid w:val="002C1CA3"/>
    <w:rsid w:val="002C279C"/>
    <w:rsid w:val="002C2E57"/>
    <w:rsid w:val="002C2F55"/>
    <w:rsid w:val="002C3381"/>
    <w:rsid w:val="002C339E"/>
    <w:rsid w:val="002C3499"/>
    <w:rsid w:val="002C3AB1"/>
    <w:rsid w:val="002C4815"/>
    <w:rsid w:val="002C4B3C"/>
    <w:rsid w:val="002C5CFF"/>
    <w:rsid w:val="002C699B"/>
    <w:rsid w:val="002C6ABF"/>
    <w:rsid w:val="002C6B4E"/>
    <w:rsid w:val="002C707B"/>
    <w:rsid w:val="002C7949"/>
    <w:rsid w:val="002C7A78"/>
    <w:rsid w:val="002C7E4F"/>
    <w:rsid w:val="002D10B4"/>
    <w:rsid w:val="002D194E"/>
    <w:rsid w:val="002D2F78"/>
    <w:rsid w:val="002D3CFE"/>
    <w:rsid w:val="002D3E75"/>
    <w:rsid w:val="002D466C"/>
    <w:rsid w:val="002D58BF"/>
    <w:rsid w:val="002D5B0F"/>
    <w:rsid w:val="002D616F"/>
    <w:rsid w:val="002D61DC"/>
    <w:rsid w:val="002D6CFD"/>
    <w:rsid w:val="002D6E3C"/>
    <w:rsid w:val="002D77CB"/>
    <w:rsid w:val="002E0143"/>
    <w:rsid w:val="002E02F2"/>
    <w:rsid w:val="002E14CF"/>
    <w:rsid w:val="002E2239"/>
    <w:rsid w:val="002E3197"/>
    <w:rsid w:val="002E362D"/>
    <w:rsid w:val="002E3634"/>
    <w:rsid w:val="002E4919"/>
    <w:rsid w:val="002E5522"/>
    <w:rsid w:val="002E5559"/>
    <w:rsid w:val="002E576A"/>
    <w:rsid w:val="002E5C3A"/>
    <w:rsid w:val="002F0708"/>
    <w:rsid w:val="002F07EC"/>
    <w:rsid w:val="002F2387"/>
    <w:rsid w:val="002F265C"/>
    <w:rsid w:val="002F3AB6"/>
    <w:rsid w:val="002F5A83"/>
    <w:rsid w:val="002F5DAF"/>
    <w:rsid w:val="002F5DDC"/>
    <w:rsid w:val="0030012D"/>
    <w:rsid w:val="00300217"/>
    <w:rsid w:val="00300D6A"/>
    <w:rsid w:val="0030118D"/>
    <w:rsid w:val="00303CAD"/>
    <w:rsid w:val="00303F21"/>
    <w:rsid w:val="00304014"/>
    <w:rsid w:val="003041F0"/>
    <w:rsid w:val="0030426F"/>
    <w:rsid w:val="00304618"/>
    <w:rsid w:val="00304DD1"/>
    <w:rsid w:val="00304DE7"/>
    <w:rsid w:val="0030574D"/>
    <w:rsid w:val="00306DD8"/>
    <w:rsid w:val="0030755B"/>
    <w:rsid w:val="00307DDC"/>
    <w:rsid w:val="00310814"/>
    <w:rsid w:val="003109D5"/>
    <w:rsid w:val="00311EEB"/>
    <w:rsid w:val="003123A1"/>
    <w:rsid w:val="00312DC8"/>
    <w:rsid w:val="00312F57"/>
    <w:rsid w:val="00313706"/>
    <w:rsid w:val="003140E2"/>
    <w:rsid w:val="00314308"/>
    <w:rsid w:val="00314A5A"/>
    <w:rsid w:val="0031692C"/>
    <w:rsid w:val="00316968"/>
    <w:rsid w:val="00316BE0"/>
    <w:rsid w:val="00316F55"/>
    <w:rsid w:val="00317820"/>
    <w:rsid w:val="00317ED9"/>
    <w:rsid w:val="003201FA"/>
    <w:rsid w:val="003203ED"/>
    <w:rsid w:val="00321351"/>
    <w:rsid w:val="003219BC"/>
    <w:rsid w:val="00322A07"/>
    <w:rsid w:val="00323018"/>
    <w:rsid w:val="003230E0"/>
    <w:rsid w:val="003234F2"/>
    <w:rsid w:val="00323539"/>
    <w:rsid w:val="003237E4"/>
    <w:rsid w:val="00323F5F"/>
    <w:rsid w:val="0032419D"/>
    <w:rsid w:val="00324478"/>
    <w:rsid w:val="00324A44"/>
    <w:rsid w:val="0032535B"/>
    <w:rsid w:val="003260B5"/>
    <w:rsid w:val="003261CE"/>
    <w:rsid w:val="003272D3"/>
    <w:rsid w:val="00327658"/>
    <w:rsid w:val="00330229"/>
    <w:rsid w:val="003307A8"/>
    <w:rsid w:val="003309B0"/>
    <w:rsid w:val="00332174"/>
    <w:rsid w:val="003325A8"/>
    <w:rsid w:val="00332B62"/>
    <w:rsid w:val="00332BB2"/>
    <w:rsid w:val="00333458"/>
    <w:rsid w:val="00333F79"/>
    <w:rsid w:val="003343EE"/>
    <w:rsid w:val="0033462E"/>
    <w:rsid w:val="003353FB"/>
    <w:rsid w:val="0033634B"/>
    <w:rsid w:val="003366E3"/>
    <w:rsid w:val="00336CCD"/>
    <w:rsid w:val="00336E91"/>
    <w:rsid w:val="0033714E"/>
    <w:rsid w:val="00337570"/>
    <w:rsid w:val="003377B7"/>
    <w:rsid w:val="0033783F"/>
    <w:rsid w:val="0033788C"/>
    <w:rsid w:val="003408F3"/>
    <w:rsid w:val="00342F2F"/>
    <w:rsid w:val="00342FAF"/>
    <w:rsid w:val="003446E3"/>
    <w:rsid w:val="0034520A"/>
    <w:rsid w:val="003467B7"/>
    <w:rsid w:val="0034701A"/>
    <w:rsid w:val="00347139"/>
    <w:rsid w:val="00350106"/>
    <w:rsid w:val="00350351"/>
    <w:rsid w:val="00350D2D"/>
    <w:rsid w:val="00350DF3"/>
    <w:rsid w:val="00352AC6"/>
    <w:rsid w:val="0035319B"/>
    <w:rsid w:val="00353A93"/>
    <w:rsid w:val="003546BD"/>
    <w:rsid w:val="003546F4"/>
    <w:rsid w:val="00354D84"/>
    <w:rsid w:val="00354ECD"/>
    <w:rsid w:val="00354F73"/>
    <w:rsid w:val="0035645F"/>
    <w:rsid w:val="003564A5"/>
    <w:rsid w:val="0036042B"/>
    <w:rsid w:val="00360CC1"/>
    <w:rsid w:val="003610FA"/>
    <w:rsid w:val="00362EFB"/>
    <w:rsid w:val="003635BA"/>
    <w:rsid w:val="00364155"/>
    <w:rsid w:val="00364934"/>
    <w:rsid w:val="003656B4"/>
    <w:rsid w:val="003658A1"/>
    <w:rsid w:val="00365ACB"/>
    <w:rsid w:val="00366187"/>
    <w:rsid w:val="00367191"/>
    <w:rsid w:val="003702A7"/>
    <w:rsid w:val="00370B43"/>
    <w:rsid w:val="003711E4"/>
    <w:rsid w:val="003717C0"/>
    <w:rsid w:val="00372B68"/>
    <w:rsid w:val="003730ED"/>
    <w:rsid w:val="00373BCB"/>
    <w:rsid w:val="00374A09"/>
    <w:rsid w:val="0037529E"/>
    <w:rsid w:val="0037559B"/>
    <w:rsid w:val="00376321"/>
    <w:rsid w:val="003765D2"/>
    <w:rsid w:val="003768C8"/>
    <w:rsid w:val="00376B30"/>
    <w:rsid w:val="00376FB4"/>
    <w:rsid w:val="003777FA"/>
    <w:rsid w:val="00380039"/>
    <w:rsid w:val="003801FC"/>
    <w:rsid w:val="00381254"/>
    <w:rsid w:val="00381DCC"/>
    <w:rsid w:val="0038234C"/>
    <w:rsid w:val="00382F3D"/>
    <w:rsid w:val="00383BB0"/>
    <w:rsid w:val="00383DC8"/>
    <w:rsid w:val="003856F6"/>
    <w:rsid w:val="0038598B"/>
    <w:rsid w:val="00386D8E"/>
    <w:rsid w:val="00386F29"/>
    <w:rsid w:val="0038776E"/>
    <w:rsid w:val="00387AB6"/>
    <w:rsid w:val="00387D8F"/>
    <w:rsid w:val="00387E07"/>
    <w:rsid w:val="00390FB2"/>
    <w:rsid w:val="00391294"/>
    <w:rsid w:val="003912D1"/>
    <w:rsid w:val="0039218F"/>
    <w:rsid w:val="00393EAF"/>
    <w:rsid w:val="003941DD"/>
    <w:rsid w:val="00394241"/>
    <w:rsid w:val="003946C7"/>
    <w:rsid w:val="003947FA"/>
    <w:rsid w:val="00394E4C"/>
    <w:rsid w:val="003960FC"/>
    <w:rsid w:val="00396FCA"/>
    <w:rsid w:val="0039717E"/>
    <w:rsid w:val="0039718A"/>
    <w:rsid w:val="00397853"/>
    <w:rsid w:val="00397D50"/>
    <w:rsid w:val="003A09C6"/>
    <w:rsid w:val="003A0A89"/>
    <w:rsid w:val="003A16C3"/>
    <w:rsid w:val="003A1991"/>
    <w:rsid w:val="003A3A5B"/>
    <w:rsid w:val="003A3F97"/>
    <w:rsid w:val="003A486C"/>
    <w:rsid w:val="003A50B7"/>
    <w:rsid w:val="003A539E"/>
    <w:rsid w:val="003A5F12"/>
    <w:rsid w:val="003A692C"/>
    <w:rsid w:val="003A6956"/>
    <w:rsid w:val="003A788B"/>
    <w:rsid w:val="003A7A5A"/>
    <w:rsid w:val="003B02B7"/>
    <w:rsid w:val="003B126E"/>
    <w:rsid w:val="003B1364"/>
    <w:rsid w:val="003B176E"/>
    <w:rsid w:val="003B1BAE"/>
    <w:rsid w:val="003B1F2D"/>
    <w:rsid w:val="003B2031"/>
    <w:rsid w:val="003B27A5"/>
    <w:rsid w:val="003B2B1B"/>
    <w:rsid w:val="003B2C3A"/>
    <w:rsid w:val="003B345A"/>
    <w:rsid w:val="003B3DC4"/>
    <w:rsid w:val="003B3EEC"/>
    <w:rsid w:val="003B4037"/>
    <w:rsid w:val="003B43AD"/>
    <w:rsid w:val="003B45D1"/>
    <w:rsid w:val="003B4CB5"/>
    <w:rsid w:val="003B4EEE"/>
    <w:rsid w:val="003B50A2"/>
    <w:rsid w:val="003B5116"/>
    <w:rsid w:val="003B57AB"/>
    <w:rsid w:val="003B5AE4"/>
    <w:rsid w:val="003B600F"/>
    <w:rsid w:val="003B68ED"/>
    <w:rsid w:val="003B6EC2"/>
    <w:rsid w:val="003B6EE8"/>
    <w:rsid w:val="003B7562"/>
    <w:rsid w:val="003B7B6F"/>
    <w:rsid w:val="003B7CDB"/>
    <w:rsid w:val="003C023A"/>
    <w:rsid w:val="003C092C"/>
    <w:rsid w:val="003C0DD2"/>
    <w:rsid w:val="003C2E72"/>
    <w:rsid w:val="003C313A"/>
    <w:rsid w:val="003C358A"/>
    <w:rsid w:val="003C43AA"/>
    <w:rsid w:val="003C46D3"/>
    <w:rsid w:val="003C4812"/>
    <w:rsid w:val="003C4DE3"/>
    <w:rsid w:val="003C4FC8"/>
    <w:rsid w:val="003C6DE3"/>
    <w:rsid w:val="003C74F5"/>
    <w:rsid w:val="003C78A3"/>
    <w:rsid w:val="003C7D46"/>
    <w:rsid w:val="003D0372"/>
    <w:rsid w:val="003D09CB"/>
    <w:rsid w:val="003D0D89"/>
    <w:rsid w:val="003D1687"/>
    <w:rsid w:val="003D2472"/>
    <w:rsid w:val="003D25A1"/>
    <w:rsid w:val="003D26B8"/>
    <w:rsid w:val="003D2B66"/>
    <w:rsid w:val="003D3213"/>
    <w:rsid w:val="003D361F"/>
    <w:rsid w:val="003D3B2C"/>
    <w:rsid w:val="003D49A3"/>
    <w:rsid w:val="003D4A12"/>
    <w:rsid w:val="003D589E"/>
    <w:rsid w:val="003D5F10"/>
    <w:rsid w:val="003D65EA"/>
    <w:rsid w:val="003D71D1"/>
    <w:rsid w:val="003D73C7"/>
    <w:rsid w:val="003E00A9"/>
    <w:rsid w:val="003E0349"/>
    <w:rsid w:val="003E0D2F"/>
    <w:rsid w:val="003E27DA"/>
    <w:rsid w:val="003E2A8A"/>
    <w:rsid w:val="003E35D6"/>
    <w:rsid w:val="003E3EA4"/>
    <w:rsid w:val="003E41A5"/>
    <w:rsid w:val="003E4C05"/>
    <w:rsid w:val="003E4CF3"/>
    <w:rsid w:val="003E55E6"/>
    <w:rsid w:val="003E5D5A"/>
    <w:rsid w:val="003E7840"/>
    <w:rsid w:val="003E7D46"/>
    <w:rsid w:val="003F09C3"/>
    <w:rsid w:val="003F0A2F"/>
    <w:rsid w:val="003F2275"/>
    <w:rsid w:val="003F2848"/>
    <w:rsid w:val="003F3358"/>
    <w:rsid w:val="003F34CB"/>
    <w:rsid w:val="003F34FC"/>
    <w:rsid w:val="003F3658"/>
    <w:rsid w:val="003F3E17"/>
    <w:rsid w:val="003F40AB"/>
    <w:rsid w:val="003F42D3"/>
    <w:rsid w:val="003F544E"/>
    <w:rsid w:val="003F668B"/>
    <w:rsid w:val="003F7BEC"/>
    <w:rsid w:val="004001FD"/>
    <w:rsid w:val="00400A5D"/>
    <w:rsid w:val="00401158"/>
    <w:rsid w:val="0040189A"/>
    <w:rsid w:val="0040196F"/>
    <w:rsid w:val="00401CB0"/>
    <w:rsid w:val="00401DA0"/>
    <w:rsid w:val="004033F2"/>
    <w:rsid w:val="004043BC"/>
    <w:rsid w:val="00404D2E"/>
    <w:rsid w:val="00405C31"/>
    <w:rsid w:val="004062D5"/>
    <w:rsid w:val="004065ED"/>
    <w:rsid w:val="00407509"/>
    <w:rsid w:val="004076C1"/>
    <w:rsid w:val="00407CDC"/>
    <w:rsid w:val="00407CF0"/>
    <w:rsid w:val="004100D2"/>
    <w:rsid w:val="004100FD"/>
    <w:rsid w:val="00410633"/>
    <w:rsid w:val="0041066E"/>
    <w:rsid w:val="00411732"/>
    <w:rsid w:val="00411EBE"/>
    <w:rsid w:val="0041291A"/>
    <w:rsid w:val="004129A2"/>
    <w:rsid w:val="004133EB"/>
    <w:rsid w:val="00414913"/>
    <w:rsid w:val="00414F75"/>
    <w:rsid w:val="004158AC"/>
    <w:rsid w:val="004163EE"/>
    <w:rsid w:val="00416B2A"/>
    <w:rsid w:val="00417328"/>
    <w:rsid w:val="0041763B"/>
    <w:rsid w:val="00417A59"/>
    <w:rsid w:val="00421911"/>
    <w:rsid w:val="00421F8B"/>
    <w:rsid w:val="004221AA"/>
    <w:rsid w:val="004226BB"/>
    <w:rsid w:val="00423068"/>
    <w:rsid w:val="00423E91"/>
    <w:rsid w:val="00424128"/>
    <w:rsid w:val="00425A2B"/>
    <w:rsid w:val="00425CA7"/>
    <w:rsid w:val="00427079"/>
    <w:rsid w:val="004278CC"/>
    <w:rsid w:val="00427ED8"/>
    <w:rsid w:val="00430053"/>
    <w:rsid w:val="00430253"/>
    <w:rsid w:val="004304F7"/>
    <w:rsid w:val="00430C72"/>
    <w:rsid w:val="00431F9B"/>
    <w:rsid w:val="00433AC7"/>
    <w:rsid w:val="00434904"/>
    <w:rsid w:val="0043582D"/>
    <w:rsid w:val="00435FAA"/>
    <w:rsid w:val="00436877"/>
    <w:rsid w:val="00436931"/>
    <w:rsid w:val="00436CF3"/>
    <w:rsid w:val="0043704D"/>
    <w:rsid w:val="00437787"/>
    <w:rsid w:val="00437AF8"/>
    <w:rsid w:val="0044028B"/>
    <w:rsid w:val="00441243"/>
    <w:rsid w:val="00441247"/>
    <w:rsid w:val="004415FA"/>
    <w:rsid w:val="00441CA9"/>
    <w:rsid w:val="0044202C"/>
    <w:rsid w:val="0044225F"/>
    <w:rsid w:val="00442AF0"/>
    <w:rsid w:val="00442F99"/>
    <w:rsid w:val="00443111"/>
    <w:rsid w:val="0044376F"/>
    <w:rsid w:val="0044399C"/>
    <w:rsid w:val="00443B1D"/>
    <w:rsid w:val="00443CC2"/>
    <w:rsid w:val="00444ACF"/>
    <w:rsid w:val="00444BB7"/>
    <w:rsid w:val="00444EE8"/>
    <w:rsid w:val="00445798"/>
    <w:rsid w:val="00445B1C"/>
    <w:rsid w:val="004462A5"/>
    <w:rsid w:val="00446B60"/>
    <w:rsid w:val="00446E0F"/>
    <w:rsid w:val="00447070"/>
    <w:rsid w:val="00447314"/>
    <w:rsid w:val="004478F3"/>
    <w:rsid w:val="0044798D"/>
    <w:rsid w:val="00447C96"/>
    <w:rsid w:val="0045059B"/>
    <w:rsid w:val="00450760"/>
    <w:rsid w:val="00451AB3"/>
    <w:rsid w:val="00451B09"/>
    <w:rsid w:val="00454791"/>
    <w:rsid w:val="00455307"/>
    <w:rsid w:val="00455422"/>
    <w:rsid w:val="00457030"/>
    <w:rsid w:val="00457039"/>
    <w:rsid w:val="004574E3"/>
    <w:rsid w:val="00457B65"/>
    <w:rsid w:val="00460EB3"/>
    <w:rsid w:val="00461E33"/>
    <w:rsid w:val="00461F0A"/>
    <w:rsid w:val="00461FAD"/>
    <w:rsid w:val="0046246E"/>
    <w:rsid w:val="004629A8"/>
    <w:rsid w:val="00464848"/>
    <w:rsid w:val="00464EF6"/>
    <w:rsid w:val="004653AF"/>
    <w:rsid w:val="00466914"/>
    <w:rsid w:val="00466C63"/>
    <w:rsid w:val="00467453"/>
    <w:rsid w:val="00467C69"/>
    <w:rsid w:val="004705FC"/>
    <w:rsid w:val="00470762"/>
    <w:rsid w:val="004707EA"/>
    <w:rsid w:val="00470C51"/>
    <w:rsid w:val="00471695"/>
    <w:rsid w:val="0047182E"/>
    <w:rsid w:val="004721BE"/>
    <w:rsid w:val="00474194"/>
    <w:rsid w:val="0047467A"/>
    <w:rsid w:val="0047479B"/>
    <w:rsid w:val="00474F7F"/>
    <w:rsid w:val="0047505F"/>
    <w:rsid w:val="004758EE"/>
    <w:rsid w:val="00475B24"/>
    <w:rsid w:val="00475C1E"/>
    <w:rsid w:val="00476C8A"/>
    <w:rsid w:val="00477319"/>
    <w:rsid w:val="0047764D"/>
    <w:rsid w:val="00480CCE"/>
    <w:rsid w:val="00480E11"/>
    <w:rsid w:val="00481142"/>
    <w:rsid w:val="004816A9"/>
    <w:rsid w:val="00481D7A"/>
    <w:rsid w:val="00481FEF"/>
    <w:rsid w:val="00483EF5"/>
    <w:rsid w:val="004841DB"/>
    <w:rsid w:val="00484E76"/>
    <w:rsid w:val="004851AA"/>
    <w:rsid w:val="004867D2"/>
    <w:rsid w:val="00486A96"/>
    <w:rsid w:val="00486EC1"/>
    <w:rsid w:val="004873B3"/>
    <w:rsid w:val="00487518"/>
    <w:rsid w:val="00487813"/>
    <w:rsid w:val="004900E1"/>
    <w:rsid w:val="0049063A"/>
    <w:rsid w:val="00491249"/>
    <w:rsid w:val="00491FFC"/>
    <w:rsid w:val="004933E2"/>
    <w:rsid w:val="00493698"/>
    <w:rsid w:val="0049389C"/>
    <w:rsid w:val="00493D92"/>
    <w:rsid w:val="00493D98"/>
    <w:rsid w:val="00494292"/>
    <w:rsid w:val="00494619"/>
    <w:rsid w:val="004946CD"/>
    <w:rsid w:val="00494ABB"/>
    <w:rsid w:val="004952EA"/>
    <w:rsid w:val="004A01A3"/>
    <w:rsid w:val="004A0C2D"/>
    <w:rsid w:val="004A0DDD"/>
    <w:rsid w:val="004A0EE3"/>
    <w:rsid w:val="004A0FA1"/>
    <w:rsid w:val="004A109B"/>
    <w:rsid w:val="004A1460"/>
    <w:rsid w:val="004A1D96"/>
    <w:rsid w:val="004A2127"/>
    <w:rsid w:val="004A2267"/>
    <w:rsid w:val="004A2754"/>
    <w:rsid w:val="004A2A4C"/>
    <w:rsid w:val="004A2AC1"/>
    <w:rsid w:val="004A2E81"/>
    <w:rsid w:val="004A3481"/>
    <w:rsid w:val="004A3A3A"/>
    <w:rsid w:val="004A3C82"/>
    <w:rsid w:val="004A3D03"/>
    <w:rsid w:val="004A4C89"/>
    <w:rsid w:val="004A533F"/>
    <w:rsid w:val="004A54CE"/>
    <w:rsid w:val="004A5FE3"/>
    <w:rsid w:val="004A7804"/>
    <w:rsid w:val="004B0519"/>
    <w:rsid w:val="004B0595"/>
    <w:rsid w:val="004B0609"/>
    <w:rsid w:val="004B0C0A"/>
    <w:rsid w:val="004B1704"/>
    <w:rsid w:val="004B1852"/>
    <w:rsid w:val="004B1C5A"/>
    <w:rsid w:val="004B2482"/>
    <w:rsid w:val="004B24C1"/>
    <w:rsid w:val="004B29E2"/>
    <w:rsid w:val="004B2D7D"/>
    <w:rsid w:val="004B2F6E"/>
    <w:rsid w:val="004B52E5"/>
    <w:rsid w:val="004B558C"/>
    <w:rsid w:val="004B57EC"/>
    <w:rsid w:val="004B5B4B"/>
    <w:rsid w:val="004B5F37"/>
    <w:rsid w:val="004B60C0"/>
    <w:rsid w:val="004B6851"/>
    <w:rsid w:val="004B7DF8"/>
    <w:rsid w:val="004C0889"/>
    <w:rsid w:val="004C11BE"/>
    <w:rsid w:val="004C2105"/>
    <w:rsid w:val="004C23DD"/>
    <w:rsid w:val="004C2B46"/>
    <w:rsid w:val="004C2E56"/>
    <w:rsid w:val="004C2EE8"/>
    <w:rsid w:val="004C3100"/>
    <w:rsid w:val="004C322A"/>
    <w:rsid w:val="004C5277"/>
    <w:rsid w:val="004C5857"/>
    <w:rsid w:val="004C5EE7"/>
    <w:rsid w:val="004C61F6"/>
    <w:rsid w:val="004C65C8"/>
    <w:rsid w:val="004C67AC"/>
    <w:rsid w:val="004C6B87"/>
    <w:rsid w:val="004C6B8C"/>
    <w:rsid w:val="004D02B7"/>
    <w:rsid w:val="004D0E44"/>
    <w:rsid w:val="004D118C"/>
    <w:rsid w:val="004D29B4"/>
    <w:rsid w:val="004D3317"/>
    <w:rsid w:val="004D365B"/>
    <w:rsid w:val="004D3756"/>
    <w:rsid w:val="004D3D0D"/>
    <w:rsid w:val="004D4941"/>
    <w:rsid w:val="004D52D8"/>
    <w:rsid w:val="004D567C"/>
    <w:rsid w:val="004D5F5D"/>
    <w:rsid w:val="004D64DA"/>
    <w:rsid w:val="004D77AD"/>
    <w:rsid w:val="004E0489"/>
    <w:rsid w:val="004E1F46"/>
    <w:rsid w:val="004E269F"/>
    <w:rsid w:val="004E33AF"/>
    <w:rsid w:val="004E3561"/>
    <w:rsid w:val="004E363C"/>
    <w:rsid w:val="004E3799"/>
    <w:rsid w:val="004E38AC"/>
    <w:rsid w:val="004E3D66"/>
    <w:rsid w:val="004E4652"/>
    <w:rsid w:val="004E4949"/>
    <w:rsid w:val="004E5100"/>
    <w:rsid w:val="004E5E98"/>
    <w:rsid w:val="004E6156"/>
    <w:rsid w:val="004E663F"/>
    <w:rsid w:val="004E7532"/>
    <w:rsid w:val="004E7D32"/>
    <w:rsid w:val="004F0661"/>
    <w:rsid w:val="004F06A5"/>
    <w:rsid w:val="004F2310"/>
    <w:rsid w:val="004F25FE"/>
    <w:rsid w:val="004F332F"/>
    <w:rsid w:val="004F404A"/>
    <w:rsid w:val="004F46BC"/>
    <w:rsid w:val="004F601E"/>
    <w:rsid w:val="004F66BD"/>
    <w:rsid w:val="004F6EA2"/>
    <w:rsid w:val="004F7EBB"/>
    <w:rsid w:val="004F7F0D"/>
    <w:rsid w:val="00500734"/>
    <w:rsid w:val="00500AA9"/>
    <w:rsid w:val="00500D09"/>
    <w:rsid w:val="005011EB"/>
    <w:rsid w:val="00503FD3"/>
    <w:rsid w:val="0050415B"/>
    <w:rsid w:val="00504DD5"/>
    <w:rsid w:val="005053E7"/>
    <w:rsid w:val="00505AE6"/>
    <w:rsid w:val="0050688D"/>
    <w:rsid w:val="00506CCE"/>
    <w:rsid w:val="005075E8"/>
    <w:rsid w:val="0050772E"/>
    <w:rsid w:val="0050782A"/>
    <w:rsid w:val="005106B2"/>
    <w:rsid w:val="0051112C"/>
    <w:rsid w:val="00512F2A"/>
    <w:rsid w:val="0051344B"/>
    <w:rsid w:val="005140C2"/>
    <w:rsid w:val="0051600E"/>
    <w:rsid w:val="005165E8"/>
    <w:rsid w:val="00517021"/>
    <w:rsid w:val="00520224"/>
    <w:rsid w:val="005205E6"/>
    <w:rsid w:val="0052111F"/>
    <w:rsid w:val="005214E1"/>
    <w:rsid w:val="00521B1C"/>
    <w:rsid w:val="00521B47"/>
    <w:rsid w:val="00521BC2"/>
    <w:rsid w:val="00522443"/>
    <w:rsid w:val="00522752"/>
    <w:rsid w:val="00522AFD"/>
    <w:rsid w:val="0052346B"/>
    <w:rsid w:val="0052402D"/>
    <w:rsid w:val="005240AB"/>
    <w:rsid w:val="00524180"/>
    <w:rsid w:val="00524C38"/>
    <w:rsid w:val="00525230"/>
    <w:rsid w:val="00525412"/>
    <w:rsid w:val="00525A55"/>
    <w:rsid w:val="005269C8"/>
    <w:rsid w:val="00526DD6"/>
    <w:rsid w:val="0052786D"/>
    <w:rsid w:val="00527C19"/>
    <w:rsid w:val="00531169"/>
    <w:rsid w:val="0053119A"/>
    <w:rsid w:val="00531238"/>
    <w:rsid w:val="005316BB"/>
    <w:rsid w:val="00531978"/>
    <w:rsid w:val="00531ACF"/>
    <w:rsid w:val="00532575"/>
    <w:rsid w:val="00532760"/>
    <w:rsid w:val="00532AEA"/>
    <w:rsid w:val="0053310F"/>
    <w:rsid w:val="005340C6"/>
    <w:rsid w:val="0053526D"/>
    <w:rsid w:val="00535630"/>
    <w:rsid w:val="00535DCF"/>
    <w:rsid w:val="0053610E"/>
    <w:rsid w:val="00536B6B"/>
    <w:rsid w:val="00536E8F"/>
    <w:rsid w:val="00537C85"/>
    <w:rsid w:val="00537CCB"/>
    <w:rsid w:val="0054078B"/>
    <w:rsid w:val="0054215E"/>
    <w:rsid w:val="005422D2"/>
    <w:rsid w:val="0054231E"/>
    <w:rsid w:val="00542999"/>
    <w:rsid w:val="00542BBE"/>
    <w:rsid w:val="00542E4B"/>
    <w:rsid w:val="00542E60"/>
    <w:rsid w:val="005431C9"/>
    <w:rsid w:val="005439A0"/>
    <w:rsid w:val="00543AD1"/>
    <w:rsid w:val="005440CF"/>
    <w:rsid w:val="005441A4"/>
    <w:rsid w:val="00544815"/>
    <w:rsid w:val="00545967"/>
    <w:rsid w:val="00545B31"/>
    <w:rsid w:val="00545C00"/>
    <w:rsid w:val="0054632E"/>
    <w:rsid w:val="00546616"/>
    <w:rsid w:val="00547196"/>
    <w:rsid w:val="00547214"/>
    <w:rsid w:val="00547580"/>
    <w:rsid w:val="0055025F"/>
    <w:rsid w:val="0055039E"/>
    <w:rsid w:val="00550F18"/>
    <w:rsid w:val="005515C8"/>
    <w:rsid w:val="00551938"/>
    <w:rsid w:val="00551C96"/>
    <w:rsid w:val="00551DBF"/>
    <w:rsid w:val="00551F21"/>
    <w:rsid w:val="005523A6"/>
    <w:rsid w:val="005526D0"/>
    <w:rsid w:val="005533B6"/>
    <w:rsid w:val="00553CFA"/>
    <w:rsid w:val="0055433F"/>
    <w:rsid w:val="005545B8"/>
    <w:rsid w:val="0055469D"/>
    <w:rsid w:val="0055476D"/>
    <w:rsid w:val="005549C0"/>
    <w:rsid w:val="0055504C"/>
    <w:rsid w:val="00555104"/>
    <w:rsid w:val="00555776"/>
    <w:rsid w:val="0055582B"/>
    <w:rsid w:val="00555CDC"/>
    <w:rsid w:val="00555D0A"/>
    <w:rsid w:val="005565D0"/>
    <w:rsid w:val="005566C3"/>
    <w:rsid w:val="00556A1C"/>
    <w:rsid w:val="005573D1"/>
    <w:rsid w:val="0055755D"/>
    <w:rsid w:val="00557993"/>
    <w:rsid w:val="00557FFB"/>
    <w:rsid w:val="0056119E"/>
    <w:rsid w:val="005628D9"/>
    <w:rsid w:val="00563524"/>
    <w:rsid w:val="005638C8"/>
    <w:rsid w:val="005638DC"/>
    <w:rsid w:val="00564473"/>
    <w:rsid w:val="00564654"/>
    <w:rsid w:val="005653AF"/>
    <w:rsid w:val="005653DB"/>
    <w:rsid w:val="00565648"/>
    <w:rsid w:val="00565E1C"/>
    <w:rsid w:val="00566BFF"/>
    <w:rsid w:val="005674B4"/>
    <w:rsid w:val="00567DC3"/>
    <w:rsid w:val="00567DE6"/>
    <w:rsid w:val="00570CF3"/>
    <w:rsid w:val="00571058"/>
    <w:rsid w:val="0057145B"/>
    <w:rsid w:val="00571479"/>
    <w:rsid w:val="005714F4"/>
    <w:rsid w:val="00572284"/>
    <w:rsid w:val="00572326"/>
    <w:rsid w:val="005727A1"/>
    <w:rsid w:val="00572D60"/>
    <w:rsid w:val="00572FC2"/>
    <w:rsid w:val="0057352B"/>
    <w:rsid w:val="0057392A"/>
    <w:rsid w:val="005743AE"/>
    <w:rsid w:val="0057459B"/>
    <w:rsid w:val="00574DA2"/>
    <w:rsid w:val="005750FD"/>
    <w:rsid w:val="005755AF"/>
    <w:rsid w:val="00575AF0"/>
    <w:rsid w:val="00575D28"/>
    <w:rsid w:val="00576A8B"/>
    <w:rsid w:val="00580170"/>
    <w:rsid w:val="005803F4"/>
    <w:rsid w:val="00580BE0"/>
    <w:rsid w:val="00582236"/>
    <w:rsid w:val="005822E6"/>
    <w:rsid w:val="005826B3"/>
    <w:rsid w:val="00582988"/>
    <w:rsid w:val="00582A34"/>
    <w:rsid w:val="00582B3F"/>
    <w:rsid w:val="00583590"/>
    <w:rsid w:val="0058456D"/>
    <w:rsid w:val="005848DA"/>
    <w:rsid w:val="0058495B"/>
    <w:rsid w:val="0058574D"/>
    <w:rsid w:val="005859A6"/>
    <w:rsid w:val="00586DDD"/>
    <w:rsid w:val="005876A1"/>
    <w:rsid w:val="00587EAE"/>
    <w:rsid w:val="00590561"/>
    <w:rsid w:val="005905CD"/>
    <w:rsid w:val="0059063E"/>
    <w:rsid w:val="00590C42"/>
    <w:rsid w:val="00591539"/>
    <w:rsid w:val="00591A3E"/>
    <w:rsid w:val="005922E5"/>
    <w:rsid w:val="00592C0C"/>
    <w:rsid w:val="00592C6D"/>
    <w:rsid w:val="005933FB"/>
    <w:rsid w:val="0059483B"/>
    <w:rsid w:val="00594A54"/>
    <w:rsid w:val="00594B0F"/>
    <w:rsid w:val="00594B84"/>
    <w:rsid w:val="00595112"/>
    <w:rsid w:val="005965D1"/>
    <w:rsid w:val="005970CB"/>
    <w:rsid w:val="0059779C"/>
    <w:rsid w:val="00597C0D"/>
    <w:rsid w:val="00597D4F"/>
    <w:rsid w:val="00597E20"/>
    <w:rsid w:val="005A0100"/>
    <w:rsid w:val="005A01E8"/>
    <w:rsid w:val="005A0251"/>
    <w:rsid w:val="005A0505"/>
    <w:rsid w:val="005A1158"/>
    <w:rsid w:val="005A12DF"/>
    <w:rsid w:val="005A1378"/>
    <w:rsid w:val="005A1E22"/>
    <w:rsid w:val="005A2F2E"/>
    <w:rsid w:val="005A319E"/>
    <w:rsid w:val="005A36B3"/>
    <w:rsid w:val="005A370F"/>
    <w:rsid w:val="005A38AB"/>
    <w:rsid w:val="005A3BBE"/>
    <w:rsid w:val="005A3F42"/>
    <w:rsid w:val="005A4490"/>
    <w:rsid w:val="005A4B98"/>
    <w:rsid w:val="005A503A"/>
    <w:rsid w:val="005A5BFF"/>
    <w:rsid w:val="005A5EAF"/>
    <w:rsid w:val="005B07A6"/>
    <w:rsid w:val="005B0D47"/>
    <w:rsid w:val="005B1326"/>
    <w:rsid w:val="005B1586"/>
    <w:rsid w:val="005B17A2"/>
    <w:rsid w:val="005B18B3"/>
    <w:rsid w:val="005B1B48"/>
    <w:rsid w:val="005B1E3B"/>
    <w:rsid w:val="005B2928"/>
    <w:rsid w:val="005B2A79"/>
    <w:rsid w:val="005B46A0"/>
    <w:rsid w:val="005B4780"/>
    <w:rsid w:val="005B4E69"/>
    <w:rsid w:val="005B503D"/>
    <w:rsid w:val="005B5693"/>
    <w:rsid w:val="005B574C"/>
    <w:rsid w:val="005B5A38"/>
    <w:rsid w:val="005B5F96"/>
    <w:rsid w:val="005B6255"/>
    <w:rsid w:val="005B6EE0"/>
    <w:rsid w:val="005B761F"/>
    <w:rsid w:val="005B79ED"/>
    <w:rsid w:val="005B7ABE"/>
    <w:rsid w:val="005B7FA0"/>
    <w:rsid w:val="005C000E"/>
    <w:rsid w:val="005C00B4"/>
    <w:rsid w:val="005C1F5A"/>
    <w:rsid w:val="005C2725"/>
    <w:rsid w:val="005C2BC4"/>
    <w:rsid w:val="005C3631"/>
    <w:rsid w:val="005C3D99"/>
    <w:rsid w:val="005C40FA"/>
    <w:rsid w:val="005C41D7"/>
    <w:rsid w:val="005C4494"/>
    <w:rsid w:val="005C47AF"/>
    <w:rsid w:val="005C52DD"/>
    <w:rsid w:val="005C530A"/>
    <w:rsid w:val="005C6309"/>
    <w:rsid w:val="005C79AE"/>
    <w:rsid w:val="005C7D69"/>
    <w:rsid w:val="005D03BC"/>
    <w:rsid w:val="005D0594"/>
    <w:rsid w:val="005D0B5C"/>
    <w:rsid w:val="005D0DB1"/>
    <w:rsid w:val="005D0EAD"/>
    <w:rsid w:val="005D15AC"/>
    <w:rsid w:val="005D172F"/>
    <w:rsid w:val="005D1C83"/>
    <w:rsid w:val="005D2240"/>
    <w:rsid w:val="005D24E1"/>
    <w:rsid w:val="005D28BC"/>
    <w:rsid w:val="005D3814"/>
    <w:rsid w:val="005D3A47"/>
    <w:rsid w:val="005D534D"/>
    <w:rsid w:val="005D564E"/>
    <w:rsid w:val="005D58F4"/>
    <w:rsid w:val="005D6848"/>
    <w:rsid w:val="005D6AC9"/>
    <w:rsid w:val="005E039A"/>
    <w:rsid w:val="005E0786"/>
    <w:rsid w:val="005E0E43"/>
    <w:rsid w:val="005E1BC4"/>
    <w:rsid w:val="005E2374"/>
    <w:rsid w:val="005E2C66"/>
    <w:rsid w:val="005E371B"/>
    <w:rsid w:val="005E4C1A"/>
    <w:rsid w:val="005E4D9C"/>
    <w:rsid w:val="005E5575"/>
    <w:rsid w:val="005E56D5"/>
    <w:rsid w:val="005E584E"/>
    <w:rsid w:val="005E59A0"/>
    <w:rsid w:val="005E60FD"/>
    <w:rsid w:val="005E6527"/>
    <w:rsid w:val="005E6A92"/>
    <w:rsid w:val="005E7A04"/>
    <w:rsid w:val="005F049C"/>
    <w:rsid w:val="005F0639"/>
    <w:rsid w:val="005F0909"/>
    <w:rsid w:val="005F0A7D"/>
    <w:rsid w:val="005F0C4F"/>
    <w:rsid w:val="005F1D34"/>
    <w:rsid w:val="005F204B"/>
    <w:rsid w:val="005F2970"/>
    <w:rsid w:val="005F368E"/>
    <w:rsid w:val="005F3863"/>
    <w:rsid w:val="005F3DE4"/>
    <w:rsid w:val="005F7071"/>
    <w:rsid w:val="005F7096"/>
    <w:rsid w:val="005F71FC"/>
    <w:rsid w:val="005F745F"/>
    <w:rsid w:val="005F7EC7"/>
    <w:rsid w:val="005F7F1D"/>
    <w:rsid w:val="005F7FE2"/>
    <w:rsid w:val="00601891"/>
    <w:rsid w:val="00603C5A"/>
    <w:rsid w:val="00603F9D"/>
    <w:rsid w:val="006047D1"/>
    <w:rsid w:val="00604B91"/>
    <w:rsid w:val="006071D8"/>
    <w:rsid w:val="00607220"/>
    <w:rsid w:val="006074E0"/>
    <w:rsid w:val="00607BFE"/>
    <w:rsid w:val="0061105E"/>
    <w:rsid w:val="0061162D"/>
    <w:rsid w:val="006118B2"/>
    <w:rsid w:val="00611DE9"/>
    <w:rsid w:val="006126B1"/>
    <w:rsid w:val="006134D3"/>
    <w:rsid w:val="00614545"/>
    <w:rsid w:val="006148A2"/>
    <w:rsid w:val="00614CA7"/>
    <w:rsid w:val="006159E5"/>
    <w:rsid w:val="00615CC2"/>
    <w:rsid w:val="00615F7C"/>
    <w:rsid w:val="00617111"/>
    <w:rsid w:val="006174ED"/>
    <w:rsid w:val="00620774"/>
    <w:rsid w:val="006229C4"/>
    <w:rsid w:val="00622ACA"/>
    <w:rsid w:val="00623B59"/>
    <w:rsid w:val="006249A4"/>
    <w:rsid w:val="00625784"/>
    <w:rsid w:val="006268E4"/>
    <w:rsid w:val="00627400"/>
    <w:rsid w:val="00627631"/>
    <w:rsid w:val="00627844"/>
    <w:rsid w:val="00630020"/>
    <w:rsid w:val="00630F84"/>
    <w:rsid w:val="00631331"/>
    <w:rsid w:val="00631A6A"/>
    <w:rsid w:val="00632B49"/>
    <w:rsid w:val="00633F9B"/>
    <w:rsid w:val="0063415C"/>
    <w:rsid w:val="00634306"/>
    <w:rsid w:val="006343C9"/>
    <w:rsid w:val="006346EF"/>
    <w:rsid w:val="00634706"/>
    <w:rsid w:val="00635413"/>
    <w:rsid w:val="00635442"/>
    <w:rsid w:val="00635517"/>
    <w:rsid w:val="00635D12"/>
    <w:rsid w:val="006370C2"/>
    <w:rsid w:val="00637AD5"/>
    <w:rsid w:val="00637E55"/>
    <w:rsid w:val="00640457"/>
    <w:rsid w:val="0064077A"/>
    <w:rsid w:val="00640CFE"/>
    <w:rsid w:val="0064177D"/>
    <w:rsid w:val="0064196B"/>
    <w:rsid w:val="00642096"/>
    <w:rsid w:val="006423C4"/>
    <w:rsid w:val="00642B65"/>
    <w:rsid w:val="006430B8"/>
    <w:rsid w:val="006434C6"/>
    <w:rsid w:val="00643CF7"/>
    <w:rsid w:val="006444E1"/>
    <w:rsid w:val="0064450A"/>
    <w:rsid w:val="0064589E"/>
    <w:rsid w:val="00645DDA"/>
    <w:rsid w:val="006467AE"/>
    <w:rsid w:val="0064743D"/>
    <w:rsid w:val="006503FD"/>
    <w:rsid w:val="006509AF"/>
    <w:rsid w:val="00650AF9"/>
    <w:rsid w:val="006514D4"/>
    <w:rsid w:val="00651B68"/>
    <w:rsid w:val="00651C42"/>
    <w:rsid w:val="006522A3"/>
    <w:rsid w:val="00652910"/>
    <w:rsid w:val="00652976"/>
    <w:rsid w:val="006535B6"/>
    <w:rsid w:val="00653BE9"/>
    <w:rsid w:val="0065456F"/>
    <w:rsid w:val="0065489F"/>
    <w:rsid w:val="00654EDF"/>
    <w:rsid w:val="00654F47"/>
    <w:rsid w:val="006552BC"/>
    <w:rsid w:val="0065558A"/>
    <w:rsid w:val="006560AE"/>
    <w:rsid w:val="00656DD6"/>
    <w:rsid w:val="00656F9D"/>
    <w:rsid w:val="0065783D"/>
    <w:rsid w:val="00657934"/>
    <w:rsid w:val="00657A40"/>
    <w:rsid w:val="00657E7E"/>
    <w:rsid w:val="00660134"/>
    <w:rsid w:val="00660155"/>
    <w:rsid w:val="006603BD"/>
    <w:rsid w:val="00661474"/>
    <w:rsid w:val="00661B24"/>
    <w:rsid w:val="00662E72"/>
    <w:rsid w:val="006638BA"/>
    <w:rsid w:val="00663CB6"/>
    <w:rsid w:val="006640CE"/>
    <w:rsid w:val="006649C1"/>
    <w:rsid w:val="00664AE9"/>
    <w:rsid w:val="00664DCD"/>
    <w:rsid w:val="00665120"/>
    <w:rsid w:val="006651D5"/>
    <w:rsid w:val="00666114"/>
    <w:rsid w:val="006677D6"/>
    <w:rsid w:val="006704E9"/>
    <w:rsid w:val="006706EC"/>
    <w:rsid w:val="00670E4E"/>
    <w:rsid w:val="00670F22"/>
    <w:rsid w:val="006720FF"/>
    <w:rsid w:val="006723CD"/>
    <w:rsid w:val="006726BC"/>
    <w:rsid w:val="00672EEA"/>
    <w:rsid w:val="00672F5B"/>
    <w:rsid w:val="00673B39"/>
    <w:rsid w:val="006742F4"/>
    <w:rsid w:val="00674D07"/>
    <w:rsid w:val="00674D19"/>
    <w:rsid w:val="00675655"/>
    <w:rsid w:val="0067597C"/>
    <w:rsid w:val="0067744A"/>
    <w:rsid w:val="00677B47"/>
    <w:rsid w:val="00677D93"/>
    <w:rsid w:val="00677EAB"/>
    <w:rsid w:val="00680071"/>
    <w:rsid w:val="0068041A"/>
    <w:rsid w:val="00680575"/>
    <w:rsid w:val="006809B9"/>
    <w:rsid w:val="00680E36"/>
    <w:rsid w:val="00681AF1"/>
    <w:rsid w:val="00681D36"/>
    <w:rsid w:val="0068247E"/>
    <w:rsid w:val="006832BA"/>
    <w:rsid w:val="006833B7"/>
    <w:rsid w:val="00683FDC"/>
    <w:rsid w:val="00684E79"/>
    <w:rsid w:val="0068507C"/>
    <w:rsid w:val="00685FA5"/>
    <w:rsid w:val="006861A9"/>
    <w:rsid w:val="006861F7"/>
    <w:rsid w:val="00686963"/>
    <w:rsid w:val="00686EA7"/>
    <w:rsid w:val="00686F4B"/>
    <w:rsid w:val="00687D7B"/>
    <w:rsid w:val="00687F98"/>
    <w:rsid w:val="00690153"/>
    <w:rsid w:val="006901BA"/>
    <w:rsid w:val="006901CF"/>
    <w:rsid w:val="00690356"/>
    <w:rsid w:val="00691163"/>
    <w:rsid w:val="00691B05"/>
    <w:rsid w:val="00691ED2"/>
    <w:rsid w:val="00691FDF"/>
    <w:rsid w:val="0069212F"/>
    <w:rsid w:val="006925EF"/>
    <w:rsid w:val="00692CCF"/>
    <w:rsid w:val="00692EA5"/>
    <w:rsid w:val="00692FD1"/>
    <w:rsid w:val="00693BBA"/>
    <w:rsid w:val="00693C07"/>
    <w:rsid w:val="006945F6"/>
    <w:rsid w:val="00694691"/>
    <w:rsid w:val="00694E9D"/>
    <w:rsid w:val="00697381"/>
    <w:rsid w:val="006973DF"/>
    <w:rsid w:val="00697E25"/>
    <w:rsid w:val="00697EF3"/>
    <w:rsid w:val="006A0C3A"/>
    <w:rsid w:val="006A0CDA"/>
    <w:rsid w:val="006A0D46"/>
    <w:rsid w:val="006A0D80"/>
    <w:rsid w:val="006A129F"/>
    <w:rsid w:val="006A1520"/>
    <w:rsid w:val="006A19BD"/>
    <w:rsid w:val="006A24AC"/>
    <w:rsid w:val="006A2CE6"/>
    <w:rsid w:val="006A3D53"/>
    <w:rsid w:val="006A4222"/>
    <w:rsid w:val="006A43D9"/>
    <w:rsid w:val="006A4D12"/>
    <w:rsid w:val="006A5020"/>
    <w:rsid w:val="006A549F"/>
    <w:rsid w:val="006A5533"/>
    <w:rsid w:val="006A6FA8"/>
    <w:rsid w:val="006A7787"/>
    <w:rsid w:val="006A7803"/>
    <w:rsid w:val="006B0766"/>
    <w:rsid w:val="006B155D"/>
    <w:rsid w:val="006B168B"/>
    <w:rsid w:val="006B2140"/>
    <w:rsid w:val="006B2418"/>
    <w:rsid w:val="006B2A9A"/>
    <w:rsid w:val="006B2AF9"/>
    <w:rsid w:val="006B49B7"/>
    <w:rsid w:val="006B53C1"/>
    <w:rsid w:val="006B5462"/>
    <w:rsid w:val="006B55B1"/>
    <w:rsid w:val="006B5B44"/>
    <w:rsid w:val="006B5C33"/>
    <w:rsid w:val="006B612D"/>
    <w:rsid w:val="006B657D"/>
    <w:rsid w:val="006B695D"/>
    <w:rsid w:val="006B69C2"/>
    <w:rsid w:val="006B6BBF"/>
    <w:rsid w:val="006B6D29"/>
    <w:rsid w:val="006C0086"/>
    <w:rsid w:val="006C009C"/>
    <w:rsid w:val="006C0256"/>
    <w:rsid w:val="006C02B6"/>
    <w:rsid w:val="006C0C08"/>
    <w:rsid w:val="006C2643"/>
    <w:rsid w:val="006C270E"/>
    <w:rsid w:val="006C3040"/>
    <w:rsid w:val="006C35D4"/>
    <w:rsid w:val="006C4E65"/>
    <w:rsid w:val="006C5030"/>
    <w:rsid w:val="006C589D"/>
    <w:rsid w:val="006C5B27"/>
    <w:rsid w:val="006C5DBE"/>
    <w:rsid w:val="006C67DC"/>
    <w:rsid w:val="006C6AE5"/>
    <w:rsid w:val="006C73BE"/>
    <w:rsid w:val="006C78F3"/>
    <w:rsid w:val="006C79C4"/>
    <w:rsid w:val="006C79E2"/>
    <w:rsid w:val="006C7AFF"/>
    <w:rsid w:val="006C7E68"/>
    <w:rsid w:val="006C7FEA"/>
    <w:rsid w:val="006D0B1D"/>
    <w:rsid w:val="006D0E89"/>
    <w:rsid w:val="006D1519"/>
    <w:rsid w:val="006D17B8"/>
    <w:rsid w:val="006D18AE"/>
    <w:rsid w:val="006D1B89"/>
    <w:rsid w:val="006D2334"/>
    <w:rsid w:val="006D34F9"/>
    <w:rsid w:val="006D41B9"/>
    <w:rsid w:val="006D472F"/>
    <w:rsid w:val="006D4B46"/>
    <w:rsid w:val="006D5C3D"/>
    <w:rsid w:val="006D6270"/>
    <w:rsid w:val="006D62C5"/>
    <w:rsid w:val="006D6D52"/>
    <w:rsid w:val="006E068D"/>
    <w:rsid w:val="006E0CFC"/>
    <w:rsid w:val="006E197F"/>
    <w:rsid w:val="006E2109"/>
    <w:rsid w:val="006E23D2"/>
    <w:rsid w:val="006E2898"/>
    <w:rsid w:val="006E2A17"/>
    <w:rsid w:val="006E449C"/>
    <w:rsid w:val="006E47A8"/>
    <w:rsid w:val="006E4827"/>
    <w:rsid w:val="006E5040"/>
    <w:rsid w:val="006E5792"/>
    <w:rsid w:val="006E5906"/>
    <w:rsid w:val="006E6E87"/>
    <w:rsid w:val="006E7262"/>
    <w:rsid w:val="006E7408"/>
    <w:rsid w:val="006F0A04"/>
    <w:rsid w:val="006F183A"/>
    <w:rsid w:val="006F2299"/>
    <w:rsid w:val="006F23F2"/>
    <w:rsid w:val="006F2A34"/>
    <w:rsid w:val="006F35E6"/>
    <w:rsid w:val="006F3AA1"/>
    <w:rsid w:val="006F3AA7"/>
    <w:rsid w:val="006F4A84"/>
    <w:rsid w:val="006F5142"/>
    <w:rsid w:val="006F53CF"/>
    <w:rsid w:val="006F542C"/>
    <w:rsid w:val="006F5650"/>
    <w:rsid w:val="006F5941"/>
    <w:rsid w:val="006F5A11"/>
    <w:rsid w:val="006F5C55"/>
    <w:rsid w:val="006F6661"/>
    <w:rsid w:val="006F6B98"/>
    <w:rsid w:val="0070007B"/>
    <w:rsid w:val="007012A2"/>
    <w:rsid w:val="0070150C"/>
    <w:rsid w:val="00701CE7"/>
    <w:rsid w:val="00701CFD"/>
    <w:rsid w:val="00702DA3"/>
    <w:rsid w:val="0070378B"/>
    <w:rsid w:val="00704777"/>
    <w:rsid w:val="00704799"/>
    <w:rsid w:val="00705086"/>
    <w:rsid w:val="0070553D"/>
    <w:rsid w:val="00705D49"/>
    <w:rsid w:val="00705E1A"/>
    <w:rsid w:val="00705EAF"/>
    <w:rsid w:val="007061CF"/>
    <w:rsid w:val="007061F3"/>
    <w:rsid w:val="007062F2"/>
    <w:rsid w:val="00706339"/>
    <w:rsid w:val="00707538"/>
    <w:rsid w:val="007107E8"/>
    <w:rsid w:val="007109EF"/>
    <w:rsid w:val="00710AE6"/>
    <w:rsid w:val="00712085"/>
    <w:rsid w:val="00712517"/>
    <w:rsid w:val="007125A2"/>
    <w:rsid w:val="00712CEB"/>
    <w:rsid w:val="00714781"/>
    <w:rsid w:val="00714FA5"/>
    <w:rsid w:val="007152D5"/>
    <w:rsid w:val="007158A3"/>
    <w:rsid w:val="00715AC3"/>
    <w:rsid w:val="00716589"/>
    <w:rsid w:val="00716AF6"/>
    <w:rsid w:val="00716D7B"/>
    <w:rsid w:val="00717051"/>
    <w:rsid w:val="00717065"/>
    <w:rsid w:val="0071758E"/>
    <w:rsid w:val="00717D47"/>
    <w:rsid w:val="0072015F"/>
    <w:rsid w:val="0072038B"/>
    <w:rsid w:val="00720559"/>
    <w:rsid w:val="00720A42"/>
    <w:rsid w:val="00720C0B"/>
    <w:rsid w:val="00722A17"/>
    <w:rsid w:val="00722BD7"/>
    <w:rsid w:val="00722D44"/>
    <w:rsid w:val="00723108"/>
    <w:rsid w:val="007235B9"/>
    <w:rsid w:val="00723C67"/>
    <w:rsid w:val="00723FB2"/>
    <w:rsid w:val="00724CDF"/>
    <w:rsid w:val="00724F0A"/>
    <w:rsid w:val="00725041"/>
    <w:rsid w:val="007251E9"/>
    <w:rsid w:val="0072576F"/>
    <w:rsid w:val="00725A67"/>
    <w:rsid w:val="007266CA"/>
    <w:rsid w:val="00727AD7"/>
    <w:rsid w:val="007304C9"/>
    <w:rsid w:val="007307A8"/>
    <w:rsid w:val="007309A3"/>
    <w:rsid w:val="00730DF9"/>
    <w:rsid w:val="007318E4"/>
    <w:rsid w:val="00731997"/>
    <w:rsid w:val="00731DB5"/>
    <w:rsid w:val="00731E1D"/>
    <w:rsid w:val="00731F33"/>
    <w:rsid w:val="00731FC0"/>
    <w:rsid w:val="00732BC8"/>
    <w:rsid w:val="00732F35"/>
    <w:rsid w:val="00733BDD"/>
    <w:rsid w:val="007346E3"/>
    <w:rsid w:val="00734B2A"/>
    <w:rsid w:val="00734D52"/>
    <w:rsid w:val="00734EF7"/>
    <w:rsid w:val="00734F2E"/>
    <w:rsid w:val="0073529D"/>
    <w:rsid w:val="00735E91"/>
    <w:rsid w:val="00736054"/>
    <w:rsid w:val="0073616F"/>
    <w:rsid w:val="007364A2"/>
    <w:rsid w:val="00736679"/>
    <w:rsid w:val="007372B4"/>
    <w:rsid w:val="00737638"/>
    <w:rsid w:val="00737714"/>
    <w:rsid w:val="00740656"/>
    <w:rsid w:val="007412CE"/>
    <w:rsid w:val="007414CB"/>
    <w:rsid w:val="00741992"/>
    <w:rsid w:val="00741B21"/>
    <w:rsid w:val="00743D73"/>
    <w:rsid w:val="007441EF"/>
    <w:rsid w:val="00744DAC"/>
    <w:rsid w:val="00746095"/>
    <w:rsid w:val="00746686"/>
    <w:rsid w:val="007466EE"/>
    <w:rsid w:val="0075068E"/>
    <w:rsid w:val="00750A13"/>
    <w:rsid w:val="00750B96"/>
    <w:rsid w:val="007512F9"/>
    <w:rsid w:val="007517B8"/>
    <w:rsid w:val="00751CBC"/>
    <w:rsid w:val="00752A01"/>
    <w:rsid w:val="00753B18"/>
    <w:rsid w:val="00753B25"/>
    <w:rsid w:val="00753B8B"/>
    <w:rsid w:val="00753E00"/>
    <w:rsid w:val="007551E3"/>
    <w:rsid w:val="0075569C"/>
    <w:rsid w:val="0075635C"/>
    <w:rsid w:val="00756A91"/>
    <w:rsid w:val="00756F18"/>
    <w:rsid w:val="0075769D"/>
    <w:rsid w:val="0075772F"/>
    <w:rsid w:val="007578F3"/>
    <w:rsid w:val="00760155"/>
    <w:rsid w:val="00760706"/>
    <w:rsid w:val="00760B7A"/>
    <w:rsid w:val="00760BC5"/>
    <w:rsid w:val="0076197F"/>
    <w:rsid w:val="00762566"/>
    <w:rsid w:val="00762D11"/>
    <w:rsid w:val="00762D42"/>
    <w:rsid w:val="00762E5C"/>
    <w:rsid w:val="00763853"/>
    <w:rsid w:val="00764233"/>
    <w:rsid w:val="007646D6"/>
    <w:rsid w:val="00764D01"/>
    <w:rsid w:val="007655B2"/>
    <w:rsid w:val="0076600C"/>
    <w:rsid w:val="007671BF"/>
    <w:rsid w:val="0076721C"/>
    <w:rsid w:val="00767235"/>
    <w:rsid w:val="00767717"/>
    <w:rsid w:val="00770DDF"/>
    <w:rsid w:val="007719C7"/>
    <w:rsid w:val="007722C1"/>
    <w:rsid w:val="00772FA9"/>
    <w:rsid w:val="00772FCB"/>
    <w:rsid w:val="007740E6"/>
    <w:rsid w:val="007742DB"/>
    <w:rsid w:val="007746E3"/>
    <w:rsid w:val="0077484E"/>
    <w:rsid w:val="00774DBC"/>
    <w:rsid w:val="00775034"/>
    <w:rsid w:val="007752E4"/>
    <w:rsid w:val="0077582E"/>
    <w:rsid w:val="0077593D"/>
    <w:rsid w:val="007762BC"/>
    <w:rsid w:val="007768F3"/>
    <w:rsid w:val="0077733E"/>
    <w:rsid w:val="00777555"/>
    <w:rsid w:val="00777A2F"/>
    <w:rsid w:val="00777A52"/>
    <w:rsid w:val="007802F2"/>
    <w:rsid w:val="007804FB"/>
    <w:rsid w:val="0078067C"/>
    <w:rsid w:val="007807B0"/>
    <w:rsid w:val="007808F8"/>
    <w:rsid w:val="007811FF"/>
    <w:rsid w:val="00781646"/>
    <w:rsid w:val="007827D1"/>
    <w:rsid w:val="007830E0"/>
    <w:rsid w:val="00783287"/>
    <w:rsid w:val="00783341"/>
    <w:rsid w:val="00783510"/>
    <w:rsid w:val="007845EA"/>
    <w:rsid w:val="007863DB"/>
    <w:rsid w:val="007866C1"/>
    <w:rsid w:val="00786A92"/>
    <w:rsid w:val="00786B80"/>
    <w:rsid w:val="007872D5"/>
    <w:rsid w:val="00787321"/>
    <w:rsid w:val="0078769D"/>
    <w:rsid w:val="00787DC3"/>
    <w:rsid w:val="00790544"/>
    <w:rsid w:val="0079091B"/>
    <w:rsid w:val="00790A55"/>
    <w:rsid w:val="00790BE4"/>
    <w:rsid w:val="00790E63"/>
    <w:rsid w:val="007915C3"/>
    <w:rsid w:val="007918F9"/>
    <w:rsid w:val="00791A3C"/>
    <w:rsid w:val="00792334"/>
    <w:rsid w:val="007926A1"/>
    <w:rsid w:val="00792F21"/>
    <w:rsid w:val="00793C4F"/>
    <w:rsid w:val="00794539"/>
    <w:rsid w:val="00794B86"/>
    <w:rsid w:val="007954E5"/>
    <w:rsid w:val="0079562B"/>
    <w:rsid w:val="00795B5C"/>
    <w:rsid w:val="0079708D"/>
    <w:rsid w:val="007A0063"/>
    <w:rsid w:val="007A043A"/>
    <w:rsid w:val="007A058B"/>
    <w:rsid w:val="007A0FCD"/>
    <w:rsid w:val="007A18D8"/>
    <w:rsid w:val="007A3A83"/>
    <w:rsid w:val="007A3E2B"/>
    <w:rsid w:val="007A453D"/>
    <w:rsid w:val="007A4561"/>
    <w:rsid w:val="007A4D55"/>
    <w:rsid w:val="007A527E"/>
    <w:rsid w:val="007A6288"/>
    <w:rsid w:val="007A6D60"/>
    <w:rsid w:val="007A74B3"/>
    <w:rsid w:val="007A75EA"/>
    <w:rsid w:val="007B136A"/>
    <w:rsid w:val="007B2F20"/>
    <w:rsid w:val="007B366E"/>
    <w:rsid w:val="007B3951"/>
    <w:rsid w:val="007B3C28"/>
    <w:rsid w:val="007B4CC9"/>
    <w:rsid w:val="007B5183"/>
    <w:rsid w:val="007B52FF"/>
    <w:rsid w:val="007B5604"/>
    <w:rsid w:val="007B5723"/>
    <w:rsid w:val="007B5727"/>
    <w:rsid w:val="007B5F04"/>
    <w:rsid w:val="007B6A06"/>
    <w:rsid w:val="007B6A46"/>
    <w:rsid w:val="007B7098"/>
    <w:rsid w:val="007B715C"/>
    <w:rsid w:val="007B7E9A"/>
    <w:rsid w:val="007C00EF"/>
    <w:rsid w:val="007C0E91"/>
    <w:rsid w:val="007C0FCF"/>
    <w:rsid w:val="007C138E"/>
    <w:rsid w:val="007C1BBD"/>
    <w:rsid w:val="007C2443"/>
    <w:rsid w:val="007C2B18"/>
    <w:rsid w:val="007C3198"/>
    <w:rsid w:val="007C3B09"/>
    <w:rsid w:val="007C3CDA"/>
    <w:rsid w:val="007C471A"/>
    <w:rsid w:val="007C59CC"/>
    <w:rsid w:val="007C5BE7"/>
    <w:rsid w:val="007C607B"/>
    <w:rsid w:val="007C6577"/>
    <w:rsid w:val="007C6FE9"/>
    <w:rsid w:val="007C70D6"/>
    <w:rsid w:val="007C7116"/>
    <w:rsid w:val="007C7143"/>
    <w:rsid w:val="007C750E"/>
    <w:rsid w:val="007D0986"/>
    <w:rsid w:val="007D0DC6"/>
    <w:rsid w:val="007D139D"/>
    <w:rsid w:val="007D1886"/>
    <w:rsid w:val="007D1EFA"/>
    <w:rsid w:val="007D2973"/>
    <w:rsid w:val="007D394D"/>
    <w:rsid w:val="007D4206"/>
    <w:rsid w:val="007D43F6"/>
    <w:rsid w:val="007D45DF"/>
    <w:rsid w:val="007D4E4A"/>
    <w:rsid w:val="007D5040"/>
    <w:rsid w:val="007D50A9"/>
    <w:rsid w:val="007D53F1"/>
    <w:rsid w:val="007D5AC2"/>
    <w:rsid w:val="007D712E"/>
    <w:rsid w:val="007D745B"/>
    <w:rsid w:val="007E0496"/>
    <w:rsid w:val="007E2221"/>
    <w:rsid w:val="007E2501"/>
    <w:rsid w:val="007E3DD9"/>
    <w:rsid w:val="007E415C"/>
    <w:rsid w:val="007E4CA8"/>
    <w:rsid w:val="007E7861"/>
    <w:rsid w:val="007E7B11"/>
    <w:rsid w:val="007F09F7"/>
    <w:rsid w:val="007F0ECE"/>
    <w:rsid w:val="007F1D74"/>
    <w:rsid w:val="007F2001"/>
    <w:rsid w:val="007F4885"/>
    <w:rsid w:val="007F5379"/>
    <w:rsid w:val="007F60AD"/>
    <w:rsid w:val="007F66C8"/>
    <w:rsid w:val="007F78FB"/>
    <w:rsid w:val="00800542"/>
    <w:rsid w:val="00801050"/>
    <w:rsid w:val="008011B5"/>
    <w:rsid w:val="00801D3A"/>
    <w:rsid w:val="00803EEE"/>
    <w:rsid w:val="008042C2"/>
    <w:rsid w:val="008047A0"/>
    <w:rsid w:val="00804E78"/>
    <w:rsid w:val="00804F32"/>
    <w:rsid w:val="0080500D"/>
    <w:rsid w:val="008075FF"/>
    <w:rsid w:val="00807DC7"/>
    <w:rsid w:val="00810AD8"/>
    <w:rsid w:val="008110F0"/>
    <w:rsid w:val="00811457"/>
    <w:rsid w:val="0081145C"/>
    <w:rsid w:val="00811833"/>
    <w:rsid w:val="00811961"/>
    <w:rsid w:val="00811BCC"/>
    <w:rsid w:val="00811D5F"/>
    <w:rsid w:val="0081392B"/>
    <w:rsid w:val="0081572D"/>
    <w:rsid w:val="00815774"/>
    <w:rsid w:val="00815941"/>
    <w:rsid w:val="0081602A"/>
    <w:rsid w:val="00816EEA"/>
    <w:rsid w:val="008174B2"/>
    <w:rsid w:val="008203B4"/>
    <w:rsid w:val="008207F7"/>
    <w:rsid w:val="00820828"/>
    <w:rsid w:val="00820CDE"/>
    <w:rsid w:val="00821509"/>
    <w:rsid w:val="00821671"/>
    <w:rsid w:val="0082293D"/>
    <w:rsid w:val="00822E32"/>
    <w:rsid w:val="0082334A"/>
    <w:rsid w:val="008237B2"/>
    <w:rsid w:val="00823B8D"/>
    <w:rsid w:val="00824E1D"/>
    <w:rsid w:val="00825421"/>
    <w:rsid w:val="008254D4"/>
    <w:rsid w:val="00827564"/>
    <w:rsid w:val="00827B4C"/>
    <w:rsid w:val="00827BB9"/>
    <w:rsid w:val="00827E87"/>
    <w:rsid w:val="00830BC7"/>
    <w:rsid w:val="00830F52"/>
    <w:rsid w:val="00831380"/>
    <w:rsid w:val="00831C9C"/>
    <w:rsid w:val="00832030"/>
    <w:rsid w:val="00832B3D"/>
    <w:rsid w:val="00833044"/>
    <w:rsid w:val="00833E56"/>
    <w:rsid w:val="00833ED2"/>
    <w:rsid w:val="008349F1"/>
    <w:rsid w:val="00834E02"/>
    <w:rsid w:val="0083666D"/>
    <w:rsid w:val="00840EA1"/>
    <w:rsid w:val="008415B6"/>
    <w:rsid w:val="00841A8D"/>
    <w:rsid w:val="00842AC9"/>
    <w:rsid w:val="00842C84"/>
    <w:rsid w:val="00843244"/>
    <w:rsid w:val="008441F9"/>
    <w:rsid w:val="00844A11"/>
    <w:rsid w:val="008456BB"/>
    <w:rsid w:val="00845E2A"/>
    <w:rsid w:val="00847356"/>
    <w:rsid w:val="00847532"/>
    <w:rsid w:val="00847755"/>
    <w:rsid w:val="00847864"/>
    <w:rsid w:val="0084791C"/>
    <w:rsid w:val="008479F9"/>
    <w:rsid w:val="008501F3"/>
    <w:rsid w:val="00850938"/>
    <w:rsid w:val="008510A0"/>
    <w:rsid w:val="008517C9"/>
    <w:rsid w:val="008518AD"/>
    <w:rsid w:val="00851E41"/>
    <w:rsid w:val="008524F1"/>
    <w:rsid w:val="0085273C"/>
    <w:rsid w:val="00852D47"/>
    <w:rsid w:val="00853159"/>
    <w:rsid w:val="008538AA"/>
    <w:rsid w:val="00853B3F"/>
    <w:rsid w:val="00854947"/>
    <w:rsid w:val="00855021"/>
    <w:rsid w:val="00855096"/>
    <w:rsid w:val="00855772"/>
    <w:rsid w:val="0085682F"/>
    <w:rsid w:val="00856AEA"/>
    <w:rsid w:val="00856F9B"/>
    <w:rsid w:val="00857B99"/>
    <w:rsid w:val="00857C91"/>
    <w:rsid w:val="00857D1C"/>
    <w:rsid w:val="008602AD"/>
    <w:rsid w:val="0086043B"/>
    <w:rsid w:val="00860513"/>
    <w:rsid w:val="00862F2E"/>
    <w:rsid w:val="008631B7"/>
    <w:rsid w:val="008636C1"/>
    <w:rsid w:val="00864436"/>
    <w:rsid w:val="00864821"/>
    <w:rsid w:val="00864B3A"/>
    <w:rsid w:val="008651BA"/>
    <w:rsid w:val="00865504"/>
    <w:rsid w:val="00865AF6"/>
    <w:rsid w:val="00865B0B"/>
    <w:rsid w:val="00865B8C"/>
    <w:rsid w:val="008664FD"/>
    <w:rsid w:val="00867EB4"/>
    <w:rsid w:val="0087023D"/>
    <w:rsid w:val="008708DC"/>
    <w:rsid w:val="008708ED"/>
    <w:rsid w:val="00870B51"/>
    <w:rsid w:val="008721B3"/>
    <w:rsid w:val="0087224B"/>
    <w:rsid w:val="008745BC"/>
    <w:rsid w:val="00874C12"/>
    <w:rsid w:val="00875028"/>
    <w:rsid w:val="00875B61"/>
    <w:rsid w:val="00876335"/>
    <w:rsid w:val="008769D2"/>
    <w:rsid w:val="00876CA6"/>
    <w:rsid w:val="00876D91"/>
    <w:rsid w:val="00876D9B"/>
    <w:rsid w:val="00876F54"/>
    <w:rsid w:val="008774BE"/>
    <w:rsid w:val="0088023C"/>
    <w:rsid w:val="0088053D"/>
    <w:rsid w:val="00881122"/>
    <w:rsid w:val="00882A1B"/>
    <w:rsid w:val="0088354A"/>
    <w:rsid w:val="008837CD"/>
    <w:rsid w:val="00883EA9"/>
    <w:rsid w:val="00883EC8"/>
    <w:rsid w:val="0088426A"/>
    <w:rsid w:val="00884A1A"/>
    <w:rsid w:val="008856D7"/>
    <w:rsid w:val="00885804"/>
    <w:rsid w:val="00885E37"/>
    <w:rsid w:val="0088633E"/>
    <w:rsid w:val="008869F5"/>
    <w:rsid w:val="0088744E"/>
    <w:rsid w:val="008879AD"/>
    <w:rsid w:val="00887B28"/>
    <w:rsid w:val="008919AB"/>
    <w:rsid w:val="008919D7"/>
    <w:rsid w:val="0089226B"/>
    <w:rsid w:val="00892CF1"/>
    <w:rsid w:val="00892DAB"/>
    <w:rsid w:val="00893061"/>
    <w:rsid w:val="00893A69"/>
    <w:rsid w:val="008948B7"/>
    <w:rsid w:val="00894A74"/>
    <w:rsid w:val="00894CEA"/>
    <w:rsid w:val="00894E67"/>
    <w:rsid w:val="008954A4"/>
    <w:rsid w:val="00895B41"/>
    <w:rsid w:val="00895F6A"/>
    <w:rsid w:val="00896235"/>
    <w:rsid w:val="00896D93"/>
    <w:rsid w:val="00897183"/>
    <w:rsid w:val="0089751B"/>
    <w:rsid w:val="00897DA6"/>
    <w:rsid w:val="00897F8D"/>
    <w:rsid w:val="008A09F4"/>
    <w:rsid w:val="008A0C5D"/>
    <w:rsid w:val="008A1A2D"/>
    <w:rsid w:val="008A1ACA"/>
    <w:rsid w:val="008A28D8"/>
    <w:rsid w:val="008A334D"/>
    <w:rsid w:val="008A3456"/>
    <w:rsid w:val="008A34D9"/>
    <w:rsid w:val="008A38D4"/>
    <w:rsid w:val="008A3BA1"/>
    <w:rsid w:val="008A3EB1"/>
    <w:rsid w:val="008A444F"/>
    <w:rsid w:val="008A4922"/>
    <w:rsid w:val="008A4C1B"/>
    <w:rsid w:val="008A4F7A"/>
    <w:rsid w:val="008A573A"/>
    <w:rsid w:val="008A585E"/>
    <w:rsid w:val="008A5AE0"/>
    <w:rsid w:val="008A6065"/>
    <w:rsid w:val="008A6868"/>
    <w:rsid w:val="008A68E8"/>
    <w:rsid w:val="008A6F16"/>
    <w:rsid w:val="008A70A0"/>
    <w:rsid w:val="008A7EF2"/>
    <w:rsid w:val="008B0AC2"/>
    <w:rsid w:val="008B0B11"/>
    <w:rsid w:val="008B1AB9"/>
    <w:rsid w:val="008B1B16"/>
    <w:rsid w:val="008B27F6"/>
    <w:rsid w:val="008B3BAB"/>
    <w:rsid w:val="008B4281"/>
    <w:rsid w:val="008B4623"/>
    <w:rsid w:val="008B52AA"/>
    <w:rsid w:val="008B5DFA"/>
    <w:rsid w:val="008B6BA6"/>
    <w:rsid w:val="008B6BB3"/>
    <w:rsid w:val="008B6F68"/>
    <w:rsid w:val="008B76C1"/>
    <w:rsid w:val="008B7B14"/>
    <w:rsid w:val="008C0D85"/>
    <w:rsid w:val="008C15FF"/>
    <w:rsid w:val="008C269A"/>
    <w:rsid w:val="008C2B25"/>
    <w:rsid w:val="008C31AB"/>
    <w:rsid w:val="008C3C85"/>
    <w:rsid w:val="008C4187"/>
    <w:rsid w:val="008C428A"/>
    <w:rsid w:val="008C4951"/>
    <w:rsid w:val="008C4A9B"/>
    <w:rsid w:val="008C5351"/>
    <w:rsid w:val="008C612A"/>
    <w:rsid w:val="008C6273"/>
    <w:rsid w:val="008C69AC"/>
    <w:rsid w:val="008C6BDD"/>
    <w:rsid w:val="008C6CDE"/>
    <w:rsid w:val="008C72B4"/>
    <w:rsid w:val="008C741E"/>
    <w:rsid w:val="008C7825"/>
    <w:rsid w:val="008C78AA"/>
    <w:rsid w:val="008C7921"/>
    <w:rsid w:val="008D0817"/>
    <w:rsid w:val="008D0B9A"/>
    <w:rsid w:val="008D1102"/>
    <w:rsid w:val="008D189C"/>
    <w:rsid w:val="008D2175"/>
    <w:rsid w:val="008D2407"/>
    <w:rsid w:val="008D26B8"/>
    <w:rsid w:val="008D2A9A"/>
    <w:rsid w:val="008D2CD6"/>
    <w:rsid w:val="008D33EE"/>
    <w:rsid w:val="008D42DD"/>
    <w:rsid w:val="008D46DC"/>
    <w:rsid w:val="008D506F"/>
    <w:rsid w:val="008D54D9"/>
    <w:rsid w:val="008D596A"/>
    <w:rsid w:val="008D6299"/>
    <w:rsid w:val="008D7EC6"/>
    <w:rsid w:val="008D7FD7"/>
    <w:rsid w:val="008E0420"/>
    <w:rsid w:val="008E0EA5"/>
    <w:rsid w:val="008E1595"/>
    <w:rsid w:val="008E18D3"/>
    <w:rsid w:val="008E19FA"/>
    <w:rsid w:val="008E2113"/>
    <w:rsid w:val="008E2796"/>
    <w:rsid w:val="008E295E"/>
    <w:rsid w:val="008E2FFD"/>
    <w:rsid w:val="008E31D4"/>
    <w:rsid w:val="008E379C"/>
    <w:rsid w:val="008E40AC"/>
    <w:rsid w:val="008E54DA"/>
    <w:rsid w:val="008E5C76"/>
    <w:rsid w:val="008E5CF3"/>
    <w:rsid w:val="008E749D"/>
    <w:rsid w:val="008E7EC5"/>
    <w:rsid w:val="008F1843"/>
    <w:rsid w:val="008F2513"/>
    <w:rsid w:val="008F369D"/>
    <w:rsid w:val="008F3FD6"/>
    <w:rsid w:val="008F42BC"/>
    <w:rsid w:val="008F4479"/>
    <w:rsid w:val="008F45FA"/>
    <w:rsid w:val="008F543F"/>
    <w:rsid w:val="008F5DF3"/>
    <w:rsid w:val="008F5FD8"/>
    <w:rsid w:val="008F704A"/>
    <w:rsid w:val="00900DB8"/>
    <w:rsid w:val="0090131D"/>
    <w:rsid w:val="00901995"/>
    <w:rsid w:val="0090219B"/>
    <w:rsid w:val="00902556"/>
    <w:rsid w:val="00902EA4"/>
    <w:rsid w:val="00903B64"/>
    <w:rsid w:val="00903F15"/>
    <w:rsid w:val="009044B8"/>
    <w:rsid w:val="009049AD"/>
    <w:rsid w:val="00905110"/>
    <w:rsid w:val="009056AC"/>
    <w:rsid w:val="009056B7"/>
    <w:rsid w:val="00906133"/>
    <w:rsid w:val="00906441"/>
    <w:rsid w:val="00906D18"/>
    <w:rsid w:val="00906F2B"/>
    <w:rsid w:val="0090709F"/>
    <w:rsid w:val="00907436"/>
    <w:rsid w:val="00907483"/>
    <w:rsid w:val="009074C6"/>
    <w:rsid w:val="00910BB8"/>
    <w:rsid w:val="009116DB"/>
    <w:rsid w:val="00911A22"/>
    <w:rsid w:val="00911C29"/>
    <w:rsid w:val="00912484"/>
    <w:rsid w:val="00912C78"/>
    <w:rsid w:val="00913189"/>
    <w:rsid w:val="009132B4"/>
    <w:rsid w:val="00917DEE"/>
    <w:rsid w:val="00920090"/>
    <w:rsid w:val="009204CF"/>
    <w:rsid w:val="0092083C"/>
    <w:rsid w:val="00921113"/>
    <w:rsid w:val="009215AA"/>
    <w:rsid w:val="00921605"/>
    <w:rsid w:val="00923051"/>
    <w:rsid w:val="0092461E"/>
    <w:rsid w:val="00924783"/>
    <w:rsid w:val="00924BC8"/>
    <w:rsid w:val="0092659A"/>
    <w:rsid w:val="009268FB"/>
    <w:rsid w:val="00927026"/>
    <w:rsid w:val="00927191"/>
    <w:rsid w:val="00927772"/>
    <w:rsid w:val="009277D6"/>
    <w:rsid w:val="00930300"/>
    <w:rsid w:val="00930636"/>
    <w:rsid w:val="00930862"/>
    <w:rsid w:val="00930F75"/>
    <w:rsid w:val="0093176A"/>
    <w:rsid w:val="0093200A"/>
    <w:rsid w:val="0093249E"/>
    <w:rsid w:val="009329B4"/>
    <w:rsid w:val="009338EE"/>
    <w:rsid w:val="00933ADD"/>
    <w:rsid w:val="00933C0B"/>
    <w:rsid w:val="00933C4D"/>
    <w:rsid w:val="00933F6B"/>
    <w:rsid w:val="009345F1"/>
    <w:rsid w:val="00934673"/>
    <w:rsid w:val="00934A3E"/>
    <w:rsid w:val="00935455"/>
    <w:rsid w:val="009355CC"/>
    <w:rsid w:val="009358D3"/>
    <w:rsid w:val="00936087"/>
    <w:rsid w:val="009362D4"/>
    <w:rsid w:val="009367AC"/>
    <w:rsid w:val="0093780C"/>
    <w:rsid w:val="00940151"/>
    <w:rsid w:val="00940F44"/>
    <w:rsid w:val="00941759"/>
    <w:rsid w:val="0094294B"/>
    <w:rsid w:val="00942DB2"/>
    <w:rsid w:val="00942DEE"/>
    <w:rsid w:val="00943BC3"/>
    <w:rsid w:val="00943C36"/>
    <w:rsid w:val="00943CBB"/>
    <w:rsid w:val="00943DED"/>
    <w:rsid w:val="00944840"/>
    <w:rsid w:val="00944B81"/>
    <w:rsid w:val="00944C24"/>
    <w:rsid w:val="00944DE3"/>
    <w:rsid w:val="0094562F"/>
    <w:rsid w:val="009461CE"/>
    <w:rsid w:val="0094653B"/>
    <w:rsid w:val="00947823"/>
    <w:rsid w:val="00947AD1"/>
    <w:rsid w:val="00947E78"/>
    <w:rsid w:val="0095004A"/>
    <w:rsid w:val="009500A2"/>
    <w:rsid w:val="00950426"/>
    <w:rsid w:val="00950686"/>
    <w:rsid w:val="00950A64"/>
    <w:rsid w:val="00950C50"/>
    <w:rsid w:val="00950F1F"/>
    <w:rsid w:val="009512C7"/>
    <w:rsid w:val="00952763"/>
    <w:rsid w:val="0095391B"/>
    <w:rsid w:val="00954256"/>
    <w:rsid w:val="009542CD"/>
    <w:rsid w:val="009550C6"/>
    <w:rsid w:val="00956A50"/>
    <w:rsid w:val="009570DA"/>
    <w:rsid w:val="0095716E"/>
    <w:rsid w:val="0095725C"/>
    <w:rsid w:val="00957592"/>
    <w:rsid w:val="00957DBA"/>
    <w:rsid w:val="009600BB"/>
    <w:rsid w:val="00960ABD"/>
    <w:rsid w:val="00960BE9"/>
    <w:rsid w:val="00960D9E"/>
    <w:rsid w:val="00960E8E"/>
    <w:rsid w:val="009615AD"/>
    <w:rsid w:val="009619B6"/>
    <w:rsid w:val="00961A07"/>
    <w:rsid w:val="00961B4A"/>
    <w:rsid w:val="00961E6B"/>
    <w:rsid w:val="0096362A"/>
    <w:rsid w:val="0096368A"/>
    <w:rsid w:val="00963CF6"/>
    <w:rsid w:val="00964018"/>
    <w:rsid w:val="009646D5"/>
    <w:rsid w:val="00965781"/>
    <w:rsid w:val="00966174"/>
    <w:rsid w:val="00966733"/>
    <w:rsid w:val="0096712A"/>
    <w:rsid w:val="00967499"/>
    <w:rsid w:val="009679BD"/>
    <w:rsid w:val="00967F2F"/>
    <w:rsid w:val="009707C0"/>
    <w:rsid w:val="00971BB7"/>
    <w:rsid w:val="009730B9"/>
    <w:rsid w:val="009734AC"/>
    <w:rsid w:val="009736AD"/>
    <w:rsid w:val="00973C0B"/>
    <w:rsid w:val="00975B57"/>
    <w:rsid w:val="009768F8"/>
    <w:rsid w:val="009771A7"/>
    <w:rsid w:val="00977333"/>
    <w:rsid w:val="00977B23"/>
    <w:rsid w:val="009805BD"/>
    <w:rsid w:val="009807E9"/>
    <w:rsid w:val="00980B23"/>
    <w:rsid w:val="009819AD"/>
    <w:rsid w:val="009839D8"/>
    <w:rsid w:val="00984331"/>
    <w:rsid w:val="009847EF"/>
    <w:rsid w:val="00984EEE"/>
    <w:rsid w:val="00985CC8"/>
    <w:rsid w:val="009863AF"/>
    <w:rsid w:val="009863EB"/>
    <w:rsid w:val="0098680E"/>
    <w:rsid w:val="0098771D"/>
    <w:rsid w:val="009878B8"/>
    <w:rsid w:val="0099032D"/>
    <w:rsid w:val="00990498"/>
    <w:rsid w:val="009910C9"/>
    <w:rsid w:val="009912E9"/>
    <w:rsid w:val="009912F8"/>
    <w:rsid w:val="00991A86"/>
    <w:rsid w:val="00992041"/>
    <w:rsid w:val="00992055"/>
    <w:rsid w:val="00992243"/>
    <w:rsid w:val="00992F7D"/>
    <w:rsid w:val="009936E4"/>
    <w:rsid w:val="009952CF"/>
    <w:rsid w:val="00995363"/>
    <w:rsid w:val="009953F0"/>
    <w:rsid w:val="009963A2"/>
    <w:rsid w:val="00996845"/>
    <w:rsid w:val="0099711B"/>
    <w:rsid w:val="0099733D"/>
    <w:rsid w:val="00997906"/>
    <w:rsid w:val="00997CB4"/>
    <w:rsid w:val="00997D5D"/>
    <w:rsid w:val="00997F41"/>
    <w:rsid w:val="009A0150"/>
    <w:rsid w:val="009A0730"/>
    <w:rsid w:val="009A0AA0"/>
    <w:rsid w:val="009A0B9F"/>
    <w:rsid w:val="009A0CA8"/>
    <w:rsid w:val="009A15D2"/>
    <w:rsid w:val="009A2152"/>
    <w:rsid w:val="009A36CA"/>
    <w:rsid w:val="009A4CCA"/>
    <w:rsid w:val="009A4E5A"/>
    <w:rsid w:val="009A5918"/>
    <w:rsid w:val="009A5C92"/>
    <w:rsid w:val="009A6B3D"/>
    <w:rsid w:val="009B1645"/>
    <w:rsid w:val="009B1B3A"/>
    <w:rsid w:val="009B1CC3"/>
    <w:rsid w:val="009B28EA"/>
    <w:rsid w:val="009B2B7F"/>
    <w:rsid w:val="009B2DE7"/>
    <w:rsid w:val="009B38E8"/>
    <w:rsid w:val="009B3E39"/>
    <w:rsid w:val="009B4B0B"/>
    <w:rsid w:val="009B5A83"/>
    <w:rsid w:val="009B66F7"/>
    <w:rsid w:val="009B6886"/>
    <w:rsid w:val="009B74D8"/>
    <w:rsid w:val="009B778D"/>
    <w:rsid w:val="009B79A4"/>
    <w:rsid w:val="009C10EE"/>
    <w:rsid w:val="009C1506"/>
    <w:rsid w:val="009C2459"/>
    <w:rsid w:val="009C28B1"/>
    <w:rsid w:val="009C3030"/>
    <w:rsid w:val="009C3060"/>
    <w:rsid w:val="009C31DF"/>
    <w:rsid w:val="009C3A87"/>
    <w:rsid w:val="009C488C"/>
    <w:rsid w:val="009C5585"/>
    <w:rsid w:val="009C58AE"/>
    <w:rsid w:val="009C5E33"/>
    <w:rsid w:val="009C70AA"/>
    <w:rsid w:val="009C7A51"/>
    <w:rsid w:val="009D00D9"/>
    <w:rsid w:val="009D013E"/>
    <w:rsid w:val="009D0B60"/>
    <w:rsid w:val="009D1C2D"/>
    <w:rsid w:val="009D1E95"/>
    <w:rsid w:val="009D2CD7"/>
    <w:rsid w:val="009D2E5C"/>
    <w:rsid w:val="009D2E7A"/>
    <w:rsid w:val="009D3CE0"/>
    <w:rsid w:val="009D3FC0"/>
    <w:rsid w:val="009D5625"/>
    <w:rsid w:val="009D6208"/>
    <w:rsid w:val="009D692E"/>
    <w:rsid w:val="009D6B5F"/>
    <w:rsid w:val="009D6C28"/>
    <w:rsid w:val="009D7CB4"/>
    <w:rsid w:val="009E05B1"/>
    <w:rsid w:val="009E1BA2"/>
    <w:rsid w:val="009E326F"/>
    <w:rsid w:val="009E5300"/>
    <w:rsid w:val="009E55A6"/>
    <w:rsid w:val="009E5B23"/>
    <w:rsid w:val="009E5CD5"/>
    <w:rsid w:val="009E6924"/>
    <w:rsid w:val="009E6A38"/>
    <w:rsid w:val="009E733A"/>
    <w:rsid w:val="009E7F0E"/>
    <w:rsid w:val="009F0818"/>
    <w:rsid w:val="009F12CE"/>
    <w:rsid w:val="009F17A9"/>
    <w:rsid w:val="009F1EAB"/>
    <w:rsid w:val="009F25B3"/>
    <w:rsid w:val="009F3418"/>
    <w:rsid w:val="009F4361"/>
    <w:rsid w:val="009F47AE"/>
    <w:rsid w:val="009F4AD6"/>
    <w:rsid w:val="009F4E21"/>
    <w:rsid w:val="009F51CA"/>
    <w:rsid w:val="009F5261"/>
    <w:rsid w:val="009F5A8B"/>
    <w:rsid w:val="009F5FA7"/>
    <w:rsid w:val="009F63BE"/>
    <w:rsid w:val="009F750C"/>
    <w:rsid w:val="009F78FA"/>
    <w:rsid w:val="009F7CC4"/>
    <w:rsid w:val="009F7E69"/>
    <w:rsid w:val="009F7EFE"/>
    <w:rsid w:val="00A000BB"/>
    <w:rsid w:val="00A00452"/>
    <w:rsid w:val="00A00586"/>
    <w:rsid w:val="00A00B6F"/>
    <w:rsid w:val="00A013D8"/>
    <w:rsid w:val="00A01AA7"/>
    <w:rsid w:val="00A021C6"/>
    <w:rsid w:val="00A02BC3"/>
    <w:rsid w:val="00A0319F"/>
    <w:rsid w:val="00A031EC"/>
    <w:rsid w:val="00A033E3"/>
    <w:rsid w:val="00A0593D"/>
    <w:rsid w:val="00A066C4"/>
    <w:rsid w:val="00A0691C"/>
    <w:rsid w:val="00A06DCA"/>
    <w:rsid w:val="00A07C42"/>
    <w:rsid w:val="00A07EDE"/>
    <w:rsid w:val="00A103CF"/>
    <w:rsid w:val="00A10EC1"/>
    <w:rsid w:val="00A117C5"/>
    <w:rsid w:val="00A11A59"/>
    <w:rsid w:val="00A1248F"/>
    <w:rsid w:val="00A12BA7"/>
    <w:rsid w:val="00A131DA"/>
    <w:rsid w:val="00A132D2"/>
    <w:rsid w:val="00A13436"/>
    <w:rsid w:val="00A1386F"/>
    <w:rsid w:val="00A13EB5"/>
    <w:rsid w:val="00A14052"/>
    <w:rsid w:val="00A140CC"/>
    <w:rsid w:val="00A1491E"/>
    <w:rsid w:val="00A14FF7"/>
    <w:rsid w:val="00A159EB"/>
    <w:rsid w:val="00A1603C"/>
    <w:rsid w:val="00A16044"/>
    <w:rsid w:val="00A16768"/>
    <w:rsid w:val="00A1739E"/>
    <w:rsid w:val="00A176A3"/>
    <w:rsid w:val="00A207D8"/>
    <w:rsid w:val="00A20B21"/>
    <w:rsid w:val="00A20DE1"/>
    <w:rsid w:val="00A231DA"/>
    <w:rsid w:val="00A236C5"/>
    <w:rsid w:val="00A2406F"/>
    <w:rsid w:val="00A2592C"/>
    <w:rsid w:val="00A25BF5"/>
    <w:rsid w:val="00A27A75"/>
    <w:rsid w:val="00A30150"/>
    <w:rsid w:val="00A3054B"/>
    <w:rsid w:val="00A3354D"/>
    <w:rsid w:val="00A33BC1"/>
    <w:rsid w:val="00A345A0"/>
    <w:rsid w:val="00A352B3"/>
    <w:rsid w:val="00A3583B"/>
    <w:rsid w:val="00A36344"/>
    <w:rsid w:val="00A36A6C"/>
    <w:rsid w:val="00A376E3"/>
    <w:rsid w:val="00A404BA"/>
    <w:rsid w:val="00A40BA2"/>
    <w:rsid w:val="00A40BC3"/>
    <w:rsid w:val="00A415D5"/>
    <w:rsid w:val="00A41743"/>
    <w:rsid w:val="00A42769"/>
    <w:rsid w:val="00A42930"/>
    <w:rsid w:val="00A42BD3"/>
    <w:rsid w:val="00A43262"/>
    <w:rsid w:val="00A43465"/>
    <w:rsid w:val="00A438A4"/>
    <w:rsid w:val="00A43F47"/>
    <w:rsid w:val="00A44876"/>
    <w:rsid w:val="00A44A26"/>
    <w:rsid w:val="00A45848"/>
    <w:rsid w:val="00A47C05"/>
    <w:rsid w:val="00A47FF6"/>
    <w:rsid w:val="00A50A96"/>
    <w:rsid w:val="00A518BE"/>
    <w:rsid w:val="00A53235"/>
    <w:rsid w:val="00A532B8"/>
    <w:rsid w:val="00A53AE7"/>
    <w:rsid w:val="00A551DA"/>
    <w:rsid w:val="00A5573F"/>
    <w:rsid w:val="00A5579C"/>
    <w:rsid w:val="00A56A11"/>
    <w:rsid w:val="00A56C3C"/>
    <w:rsid w:val="00A56CE7"/>
    <w:rsid w:val="00A577CE"/>
    <w:rsid w:val="00A57831"/>
    <w:rsid w:val="00A601E5"/>
    <w:rsid w:val="00A6091A"/>
    <w:rsid w:val="00A61CD4"/>
    <w:rsid w:val="00A61FFD"/>
    <w:rsid w:val="00A62D8C"/>
    <w:rsid w:val="00A63279"/>
    <w:rsid w:val="00A637CA"/>
    <w:rsid w:val="00A63FD0"/>
    <w:rsid w:val="00A63FFD"/>
    <w:rsid w:val="00A6595C"/>
    <w:rsid w:val="00A6618F"/>
    <w:rsid w:val="00A67424"/>
    <w:rsid w:val="00A67A3F"/>
    <w:rsid w:val="00A700DD"/>
    <w:rsid w:val="00A7028F"/>
    <w:rsid w:val="00A720FB"/>
    <w:rsid w:val="00A72A59"/>
    <w:rsid w:val="00A72FC5"/>
    <w:rsid w:val="00A735BB"/>
    <w:rsid w:val="00A73807"/>
    <w:rsid w:val="00A738DF"/>
    <w:rsid w:val="00A73C79"/>
    <w:rsid w:val="00A7407C"/>
    <w:rsid w:val="00A74D54"/>
    <w:rsid w:val="00A74E91"/>
    <w:rsid w:val="00A7554B"/>
    <w:rsid w:val="00A765BD"/>
    <w:rsid w:val="00A76619"/>
    <w:rsid w:val="00A76CD7"/>
    <w:rsid w:val="00A775B7"/>
    <w:rsid w:val="00A800F2"/>
    <w:rsid w:val="00A8020A"/>
    <w:rsid w:val="00A82F72"/>
    <w:rsid w:val="00A83B46"/>
    <w:rsid w:val="00A83F44"/>
    <w:rsid w:val="00A849BE"/>
    <w:rsid w:val="00A849E5"/>
    <w:rsid w:val="00A84C8B"/>
    <w:rsid w:val="00A8668F"/>
    <w:rsid w:val="00A868F2"/>
    <w:rsid w:val="00A874A8"/>
    <w:rsid w:val="00A87A5F"/>
    <w:rsid w:val="00A90DAB"/>
    <w:rsid w:val="00A91473"/>
    <w:rsid w:val="00A9158C"/>
    <w:rsid w:val="00A927F7"/>
    <w:rsid w:val="00A9421C"/>
    <w:rsid w:val="00A94518"/>
    <w:rsid w:val="00A95824"/>
    <w:rsid w:val="00A96087"/>
    <w:rsid w:val="00AA0E83"/>
    <w:rsid w:val="00AA117E"/>
    <w:rsid w:val="00AA1325"/>
    <w:rsid w:val="00AA180F"/>
    <w:rsid w:val="00AA1B7F"/>
    <w:rsid w:val="00AA1DD8"/>
    <w:rsid w:val="00AA26C7"/>
    <w:rsid w:val="00AA2B81"/>
    <w:rsid w:val="00AA3443"/>
    <w:rsid w:val="00AA3683"/>
    <w:rsid w:val="00AA378F"/>
    <w:rsid w:val="00AA580F"/>
    <w:rsid w:val="00AA581B"/>
    <w:rsid w:val="00AA6204"/>
    <w:rsid w:val="00AA6B1B"/>
    <w:rsid w:val="00AA6B9F"/>
    <w:rsid w:val="00AA7B51"/>
    <w:rsid w:val="00AA7E30"/>
    <w:rsid w:val="00AB0348"/>
    <w:rsid w:val="00AB0BDA"/>
    <w:rsid w:val="00AB1093"/>
    <w:rsid w:val="00AB254F"/>
    <w:rsid w:val="00AB298B"/>
    <w:rsid w:val="00AB2B61"/>
    <w:rsid w:val="00AB35E5"/>
    <w:rsid w:val="00AB3756"/>
    <w:rsid w:val="00AB3A0B"/>
    <w:rsid w:val="00AB3AC6"/>
    <w:rsid w:val="00AB3C2B"/>
    <w:rsid w:val="00AB3F28"/>
    <w:rsid w:val="00AB40AA"/>
    <w:rsid w:val="00AB40DF"/>
    <w:rsid w:val="00AB47D0"/>
    <w:rsid w:val="00AB4F85"/>
    <w:rsid w:val="00AB5056"/>
    <w:rsid w:val="00AB512D"/>
    <w:rsid w:val="00AB536F"/>
    <w:rsid w:val="00AB672D"/>
    <w:rsid w:val="00AB7025"/>
    <w:rsid w:val="00AB7699"/>
    <w:rsid w:val="00AC0974"/>
    <w:rsid w:val="00AC0996"/>
    <w:rsid w:val="00AC18A1"/>
    <w:rsid w:val="00AC3649"/>
    <w:rsid w:val="00AC3E3D"/>
    <w:rsid w:val="00AC40D3"/>
    <w:rsid w:val="00AC4328"/>
    <w:rsid w:val="00AC441E"/>
    <w:rsid w:val="00AC4677"/>
    <w:rsid w:val="00AC55BB"/>
    <w:rsid w:val="00AC66C3"/>
    <w:rsid w:val="00AC7BAD"/>
    <w:rsid w:val="00AD003E"/>
    <w:rsid w:val="00AD0C84"/>
    <w:rsid w:val="00AD0D79"/>
    <w:rsid w:val="00AD182D"/>
    <w:rsid w:val="00AD2084"/>
    <w:rsid w:val="00AD22D7"/>
    <w:rsid w:val="00AD26E6"/>
    <w:rsid w:val="00AD29B5"/>
    <w:rsid w:val="00AD3D8D"/>
    <w:rsid w:val="00AD4BC1"/>
    <w:rsid w:val="00AD5010"/>
    <w:rsid w:val="00AD5022"/>
    <w:rsid w:val="00AD5691"/>
    <w:rsid w:val="00AD57D1"/>
    <w:rsid w:val="00AD589B"/>
    <w:rsid w:val="00AD60B9"/>
    <w:rsid w:val="00AD696B"/>
    <w:rsid w:val="00AD69A9"/>
    <w:rsid w:val="00AD7D27"/>
    <w:rsid w:val="00AE11E0"/>
    <w:rsid w:val="00AE1351"/>
    <w:rsid w:val="00AE1EC8"/>
    <w:rsid w:val="00AE1FBE"/>
    <w:rsid w:val="00AE28BC"/>
    <w:rsid w:val="00AE2BEC"/>
    <w:rsid w:val="00AE2E2B"/>
    <w:rsid w:val="00AE37C6"/>
    <w:rsid w:val="00AE3A68"/>
    <w:rsid w:val="00AE42B8"/>
    <w:rsid w:val="00AE4AFC"/>
    <w:rsid w:val="00AE60A6"/>
    <w:rsid w:val="00AE657E"/>
    <w:rsid w:val="00AE6608"/>
    <w:rsid w:val="00AE6D76"/>
    <w:rsid w:val="00AE72BF"/>
    <w:rsid w:val="00AE7CD1"/>
    <w:rsid w:val="00AF04D9"/>
    <w:rsid w:val="00AF05F1"/>
    <w:rsid w:val="00AF06A6"/>
    <w:rsid w:val="00AF08BB"/>
    <w:rsid w:val="00AF1534"/>
    <w:rsid w:val="00AF2D57"/>
    <w:rsid w:val="00AF3053"/>
    <w:rsid w:val="00AF355C"/>
    <w:rsid w:val="00AF3D47"/>
    <w:rsid w:val="00AF3DFB"/>
    <w:rsid w:val="00AF458E"/>
    <w:rsid w:val="00AF5AF1"/>
    <w:rsid w:val="00AF66F6"/>
    <w:rsid w:val="00AF6928"/>
    <w:rsid w:val="00AF69AF"/>
    <w:rsid w:val="00AF7D81"/>
    <w:rsid w:val="00B00399"/>
    <w:rsid w:val="00B00B0F"/>
    <w:rsid w:val="00B010DF"/>
    <w:rsid w:val="00B0192B"/>
    <w:rsid w:val="00B01ACA"/>
    <w:rsid w:val="00B01FEA"/>
    <w:rsid w:val="00B030A4"/>
    <w:rsid w:val="00B0361F"/>
    <w:rsid w:val="00B055D4"/>
    <w:rsid w:val="00B05839"/>
    <w:rsid w:val="00B05A4A"/>
    <w:rsid w:val="00B064E2"/>
    <w:rsid w:val="00B07FCA"/>
    <w:rsid w:val="00B103F7"/>
    <w:rsid w:val="00B10AC4"/>
    <w:rsid w:val="00B11CEC"/>
    <w:rsid w:val="00B11D10"/>
    <w:rsid w:val="00B120F1"/>
    <w:rsid w:val="00B133BB"/>
    <w:rsid w:val="00B13DF5"/>
    <w:rsid w:val="00B14B4F"/>
    <w:rsid w:val="00B15123"/>
    <w:rsid w:val="00B15C04"/>
    <w:rsid w:val="00B16194"/>
    <w:rsid w:val="00B16DA5"/>
    <w:rsid w:val="00B200B9"/>
    <w:rsid w:val="00B2117E"/>
    <w:rsid w:val="00B2187C"/>
    <w:rsid w:val="00B22049"/>
    <w:rsid w:val="00B2275B"/>
    <w:rsid w:val="00B2278C"/>
    <w:rsid w:val="00B228A0"/>
    <w:rsid w:val="00B22B30"/>
    <w:rsid w:val="00B23204"/>
    <w:rsid w:val="00B23998"/>
    <w:rsid w:val="00B23AA1"/>
    <w:rsid w:val="00B23E80"/>
    <w:rsid w:val="00B25506"/>
    <w:rsid w:val="00B26602"/>
    <w:rsid w:val="00B26837"/>
    <w:rsid w:val="00B26B9A"/>
    <w:rsid w:val="00B27003"/>
    <w:rsid w:val="00B2701B"/>
    <w:rsid w:val="00B2774F"/>
    <w:rsid w:val="00B27B84"/>
    <w:rsid w:val="00B27CC0"/>
    <w:rsid w:val="00B27E7B"/>
    <w:rsid w:val="00B27FE4"/>
    <w:rsid w:val="00B30014"/>
    <w:rsid w:val="00B30179"/>
    <w:rsid w:val="00B30287"/>
    <w:rsid w:val="00B3044C"/>
    <w:rsid w:val="00B30AA0"/>
    <w:rsid w:val="00B30AF7"/>
    <w:rsid w:val="00B30D15"/>
    <w:rsid w:val="00B30F33"/>
    <w:rsid w:val="00B321C8"/>
    <w:rsid w:val="00B328AC"/>
    <w:rsid w:val="00B332DB"/>
    <w:rsid w:val="00B3363F"/>
    <w:rsid w:val="00B338AB"/>
    <w:rsid w:val="00B33A76"/>
    <w:rsid w:val="00B345D1"/>
    <w:rsid w:val="00B3468C"/>
    <w:rsid w:val="00B35023"/>
    <w:rsid w:val="00B36947"/>
    <w:rsid w:val="00B36AC6"/>
    <w:rsid w:val="00B36F9A"/>
    <w:rsid w:val="00B37B85"/>
    <w:rsid w:val="00B37D63"/>
    <w:rsid w:val="00B4072A"/>
    <w:rsid w:val="00B40DBE"/>
    <w:rsid w:val="00B411A9"/>
    <w:rsid w:val="00B41CF1"/>
    <w:rsid w:val="00B41D47"/>
    <w:rsid w:val="00B41F8C"/>
    <w:rsid w:val="00B420F9"/>
    <w:rsid w:val="00B42121"/>
    <w:rsid w:val="00B4262A"/>
    <w:rsid w:val="00B42A51"/>
    <w:rsid w:val="00B430EE"/>
    <w:rsid w:val="00B44AE2"/>
    <w:rsid w:val="00B45307"/>
    <w:rsid w:val="00B45636"/>
    <w:rsid w:val="00B45D40"/>
    <w:rsid w:val="00B46193"/>
    <w:rsid w:val="00B466E9"/>
    <w:rsid w:val="00B47160"/>
    <w:rsid w:val="00B472A4"/>
    <w:rsid w:val="00B472AB"/>
    <w:rsid w:val="00B478F9"/>
    <w:rsid w:val="00B47A6F"/>
    <w:rsid w:val="00B47CDC"/>
    <w:rsid w:val="00B5190C"/>
    <w:rsid w:val="00B52E21"/>
    <w:rsid w:val="00B5356A"/>
    <w:rsid w:val="00B535B5"/>
    <w:rsid w:val="00B5392C"/>
    <w:rsid w:val="00B54B5F"/>
    <w:rsid w:val="00B54C20"/>
    <w:rsid w:val="00B55270"/>
    <w:rsid w:val="00B5575C"/>
    <w:rsid w:val="00B5596E"/>
    <w:rsid w:val="00B55F04"/>
    <w:rsid w:val="00B55F31"/>
    <w:rsid w:val="00B56878"/>
    <w:rsid w:val="00B5772C"/>
    <w:rsid w:val="00B579BF"/>
    <w:rsid w:val="00B57AC0"/>
    <w:rsid w:val="00B57C6F"/>
    <w:rsid w:val="00B57C7E"/>
    <w:rsid w:val="00B61456"/>
    <w:rsid w:val="00B61585"/>
    <w:rsid w:val="00B61820"/>
    <w:rsid w:val="00B61831"/>
    <w:rsid w:val="00B61C8A"/>
    <w:rsid w:val="00B61F30"/>
    <w:rsid w:val="00B622FD"/>
    <w:rsid w:val="00B6261E"/>
    <w:rsid w:val="00B62C6E"/>
    <w:rsid w:val="00B63554"/>
    <w:rsid w:val="00B63819"/>
    <w:rsid w:val="00B63DC8"/>
    <w:rsid w:val="00B64CFF"/>
    <w:rsid w:val="00B64DD0"/>
    <w:rsid w:val="00B653B9"/>
    <w:rsid w:val="00B65975"/>
    <w:rsid w:val="00B65D4A"/>
    <w:rsid w:val="00B673CA"/>
    <w:rsid w:val="00B67659"/>
    <w:rsid w:val="00B7023B"/>
    <w:rsid w:val="00B702A0"/>
    <w:rsid w:val="00B7089B"/>
    <w:rsid w:val="00B70966"/>
    <w:rsid w:val="00B70ADF"/>
    <w:rsid w:val="00B70D6E"/>
    <w:rsid w:val="00B71D69"/>
    <w:rsid w:val="00B721E0"/>
    <w:rsid w:val="00B730E8"/>
    <w:rsid w:val="00B73BAA"/>
    <w:rsid w:val="00B742AA"/>
    <w:rsid w:val="00B745A7"/>
    <w:rsid w:val="00B748DB"/>
    <w:rsid w:val="00B74C6D"/>
    <w:rsid w:val="00B74CD3"/>
    <w:rsid w:val="00B75616"/>
    <w:rsid w:val="00B76154"/>
    <w:rsid w:val="00B76AA5"/>
    <w:rsid w:val="00B772F6"/>
    <w:rsid w:val="00B77D1B"/>
    <w:rsid w:val="00B77D6A"/>
    <w:rsid w:val="00B77DC8"/>
    <w:rsid w:val="00B81993"/>
    <w:rsid w:val="00B81C49"/>
    <w:rsid w:val="00B82541"/>
    <w:rsid w:val="00B84483"/>
    <w:rsid w:val="00B84EF9"/>
    <w:rsid w:val="00B854FC"/>
    <w:rsid w:val="00B862BC"/>
    <w:rsid w:val="00B87714"/>
    <w:rsid w:val="00B87DB6"/>
    <w:rsid w:val="00B90929"/>
    <w:rsid w:val="00B90E15"/>
    <w:rsid w:val="00B90F8B"/>
    <w:rsid w:val="00B91155"/>
    <w:rsid w:val="00B91B0A"/>
    <w:rsid w:val="00B9237D"/>
    <w:rsid w:val="00B92F07"/>
    <w:rsid w:val="00B93485"/>
    <w:rsid w:val="00B9418B"/>
    <w:rsid w:val="00B94245"/>
    <w:rsid w:val="00B94268"/>
    <w:rsid w:val="00B95070"/>
    <w:rsid w:val="00B96727"/>
    <w:rsid w:val="00B96ACA"/>
    <w:rsid w:val="00B97E6E"/>
    <w:rsid w:val="00BA12B2"/>
    <w:rsid w:val="00BA1E9C"/>
    <w:rsid w:val="00BA1F36"/>
    <w:rsid w:val="00BA2966"/>
    <w:rsid w:val="00BA3D82"/>
    <w:rsid w:val="00BA3E22"/>
    <w:rsid w:val="00BA4849"/>
    <w:rsid w:val="00BA4E6F"/>
    <w:rsid w:val="00BA4FE0"/>
    <w:rsid w:val="00BA5011"/>
    <w:rsid w:val="00BA5698"/>
    <w:rsid w:val="00BA5899"/>
    <w:rsid w:val="00BA6930"/>
    <w:rsid w:val="00BA6FDD"/>
    <w:rsid w:val="00BA7235"/>
    <w:rsid w:val="00BA77A8"/>
    <w:rsid w:val="00BA7902"/>
    <w:rsid w:val="00BA7C3F"/>
    <w:rsid w:val="00BB0569"/>
    <w:rsid w:val="00BB0672"/>
    <w:rsid w:val="00BB18D2"/>
    <w:rsid w:val="00BB1B6A"/>
    <w:rsid w:val="00BB2B62"/>
    <w:rsid w:val="00BB32C0"/>
    <w:rsid w:val="00BB33F3"/>
    <w:rsid w:val="00BB3575"/>
    <w:rsid w:val="00BB3A44"/>
    <w:rsid w:val="00BB3CA5"/>
    <w:rsid w:val="00BB3CC8"/>
    <w:rsid w:val="00BB412D"/>
    <w:rsid w:val="00BB42A2"/>
    <w:rsid w:val="00BB46F0"/>
    <w:rsid w:val="00BB4956"/>
    <w:rsid w:val="00BB4A97"/>
    <w:rsid w:val="00BB56D7"/>
    <w:rsid w:val="00BB5F0F"/>
    <w:rsid w:val="00BB5F33"/>
    <w:rsid w:val="00BB6172"/>
    <w:rsid w:val="00BB746D"/>
    <w:rsid w:val="00BC0662"/>
    <w:rsid w:val="00BC1045"/>
    <w:rsid w:val="00BC11AF"/>
    <w:rsid w:val="00BC15BB"/>
    <w:rsid w:val="00BC21E0"/>
    <w:rsid w:val="00BC3D1A"/>
    <w:rsid w:val="00BC54CB"/>
    <w:rsid w:val="00BC54E0"/>
    <w:rsid w:val="00BC55F3"/>
    <w:rsid w:val="00BC5C47"/>
    <w:rsid w:val="00BC5CA8"/>
    <w:rsid w:val="00BC614E"/>
    <w:rsid w:val="00BC6733"/>
    <w:rsid w:val="00BC6811"/>
    <w:rsid w:val="00BC68CE"/>
    <w:rsid w:val="00BC6985"/>
    <w:rsid w:val="00BC6FD6"/>
    <w:rsid w:val="00BC7420"/>
    <w:rsid w:val="00BD0440"/>
    <w:rsid w:val="00BD0AE8"/>
    <w:rsid w:val="00BD1637"/>
    <w:rsid w:val="00BD1AE5"/>
    <w:rsid w:val="00BD1FBE"/>
    <w:rsid w:val="00BD2135"/>
    <w:rsid w:val="00BD229A"/>
    <w:rsid w:val="00BD2910"/>
    <w:rsid w:val="00BD48B5"/>
    <w:rsid w:val="00BD597E"/>
    <w:rsid w:val="00BD6117"/>
    <w:rsid w:val="00BD61BB"/>
    <w:rsid w:val="00BD67F3"/>
    <w:rsid w:val="00BD69CD"/>
    <w:rsid w:val="00BE0A34"/>
    <w:rsid w:val="00BE0CAA"/>
    <w:rsid w:val="00BE0CAC"/>
    <w:rsid w:val="00BE0E73"/>
    <w:rsid w:val="00BE1B58"/>
    <w:rsid w:val="00BE1B78"/>
    <w:rsid w:val="00BE1C4F"/>
    <w:rsid w:val="00BE216F"/>
    <w:rsid w:val="00BE22F2"/>
    <w:rsid w:val="00BE3BCF"/>
    <w:rsid w:val="00BE410E"/>
    <w:rsid w:val="00BE4250"/>
    <w:rsid w:val="00BE4517"/>
    <w:rsid w:val="00BE56AF"/>
    <w:rsid w:val="00BE7569"/>
    <w:rsid w:val="00BE7C3E"/>
    <w:rsid w:val="00BF027F"/>
    <w:rsid w:val="00BF11B4"/>
    <w:rsid w:val="00BF16CF"/>
    <w:rsid w:val="00BF1C6E"/>
    <w:rsid w:val="00BF227A"/>
    <w:rsid w:val="00BF2965"/>
    <w:rsid w:val="00BF3079"/>
    <w:rsid w:val="00BF32ED"/>
    <w:rsid w:val="00BF361B"/>
    <w:rsid w:val="00BF5567"/>
    <w:rsid w:val="00BF5F04"/>
    <w:rsid w:val="00BF6BD1"/>
    <w:rsid w:val="00BF74BB"/>
    <w:rsid w:val="00BF7ACA"/>
    <w:rsid w:val="00C00418"/>
    <w:rsid w:val="00C00FF6"/>
    <w:rsid w:val="00C0106F"/>
    <w:rsid w:val="00C01433"/>
    <w:rsid w:val="00C023CE"/>
    <w:rsid w:val="00C025F7"/>
    <w:rsid w:val="00C02721"/>
    <w:rsid w:val="00C027A7"/>
    <w:rsid w:val="00C029EE"/>
    <w:rsid w:val="00C02DD6"/>
    <w:rsid w:val="00C0338E"/>
    <w:rsid w:val="00C03713"/>
    <w:rsid w:val="00C03AC1"/>
    <w:rsid w:val="00C044C5"/>
    <w:rsid w:val="00C050E7"/>
    <w:rsid w:val="00C05204"/>
    <w:rsid w:val="00C06286"/>
    <w:rsid w:val="00C06AE0"/>
    <w:rsid w:val="00C06D37"/>
    <w:rsid w:val="00C11B3D"/>
    <w:rsid w:val="00C11C75"/>
    <w:rsid w:val="00C11FDA"/>
    <w:rsid w:val="00C12533"/>
    <w:rsid w:val="00C12EC4"/>
    <w:rsid w:val="00C1343F"/>
    <w:rsid w:val="00C13C63"/>
    <w:rsid w:val="00C13FA2"/>
    <w:rsid w:val="00C13FFF"/>
    <w:rsid w:val="00C14D47"/>
    <w:rsid w:val="00C15590"/>
    <w:rsid w:val="00C16664"/>
    <w:rsid w:val="00C16904"/>
    <w:rsid w:val="00C16A51"/>
    <w:rsid w:val="00C16B47"/>
    <w:rsid w:val="00C16FCC"/>
    <w:rsid w:val="00C17D03"/>
    <w:rsid w:val="00C17ED3"/>
    <w:rsid w:val="00C20CA0"/>
    <w:rsid w:val="00C215B2"/>
    <w:rsid w:val="00C21E71"/>
    <w:rsid w:val="00C22EE1"/>
    <w:rsid w:val="00C2344A"/>
    <w:rsid w:val="00C23FDB"/>
    <w:rsid w:val="00C246A7"/>
    <w:rsid w:val="00C254A9"/>
    <w:rsid w:val="00C25A2D"/>
    <w:rsid w:val="00C26BA9"/>
    <w:rsid w:val="00C273AD"/>
    <w:rsid w:val="00C276BB"/>
    <w:rsid w:val="00C27E19"/>
    <w:rsid w:val="00C30AE1"/>
    <w:rsid w:val="00C316E0"/>
    <w:rsid w:val="00C32390"/>
    <w:rsid w:val="00C32431"/>
    <w:rsid w:val="00C32A0B"/>
    <w:rsid w:val="00C32E2C"/>
    <w:rsid w:val="00C32F77"/>
    <w:rsid w:val="00C338C1"/>
    <w:rsid w:val="00C33D27"/>
    <w:rsid w:val="00C33DD1"/>
    <w:rsid w:val="00C33F43"/>
    <w:rsid w:val="00C353E5"/>
    <w:rsid w:val="00C36899"/>
    <w:rsid w:val="00C36AA7"/>
    <w:rsid w:val="00C36B02"/>
    <w:rsid w:val="00C36C6E"/>
    <w:rsid w:val="00C36E10"/>
    <w:rsid w:val="00C402AD"/>
    <w:rsid w:val="00C40E46"/>
    <w:rsid w:val="00C40F1D"/>
    <w:rsid w:val="00C413D3"/>
    <w:rsid w:val="00C414AE"/>
    <w:rsid w:val="00C4176A"/>
    <w:rsid w:val="00C41AA9"/>
    <w:rsid w:val="00C41AC1"/>
    <w:rsid w:val="00C42E57"/>
    <w:rsid w:val="00C43CB3"/>
    <w:rsid w:val="00C446F0"/>
    <w:rsid w:val="00C45B6F"/>
    <w:rsid w:val="00C46677"/>
    <w:rsid w:val="00C46819"/>
    <w:rsid w:val="00C4685D"/>
    <w:rsid w:val="00C4742C"/>
    <w:rsid w:val="00C47829"/>
    <w:rsid w:val="00C501E3"/>
    <w:rsid w:val="00C50A4F"/>
    <w:rsid w:val="00C51B26"/>
    <w:rsid w:val="00C51D4B"/>
    <w:rsid w:val="00C51DEE"/>
    <w:rsid w:val="00C52BA6"/>
    <w:rsid w:val="00C5324D"/>
    <w:rsid w:val="00C536E4"/>
    <w:rsid w:val="00C538F0"/>
    <w:rsid w:val="00C53F1C"/>
    <w:rsid w:val="00C54933"/>
    <w:rsid w:val="00C54962"/>
    <w:rsid w:val="00C552B3"/>
    <w:rsid w:val="00C55693"/>
    <w:rsid w:val="00C56265"/>
    <w:rsid w:val="00C56A4D"/>
    <w:rsid w:val="00C57168"/>
    <w:rsid w:val="00C618D5"/>
    <w:rsid w:val="00C61C99"/>
    <w:rsid w:val="00C62586"/>
    <w:rsid w:val="00C62D39"/>
    <w:rsid w:val="00C630F7"/>
    <w:rsid w:val="00C639D9"/>
    <w:rsid w:val="00C63B63"/>
    <w:rsid w:val="00C63C8C"/>
    <w:rsid w:val="00C63F7C"/>
    <w:rsid w:val="00C6430C"/>
    <w:rsid w:val="00C644CD"/>
    <w:rsid w:val="00C65086"/>
    <w:rsid w:val="00C6535F"/>
    <w:rsid w:val="00C67BF5"/>
    <w:rsid w:val="00C67F22"/>
    <w:rsid w:val="00C70B8B"/>
    <w:rsid w:val="00C70EC8"/>
    <w:rsid w:val="00C71A28"/>
    <w:rsid w:val="00C72576"/>
    <w:rsid w:val="00C72979"/>
    <w:rsid w:val="00C72A22"/>
    <w:rsid w:val="00C72CDF"/>
    <w:rsid w:val="00C74CB3"/>
    <w:rsid w:val="00C74EAF"/>
    <w:rsid w:val="00C75BF1"/>
    <w:rsid w:val="00C75E8D"/>
    <w:rsid w:val="00C7623C"/>
    <w:rsid w:val="00C7625C"/>
    <w:rsid w:val="00C76AA7"/>
    <w:rsid w:val="00C76D2E"/>
    <w:rsid w:val="00C77511"/>
    <w:rsid w:val="00C77CAC"/>
    <w:rsid w:val="00C80148"/>
    <w:rsid w:val="00C80244"/>
    <w:rsid w:val="00C8026B"/>
    <w:rsid w:val="00C80B8D"/>
    <w:rsid w:val="00C82596"/>
    <w:rsid w:val="00C82891"/>
    <w:rsid w:val="00C828D7"/>
    <w:rsid w:val="00C82E84"/>
    <w:rsid w:val="00C83A50"/>
    <w:rsid w:val="00C8483D"/>
    <w:rsid w:val="00C848F6"/>
    <w:rsid w:val="00C84EC7"/>
    <w:rsid w:val="00C86157"/>
    <w:rsid w:val="00C86502"/>
    <w:rsid w:val="00C87188"/>
    <w:rsid w:val="00C8725A"/>
    <w:rsid w:val="00C8742D"/>
    <w:rsid w:val="00C87C72"/>
    <w:rsid w:val="00C90649"/>
    <w:rsid w:val="00C90A72"/>
    <w:rsid w:val="00C90C20"/>
    <w:rsid w:val="00C90C8C"/>
    <w:rsid w:val="00C91233"/>
    <w:rsid w:val="00C917D9"/>
    <w:rsid w:val="00C91E80"/>
    <w:rsid w:val="00C91EF0"/>
    <w:rsid w:val="00C91F91"/>
    <w:rsid w:val="00C923FA"/>
    <w:rsid w:val="00C92EB4"/>
    <w:rsid w:val="00C937E7"/>
    <w:rsid w:val="00C93A47"/>
    <w:rsid w:val="00C94203"/>
    <w:rsid w:val="00C94321"/>
    <w:rsid w:val="00C95024"/>
    <w:rsid w:val="00C95346"/>
    <w:rsid w:val="00C9694F"/>
    <w:rsid w:val="00C96CE4"/>
    <w:rsid w:val="00C9732A"/>
    <w:rsid w:val="00C97859"/>
    <w:rsid w:val="00CA108C"/>
    <w:rsid w:val="00CA1EA0"/>
    <w:rsid w:val="00CA2C05"/>
    <w:rsid w:val="00CA2F41"/>
    <w:rsid w:val="00CA2FE2"/>
    <w:rsid w:val="00CA3B83"/>
    <w:rsid w:val="00CA3E3E"/>
    <w:rsid w:val="00CA4EA5"/>
    <w:rsid w:val="00CA54CC"/>
    <w:rsid w:val="00CA556F"/>
    <w:rsid w:val="00CA570A"/>
    <w:rsid w:val="00CA5916"/>
    <w:rsid w:val="00CA6D89"/>
    <w:rsid w:val="00CA6D90"/>
    <w:rsid w:val="00CA6E15"/>
    <w:rsid w:val="00CA6E20"/>
    <w:rsid w:val="00CA7007"/>
    <w:rsid w:val="00CA7B63"/>
    <w:rsid w:val="00CB0267"/>
    <w:rsid w:val="00CB0BF1"/>
    <w:rsid w:val="00CB1241"/>
    <w:rsid w:val="00CB2339"/>
    <w:rsid w:val="00CB248E"/>
    <w:rsid w:val="00CB30E6"/>
    <w:rsid w:val="00CB3445"/>
    <w:rsid w:val="00CB4581"/>
    <w:rsid w:val="00CB4FD7"/>
    <w:rsid w:val="00CB65CA"/>
    <w:rsid w:val="00CB6874"/>
    <w:rsid w:val="00CB6B14"/>
    <w:rsid w:val="00CB6B33"/>
    <w:rsid w:val="00CB6D30"/>
    <w:rsid w:val="00CB7551"/>
    <w:rsid w:val="00CB78D1"/>
    <w:rsid w:val="00CB7D20"/>
    <w:rsid w:val="00CC0362"/>
    <w:rsid w:val="00CC36E8"/>
    <w:rsid w:val="00CC38D4"/>
    <w:rsid w:val="00CC4D6E"/>
    <w:rsid w:val="00CC5C40"/>
    <w:rsid w:val="00CC5D59"/>
    <w:rsid w:val="00CC62A7"/>
    <w:rsid w:val="00CC70F6"/>
    <w:rsid w:val="00CC740A"/>
    <w:rsid w:val="00CC7BA9"/>
    <w:rsid w:val="00CD0F01"/>
    <w:rsid w:val="00CD158A"/>
    <w:rsid w:val="00CD182E"/>
    <w:rsid w:val="00CD18B8"/>
    <w:rsid w:val="00CD1CBC"/>
    <w:rsid w:val="00CD21B5"/>
    <w:rsid w:val="00CD24D7"/>
    <w:rsid w:val="00CD3731"/>
    <w:rsid w:val="00CD3FA7"/>
    <w:rsid w:val="00CD475A"/>
    <w:rsid w:val="00CD5AA9"/>
    <w:rsid w:val="00CD6CD1"/>
    <w:rsid w:val="00CD7559"/>
    <w:rsid w:val="00CD7883"/>
    <w:rsid w:val="00CD7BDB"/>
    <w:rsid w:val="00CE08CE"/>
    <w:rsid w:val="00CE09AF"/>
    <w:rsid w:val="00CE152F"/>
    <w:rsid w:val="00CE39C7"/>
    <w:rsid w:val="00CE3E37"/>
    <w:rsid w:val="00CE5D57"/>
    <w:rsid w:val="00CE6262"/>
    <w:rsid w:val="00CE6A97"/>
    <w:rsid w:val="00CF02B8"/>
    <w:rsid w:val="00CF0487"/>
    <w:rsid w:val="00CF0FA5"/>
    <w:rsid w:val="00CF130D"/>
    <w:rsid w:val="00CF1756"/>
    <w:rsid w:val="00CF18D3"/>
    <w:rsid w:val="00CF19F1"/>
    <w:rsid w:val="00CF1BF5"/>
    <w:rsid w:val="00CF1FDE"/>
    <w:rsid w:val="00CF2025"/>
    <w:rsid w:val="00CF270B"/>
    <w:rsid w:val="00CF2C1D"/>
    <w:rsid w:val="00CF3D55"/>
    <w:rsid w:val="00CF4141"/>
    <w:rsid w:val="00CF4BC9"/>
    <w:rsid w:val="00CF4C2C"/>
    <w:rsid w:val="00CF536B"/>
    <w:rsid w:val="00CF5AC1"/>
    <w:rsid w:val="00CF5B81"/>
    <w:rsid w:val="00CF639B"/>
    <w:rsid w:val="00CF696D"/>
    <w:rsid w:val="00CF6C27"/>
    <w:rsid w:val="00CF7702"/>
    <w:rsid w:val="00CF790F"/>
    <w:rsid w:val="00CF7B68"/>
    <w:rsid w:val="00D005A1"/>
    <w:rsid w:val="00D00634"/>
    <w:rsid w:val="00D0066B"/>
    <w:rsid w:val="00D00CD6"/>
    <w:rsid w:val="00D00EE6"/>
    <w:rsid w:val="00D00FD9"/>
    <w:rsid w:val="00D0202B"/>
    <w:rsid w:val="00D0219E"/>
    <w:rsid w:val="00D02B7F"/>
    <w:rsid w:val="00D04796"/>
    <w:rsid w:val="00D05631"/>
    <w:rsid w:val="00D0566A"/>
    <w:rsid w:val="00D05CD8"/>
    <w:rsid w:val="00D06271"/>
    <w:rsid w:val="00D067B0"/>
    <w:rsid w:val="00D0699E"/>
    <w:rsid w:val="00D06AEF"/>
    <w:rsid w:val="00D110B2"/>
    <w:rsid w:val="00D11845"/>
    <w:rsid w:val="00D11998"/>
    <w:rsid w:val="00D11A3F"/>
    <w:rsid w:val="00D11BEF"/>
    <w:rsid w:val="00D11F5C"/>
    <w:rsid w:val="00D11FDB"/>
    <w:rsid w:val="00D12287"/>
    <w:rsid w:val="00D126EE"/>
    <w:rsid w:val="00D1276F"/>
    <w:rsid w:val="00D128B1"/>
    <w:rsid w:val="00D13158"/>
    <w:rsid w:val="00D1337C"/>
    <w:rsid w:val="00D13A77"/>
    <w:rsid w:val="00D1467B"/>
    <w:rsid w:val="00D1495B"/>
    <w:rsid w:val="00D14EF9"/>
    <w:rsid w:val="00D14FF8"/>
    <w:rsid w:val="00D1514E"/>
    <w:rsid w:val="00D151FE"/>
    <w:rsid w:val="00D153E2"/>
    <w:rsid w:val="00D16669"/>
    <w:rsid w:val="00D16FF0"/>
    <w:rsid w:val="00D173E2"/>
    <w:rsid w:val="00D2024E"/>
    <w:rsid w:val="00D205C0"/>
    <w:rsid w:val="00D20BE2"/>
    <w:rsid w:val="00D21F16"/>
    <w:rsid w:val="00D2203C"/>
    <w:rsid w:val="00D221A7"/>
    <w:rsid w:val="00D229A8"/>
    <w:rsid w:val="00D22B39"/>
    <w:rsid w:val="00D239C4"/>
    <w:rsid w:val="00D247D1"/>
    <w:rsid w:val="00D247EF"/>
    <w:rsid w:val="00D25EC6"/>
    <w:rsid w:val="00D26AB1"/>
    <w:rsid w:val="00D274A0"/>
    <w:rsid w:val="00D3005A"/>
    <w:rsid w:val="00D301E6"/>
    <w:rsid w:val="00D30B31"/>
    <w:rsid w:val="00D3123A"/>
    <w:rsid w:val="00D3152D"/>
    <w:rsid w:val="00D318B9"/>
    <w:rsid w:val="00D31B82"/>
    <w:rsid w:val="00D332EF"/>
    <w:rsid w:val="00D333C2"/>
    <w:rsid w:val="00D33E45"/>
    <w:rsid w:val="00D34B1D"/>
    <w:rsid w:val="00D36BC3"/>
    <w:rsid w:val="00D3771E"/>
    <w:rsid w:val="00D402F0"/>
    <w:rsid w:val="00D41902"/>
    <w:rsid w:val="00D41AFF"/>
    <w:rsid w:val="00D41D92"/>
    <w:rsid w:val="00D42648"/>
    <w:rsid w:val="00D42CAF"/>
    <w:rsid w:val="00D44A3C"/>
    <w:rsid w:val="00D44FEA"/>
    <w:rsid w:val="00D453D2"/>
    <w:rsid w:val="00D4598C"/>
    <w:rsid w:val="00D46286"/>
    <w:rsid w:val="00D46C08"/>
    <w:rsid w:val="00D47B27"/>
    <w:rsid w:val="00D47D67"/>
    <w:rsid w:val="00D47EAB"/>
    <w:rsid w:val="00D50019"/>
    <w:rsid w:val="00D500B7"/>
    <w:rsid w:val="00D505D9"/>
    <w:rsid w:val="00D51CA5"/>
    <w:rsid w:val="00D52980"/>
    <w:rsid w:val="00D52F40"/>
    <w:rsid w:val="00D53D34"/>
    <w:rsid w:val="00D53DBC"/>
    <w:rsid w:val="00D540BC"/>
    <w:rsid w:val="00D557BF"/>
    <w:rsid w:val="00D5588C"/>
    <w:rsid w:val="00D55C85"/>
    <w:rsid w:val="00D560F2"/>
    <w:rsid w:val="00D56682"/>
    <w:rsid w:val="00D56D8C"/>
    <w:rsid w:val="00D570EC"/>
    <w:rsid w:val="00D5764B"/>
    <w:rsid w:val="00D5799C"/>
    <w:rsid w:val="00D6055B"/>
    <w:rsid w:val="00D605EA"/>
    <w:rsid w:val="00D609B4"/>
    <w:rsid w:val="00D60F92"/>
    <w:rsid w:val="00D61019"/>
    <w:rsid w:val="00D611BA"/>
    <w:rsid w:val="00D61300"/>
    <w:rsid w:val="00D618E8"/>
    <w:rsid w:val="00D61C68"/>
    <w:rsid w:val="00D6209C"/>
    <w:rsid w:val="00D62BE7"/>
    <w:rsid w:val="00D63363"/>
    <w:rsid w:val="00D6463F"/>
    <w:rsid w:val="00D64F52"/>
    <w:rsid w:val="00D6529D"/>
    <w:rsid w:val="00D653F0"/>
    <w:rsid w:val="00D65986"/>
    <w:rsid w:val="00D67662"/>
    <w:rsid w:val="00D67A25"/>
    <w:rsid w:val="00D67E60"/>
    <w:rsid w:val="00D70DE5"/>
    <w:rsid w:val="00D715DC"/>
    <w:rsid w:val="00D71C52"/>
    <w:rsid w:val="00D730F5"/>
    <w:rsid w:val="00D73729"/>
    <w:rsid w:val="00D73E2C"/>
    <w:rsid w:val="00D74C95"/>
    <w:rsid w:val="00D756C2"/>
    <w:rsid w:val="00D756E5"/>
    <w:rsid w:val="00D7597E"/>
    <w:rsid w:val="00D76AEB"/>
    <w:rsid w:val="00D778EC"/>
    <w:rsid w:val="00D77CE2"/>
    <w:rsid w:val="00D806D8"/>
    <w:rsid w:val="00D80A76"/>
    <w:rsid w:val="00D82502"/>
    <w:rsid w:val="00D82C14"/>
    <w:rsid w:val="00D8356E"/>
    <w:rsid w:val="00D83CED"/>
    <w:rsid w:val="00D83E4D"/>
    <w:rsid w:val="00D84619"/>
    <w:rsid w:val="00D84D99"/>
    <w:rsid w:val="00D85034"/>
    <w:rsid w:val="00D8536D"/>
    <w:rsid w:val="00D85648"/>
    <w:rsid w:val="00D859E1"/>
    <w:rsid w:val="00D86585"/>
    <w:rsid w:val="00D86827"/>
    <w:rsid w:val="00D870F1"/>
    <w:rsid w:val="00D87764"/>
    <w:rsid w:val="00D877B1"/>
    <w:rsid w:val="00D9076C"/>
    <w:rsid w:val="00D9139F"/>
    <w:rsid w:val="00D9188A"/>
    <w:rsid w:val="00D91B56"/>
    <w:rsid w:val="00D91F76"/>
    <w:rsid w:val="00D92251"/>
    <w:rsid w:val="00D92D83"/>
    <w:rsid w:val="00D9303A"/>
    <w:rsid w:val="00D93FC2"/>
    <w:rsid w:val="00D96532"/>
    <w:rsid w:val="00D96704"/>
    <w:rsid w:val="00D9709D"/>
    <w:rsid w:val="00D970A9"/>
    <w:rsid w:val="00D97CC9"/>
    <w:rsid w:val="00DA0FC6"/>
    <w:rsid w:val="00DA1470"/>
    <w:rsid w:val="00DA1CAE"/>
    <w:rsid w:val="00DA1D93"/>
    <w:rsid w:val="00DA2126"/>
    <w:rsid w:val="00DA276F"/>
    <w:rsid w:val="00DA2EC8"/>
    <w:rsid w:val="00DA3324"/>
    <w:rsid w:val="00DA3CFD"/>
    <w:rsid w:val="00DA4184"/>
    <w:rsid w:val="00DA4872"/>
    <w:rsid w:val="00DA516D"/>
    <w:rsid w:val="00DA530B"/>
    <w:rsid w:val="00DA5E83"/>
    <w:rsid w:val="00DA5EB0"/>
    <w:rsid w:val="00DA6237"/>
    <w:rsid w:val="00DA7107"/>
    <w:rsid w:val="00DA7E51"/>
    <w:rsid w:val="00DB0BD0"/>
    <w:rsid w:val="00DB0DA9"/>
    <w:rsid w:val="00DB0EC2"/>
    <w:rsid w:val="00DB1091"/>
    <w:rsid w:val="00DB1EC3"/>
    <w:rsid w:val="00DB2834"/>
    <w:rsid w:val="00DB3019"/>
    <w:rsid w:val="00DB311E"/>
    <w:rsid w:val="00DB347C"/>
    <w:rsid w:val="00DB359C"/>
    <w:rsid w:val="00DB3F57"/>
    <w:rsid w:val="00DB407C"/>
    <w:rsid w:val="00DB46F6"/>
    <w:rsid w:val="00DB5852"/>
    <w:rsid w:val="00DB62A1"/>
    <w:rsid w:val="00DB6683"/>
    <w:rsid w:val="00DB6FC9"/>
    <w:rsid w:val="00DB7112"/>
    <w:rsid w:val="00DB75EC"/>
    <w:rsid w:val="00DB7629"/>
    <w:rsid w:val="00DC0343"/>
    <w:rsid w:val="00DC16FC"/>
    <w:rsid w:val="00DC1B1D"/>
    <w:rsid w:val="00DC20B6"/>
    <w:rsid w:val="00DC233F"/>
    <w:rsid w:val="00DC2651"/>
    <w:rsid w:val="00DC2FF0"/>
    <w:rsid w:val="00DC3BC0"/>
    <w:rsid w:val="00DC431C"/>
    <w:rsid w:val="00DC4385"/>
    <w:rsid w:val="00DC4481"/>
    <w:rsid w:val="00DC49DD"/>
    <w:rsid w:val="00DC625D"/>
    <w:rsid w:val="00DC6744"/>
    <w:rsid w:val="00DC6A79"/>
    <w:rsid w:val="00DC6ACE"/>
    <w:rsid w:val="00DC7626"/>
    <w:rsid w:val="00DC778C"/>
    <w:rsid w:val="00DC7836"/>
    <w:rsid w:val="00DC7847"/>
    <w:rsid w:val="00DC7D7B"/>
    <w:rsid w:val="00DC7EDF"/>
    <w:rsid w:val="00DD1095"/>
    <w:rsid w:val="00DD1326"/>
    <w:rsid w:val="00DD2AC8"/>
    <w:rsid w:val="00DD3015"/>
    <w:rsid w:val="00DD3299"/>
    <w:rsid w:val="00DD36B7"/>
    <w:rsid w:val="00DD375A"/>
    <w:rsid w:val="00DD3886"/>
    <w:rsid w:val="00DD38A0"/>
    <w:rsid w:val="00DD3CCA"/>
    <w:rsid w:val="00DD459A"/>
    <w:rsid w:val="00DD505E"/>
    <w:rsid w:val="00DD69BA"/>
    <w:rsid w:val="00DD7D3E"/>
    <w:rsid w:val="00DE04B5"/>
    <w:rsid w:val="00DE0C00"/>
    <w:rsid w:val="00DE14E5"/>
    <w:rsid w:val="00DE1F1E"/>
    <w:rsid w:val="00DE2AF9"/>
    <w:rsid w:val="00DE32D5"/>
    <w:rsid w:val="00DE4582"/>
    <w:rsid w:val="00DE45B6"/>
    <w:rsid w:val="00DE594B"/>
    <w:rsid w:val="00DE5E70"/>
    <w:rsid w:val="00DE5F51"/>
    <w:rsid w:val="00DE6572"/>
    <w:rsid w:val="00DE7159"/>
    <w:rsid w:val="00DE7690"/>
    <w:rsid w:val="00DE7856"/>
    <w:rsid w:val="00DF072F"/>
    <w:rsid w:val="00DF105A"/>
    <w:rsid w:val="00DF111D"/>
    <w:rsid w:val="00DF1191"/>
    <w:rsid w:val="00DF345B"/>
    <w:rsid w:val="00DF36A9"/>
    <w:rsid w:val="00DF3937"/>
    <w:rsid w:val="00DF3BAA"/>
    <w:rsid w:val="00DF4429"/>
    <w:rsid w:val="00DF4483"/>
    <w:rsid w:val="00DF4561"/>
    <w:rsid w:val="00DF4B74"/>
    <w:rsid w:val="00DF5A93"/>
    <w:rsid w:val="00DF5BD8"/>
    <w:rsid w:val="00DF5D0F"/>
    <w:rsid w:val="00DF6121"/>
    <w:rsid w:val="00DF6485"/>
    <w:rsid w:val="00DF70F4"/>
    <w:rsid w:val="00DF7297"/>
    <w:rsid w:val="00DF789B"/>
    <w:rsid w:val="00E001E4"/>
    <w:rsid w:val="00E009A9"/>
    <w:rsid w:val="00E012BA"/>
    <w:rsid w:val="00E0176C"/>
    <w:rsid w:val="00E029C4"/>
    <w:rsid w:val="00E0303F"/>
    <w:rsid w:val="00E03190"/>
    <w:rsid w:val="00E03E1E"/>
    <w:rsid w:val="00E049C2"/>
    <w:rsid w:val="00E04B0E"/>
    <w:rsid w:val="00E0550E"/>
    <w:rsid w:val="00E069EB"/>
    <w:rsid w:val="00E06A78"/>
    <w:rsid w:val="00E06B79"/>
    <w:rsid w:val="00E07811"/>
    <w:rsid w:val="00E0788A"/>
    <w:rsid w:val="00E07AE1"/>
    <w:rsid w:val="00E11479"/>
    <w:rsid w:val="00E11BB8"/>
    <w:rsid w:val="00E11C82"/>
    <w:rsid w:val="00E12884"/>
    <w:rsid w:val="00E12909"/>
    <w:rsid w:val="00E130DC"/>
    <w:rsid w:val="00E16128"/>
    <w:rsid w:val="00E168B9"/>
    <w:rsid w:val="00E20307"/>
    <w:rsid w:val="00E2040E"/>
    <w:rsid w:val="00E2064A"/>
    <w:rsid w:val="00E2164A"/>
    <w:rsid w:val="00E21DC4"/>
    <w:rsid w:val="00E22117"/>
    <w:rsid w:val="00E22B0F"/>
    <w:rsid w:val="00E22B3B"/>
    <w:rsid w:val="00E22BAB"/>
    <w:rsid w:val="00E24E90"/>
    <w:rsid w:val="00E25142"/>
    <w:rsid w:val="00E256ED"/>
    <w:rsid w:val="00E26A57"/>
    <w:rsid w:val="00E26B9B"/>
    <w:rsid w:val="00E26FC8"/>
    <w:rsid w:val="00E2709A"/>
    <w:rsid w:val="00E27278"/>
    <w:rsid w:val="00E2765C"/>
    <w:rsid w:val="00E27798"/>
    <w:rsid w:val="00E27D10"/>
    <w:rsid w:val="00E30FAB"/>
    <w:rsid w:val="00E315ED"/>
    <w:rsid w:val="00E31D11"/>
    <w:rsid w:val="00E320D8"/>
    <w:rsid w:val="00E32358"/>
    <w:rsid w:val="00E32B42"/>
    <w:rsid w:val="00E33526"/>
    <w:rsid w:val="00E33546"/>
    <w:rsid w:val="00E33CD6"/>
    <w:rsid w:val="00E343D5"/>
    <w:rsid w:val="00E3453C"/>
    <w:rsid w:val="00E35880"/>
    <w:rsid w:val="00E35F79"/>
    <w:rsid w:val="00E3648B"/>
    <w:rsid w:val="00E37837"/>
    <w:rsid w:val="00E37B30"/>
    <w:rsid w:val="00E405A4"/>
    <w:rsid w:val="00E40FB5"/>
    <w:rsid w:val="00E41D6E"/>
    <w:rsid w:val="00E42FFE"/>
    <w:rsid w:val="00E432F4"/>
    <w:rsid w:val="00E43555"/>
    <w:rsid w:val="00E435E6"/>
    <w:rsid w:val="00E4369C"/>
    <w:rsid w:val="00E43A17"/>
    <w:rsid w:val="00E45462"/>
    <w:rsid w:val="00E454FF"/>
    <w:rsid w:val="00E4592C"/>
    <w:rsid w:val="00E459AA"/>
    <w:rsid w:val="00E459C9"/>
    <w:rsid w:val="00E46334"/>
    <w:rsid w:val="00E46522"/>
    <w:rsid w:val="00E46A58"/>
    <w:rsid w:val="00E46BF3"/>
    <w:rsid w:val="00E46D38"/>
    <w:rsid w:val="00E47902"/>
    <w:rsid w:val="00E50974"/>
    <w:rsid w:val="00E5238C"/>
    <w:rsid w:val="00E524BF"/>
    <w:rsid w:val="00E52ED2"/>
    <w:rsid w:val="00E536CF"/>
    <w:rsid w:val="00E537DC"/>
    <w:rsid w:val="00E55CFF"/>
    <w:rsid w:val="00E56194"/>
    <w:rsid w:val="00E57896"/>
    <w:rsid w:val="00E578BB"/>
    <w:rsid w:val="00E60007"/>
    <w:rsid w:val="00E60FE7"/>
    <w:rsid w:val="00E61432"/>
    <w:rsid w:val="00E61B56"/>
    <w:rsid w:val="00E63085"/>
    <w:rsid w:val="00E6384D"/>
    <w:rsid w:val="00E6437D"/>
    <w:rsid w:val="00E644B5"/>
    <w:rsid w:val="00E64562"/>
    <w:rsid w:val="00E64B9D"/>
    <w:rsid w:val="00E65BE0"/>
    <w:rsid w:val="00E65C90"/>
    <w:rsid w:val="00E66198"/>
    <w:rsid w:val="00E66BB4"/>
    <w:rsid w:val="00E66C3F"/>
    <w:rsid w:val="00E67FDB"/>
    <w:rsid w:val="00E70459"/>
    <w:rsid w:val="00E712D4"/>
    <w:rsid w:val="00E7143F"/>
    <w:rsid w:val="00E715F3"/>
    <w:rsid w:val="00E716AF"/>
    <w:rsid w:val="00E71AF2"/>
    <w:rsid w:val="00E72780"/>
    <w:rsid w:val="00E72848"/>
    <w:rsid w:val="00E73290"/>
    <w:rsid w:val="00E738DF"/>
    <w:rsid w:val="00E740FB"/>
    <w:rsid w:val="00E754A9"/>
    <w:rsid w:val="00E76163"/>
    <w:rsid w:val="00E76213"/>
    <w:rsid w:val="00E76456"/>
    <w:rsid w:val="00E7685C"/>
    <w:rsid w:val="00E76E1E"/>
    <w:rsid w:val="00E7799C"/>
    <w:rsid w:val="00E77CCE"/>
    <w:rsid w:val="00E80988"/>
    <w:rsid w:val="00E8175D"/>
    <w:rsid w:val="00E8288B"/>
    <w:rsid w:val="00E829AA"/>
    <w:rsid w:val="00E82CF6"/>
    <w:rsid w:val="00E830E8"/>
    <w:rsid w:val="00E834F1"/>
    <w:rsid w:val="00E8374A"/>
    <w:rsid w:val="00E8393F"/>
    <w:rsid w:val="00E8402F"/>
    <w:rsid w:val="00E8550D"/>
    <w:rsid w:val="00E86EF5"/>
    <w:rsid w:val="00E87CDF"/>
    <w:rsid w:val="00E90C58"/>
    <w:rsid w:val="00E90F0B"/>
    <w:rsid w:val="00E91851"/>
    <w:rsid w:val="00E91D3B"/>
    <w:rsid w:val="00E91E7C"/>
    <w:rsid w:val="00E92545"/>
    <w:rsid w:val="00E931CA"/>
    <w:rsid w:val="00E93A02"/>
    <w:rsid w:val="00E93A8E"/>
    <w:rsid w:val="00E93F07"/>
    <w:rsid w:val="00E94232"/>
    <w:rsid w:val="00E94D67"/>
    <w:rsid w:val="00E95D74"/>
    <w:rsid w:val="00E95E56"/>
    <w:rsid w:val="00E96DD0"/>
    <w:rsid w:val="00EA00AF"/>
    <w:rsid w:val="00EA0292"/>
    <w:rsid w:val="00EA0A7B"/>
    <w:rsid w:val="00EA111E"/>
    <w:rsid w:val="00EA11D5"/>
    <w:rsid w:val="00EA1640"/>
    <w:rsid w:val="00EA1707"/>
    <w:rsid w:val="00EA1C4B"/>
    <w:rsid w:val="00EA2017"/>
    <w:rsid w:val="00EA25F2"/>
    <w:rsid w:val="00EA362B"/>
    <w:rsid w:val="00EA4D3D"/>
    <w:rsid w:val="00EA509A"/>
    <w:rsid w:val="00EA5A77"/>
    <w:rsid w:val="00EA65E1"/>
    <w:rsid w:val="00EA6A15"/>
    <w:rsid w:val="00EA6D67"/>
    <w:rsid w:val="00EA71E7"/>
    <w:rsid w:val="00EA771E"/>
    <w:rsid w:val="00EA7AE1"/>
    <w:rsid w:val="00EA7BF8"/>
    <w:rsid w:val="00EA7F21"/>
    <w:rsid w:val="00EB03D5"/>
    <w:rsid w:val="00EB09EF"/>
    <w:rsid w:val="00EB0C93"/>
    <w:rsid w:val="00EB129D"/>
    <w:rsid w:val="00EB1869"/>
    <w:rsid w:val="00EB1C69"/>
    <w:rsid w:val="00EB258F"/>
    <w:rsid w:val="00EB35B6"/>
    <w:rsid w:val="00EB3EA8"/>
    <w:rsid w:val="00EB4488"/>
    <w:rsid w:val="00EB481D"/>
    <w:rsid w:val="00EB4E37"/>
    <w:rsid w:val="00EB66AE"/>
    <w:rsid w:val="00EB6A65"/>
    <w:rsid w:val="00EB7420"/>
    <w:rsid w:val="00EB75E9"/>
    <w:rsid w:val="00EB7A37"/>
    <w:rsid w:val="00EB7F8F"/>
    <w:rsid w:val="00EC06DC"/>
    <w:rsid w:val="00EC12B8"/>
    <w:rsid w:val="00EC1717"/>
    <w:rsid w:val="00EC2331"/>
    <w:rsid w:val="00EC3D29"/>
    <w:rsid w:val="00EC4648"/>
    <w:rsid w:val="00EC5050"/>
    <w:rsid w:val="00EC5DC8"/>
    <w:rsid w:val="00EC5F09"/>
    <w:rsid w:val="00EC6168"/>
    <w:rsid w:val="00EC67D8"/>
    <w:rsid w:val="00EC6B3C"/>
    <w:rsid w:val="00EC7305"/>
    <w:rsid w:val="00ED03AA"/>
    <w:rsid w:val="00ED0C8D"/>
    <w:rsid w:val="00ED1A9A"/>
    <w:rsid w:val="00ED244F"/>
    <w:rsid w:val="00ED253E"/>
    <w:rsid w:val="00ED2646"/>
    <w:rsid w:val="00ED26E7"/>
    <w:rsid w:val="00ED3BF4"/>
    <w:rsid w:val="00ED54B4"/>
    <w:rsid w:val="00ED5827"/>
    <w:rsid w:val="00ED601B"/>
    <w:rsid w:val="00ED6D85"/>
    <w:rsid w:val="00ED6D93"/>
    <w:rsid w:val="00ED725B"/>
    <w:rsid w:val="00ED7333"/>
    <w:rsid w:val="00EE06F4"/>
    <w:rsid w:val="00EE151C"/>
    <w:rsid w:val="00EE24D2"/>
    <w:rsid w:val="00EE30AD"/>
    <w:rsid w:val="00EE377F"/>
    <w:rsid w:val="00EE4DF3"/>
    <w:rsid w:val="00EE5002"/>
    <w:rsid w:val="00EE51FD"/>
    <w:rsid w:val="00EE53FB"/>
    <w:rsid w:val="00EE5763"/>
    <w:rsid w:val="00EE6048"/>
    <w:rsid w:val="00EE6C0F"/>
    <w:rsid w:val="00EE7077"/>
    <w:rsid w:val="00EF0D47"/>
    <w:rsid w:val="00EF1A08"/>
    <w:rsid w:val="00EF2500"/>
    <w:rsid w:val="00EF26AD"/>
    <w:rsid w:val="00EF300D"/>
    <w:rsid w:val="00EF30A2"/>
    <w:rsid w:val="00EF34BE"/>
    <w:rsid w:val="00EF3C32"/>
    <w:rsid w:val="00EF3D91"/>
    <w:rsid w:val="00EF429B"/>
    <w:rsid w:val="00EF592A"/>
    <w:rsid w:val="00EF6743"/>
    <w:rsid w:val="00EF6BF9"/>
    <w:rsid w:val="00EF6DBF"/>
    <w:rsid w:val="00EF7721"/>
    <w:rsid w:val="00EF7B0D"/>
    <w:rsid w:val="00F001F2"/>
    <w:rsid w:val="00F00239"/>
    <w:rsid w:val="00F009B9"/>
    <w:rsid w:val="00F00CC4"/>
    <w:rsid w:val="00F02211"/>
    <w:rsid w:val="00F027D9"/>
    <w:rsid w:val="00F03031"/>
    <w:rsid w:val="00F03910"/>
    <w:rsid w:val="00F052EF"/>
    <w:rsid w:val="00F05EDC"/>
    <w:rsid w:val="00F0655E"/>
    <w:rsid w:val="00F069B9"/>
    <w:rsid w:val="00F06C75"/>
    <w:rsid w:val="00F07BA5"/>
    <w:rsid w:val="00F07D90"/>
    <w:rsid w:val="00F101E3"/>
    <w:rsid w:val="00F10D7D"/>
    <w:rsid w:val="00F10E6B"/>
    <w:rsid w:val="00F11742"/>
    <w:rsid w:val="00F11B67"/>
    <w:rsid w:val="00F1211A"/>
    <w:rsid w:val="00F127B1"/>
    <w:rsid w:val="00F13C79"/>
    <w:rsid w:val="00F1418F"/>
    <w:rsid w:val="00F14E40"/>
    <w:rsid w:val="00F1525D"/>
    <w:rsid w:val="00F15695"/>
    <w:rsid w:val="00F158A6"/>
    <w:rsid w:val="00F159BD"/>
    <w:rsid w:val="00F15B64"/>
    <w:rsid w:val="00F16259"/>
    <w:rsid w:val="00F17188"/>
    <w:rsid w:val="00F17AE4"/>
    <w:rsid w:val="00F17AF4"/>
    <w:rsid w:val="00F17F41"/>
    <w:rsid w:val="00F20AAE"/>
    <w:rsid w:val="00F20B02"/>
    <w:rsid w:val="00F20CA0"/>
    <w:rsid w:val="00F21894"/>
    <w:rsid w:val="00F219A7"/>
    <w:rsid w:val="00F22DB8"/>
    <w:rsid w:val="00F2322E"/>
    <w:rsid w:val="00F23901"/>
    <w:rsid w:val="00F23FA5"/>
    <w:rsid w:val="00F244F4"/>
    <w:rsid w:val="00F244F7"/>
    <w:rsid w:val="00F25156"/>
    <w:rsid w:val="00F25603"/>
    <w:rsid w:val="00F25D70"/>
    <w:rsid w:val="00F25ECB"/>
    <w:rsid w:val="00F27185"/>
    <w:rsid w:val="00F27336"/>
    <w:rsid w:val="00F27A80"/>
    <w:rsid w:val="00F30353"/>
    <w:rsid w:val="00F304DC"/>
    <w:rsid w:val="00F30760"/>
    <w:rsid w:val="00F30AEE"/>
    <w:rsid w:val="00F31044"/>
    <w:rsid w:val="00F3138A"/>
    <w:rsid w:val="00F325B9"/>
    <w:rsid w:val="00F332AF"/>
    <w:rsid w:val="00F333EA"/>
    <w:rsid w:val="00F3397C"/>
    <w:rsid w:val="00F34E97"/>
    <w:rsid w:val="00F35508"/>
    <w:rsid w:val="00F35560"/>
    <w:rsid w:val="00F355F5"/>
    <w:rsid w:val="00F35F15"/>
    <w:rsid w:val="00F36730"/>
    <w:rsid w:val="00F368D5"/>
    <w:rsid w:val="00F36D34"/>
    <w:rsid w:val="00F37673"/>
    <w:rsid w:val="00F37CA9"/>
    <w:rsid w:val="00F37FAF"/>
    <w:rsid w:val="00F40204"/>
    <w:rsid w:val="00F4129B"/>
    <w:rsid w:val="00F42C18"/>
    <w:rsid w:val="00F434BA"/>
    <w:rsid w:val="00F445CA"/>
    <w:rsid w:val="00F44B38"/>
    <w:rsid w:val="00F450A4"/>
    <w:rsid w:val="00F45F55"/>
    <w:rsid w:val="00F462E4"/>
    <w:rsid w:val="00F46B71"/>
    <w:rsid w:val="00F46DE2"/>
    <w:rsid w:val="00F470FE"/>
    <w:rsid w:val="00F4747C"/>
    <w:rsid w:val="00F50C7D"/>
    <w:rsid w:val="00F5100C"/>
    <w:rsid w:val="00F513DC"/>
    <w:rsid w:val="00F51636"/>
    <w:rsid w:val="00F5179E"/>
    <w:rsid w:val="00F541C0"/>
    <w:rsid w:val="00F547F4"/>
    <w:rsid w:val="00F54C2B"/>
    <w:rsid w:val="00F554B7"/>
    <w:rsid w:val="00F554C7"/>
    <w:rsid w:val="00F56552"/>
    <w:rsid w:val="00F56C4D"/>
    <w:rsid w:val="00F570CC"/>
    <w:rsid w:val="00F57F7D"/>
    <w:rsid w:val="00F57FBF"/>
    <w:rsid w:val="00F600F2"/>
    <w:rsid w:val="00F61459"/>
    <w:rsid w:val="00F618E8"/>
    <w:rsid w:val="00F62829"/>
    <w:rsid w:val="00F63646"/>
    <w:rsid w:val="00F63744"/>
    <w:rsid w:val="00F638AF"/>
    <w:rsid w:val="00F63941"/>
    <w:rsid w:val="00F6554A"/>
    <w:rsid w:val="00F65646"/>
    <w:rsid w:val="00F665F0"/>
    <w:rsid w:val="00F666EE"/>
    <w:rsid w:val="00F66B61"/>
    <w:rsid w:val="00F67575"/>
    <w:rsid w:val="00F67A86"/>
    <w:rsid w:val="00F7023E"/>
    <w:rsid w:val="00F71890"/>
    <w:rsid w:val="00F726B9"/>
    <w:rsid w:val="00F72880"/>
    <w:rsid w:val="00F729B8"/>
    <w:rsid w:val="00F742D8"/>
    <w:rsid w:val="00F7495B"/>
    <w:rsid w:val="00F74AD8"/>
    <w:rsid w:val="00F756A4"/>
    <w:rsid w:val="00F7576D"/>
    <w:rsid w:val="00F75D3E"/>
    <w:rsid w:val="00F767E8"/>
    <w:rsid w:val="00F77E20"/>
    <w:rsid w:val="00F8025E"/>
    <w:rsid w:val="00F80FA2"/>
    <w:rsid w:val="00F81282"/>
    <w:rsid w:val="00F839A1"/>
    <w:rsid w:val="00F8406B"/>
    <w:rsid w:val="00F844E3"/>
    <w:rsid w:val="00F84EC0"/>
    <w:rsid w:val="00F851D2"/>
    <w:rsid w:val="00F874EB"/>
    <w:rsid w:val="00F87B5F"/>
    <w:rsid w:val="00F9097B"/>
    <w:rsid w:val="00F9149E"/>
    <w:rsid w:val="00F91984"/>
    <w:rsid w:val="00F92F93"/>
    <w:rsid w:val="00F93052"/>
    <w:rsid w:val="00F9393A"/>
    <w:rsid w:val="00F93E5B"/>
    <w:rsid w:val="00F93ECF"/>
    <w:rsid w:val="00F947F8"/>
    <w:rsid w:val="00F949D1"/>
    <w:rsid w:val="00F94F88"/>
    <w:rsid w:val="00F95061"/>
    <w:rsid w:val="00F95363"/>
    <w:rsid w:val="00F9595A"/>
    <w:rsid w:val="00F95D68"/>
    <w:rsid w:val="00F961A7"/>
    <w:rsid w:val="00F96C0B"/>
    <w:rsid w:val="00F97465"/>
    <w:rsid w:val="00F97599"/>
    <w:rsid w:val="00F9761A"/>
    <w:rsid w:val="00F9771D"/>
    <w:rsid w:val="00FA0260"/>
    <w:rsid w:val="00FA0336"/>
    <w:rsid w:val="00FA03AA"/>
    <w:rsid w:val="00FA1404"/>
    <w:rsid w:val="00FA1682"/>
    <w:rsid w:val="00FA17A7"/>
    <w:rsid w:val="00FA1C9E"/>
    <w:rsid w:val="00FA1DA3"/>
    <w:rsid w:val="00FA2A05"/>
    <w:rsid w:val="00FA3488"/>
    <w:rsid w:val="00FA4758"/>
    <w:rsid w:val="00FA50F0"/>
    <w:rsid w:val="00FA52C5"/>
    <w:rsid w:val="00FA61D8"/>
    <w:rsid w:val="00FA6EC9"/>
    <w:rsid w:val="00FA74DB"/>
    <w:rsid w:val="00FA7CC5"/>
    <w:rsid w:val="00FB3138"/>
    <w:rsid w:val="00FB3FBF"/>
    <w:rsid w:val="00FB412B"/>
    <w:rsid w:val="00FB43F2"/>
    <w:rsid w:val="00FB47D6"/>
    <w:rsid w:val="00FB4B10"/>
    <w:rsid w:val="00FB4D66"/>
    <w:rsid w:val="00FB55A0"/>
    <w:rsid w:val="00FB5A58"/>
    <w:rsid w:val="00FB78F2"/>
    <w:rsid w:val="00FC13FD"/>
    <w:rsid w:val="00FC18FC"/>
    <w:rsid w:val="00FC1ED2"/>
    <w:rsid w:val="00FC1F60"/>
    <w:rsid w:val="00FC21D0"/>
    <w:rsid w:val="00FC27AE"/>
    <w:rsid w:val="00FC28D6"/>
    <w:rsid w:val="00FC316C"/>
    <w:rsid w:val="00FC6023"/>
    <w:rsid w:val="00FC61B8"/>
    <w:rsid w:val="00FC67C0"/>
    <w:rsid w:val="00FC6974"/>
    <w:rsid w:val="00FC73CF"/>
    <w:rsid w:val="00FC7731"/>
    <w:rsid w:val="00FD00C4"/>
    <w:rsid w:val="00FD0486"/>
    <w:rsid w:val="00FD0733"/>
    <w:rsid w:val="00FD1731"/>
    <w:rsid w:val="00FD33BA"/>
    <w:rsid w:val="00FD3CBB"/>
    <w:rsid w:val="00FD4196"/>
    <w:rsid w:val="00FD447C"/>
    <w:rsid w:val="00FD4542"/>
    <w:rsid w:val="00FD47AF"/>
    <w:rsid w:val="00FD49B4"/>
    <w:rsid w:val="00FD542D"/>
    <w:rsid w:val="00FD5DB9"/>
    <w:rsid w:val="00FD5E47"/>
    <w:rsid w:val="00FD648F"/>
    <w:rsid w:val="00FD685A"/>
    <w:rsid w:val="00FD6C87"/>
    <w:rsid w:val="00FD6FB9"/>
    <w:rsid w:val="00FD77C3"/>
    <w:rsid w:val="00FD7E88"/>
    <w:rsid w:val="00FE05FB"/>
    <w:rsid w:val="00FE0AF5"/>
    <w:rsid w:val="00FE0FF5"/>
    <w:rsid w:val="00FE175A"/>
    <w:rsid w:val="00FE3658"/>
    <w:rsid w:val="00FE3B94"/>
    <w:rsid w:val="00FE465D"/>
    <w:rsid w:val="00FE4B1F"/>
    <w:rsid w:val="00FE4CDE"/>
    <w:rsid w:val="00FE4E36"/>
    <w:rsid w:val="00FE6D58"/>
    <w:rsid w:val="00FE71CB"/>
    <w:rsid w:val="00FE77EA"/>
    <w:rsid w:val="00FE7877"/>
    <w:rsid w:val="00FE7D5D"/>
    <w:rsid w:val="00FF030E"/>
    <w:rsid w:val="00FF0830"/>
    <w:rsid w:val="00FF1118"/>
    <w:rsid w:val="00FF1204"/>
    <w:rsid w:val="00FF1554"/>
    <w:rsid w:val="00FF157B"/>
    <w:rsid w:val="00FF1E78"/>
    <w:rsid w:val="00FF235E"/>
    <w:rsid w:val="00FF35B2"/>
    <w:rsid w:val="00FF40F4"/>
    <w:rsid w:val="00FF47B2"/>
    <w:rsid w:val="00FF52C9"/>
    <w:rsid w:val="00FF56DC"/>
    <w:rsid w:val="00FF6775"/>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7C331040"/>
  <w15:docId w15:val="{26214C35-2F19-4548-A7F0-32AC57D3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7AE"/>
    <w:rPr>
      <w:sz w:val="22"/>
      <w:lang w:val="en-US" w:eastAsia="ja-JP"/>
    </w:rPr>
  </w:style>
  <w:style w:type="paragraph" w:styleId="Heading1">
    <w:name w:val="heading 1"/>
    <w:basedOn w:val="Normal"/>
    <w:next w:val="Normal"/>
    <w:qFormat/>
    <w:rsid w:val="00FC27AE"/>
    <w:pPr>
      <w:ind w:left="567" w:hanging="567"/>
      <w:outlineLvl w:val="0"/>
    </w:pPr>
    <w:rPr>
      <w:b/>
      <w:caps/>
    </w:rPr>
  </w:style>
  <w:style w:type="paragraph" w:styleId="Heading2">
    <w:name w:val="heading 2"/>
    <w:basedOn w:val="Heading1"/>
    <w:next w:val="Normal"/>
    <w:qFormat/>
    <w:rsid w:val="00FC27AE"/>
    <w:pPr>
      <w:outlineLvl w:val="1"/>
    </w:pPr>
    <w:rPr>
      <w:caps w:val="0"/>
    </w:rPr>
  </w:style>
  <w:style w:type="paragraph" w:styleId="Heading3">
    <w:name w:val="heading 3"/>
    <w:basedOn w:val="Normal"/>
    <w:next w:val="Normal"/>
    <w:qFormat/>
    <w:rsid w:val="00FC27AE"/>
    <w:pPr>
      <w:keepNext/>
      <w:spacing w:before="240" w:after="60"/>
      <w:outlineLvl w:val="2"/>
    </w:pPr>
    <w:rPr>
      <w:rFonts w:ascii="Arial" w:hAnsi="Arial" w:cs="Arial"/>
      <w:b/>
      <w:bCs/>
      <w:sz w:val="26"/>
      <w:szCs w:val="26"/>
    </w:rPr>
  </w:style>
  <w:style w:type="paragraph" w:styleId="Heading4">
    <w:name w:val="heading 4"/>
    <w:basedOn w:val="Normal"/>
    <w:next w:val="Normal"/>
    <w:qFormat/>
    <w:rsid w:val="00B11D10"/>
    <w:pPr>
      <w:keepNext/>
      <w:numPr>
        <w:ilvl w:val="3"/>
        <w:numId w:val="10"/>
      </w:numPr>
      <w:jc w:val="both"/>
      <w:outlineLvl w:val="3"/>
    </w:pPr>
    <w:rPr>
      <w:b/>
      <w:noProof/>
    </w:rPr>
  </w:style>
  <w:style w:type="paragraph" w:styleId="Heading5">
    <w:name w:val="heading 5"/>
    <w:basedOn w:val="Normal"/>
    <w:next w:val="Normal"/>
    <w:qFormat/>
    <w:rsid w:val="00B11D10"/>
    <w:pPr>
      <w:keepNext/>
      <w:numPr>
        <w:ilvl w:val="4"/>
        <w:numId w:val="10"/>
      </w:numPr>
      <w:jc w:val="both"/>
      <w:outlineLvl w:val="4"/>
    </w:pPr>
    <w:rPr>
      <w:noProof/>
    </w:rPr>
  </w:style>
  <w:style w:type="paragraph" w:styleId="Heading6">
    <w:name w:val="heading 6"/>
    <w:basedOn w:val="Normal"/>
    <w:next w:val="Normal"/>
    <w:qFormat/>
    <w:rsid w:val="00B11D10"/>
    <w:pPr>
      <w:keepNext/>
      <w:numPr>
        <w:ilvl w:val="5"/>
        <w:numId w:val="10"/>
      </w:numPr>
      <w:tabs>
        <w:tab w:val="left" w:pos="-720"/>
        <w:tab w:val="left" w:pos="4536"/>
      </w:tabs>
      <w:suppressAutoHyphens/>
      <w:outlineLvl w:val="5"/>
    </w:pPr>
    <w:rPr>
      <w:i/>
    </w:rPr>
  </w:style>
  <w:style w:type="paragraph" w:styleId="Heading7">
    <w:name w:val="heading 7"/>
    <w:basedOn w:val="Normal"/>
    <w:next w:val="Normal"/>
    <w:qFormat/>
    <w:rsid w:val="00B11D10"/>
    <w:pPr>
      <w:keepNext/>
      <w:numPr>
        <w:ilvl w:val="6"/>
        <w:numId w:val="10"/>
      </w:numPr>
      <w:tabs>
        <w:tab w:val="left" w:pos="-720"/>
        <w:tab w:val="left" w:pos="4536"/>
      </w:tabs>
      <w:suppressAutoHyphens/>
      <w:jc w:val="both"/>
      <w:outlineLvl w:val="6"/>
    </w:pPr>
    <w:rPr>
      <w:i/>
    </w:rPr>
  </w:style>
  <w:style w:type="paragraph" w:styleId="Heading8">
    <w:name w:val="heading 8"/>
    <w:basedOn w:val="Normal"/>
    <w:next w:val="Normal"/>
    <w:qFormat/>
    <w:rsid w:val="00B11D10"/>
    <w:pPr>
      <w:keepNext/>
      <w:numPr>
        <w:ilvl w:val="7"/>
        <w:numId w:val="10"/>
      </w:numPr>
      <w:jc w:val="both"/>
      <w:outlineLvl w:val="7"/>
    </w:pPr>
    <w:rPr>
      <w:b/>
      <w:i/>
    </w:rPr>
  </w:style>
  <w:style w:type="paragraph" w:styleId="Heading9">
    <w:name w:val="heading 9"/>
    <w:basedOn w:val="Normal"/>
    <w:next w:val="Normal"/>
    <w:qFormat/>
    <w:rsid w:val="00B11D10"/>
    <w:pPr>
      <w:keepNext/>
      <w:numPr>
        <w:ilvl w:val="8"/>
        <w:numId w:val="10"/>
      </w:numPr>
      <w:jc w:val="both"/>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C27AE"/>
    <w:pPr>
      <w:tabs>
        <w:tab w:val="center" w:pos="4536"/>
        <w:tab w:val="right" w:pos="9072"/>
      </w:tabs>
    </w:pPr>
  </w:style>
  <w:style w:type="paragraph" w:styleId="Footer">
    <w:name w:val="footer"/>
    <w:basedOn w:val="Normal"/>
    <w:rsid w:val="00FC27AE"/>
    <w:rPr>
      <w:rFonts w:ascii="Arial" w:hAnsi="Arial"/>
      <w:sz w:val="16"/>
    </w:rPr>
  </w:style>
  <w:style w:type="character" w:styleId="PageNumber">
    <w:name w:val="page number"/>
    <w:rsid w:val="00FC27AE"/>
    <w:rPr>
      <w:rFonts w:ascii="Arial" w:hAnsi="Arial"/>
      <w:noProof/>
      <w:sz w:val="16"/>
    </w:rPr>
  </w:style>
  <w:style w:type="paragraph" w:styleId="EndnoteText">
    <w:name w:val="endnote text"/>
    <w:basedOn w:val="Normal"/>
    <w:next w:val="Normal"/>
    <w:semiHidden/>
    <w:rsid w:val="007A3A83"/>
  </w:style>
  <w:style w:type="character" w:styleId="EndnoteReference">
    <w:name w:val="endnote reference"/>
    <w:semiHidden/>
    <w:rsid w:val="007A3A83"/>
    <w:rPr>
      <w:vertAlign w:val="superscript"/>
    </w:rPr>
  </w:style>
  <w:style w:type="character" w:styleId="CommentReference">
    <w:name w:val="annotation reference"/>
    <w:uiPriority w:val="99"/>
    <w:rsid w:val="007A3A83"/>
    <w:rPr>
      <w:sz w:val="16"/>
    </w:rPr>
  </w:style>
  <w:style w:type="paragraph" w:styleId="CommentText">
    <w:name w:val="annotation text"/>
    <w:aliases w:val="Comment Text Char Char Char Char Char Char1 Ch,Comment Text Char Char1,Comment Text Char Char1 Char Char,Comment Text Char1 Char Char Char Char1 Char,Comment Text Char2,Comment Text Char2 Char Char,Comment Text Char2 Char Char Char Char"/>
    <w:basedOn w:val="Normal"/>
    <w:link w:val="CommentTextChar"/>
    <w:qFormat/>
    <w:rsid w:val="007A3A83"/>
    <w:rPr>
      <w:sz w:val="20"/>
    </w:rPr>
  </w:style>
  <w:style w:type="paragraph" w:customStyle="1" w:styleId="BodyText22">
    <w:name w:val="Body Text 22"/>
    <w:basedOn w:val="Normal"/>
    <w:rsid w:val="007A3A83"/>
    <w:pPr>
      <w:tabs>
        <w:tab w:val="left" w:pos="4536"/>
      </w:tabs>
      <w:jc w:val="both"/>
    </w:pPr>
    <w:rPr>
      <w:b/>
    </w:rPr>
  </w:style>
  <w:style w:type="paragraph" w:styleId="BodyText">
    <w:name w:val="Body Text"/>
    <w:basedOn w:val="Normal"/>
    <w:rsid w:val="007A3A83"/>
    <w:rPr>
      <w:b/>
      <w:i/>
    </w:rPr>
  </w:style>
  <w:style w:type="paragraph" w:styleId="BodyText3">
    <w:name w:val="Body Text 3"/>
    <w:basedOn w:val="Normal"/>
    <w:rsid w:val="007A3A83"/>
    <w:pPr>
      <w:jc w:val="both"/>
    </w:pPr>
    <w:rPr>
      <w:b/>
      <w:i/>
    </w:rPr>
  </w:style>
  <w:style w:type="paragraph" w:styleId="BodyTextIndent2">
    <w:name w:val="Body Text Indent 2"/>
    <w:basedOn w:val="Normal"/>
    <w:rsid w:val="007A3A83"/>
    <w:pPr>
      <w:ind w:left="567" w:hanging="567"/>
      <w:jc w:val="both"/>
    </w:pPr>
    <w:rPr>
      <w:b/>
    </w:rPr>
  </w:style>
  <w:style w:type="paragraph" w:customStyle="1" w:styleId="BodyText21">
    <w:name w:val="Body Text 21"/>
    <w:basedOn w:val="Normal"/>
    <w:rsid w:val="007A3A83"/>
    <w:pPr>
      <w:tabs>
        <w:tab w:val="left" w:pos="4536"/>
      </w:tabs>
      <w:jc w:val="both"/>
    </w:pPr>
    <w:rPr>
      <w:b/>
    </w:rPr>
  </w:style>
  <w:style w:type="paragraph" w:styleId="FootnoteText">
    <w:name w:val="footnote text"/>
    <w:basedOn w:val="Normal"/>
    <w:link w:val="FootnoteTextChar"/>
    <w:semiHidden/>
    <w:rsid w:val="007A3A83"/>
    <w:rPr>
      <w:sz w:val="20"/>
    </w:rPr>
  </w:style>
  <w:style w:type="character" w:styleId="FootnoteReference">
    <w:name w:val="footnote reference"/>
    <w:semiHidden/>
    <w:rsid w:val="007A3A83"/>
    <w:rPr>
      <w:vertAlign w:val="superscript"/>
    </w:rPr>
  </w:style>
  <w:style w:type="paragraph" w:styleId="BodyTextIndent3">
    <w:name w:val="Body Text Indent 3"/>
    <w:basedOn w:val="Normal"/>
    <w:rsid w:val="007A3A83"/>
    <w:pPr>
      <w:ind w:left="567" w:hanging="567"/>
    </w:pPr>
    <w:rPr>
      <w:i/>
      <w:color w:val="008000"/>
    </w:rPr>
  </w:style>
  <w:style w:type="paragraph" w:styleId="BodyText2">
    <w:name w:val="Body Text 2"/>
    <w:basedOn w:val="Normal"/>
    <w:rsid w:val="007A3A83"/>
    <w:pPr>
      <w:ind w:left="567" w:hanging="567"/>
    </w:pPr>
    <w:rPr>
      <w:b/>
    </w:rPr>
  </w:style>
  <w:style w:type="paragraph" w:styleId="BlockText">
    <w:name w:val="Block Text"/>
    <w:basedOn w:val="Normal"/>
    <w:rsid w:val="007A3A83"/>
    <w:pPr>
      <w:tabs>
        <w:tab w:val="left" w:pos="2657"/>
      </w:tabs>
      <w:spacing w:before="120"/>
      <w:ind w:left="-37" w:right="-28"/>
    </w:pPr>
  </w:style>
  <w:style w:type="paragraph" w:styleId="BodyTextIndent">
    <w:name w:val="Body Text Indent"/>
    <w:basedOn w:val="Normal"/>
    <w:rsid w:val="007A3A83"/>
    <w:pPr>
      <w:ind w:left="567" w:hanging="567"/>
    </w:pPr>
    <w:rPr>
      <w:b/>
      <w:color w:val="808080"/>
    </w:rPr>
  </w:style>
  <w:style w:type="character" w:styleId="Hyperlink">
    <w:name w:val="Hyperlink"/>
    <w:rsid w:val="007A3A83"/>
    <w:rPr>
      <w:color w:val="0000FF"/>
      <w:u w:val="single"/>
    </w:rPr>
  </w:style>
  <w:style w:type="character" w:styleId="FollowedHyperlink">
    <w:name w:val="FollowedHyperlink"/>
    <w:rsid w:val="007A3A83"/>
    <w:rPr>
      <w:color w:val="800080"/>
      <w:u w:val="single"/>
    </w:rPr>
  </w:style>
  <w:style w:type="paragraph" w:styleId="DocumentMap">
    <w:name w:val="Document Map"/>
    <w:basedOn w:val="Normal"/>
    <w:semiHidden/>
    <w:rsid w:val="007A3A83"/>
    <w:pPr>
      <w:shd w:val="clear" w:color="auto" w:fill="000080"/>
    </w:pPr>
    <w:rPr>
      <w:rFonts w:ascii="Tahoma" w:hAnsi="Tahoma"/>
    </w:rPr>
  </w:style>
  <w:style w:type="paragraph" w:customStyle="1" w:styleId="TOCHeadings">
    <w:name w:val="TOC Headings"/>
    <w:basedOn w:val="Normal"/>
    <w:rsid w:val="007A3A83"/>
    <w:pPr>
      <w:tabs>
        <w:tab w:val="center" w:pos="4672"/>
        <w:tab w:val="right" w:pos="9344"/>
      </w:tabs>
      <w:spacing w:before="397" w:after="227"/>
    </w:pPr>
    <w:rPr>
      <w:rFonts w:ascii="Arial" w:hAnsi="Arial"/>
      <w:b/>
    </w:rPr>
  </w:style>
  <w:style w:type="paragraph" w:customStyle="1" w:styleId="TextTi10">
    <w:name w:val="Text:Ti10"/>
    <w:basedOn w:val="Normal"/>
    <w:rsid w:val="007A3A83"/>
    <w:rPr>
      <w:sz w:val="20"/>
    </w:rPr>
  </w:style>
  <w:style w:type="paragraph" w:customStyle="1" w:styleId="TextTi12">
    <w:name w:val="Text:Ti12"/>
    <w:basedOn w:val="Normal"/>
    <w:rsid w:val="007A3A83"/>
    <w:pPr>
      <w:spacing w:after="170" w:line="280" w:lineRule="atLeast"/>
      <w:jc w:val="both"/>
    </w:pPr>
    <w:rPr>
      <w:sz w:val="24"/>
    </w:rPr>
  </w:style>
  <w:style w:type="paragraph" w:customStyle="1" w:styleId="TextRef">
    <w:name w:val="Text:Ref"/>
    <w:basedOn w:val="Normal"/>
    <w:rsid w:val="007A3A83"/>
    <w:pPr>
      <w:numPr>
        <w:numId w:val="1"/>
      </w:numPr>
      <w:tabs>
        <w:tab w:val="clear" w:pos="360"/>
        <w:tab w:val="left" w:pos="1134"/>
      </w:tabs>
      <w:spacing w:after="170" w:line="280" w:lineRule="atLeast"/>
      <w:ind w:left="1134" w:hanging="1134"/>
    </w:pPr>
    <w:rPr>
      <w:sz w:val="24"/>
    </w:rPr>
  </w:style>
  <w:style w:type="paragraph" w:customStyle="1" w:styleId="TextBull">
    <w:name w:val="Text:Bull"/>
    <w:basedOn w:val="Normal"/>
    <w:link w:val="TextBullChar"/>
    <w:rsid w:val="007A3A83"/>
    <w:pPr>
      <w:numPr>
        <w:numId w:val="2"/>
      </w:numPr>
      <w:spacing w:line="280" w:lineRule="atLeast"/>
    </w:pPr>
    <w:rPr>
      <w:sz w:val="24"/>
    </w:rPr>
  </w:style>
  <w:style w:type="paragraph" w:customStyle="1" w:styleId="TextDash">
    <w:name w:val="Text:Dash"/>
    <w:basedOn w:val="Normal"/>
    <w:rsid w:val="007A3A83"/>
    <w:pPr>
      <w:numPr>
        <w:numId w:val="3"/>
      </w:numPr>
      <w:spacing w:after="170" w:line="280" w:lineRule="atLeast"/>
      <w:jc w:val="both"/>
    </w:pPr>
    <w:rPr>
      <w:sz w:val="24"/>
    </w:rPr>
  </w:style>
  <w:style w:type="paragraph" w:customStyle="1" w:styleId="HangingIndent">
    <w:name w:val="HangingIndent"/>
    <w:basedOn w:val="Normal"/>
    <w:rsid w:val="00252768"/>
    <w:pPr>
      <w:ind w:left="567" w:hanging="567"/>
    </w:pPr>
  </w:style>
  <w:style w:type="paragraph" w:styleId="BalloonText">
    <w:name w:val="Balloon Text"/>
    <w:basedOn w:val="Normal"/>
    <w:semiHidden/>
    <w:rsid w:val="007A3A83"/>
    <w:rPr>
      <w:rFonts w:ascii="Tahoma" w:hAnsi="Tahoma" w:cs="Tahoma"/>
      <w:sz w:val="16"/>
      <w:szCs w:val="16"/>
    </w:rPr>
  </w:style>
  <w:style w:type="character" w:customStyle="1" w:styleId="TextTi12Char">
    <w:name w:val="Text:Ti12 Char"/>
    <w:rsid w:val="007A3A83"/>
    <w:rPr>
      <w:sz w:val="24"/>
      <w:lang w:val="en-US" w:eastAsia="ja-JP" w:bidi="ar-SA"/>
    </w:rPr>
  </w:style>
  <w:style w:type="paragraph" w:customStyle="1" w:styleId="HdTab1">
    <w:name w:val="Hd:Tab:1"/>
    <w:basedOn w:val="Caption"/>
    <w:next w:val="TextTi12"/>
    <w:rsid w:val="00F101E3"/>
    <w:pPr>
      <w:keepNext/>
      <w:outlineLvl w:val="4"/>
    </w:pPr>
    <w:rPr>
      <w:bCs w:val="0"/>
      <w:lang w:eastAsia="ja-JP"/>
    </w:rPr>
  </w:style>
  <w:style w:type="character" w:customStyle="1" w:styleId="TextTi10Char">
    <w:name w:val="Text:Ti10 Char"/>
    <w:rsid w:val="007A3A83"/>
    <w:rPr>
      <w:lang w:val="en-US" w:eastAsia="ja-JP" w:bidi="ar-SA"/>
    </w:rPr>
  </w:style>
  <w:style w:type="paragraph" w:styleId="Caption">
    <w:name w:val="caption"/>
    <w:basedOn w:val="Normal"/>
    <w:next w:val="Normal"/>
    <w:qFormat/>
    <w:rsid w:val="007A3A83"/>
    <w:pPr>
      <w:spacing w:before="113" w:after="57" w:line="280" w:lineRule="atLeast"/>
      <w:ind w:left="1701" w:hanging="1701"/>
    </w:pPr>
    <w:rPr>
      <w:rFonts w:ascii="Arial" w:hAnsi="Arial"/>
      <w:b/>
      <w:bCs/>
      <w:sz w:val="24"/>
      <w:lang w:eastAsia="de-DE"/>
    </w:rPr>
  </w:style>
  <w:style w:type="paragraph" w:customStyle="1" w:styleId="SAS10">
    <w:name w:val="SAS:10"/>
    <w:basedOn w:val="Normal"/>
    <w:rsid w:val="007A3A83"/>
    <w:pPr>
      <w:spacing w:line="190" w:lineRule="exact"/>
    </w:pPr>
    <w:rPr>
      <w:rFonts w:ascii="Courier New" w:hAnsi="Courier New"/>
      <w:spacing w:val="-14"/>
      <w:sz w:val="20"/>
      <w:lang w:eastAsia="de-DE"/>
    </w:rPr>
  </w:style>
  <w:style w:type="paragraph" w:customStyle="1" w:styleId="cdb-ListBulleted">
    <w:name w:val="cdb-List Bulleted"/>
    <w:basedOn w:val="Normal"/>
    <w:rsid w:val="007A3A83"/>
    <w:pPr>
      <w:numPr>
        <w:numId w:val="4"/>
      </w:numPr>
    </w:pPr>
  </w:style>
  <w:style w:type="paragraph" w:customStyle="1" w:styleId="Annex">
    <w:name w:val="Annex"/>
    <w:basedOn w:val="Normal"/>
    <w:next w:val="Normal"/>
    <w:rsid w:val="00FC27AE"/>
    <w:pPr>
      <w:jc w:val="center"/>
    </w:pPr>
    <w:rPr>
      <w:b/>
    </w:rPr>
  </w:style>
  <w:style w:type="paragraph" w:customStyle="1" w:styleId="Description">
    <w:name w:val="Description"/>
    <w:basedOn w:val="Normal"/>
    <w:next w:val="Normal"/>
    <w:rsid w:val="00FC27AE"/>
  </w:style>
  <w:style w:type="paragraph" w:styleId="CommentSubject">
    <w:name w:val="annotation subject"/>
    <w:basedOn w:val="CommentText"/>
    <w:next w:val="CommentText"/>
    <w:semiHidden/>
    <w:rsid w:val="007A3A83"/>
    <w:rPr>
      <w:b/>
      <w:bCs/>
    </w:rPr>
  </w:style>
  <w:style w:type="character" w:customStyle="1" w:styleId="msoins0">
    <w:name w:val="msoins"/>
    <w:rsid w:val="007A3A83"/>
    <w:rPr>
      <w:color w:val="008080"/>
      <w:u w:val="single"/>
    </w:rPr>
  </w:style>
  <w:style w:type="character" w:customStyle="1" w:styleId="Initial">
    <w:name w:val="Initial"/>
    <w:rsid w:val="007A3A83"/>
    <w:rPr>
      <w:rFonts w:ascii="CG Times" w:hAnsi="CG Times"/>
    </w:rPr>
  </w:style>
  <w:style w:type="paragraph" w:customStyle="1" w:styleId="TableCellCenter">
    <w:name w:val="Table Cell Center"/>
    <w:basedOn w:val="Normal"/>
    <w:rsid w:val="007A3A83"/>
    <w:pPr>
      <w:keepNext/>
      <w:keepLines/>
      <w:spacing w:before="50" w:after="50" w:line="240" w:lineRule="exact"/>
      <w:jc w:val="center"/>
    </w:pPr>
    <w:rPr>
      <w:sz w:val="20"/>
      <w:szCs w:val="24"/>
      <w:lang w:eastAsia="de-DE"/>
    </w:rPr>
  </w:style>
  <w:style w:type="paragraph" w:styleId="NormalWeb">
    <w:name w:val="Normal (Web)"/>
    <w:basedOn w:val="Normal"/>
    <w:uiPriority w:val="99"/>
    <w:rsid w:val="007A3A83"/>
    <w:pPr>
      <w:spacing w:before="100" w:beforeAutospacing="1" w:after="100" w:afterAutospacing="1"/>
    </w:pPr>
    <w:rPr>
      <w:rFonts w:eastAsia="MS Mincho"/>
      <w:sz w:val="24"/>
      <w:szCs w:val="24"/>
      <w:lang w:eastAsia="zh-CN" w:bidi="th-TH"/>
    </w:rPr>
  </w:style>
  <w:style w:type="paragraph" w:customStyle="1" w:styleId="AnnexHeading">
    <w:name w:val="Annex Heading"/>
    <w:basedOn w:val="Normal"/>
    <w:next w:val="Normal"/>
    <w:rsid w:val="00FC27AE"/>
    <w:pPr>
      <w:ind w:left="567" w:hanging="567"/>
    </w:pPr>
    <w:rPr>
      <w:b/>
    </w:rPr>
  </w:style>
  <w:style w:type="paragraph" w:customStyle="1" w:styleId="Default">
    <w:name w:val="Default"/>
    <w:rsid w:val="00350106"/>
    <w:pPr>
      <w:autoSpaceDE w:val="0"/>
      <w:autoSpaceDN w:val="0"/>
      <w:adjustRightInd w:val="0"/>
    </w:pPr>
    <w:rPr>
      <w:rFonts w:eastAsia="SimSun"/>
      <w:color w:val="000000"/>
      <w:sz w:val="24"/>
      <w:szCs w:val="24"/>
      <w:lang w:val="en-GB"/>
    </w:rPr>
  </w:style>
  <w:style w:type="character" w:styleId="Emphasis">
    <w:name w:val="Emphasis"/>
    <w:qFormat/>
    <w:rsid w:val="004E363C"/>
    <w:rPr>
      <w:i/>
      <w:iCs/>
    </w:rPr>
  </w:style>
  <w:style w:type="paragraph" w:customStyle="1" w:styleId="TableText10">
    <w:name w:val="TableText:10"/>
    <w:basedOn w:val="Normal"/>
    <w:link w:val="TableText10Char"/>
    <w:rsid w:val="00010DFB"/>
    <w:rPr>
      <w:sz w:val="20"/>
    </w:rPr>
  </w:style>
  <w:style w:type="character" w:customStyle="1" w:styleId="TableText10Char">
    <w:name w:val="TableText:10 Char"/>
    <w:link w:val="TableText10"/>
    <w:rsid w:val="00010DFB"/>
    <w:rPr>
      <w:lang w:val="en-US" w:eastAsia="ja-JP" w:bidi="ar-SA"/>
    </w:rPr>
  </w:style>
  <w:style w:type="table" w:styleId="TableGrid">
    <w:name w:val="Table Grid"/>
    <w:basedOn w:val="TableNormal"/>
    <w:uiPriority w:val="39"/>
    <w:rsid w:val="003546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ullChar">
    <w:name w:val="Text:Bull Char"/>
    <w:link w:val="TextBull"/>
    <w:rsid w:val="008E40AC"/>
    <w:rPr>
      <w:sz w:val="24"/>
      <w:lang w:eastAsia="ja-JP"/>
    </w:rPr>
  </w:style>
  <w:style w:type="character" w:styleId="Strong">
    <w:name w:val="Strong"/>
    <w:qFormat/>
    <w:rsid w:val="007D5AC2"/>
    <w:rPr>
      <w:b/>
      <w:bCs/>
    </w:rPr>
  </w:style>
  <w:style w:type="paragraph" w:customStyle="1" w:styleId="Paragraph">
    <w:name w:val="Paragraph"/>
    <w:basedOn w:val="Normal"/>
    <w:link w:val="ParagraphChar1"/>
    <w:qFormat/>
    <w:rsid w:val="00372B68"/>
    <w:pPr>
      <w:spacing w:after="250" w:line="300" w:lineRule="atLeast"/>
    </w:pPr>
    <w:rPr>
      <w:rFonts w:ascii="Minion" w:eastAsia="Calibri" w:hAnsi="Minion"/>
      <w:szCs w:val="22"/>
      <w:lang w:eastAsia="en-US"/>
    </w:rPr>
  </w:style>
  <w:style w:type="character" w:customStyle="1" w:styleId="ParagraphChar1">
    <w:name w:val="Paragraph Char1"/>
    <w:link w:val="Paragraph"/>
    <w:locked/>
    <w:rsid w:val="00372B68"/>
    <w:rPr>
      <w:rFonts w:ascii="Minion" w:eastAsia="Calibri" w:hAnsi="Minion"/>
      <w:sz w:val="22"/>
      <w:szCs w:val="22"/>
      <w:lang w:val="en-US" w:eastAsia="en-US"/>
    </w:rPr>
  </w:style>
  <w:style w:type="character" w:customStyle="1" w:styleId="apple-converted-space">
    <w:name w:val="apple-converted-space"/>
    <w:rsid w:val="00A82F72"/>
  </w:style>
  <w:style w:type="character" w:customStyle="1" w:styleId="CommentTextChar">
    <w:name w:val="Comment Text Char"/>
    <w:aliases w:val="Comment Text Char Char Char Char Char Char1 Ch Char1,Comment Text Char Char1 Char1,Comment Text Char Char1 Char Char Char1,Comment Text Char1 Char Char Char Char1 Char Char1,Comment Text Char2 Char1,Comment Text Char2 Char Char Char1"/>
    <w:link w:val="CommentText"/>
    <w:rsid w:val="00027520"/>
    <w:rPr>
      <w:lang w:val="en-US" w:eastAsia="ja-JP"/>
    </w:rPr>
  </w:style>
  <w:style w:type="paragraph" w:customStyle="1" w:styleId="ColorfulShading-Accent11">
    <w:name w:val="Colorful Shading - Accent 11"/>
    <w:hidden/>
    <w:uiPriority w:val="99"/>
    <w:semiHidden/>
    <w:rsid w:val="00A44876"/>
    <w:rPr>
      <w:sz w:val="22"/>
      <w:lang w:val="en-US" w:eastAsia="ja-JP"/>
    </w:rPr>
  </w:style>
  <w:style w:type="character" w:customStyle="1" w:styleId="LUTOnormaltextChar">
    <w:name w:val="LUTO normal text Char"/>
    <w:link w:val="LUTOnormaltext"/>
    <w:locked/>
    <w:rsid w:val="0035319B"/>
    <w:rPr>
      <w:rFonts w:cs="Calibri"/>
      <w:sz w:val="22"/>
      <w:szCs w:val="24"/>
      <w:lang w:eastAsia="en-US"/>
    </w:rPr>
  </w:style>
  <w:style w:type="paragraph" w:customStyle="1" w:styleId="LUTOnormaltext">
    <w:name w:val="LUTO normal text"/>
    <w:basedOn w:val="Normal"/>
    <w:link w:val="LUTOnormaltextChar"/>
    <w:rsid w:val="0035319B"/>
    <w:pPr>
      <w:spacing w:after="120" w:line="264" w:lineRule="auto"/>
      <w:ind w:left="851"/>
    </w:pPr>
    <w:rPr>
      <w:rFonts w:cs="Calibri"/>
      <w:szCs w:val="24"/>
      <w:lang w:val="en-GB" w:eastAsia="en-US"/>
    </w:rPr>
  </w:style>
  <w:style w:type="paragraph" w:customStyle="1" w:styleId="ColorfulList-Accent11">
    <w:name w:val="Colorful List - Accent 11"/>
    <w:basedOn w:val="Normal"/>
    <w:uiPriority w:val="34"/>
    <w:qFormat/>
    <w:rsid w:val="00DD2AC8"/>
    <w:pPr>
      <w:ind w:left="720"/>
    </w:pPr>
    <w:rPr>
      <w:rFonts w:ascii="Arial" w:eastAsia="SimSun" w:hAnsi="Arial"/>
      <w:sz w:val="24"/>
      <w:szCs w:val="24"/>
      <w:lang w:eastAsia="zh-CN"/>
    </w:rPr>
  </w:style>
  <w:style w:type="paragraph" w:customStyle="1" w:styleId="Korrektur">
    <w:name w:val="Korrektur"/>
    <w:hidden/>
    <w:uiPriority w:val="99"/>
    <w:semiHidden/>
    <w:rsid w:val="008F369D"/>
    <w:rPr>
      <w:sz w:val="22"/>
      <w:lang w:val="en-US" w:eastAsia="ja-JP"/>
    </w:rPr>
  </w:style>
  <w:style w:type="paragraph" w:customStyle="1" w:styleId="Listeafsnit">
    <w:name w:val="Listeafsnit"/>
    <w:basedOn w:val="Normal"/>
    <w:uiPriority w:val="34"/>
    <w:qFormat/>
    <w:rsid w:val="00634706"/>
    <w:pPr>
      <w:ind w:left="720"/>
      <w:contextualSpacing/>
    </w:pPr>
  </w:style>
  <w:style w:type="paragraph" w:customStyle="1" w:styleId="HangingIndent0">
    <w:name w:val="Hanging Indent"/>
    <w:basedOn w:val="Normal"/>
    <w:rsid w:val="00FC27AE"/>
    <w:pPr>
      <w:ind w:left="567" w:hanging="567"/>
    </w:pPr>
  </w:style>
  <w:style w:type="paragraph" w:styleId="Revision">
    <w:name w:val="Revision"/>
    <w:hidden/>
    <w:uiPriority w:val="99"/>
    <w:semiHidden/>
    <w:rsid w:val="00E0550E"/>
    <w:rPr>
      <w:sz w:val="22"/>
      <w:lang w:val="en-US" w:eastAsia="ja-JP"/>
    </w:rPr>
  </w:style>
  <w:style w:type="character" w:customStyle="1" w:styleId="CommentTextChar1">
    <w:name w:val="Comment Text Char1"/>
    <w:aliases w:val="Comment Text Char Char Char Char Char Char1 Ch Char,Comment Text Char Char1 Char,Comment Text Char Char1 Char Char Char,Comment Text Char1 Char Char Char Char1 Char Char,Comment Text Char2 Char,Comment Text Char2 Char Char Char"/>
    <w:locked/>
    <w:rsid w:val="00D83CED"/>
  </w:style>
  <w:style w:type="character" w:customStyle="1" w:styleId="FootnoteTextChar">
    <w:name w:val="Footnote Text Char"/>
    <w:link w:val="FootnoteText"/>
    <w:semiHidden/>
    <w:rsid w:val="00AB2B61"/>
    <w:rPr>
      <w:lang w:eastAsia="ja-JP"/>
    </w:rPr>
  </w:style>
  <w:style w:type="character" w:customStyle="1" w:styleId="ParagraphChar">
    <w:name w:val="Paragraph Char"/>
    <w:rsid w:val="00C618D5"/>
    <w:rPr>
      <w:rFonts w:ascii="Arial" w:eastAsia="SimSun" w:hAnsi="Arial"/>
      <w:sz w:val="22"/>
      <w:szCs w:val="24"/>
      <w:lang w:val="en-US" w:eastAsia="zh-CN" w:bidi="ar-SA"/>
    </w:rPr>
  </w:style>
  <w:style w:type="paragraph" w:styleId="ListParagraph">
    <w:name w:val="List Paragraph"/>
    <w:basedOn w:val="Normal"/>
    <w:uiPriority w:val="34"/>
    <w:qFormat/>
    <w:rsid w:val="00712CEB"/>
    <w:pPr>
      <w:ind w:left="720"/>
      <w:contextualSpacing/>
    </w:pPr>
  </w:style>
  <w:style w:type="paragraph" w:customStyle="1" w:styleId="TableTitle">
    <w:name w:val="Table Title"/>
    <w:basedOn w:val="Normal"/>
    <w:next w:val="Paragraph"/>
    <w:link w:val="TableTitleChar"/>
    <w:rsid w:val="00DC6A79"/>
    <w:pPr>
      <w:keepNext/>
      <w:keepLines/>
      <w:tabs>
        <w:tab w:val="left" w:pos="1152"/>
      </w:tabs>
      <w:spacing w:before="40" w:after="160" w:line="280" w:lineRule="exact"/>
      <w:ind w:left="1152" w:hanging="1152"/>
    </w:pPr>
    <w:rPr>
      <w:rFonts w:ascii="Arial" w:eastAsia="SimSun" w:hAnsi="Arial"/>
      <w:b/>
      <w:sz w:val="24"/>
      <w:szCs w:val="24"/>
      <w:lang w:eastAsia="zh-CN"/>
    </w:rPr>
  </w:style>
  <w:style w:type="character" w:customStyle="1" w:styleId="TableTitleChar">
    <w:name w:val="Table Title Char"/>
    <w:link w:val="TableTitle"/>
    <w:rsid w:val="00DC6A79"/>
    <w:rPr>
      <w:rFonts w:ascii="Arial" w:eastAsia="SimSun" w:hAnsi="Arial"/>
      <w:b/>
      <w:sz w:val="24"/>
      <w:szCs w:val="24"/>
      <w:lang w:eastAsia="zh-CN"/>
    </w:rPr>
  </w:style>
  <w:style w:type="paragraph" w:customStyle="1" w:styleId="m2716680816725646424gmail-msolistparagraph">
    <w:name w:val="m_2716680816725646424gmail-msolistparagraph"/>
    <w:basedOn w:val="Normal"/>
    <w:rsid w:val="00151941"/>
    <w:pPr>
      <w:spacing w:before="100" w:beforeAutospacing="1" w:after="100" w:afterAutospacing="1"/>
    </w:pPr>
    <w:rPr>
      <w:sz w:val="24"/>
      <w:szCs w:val="24"/>
      <w:lang w:eastAsia="en-US"/>
    </w:rPr>
  </w:style>
  <w:style w:type="character" w:customStyle="1" w:styleId="apple-style-span">
    <w:name w:val="apple-style-span"/>
    <w:rsid w:val="006861A9"/>
  </w:style>
  <w:style w:type="paragraph" w:customStyle="1" w:styleId="Korrektur1">
    <w:name w:val="Korrektur1"/>
    <w:hidden/>
    <w:uiPriority w:val="99"/>
    <w:semiHidden/>
    <w:rsid w:val="007830E0"/>
    <w:rPr>
      <w:sz w:val="22"/>
      <w:lang w:val="en-US" w:eastAsia="ja-JP"/>
    </w:rPr>
  </w:style>
  <w:style w:type="paragraph" w:customStyle="1" w:styleId="Listeafsnit1">
    <w:name w:val="Listeafsnit1"/>
    <w:basedOn w:val="Normal"/>
    <w:uiPriority w:val="34"/>
    <w:qFormat/>
    <w:rsid w:val="007830E0"/>
    <w:pPr>
      <w:ind w:left="720"/>
      <w:contextualSpacing/>
    </w:pPr>
  </w:style>
  <w:style w:type="paragraph" w:customStyle="1" w:styleId="TabFigFooter">
    <w:name w:val="TabFig Footer"/>
    <w:basedOn w:val="Normal"/>
    <w:rsid w:val="007830E0"/>
    <w:pPr>
      <w:keepNext/>
      <w:keepLines/>
      <w:spacing w:before="40" w:line="240" w:lineRule="exact"/>
      <w:ind w:left="245" w:hanging="216"/>
    </w:pPr>
    <w:rPr>
      <w:rFonts w:ascii="Arial" w:eastAsia="SimSun" w:hAnsi="Arial"/>
      <w:sz w:val="20"/>
      <w:szCs w:val="24"/>
      <w:lang w:eastAsia="zh-CN"/>
    </w:rPr>
  </w:style>
  <w:style w:type="paragraph" w:customStyle="1" w:styleId="gmail-msocommenttext">
    <w:name w:val="gmail-msocommenttext"/>
    <w:basedOn w:val="Normal"/>
    <w:rsid w:val="007830E0"/>
    <w:pPr>
      <w:spacing w:before="100" w:beforeAutospacing="1" w:after="100" w:afterAutospacing="1"/>
    </w:pPr>
    <w:rPr>
      <w:sz w:val="24"/>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ema.europa.eu/documents/template-form/appendix-v-adverse-drug-reaction-reporting-details_en.doc" TargetMode="External"/><Relationship Id="rId18" Type="http://schemas.openxmlformats.org/officeDocument/2006/relationships/hyperlink" Target="https://www.ema.europa.eu/documents/template-form/appendix-v-adverse-drug-reaction-reporting-details_en.doc" TargetMode="External"/><Relationship Id="rId26" Type="http://schemas.openxmlformats.org/officeDocument/2006/relationships/hyperlink" Target="https://www.ema.europa.eu/documents/template-form/appendix-v-adverse-drug-reaction-reporting-details_en.doc" TargetMode="External"/><Relationship Id="rId3" Type="http://schemas.openxmlformats.org/officeDocument/2006/relationships/customXml" Target="../customXml/item3.xml"/><Relationship Id="rId21" Type="http://schemas.openxmlformats.org/officeDocument/2006/relationships/hyperlink" Target="http://www.ema.europa.eu/"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yperlink" Target="https://www.ema.europa.eu/documents/template-form/appendix-v-adverse-drug-reaction-reporting-details_en.doc"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ema.europa.eu/documents/template-form/appendix-v-adverse-drug-reaction-reporting-details_en.doc" TargetMode="External"/><Relationship Id="rId5" Type="http://schemas.openxmlformats.org/officeDocument/2006/relationships/customXml" Target="../customXml/item5.xml"/><Relationship Id="rId15" Type="http://schemas.openxmlformats.org/officeDocument/2006/relationships/chart" Target="charts/chart1.xml"/><Relationship Id="rId23" Type="http://schemas.openxmlformats.org/officeDocument/2006/relationships/hyperlink" Target="http://www.ema.europa.eu" TargetMode="External"/><Relationship Id="rId28"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hyperlink" Target="http://www.ema.europa.eu/"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emf"/><Relationship Id="rId22" Type="http://schemas.openxmlformats.org/officeDocument/2006/relationships/hyperlink" Target="https://www.ema.europa.eu/documents/template-form/appendix-v-adverse-drug-reaction-reporting-details_en.doc" TargetMode="External"/><Relationship Id="rId27" Type="http://schemas.openxmlformats.org/officeDocument/2006/relationships/hyperlink" Target="http://www.ema.europa.eu"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T:\SPC_10H.dot"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7777777777777778"/>
          <c:y val="9.859154929577485E-2"/>
          <c:w val="0.60952380952381036"/>
          <c:h val="0.66197183098591639"/>
        </c:manualLayout>
      </c:layout>
      <c:barChart>
        <c:barDir val="col"/>
        <c:grouping val="clustered"/>
        <c:varyColors val="0"/>
        <c:ser>
          <c:idx val="0"/>
          <c:order val="0"/>
          <c:tx>
            <c:strRef>
              <c:f>Sheet1!$A$2</c:f>
              <c:strCache>
                <c:ptCount val="1"/>
                <c:pt idx="0">
                  <c:v>ACR20</c:v>
                </c:pt>
              </c:strCache>
            </c:strRef>
          </c:tx>
          <c:spPr>
            <a:solidFill>
              <a:srgbClr val="000000"/>
            </a:solidFill>
            <a:ln w="12680">
              <a:solidFill>
                <a:srgbClr val="000000"/>
              </a:solidFill>
            </a:ln>
          </c:spPr>
          <c:invertIfNegative val="0"/>
          <c:cat>
            <c:strRef>
              <c:f>Sheet1!$B$1:$E$1</c:f>
              <c:strCache>
                <c:ptCount val="4"/>
                <c:pt idx="0">
                  <c:v>1st Course </c:v>
                </c:pt>
                <c:pt idx="1">
                  <c:v>2nd Course </c:v>
                </c:pt>
                <c:pt idx="2">
                  <c:v>3rd Course</c:v>
                </c:pt>
                <c:pt idx="3">
                  <c:v>4th Course</c:v>
                </c:pt>
              </c:strCache>
            </c:strRef>
          </c:cat>
          <c:val>
            <c:numRef>
              <c:f>Sheet1!$B$2:$E$2</c:f>
              <c:numCache>
                <c:formatCode>General</c:formatCode>
                <c:ptCount val="4"/>
                <c:pt idx="0">
                  <c:v>69.2</c:v>
                </c:pt>
                <c:pt idx="1">
                  <c:v>74</c:v>
                </c:pt>
                <c:pt idx="2">
                  <c:v>71.900000000000006</c:v>
                </c:pt>
                <c:pt idx="3">
                  <c:v>65.8</c:v>
                </c:pt>
              </c:numCache>
            </c:numRef>
          </c:val>
          <c:extLst>
            <c:ext xmlns:c16="http://schemas.microsoft.com/office/drawing/2014/chart" uri="{C3380CC4-5D6E-409C-BE32-E72D297353CC}">
              <c16:uniqueId val="{00000000-6DC9-4150-873B-D39A072DE4CE}"/>
            </c:ext>
          </c:extLst>
        </c:ser>
        <c:ser>
          <c:idx val="1"/>
          <c:order val="1"/>
          <c:tx>
            <c:strRef>
              <c:f>Sheet1!$A$3</c:f>
              <c:strCache>
                <c:ptCount val="1"/>
                <c:pt idx="0">
                  <c:v>ACR50</c:v>
                </c:pt>
              </c:strCache>
            </c:strRef>
          </c:tx>
          <c:spPr>
            <a:pattFill prst="ltDnDiag">
              <a:fgClr>
                <a:srgbClr val="000000"/>
              </a:fgClr>
              <a:bgClr>
                <a:srgbClr val="FFFFFF"/>
              </a:bgClr>
            </a:pattFill>
            <a:ln w="12680">
              <a:solidFill>
                <a:srgbClr val="000000"/>
              </a:solidFill>
            </a:ln>
          </c:spPr>
          <c:invertIfNegative val="0"/>
          <c:cat>
            <c:strRef>
              <c:f>Sheet1!$B$1:$E$1</c:f>
              <c:strCache>
                <c:ptCount val="4"/>
                <c:pt idx="0">
                  <c:v>1st Course </c:v>
                </c:pt>
                <c:pt idx="1">
                  <c:v>2nd Course </c:v>
                </c:pt>
                <c:pt idx="2">
                  <c:v>3rd Course</c:v>
                </c:pt>
                <c:pt idx="3">
                  <c:v>4th Course</c:v>
                </c:pt>
              </c:strCache>
            </c:strRef>
          </c:cat>
          <c:val>
            <c:numRef>
              <c:f>Sheet1!$B$3:$E$3</c:f>
              <c:numCache>
                <c:formatCode>General</c:formatCode>
                <c:ptCount val="4"/>
                <c:pt idx="0">
                  <c:v>36.299999999999997</c:v>
                </c:pt>
                <c:pt idx="1">
                  <c:v>42.5</c:v>
                </c:pt>
                <c:pt idx="2">
                  <c:v>45.9</c:v>
                </c:pt>
                <c:pt idx="3">
                  <c:v>43.8</c:v>
                </c:pt>
              </c:numCache>
            </c:numRef>
          </c:val>
          <c:extLst>
            <c:ext xmlns:c16="http://schemas.microsoft.com/office/drawing/2014/chart" uri="{C3380CC4-5D6E-409C-BE32-E72D297353CC}">
              <c16:uniqueId val="{00000001-6DC9-4150-873B-D39A072DE4CE}"/>
            </c:ext>
          </c:extLst>
        </c:ser>
        <c:ser>
          <c:idx val="2"/>
          <c:order val="2"/>
          <c:tx>
            <c:strRef>
              <c:f>Sheet1!$A$4</c:f>
              <c:strCache>
                <c:ptCount val="1"/>
                <c:pt idx="0">
                  <c:v>ACR70</c:v>
                </c:pt>
              </c:strCache>
            </c:strRef>
          </c:tx>
          <c:spPr>
            <a:pattFill prst="pct80">
              <a:fgClr>
                <a:srgbClr val="FFFFFF"/>
              </a:fgClr>
              <a:bgClr>
                <a:srgbClr val="000000"/>
              </a:bgClr>
            </a:pattFill>
            <a:ln w="12680">
              <a:solidFill>
                <a:srgbClr val="000000"/>
              </a:solidFill>
            </a:ln>
          </c:spPr>
          <c:invertIfNegative val="0"/>
          <c:cat>
            <c:strRef>
              <c:f>Sheet1!$B$1:$E$1</c:f>
              <c:strCache>
                <c:ptCount val="4"/>
                <c:pt idx="0">
                  <c:v>1st Course </c:v>
                </c:pt>
                <c:pt idx="1">
                  <c:v>2nd Course </c:v>
                </c:pt>
                <c:pt idx="2">
                  <c:v>3rd Course</c:v>
                </c:pt>
                <c:pt idx="3">
                  <c:v>4th Course</c:v>
                </c:pt>
              </c:strCache>
            </c:strRef>
          </c:cat>
          <c:val>
            <c:numRef>
              <c:f>Sheet1!$B$4:$E$4</c:f>
              <c:numCache>
                <c:formatCode>General</c:formatCode>
                <c:ptCount val="4"/>
                <c:pt idx="0">
                  <c:v>15.8</c:v>
                </c:pt>
                <c:pt idx="1">
                  <c:v>17.8</c:v>
                </c:pt>
                <c:pt idx="2">
                  <c:v>21.2</c:v>
                </c:pt>
                <c:pt idx="3">
                  <c:v>21.9</c:v>
                </c:pt>
              </c:numCache>
            </c:numRef>
          </c:val>
          <c:extLst>
            <c:ext xmlns:c16="http://schemas.microsoft.com/office/drawing/2014/chart" uri="{C3380CC4-5D6E-409C-BE32-E72D297353CC}">
              <c16:uniqueId val="{00000002-6DC9-4150-873B-D39A072DE4CE}"/>
            </c:ext>
          </c:extLst>
        </c:ser>
        <c:dLbls>
          <c:showLegendKey val="0"/>
          <c:showVal val="0"/>
          <c:showCatName val="0"/>
          <c:showSerName val="0"/>
          <c:showPercent val="0"/>
          <c:showBubbleSize val="0"/>
        </c:dLbls>
        <c:gapWidth val="150"/>
        <c:axId val="140980992"/>
        <c:axId val="140982528"/>
      </c:barChart>
      <c:catAx>
        <c:axId val="140980992"/>
        <c:scaling>
          <c:orientation val="minMax"/>
        </c:scaling>
        <c:delete val="0"/>
        <c:axPos val="b"/>
        <c:numFmt formatCode="General" sourceLinked="1"/>
        <c:majorTickMark val="out"/>
        <c:minorTickMark val="none"/>
        <c:tickLblPos val="nextTo"/>
        <c:spPr>
          <a:ln w="3170">
            <a:solidFill>
              <a:srgbClr val="000000"/>
            </a:solidFill>
          </a:ln>
        </c:spPr>
        <c:txPr>
          <a:bodyPr rot="0" vert="horz"/>
          <a:lstStyle/>
          <a:p>
            <a:pPr>
              <a:defRPr sz="799" b="1" i="0" u="none" strike="noStrike" baseline="0">
                <a:solidFill>
                  <a:srgbClr val="000000"/>
                </a:solidFill>
                <a:latin typeface="Arial"/>
                <a:ea typeface="Arial"/>
                <a:cs typeface="Arial"/>
              </a:defRPr>
            </a:pPr>
            <a:endParaRPr lang="en-US"/>
          </a:p>
        </c:txPr>
        <c:crossAx val="140982528"/>
        <c:crosses val="autoZero"/>
        <c:auto val="1"/>
        <c:lblAlgn val="ctr"/>
        <c:lblOffset val="100"/>
        <c:tickLblSkip val="1"/>
        <c:tickMarkSkip val="1"/>
        <c:noMultiLvlLbl val="0"/>
      </c:catAx>
      <c:valAx>
        <c:axId val="140982528"/>
        <c:scaling>
          <c:orientation val="minMax"/>
          <c:max val="90"/>
        </c:scaling>
        <c:delete val="0"/>
        <c:axPos val="l"/>
        <c:title>
          <c:tx>
            <c:rich>
              <a:bodyPr/>
              <a:lstStyle/>
              <a:p>
                <a:pPr>
                  <a:defRPr sz="894" b="1" i="0" u="none" strike="noStrike" baseline="0">
                    <a:solidFill>
                      <a:srgbClr val="000000"/>
                    </a:solidFill>
                    <a:latin typeface="Arial"/>
                    <a:ea typeface="Arial"/>
                    <a:cs typeface="Arial"/>
                  </a:defRPr>
                </a:pPr>
                <a:r>
                  <a:rPr lang="de-CH"/>
                  <a:t>% of patients</a:t>
                </a:r>
              </a:p>
            </c:rich>
          </c:tx>
          <c:layout>
            <c:manualLayout>
              <c:xMode val="edge"/>
              <c:yMode val="edge"/>
              <c:x val="3.4920761487092597E-2"/>
              <c:y val="0.24413145539906103"/>
            </c:manualLayout>
          </c:layout>
          <c:overlay val="0"/>
          <c:spPr>
            <a:noFill/>
            <a:ln w="25360">
              <a:noFill/>
            </a:ln>
          </c:spPr>
        </c:title>
        <c:numFmt formatCode="General" sourceLinked="1"/>
        <c:majorTickMark val="out"/>
        <c:minorTickMark val="none"/>
        <c:tickLblPos val="nextTo"/>
        <c:spPr>
          <a:ln w="3170">
            <a:solidFill>
              <a:srgbClr val="000000"/>
            </a:solidFill>
          </a:ln>
        </c:spPr>
        <c:txPr>
          <a:bodyPr rot="0" vert="horz"/>
          <a:lstStyle/>
          <a:p>
            <a:pPr>
              <a:defRPr sz="799" b="1" i="0" u="none" strike="noStrike" baseline="0">
                <a:solidFill>
                  <a:srgbClr val="000000"/>
                </a:solidFill>
                <a:latin typeface="Arial"/>
                <a:ea typeface="Arial"/>
                <a:cs typeface="Arial"/>
              </a:defRPr>
            </a:pPr>
            <a:endParaRPr lang="en-US"/>
          </a:p>
        </c:txPr>
        <c:crossAx val="140980992"/>
        <c:crosses val="autoZero"/>
        <c:crossBetween val="between"/>
      </c:valAx>
      <c:spPr>
        <a:noFill/>
        <a:ln w="25384">
          <a:noFill/>
        </a:ln>
      </c:spPr>
    </c:plotArea>
    <c:legend>
      <c:legendPos val="r"/>
      <c:layout>
        <c:manualLayout>
          <c:xMode val="edge"/>
          <c:yMode val="edge"/>
          <c:x val="0.81904747666035416"/>
          <c:y val="0.29107981220657275"/>
          <c:w val="0.16825409482042586"/>
          <c:h val="0.27230046948356812"/>
        </c:manualLayout>
      </c:layout>
      <c:overlay val="0"/>
      <c:spPr>
        <a:noFill/>
        <a:ln w="3170">
          <a:solidFill>
            <a:srgbClr val="000000"/>
          </a:solidFill>
        </a:ln>
      </c:spPr>
      <c:txPr>
        <a:bodyPr/>
        <a:lstStyle/>
        <a:p>
          <a:pPr>
            <a:defRPr sz="734" b="1"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a:noFill/>
    </a:ln>
  </c:spPr>
  <c:txPr>
    <a:bodyPr/>
    <a:lstStyle/>
    <a:p>
      <a:pPr>
        <a:defRPr sz="899" b="1" i="0" u="none" strike="noStrike" baseline="0">
          <a:solidFill>
            <a:srgbClr val="000000"/>
          </a:solidFill>
          <a:latin typeface="Arial"/>
          <a:ea typeface="Arial"/>
          <a:cs typeface="Arial"/>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anguage xmlns="http://schemas.microsoft.com/sharepoint/v3">English</Language>
    <PublishExpirationDateTime xmlns="9fd6abbd-6db2-4b48-94fc-e57628443064" xsi:nil="true"/>
    <Published_x0020_By xmlns="9fd6abbd-6db2-4b48-94fc-e57628443064" xsi:nil="true"/>
    <TaxCatchAll xmlns="f191ad30-9ade-4f0c-b78e-cf30469879ae">
      <Value>87</Value>
      <Value>85</Value>
    </TaxCatchAll>
    <Shared_x0020_By xmlns="9fd6abbd-6db2-4b48-94fc-e57628443064" xsi:nil="true"/>
    <ShareExpirationDateTime xmlns="9fd6abbd-6db2-4b48-94fc-e57628443064" xsi:nil="true"/>
    <IconOverlay xmlns="http://schemas.microsoft.com/sharepoint/v4" xsi:nil="true"/>
    <Share xmlns="9fd6abbd-6db2-4b48-94fc-e57628443064" xsi:nil="true"/>
    <Document_x0020_Status xmlns="9fd6abbd-6db2-4b48-94fc-e57628443064">Draft</Document_x0020_Status>
    <URL xmlns="http://schemas.microsoft.com/sharepoint/v3">
      <Url xsi:nil="true"/>
      <Description xsi:nil="true"/>
    </URL>
    <TaxKeywordTaxHTField xmlns="9fd6abbd-6db2-4b48-94fc-e57628443064">
      <Terms xmlns="http://schemas.microsoft.com/office/infopath/2007/PartnerControls">
        <TermInfo xmlns="http://schemas.microsoft.com/office/infopath/2007/PartnerControls">
          <TermName xmlns="http://schemas.microsoft.com/office/infopath/2007/PartnerControls">INN-rituximab</TermName>
          <TermId xmlns="http://schemas.microsoft.com/office/infopath/2007/PartnerControls">c85cde5d-955c-498b-a1d5-f3b521010966</TermId>
        </TermInfo>
        <TermInfo xmlns="http://schemas.microsoft.com/office/infopath/2007/PartnerControls">
          <TermName xmlns="http://schemas.microsoft.com/office/infopath/2007/PartnerControls">MabThera</TermName>
          <TermId xmlns="http://schemas.microsoft.com/office/infopath/2007/PartnerControls">f0dc3681-bf19-43c3-a842-4141f60b8a1a</TermId>
        </TermInfo>
      </Terms>
    </TaxKeywordTaxHTField>
    <Geographical_x0020_Scope xmlns="9fd6abbd-6db2-4b48-94fc-e57628443064" xsi:nil="true"/>
    <Collaboration xmlns="9fd6abbd-6db2-4b48-94fc-e57628443064" xsi:nil="true"/>
    <_dlc_ExpireDate xmlns="http://schemas.microsoft.com/sharepoint/v3">2031-11-30T23:00:00+00:00</_dlc_ExpireDate>
    <_dlc_ExpireDateSaved xmlns="http://schemas.microsoft.com/sharepoint/v3"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9CA405-EB48-4AB6-A023-9229F841A8B6}">
  <ds:schemaRefs>
    <ds:schemaRef ds:uri="http://schemas.microsoft.com/office/2006/metadata/longProperties"/>
  </ds:schemaRefs>
</ds:datastoreItem>
</file>

<file path=customXml/itemProps2.xml><?xml version="1.0" encoding="utf-8"?>
<ds:datastoreItem xmlns:ds="http://schemas.openxmlformats.org/officeDocument/2006/customXml" ds:itemID="{787DF40C-820A-41F3-B2E6-EDDC3C2A698B}">
  <ds:schemaRefs>
    <ds:schemaRef ds:uri="http://schemas.microsoft.com/office/2006/documentManagement/types"/>
    <ds:schemaRef ds:uri="http://schemas.microsoft.com/office/2006/metadata/properties"/>
    <ds:schemaRef ds:uri="http://purl.org/dc/elements/1.1/"/>
    <ds:schemaRef ds:uri="http://schemas.microsoft.com/sharepoint/v4"/>
    <ds:schemaRef ds:uri="http://purl.org/dc/terms/"/>
    <ds:schemaRef ds:uri="http://schemas.openxmlformats.org/package/2006/metadata/core-properties"/>
    <ds:schemaRef ds:uri="http://purl.org/dc/dcmitype/"/>
    <ds:schemaRef ds:uri="f191ad30-9ade-4f0c-b78e-cf30469879ae"/>
    <ds:schemaRef ds:uri="http://schemas.microsoft.com/office/infopath/2007/PartnerControls"/>
    <ds:schemaRef ds:uri="9fd6abbd-6db2-4b48-94fc-e57628443064"/>
    <ds:schemaRef ds:uri="http://schemas.microsoft.com/sharepoint/v3"/>
    <ds:schemaRef ds:uri="http://www.w3.org/XML/1998/namespace"/>
  </ds:schemaRefs>
</ds:datastoreItem>
</file>

<file path=customXml/itemProps3.xml><?xml version="1.0" encoding="utf-8"?>
<ds:datastoreItem xmlns:ds="http://schemas.openxmlformats.org/officeDocument/2006/customXml" ds:itemID="{35674EC5-6D1C-4818-B5FF-8A170055F709}">
  <ds:schemaRefs>
    <ds:schemaRef ds:uri="http://schemas.microsoft.com/sharepoint/v3/contenttype/forms"/>
  </ds:schemaRefs>
</ds:datastoreItem>
</file>

<file path=customXml/itemProps4.xml><?xml version="1.0" encoding="utf-8"?>
<ds:datastoreItem xmlns:ds="http://schemas.openxmlformats.org/officeDocument/2006/customXml" ds:itemID="{6E8A4866-E6EF-46AE-BEF0-DBEE74E46D12}">
  <ds:schemaRefs>
    <ds:schemaRef ds:uri="http://schemas.microsoft.com/office/2006/metadata/properties"/>
    <ds:schemaRef ds:uri="http://schemas.microsoft.com/office/infopath/2007/PartnerControls"/>
    <ds:schemaRef ds:uri="http://schemas.microsoft.com/sharepoint/v3"/>
    <ds:schemaRef ds:uri="9fd6abbd-6db2-4b48-94fc-e57628443064"/>
    <ds:schemaRef ds:uri="f191ad30-9ade-4f0c-b78e-cf30469879ae"/>
    <ds:schemaRef ds:uri="http://schemas.microsoft.com/sharepoint/v4"/>
  </ds:schemaRefs>
</ds:datastoreItem>
</file>

<file path=customXml/itemProps5.xml><?xml version="1.0" encoding="utf-8"?>
<ds:datastoreItem xmlns:ds="http://schemas.openxmlformats.org/officeDocument/2006/customXml" ds:itemID="{D7DA04A1-87DA-481A-A600-5F29232BB4B3}"/>
</file>

<file path=customXml/itemProps6.xml><?xml version="1.0" encoding="utf-8"?>
<ds:datastoreItem xmlns:ds="http://schemas.openxmlformats.org/officeDocument/2006/customXml" ds:itemID="{F4F025CE-88E6-4F73-8389-35F8FC623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SPC_10H</Template>
  <TotalTime>15</TotalTime>
  <Pages>148</Pages>
  <Words>55633</Words>
  <Characters>317109</Characters>
  <Application>Microsoft Office Word</Application>
  <DocSecurity>0</DocSecurity>
  <Lines>2642</Lines>
  <Paragraphs>743</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MabThera, INN-rituximab</vt:lpstr>
      <vt:lpstr>MabThera, INN-rituximab</vt:lpstr>
      <vt:lpstr>MabThera, INN-rituximab</vt:lpstr>
    </vt:vector>
  </TitlesOfParts>
  <Company>EMEA</Company>
  <LinksUpToDate>false</LinksUpToDate>
  <CharactersWithSpaces>371999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MabThera, INN-rituximab</dc:title>
  <dc:subject>EPAR</dc:subject>
  <dc:creator>CHMP</dc:creator>
  <cp:keywords>MabThera, INN-rituximab</cp:keywords>
  <dc:description>Version 10.0 02/2016_x000d_
Downloaded 110516 (en)</dc:description>
  <cp:lastModifiedBy>Devre, Pallavi {EXBP~Tata Consultancy Services Ltd.}</cp:lastModifiedBy>
  <cp:revision>19</cp:revision>
  <cp:lastPrinted>2020-12-18T10:38:00Z</cp:lastPrinted>
  <dcterms:created xsi:type="dcterms:W3CDTF">2020-11-25T16:59:00Z</dcterms:created>
  <dcterms:modified xsi:type="dcterms:W3CDTF">2021-02-19T04:02:00Z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tch">
    <vt:lpwstr>tbd</vt:lpwstr>
  </property>
  <property fmtid="{D5CDD505-2E9C-101B-9397-08002B2CF9AE}" pid="3" name="Category">
    <vt:lpwstr>A</vt:lpwstr>
  </property>
  <property fmtid="{D5CDD505-2E9C-101B-9397-08002B2CF9AE}" pid="4" name="Classification">
    <vt:lpwstr>Confidential Recipient(s)  only</vt:lpwstr>
  </property>
  <property fmtid="{D5CDD505-2E9C-101B-9397-08002B2CF9AE}" pid="5" name="ContentTypeId">
    <vt:lpwstr>0x010100726F91DD1AE57B44B1BCEB7F1056F5D0</vt:lpwstr>
  </property>
  <property fmtid="{D5CDD505-2E9C-101B-9397-08002B2CF9AE}" pid="6" name="DM_Author">
    <vt:lpwstr/>
  </property>
  <property fmtid="{D5CDD505-2E9C-101B-9397-08002B2CF9AE}" pid="7" name="DM_Authors">
    <vt:lpwstr/>
  </property>
  <property fmtid="{D5CDD505-2E9C-101B-9397-08002B2CF9AE}" pid="8" name="DM_Category">
    <vt:lpwstr>Product Information</vt:lpwstr>
  </property>
  <property fmtid="{D5CDD505-2E9C-101B-9397-08002B2CF9AE}" pid="9" name="DM_Creation_Date">
    <vt:lpwstr>05/04/2016 09:38:53</vt:lpwstr>
  </property>
  <property fmtid="{D5CDD505-2E9C-101B-9397-08002B2CF9AE}" pid="10" name="DM_Creator_Name">
    <vt:lpwstr>Marletta Lena</vt:lpwstr>
  </property>
  <property fmtid="{D5CDD505-2E9C-101B-9397-08002B2CF9AE}" pid="11" name="DM_DocRefId">
    <vt:lpwstr>EMA/235874/2016</vt:lpwstr>
  </property>
  <property fmtid="{D5CDD505-2E9C-101B-9397-08002B2CF9AE}" pid="12" name="DM_emea_bcc">
    <vt:lpwstr/>
  </property>
  <property fmtid="{D5CDD505-2E9C-101B-9397-08002B2CF9AE}" pid="13" name="DM_emea_cc">
    <vt:lpwstr/>
  </property>
  <property fmtid="{D5CDD505-2E9C-101B-9397-08002B2CF9AE}" pid="14" name="DM_emea_doc_category">
    <vt:lpwstr>Product Information</vt:lpwstr>
  </property>
  <property fmtid="{D5CDD505-2E9C-101B-9397-08002B2CF9AE}" pid="15" name="DM_emea_doc_lang">
    <vt:lpwstr/>
  </property>
  <property fmtid="{D5CDD505-2E9C-101B-9397-08002B2CF9AE}" pid="16" name="DM_emea_doc_number">
    <vt:lpwstr>290467</vt:lpwstr>
  </property>
  <property fmtid="{D5CDD505-2E9C-101B-9397-08002B2CF9AE}" pid="17" name="DM_emea_doc_ref_id">
    <vt:lpwstr>EMA/235874/2016</vt:lpwstr>
  </property>
  <property fmtid="{D5CDD505-2E9C-101B-9397-08002B2CF9AE}" pid="18" name="DM_emea_domain">
    <vt:lpwstr>H</vt:lpwstr>
  </property>
  <property fmtid="{D5CDD505-2E9C-101B-9397-08002B2CF9AE}" pid="19" name="DM_emea_from">
    <vt:lpwstr/>
  </property>
  <property fmtid="{D5CDD505-2E9C-101B-9397-08002B2CF9AE}" pid="20" name="DM_emea_internal_label">
    <vt:lpwstr>EMEA</vt:lpwstr>
  </property>
  <property fmtid="{D5CDD505-2E9C-101B-9397-08002B2CF9AE}" pid="21" name="DM_emea_legal_date">
    <vt:lpwstr>nulldate</vt:lpwstr>
  </property>
  <property fmtid="{D5CDD505-2E9C-101B-9397-08002B2CF9AE}" pid="22" name="DM_emea_meeting_action">
    <vt:lpwstr/>
  </property>
  <property fmtid="{D5CDD505-2E9C-101B-9397-08002B2CF9AE}" pid="23" name="DM_emea_meeting_flags">
    <vt:lpwstr/>
  </property>
  <property fmtid="{D5CDD505-2E9C-101B-9397-08002B2CF9AE}" pid="24" name="DM_emea_meeting_hyperlink">
    <vt:lpwstr/>
  </property>
  <property fmtid="{D5CDD505-2E9C-101B-9397-08002B2CF9AE}" pid="25" name="DM_emea_meeting_ref">
    <vt:lpwstr/>
  </property>
  <property fmtid="{D5CDD505-2E9C-101B-9397-08002B2CF9AE}" pid="26" name="DM_emea_meeting_status">
    <vt:lpwstr/>
  </property>
  <property fmtid="{D5CDD505-2E9C-101B-9397-08002B2CF9AE}" pid="27" name="DM_emea_meeting_title">
    <vt:lpwstr/>
  </property>
  <property fmtid="{D5CDD505-2E9C-101B-9397-08002B2CF9AE}" pid="28" name="DM_emea_message_subject">
    <vt:lpwstr/>
  </property>
  <property fmtid="{D5CDD505-2E9C-101B-9397-08002B2CF9AE}" pid="29" name="DM_emea_module">
    <vt:lpwstr/>
  </property>
  <property fmtid="{D5CDD505-2E9C-101B-9397-08002B2CF9AE}" pid="30" name="DM_emea_par_dist">
    <vt:lpwstr/>
  </property>
  <property fmtid="{D5CDD505-2E9C-101B-9397-08002B2CF9AE}" pid="31" name="DM_emea_procedure">
    <vt:lpwstr>C</vt:lpwstr>
  </property>
  <property fmtid="{D5CDD505-2E9C-101B-9397-08002B2CF9AE}" pid="32" name="DM_emea_procedure_number">
    <vt:lpwstr/>
  </property>
  <property fmtid="{D5CDD505-2E9C-101B-9397-08002B2CF9AE}" pid="33" name="DM_emea_procedure_ref">
    <vt:lpwstr>H/C/000165</vt:lpwstr>
  </property>
  <property fmtid="{D5CDD505-2E9C-101B-9397-08002B2CF9AE}" pid="34" name="DM_emea_procedure_type">
    <vt:lpwstr/>
  </property>
  <property fmtid="{D5CDD505-2E9C-101B-9397-08002B2CF9AE}" pid="35" name="DM_emea_product_number">
    <vt:lpwstr>000165</vt:lpwstr>
  </property>
  <property fmtid="{D5CDD505-2E9C-101B-9397-08002B2CF9AE}" pid="36" name="DM_emea_product_substance">
    <vt:lpwstr>Mabthera</vt:lpwstr>
  </property>
  <property fmtid="{D5CDD505-2E9C-101B-9397-08002B2CF9AE}" pid="37" name="DM_emea_received_date">
    <vt:lpwstr>nulldate</vt:lpwstr>
  </property>
  <property fmtid="{D5CDD505-2E9C-101B-9397-08002B2CF9AE}" pid="38" name="DM_emea_resp_body">
    <vt:lpwstr/>
  </property>
  <property fmtid="{D5CDD505-2E9C-101B-9397-08002B2CF9AE}" pid="39" name="DM_emea_revision_label">
    <vt:lpwstr/>
  </property>
  <property fmtid="{D5CDD505-2E9C-101B-9397-08002B2CF9AE}" pid="40" name="DM_emea_sent_date">
    <vt:lpwstr>nulldate</vt:lpwstr>
  </property>
  <property fmtid="{D5CDD505-2E9C-101B-9397-08002B2CF9AE}" pid="41" name="DM_emea_to">
    <vt:lpwstr/>
  </property>
  <property fmtid="{D5CDD505-2E9C-101B-9397-08002B2CF9AE}" pid="42" name="DM_emea_year">
    <vt:lpwstr>2008</vt:lpwstr>
  </property>
  <property fmtid="{D5CDD505-2E9C-101B-9397-08002B2CF9AE}" pid="43" name="DM_Keywords">
    <vt:lpwstr/>
  </property>
  <property fmtid="{D5CDD505-2E9C-101B-9397-08002B2CF9AE}" pid="44" name="DM_Language">
    <vt:lpwstr/>
  </property>
  <property fmtid="{D5CDD505-2E9C-101B-9397-08002B2CF9AE}" pid="45" name="DM_Modifer_Name">
    <vt:lpwstr>Marletta Lena</vt:lpwstr>
  </property>
  <property fmtid="{D5CDD505-2E9C-101B-9397-08002B2CF9AE}" pid="46" name="DM_Modified_Date">
    <vt:lpwstr>05/04/2016 09:39:52</vt:lpwstr>
  </property>
  <property fmtid="{D5CDD505-2E9C-101B-9397-08002B2CF9AE}" pid="47" name="DM_Modifier_Name">
    <vt:lpwstr>Marletta Lena</vt:lpwstr>
  </property>
  <property fmtid="{D5CDD505-2E9C-101B-9397-08002B2CF9AE}" pid="48" name="DM_Modify_Date">
    <vt:lpwstr>05/04/2016 09:39:52</vt:lpwstr>
  </property>
  <property fmtid="{D5CDD505-2E9C-101B-9397-08002B2CF9AE}" pid="49" name="DM_Name">
    <vt:lpwstr>Mabthera X-101-G - EN PI track changes</vt:lpwstr>
  </property>
  <property fmtid="{D5CDD505-2E9C-101B-9397-08002B2CF9AE}" pid="50" name="DM_Owner">
    <vt:lpwstr>Moreno Vanessa</vt:lpwstr>
  </property>
  <property fmtid="{D5CDD505-2E9C-101B-9397-08002B2CF9AE}" pid="51" name="DM_Path">
    <vt:lpwstr>/01. Evaluation of Medicines/H-C/M-O/Mabthera-000165/05 Post Authorisation/Post Activities/2014-xx-xx-165-X-0101/13 CHMP Opinion March 2016 (01.04.16)</vt:lpwstr>
  </property>
  <property fmtid="{D5CDD505-2E9C-101B-9397-08002B2CF9AE}" pid="52" name="DM_Status">
    <vt:lpwstr/>
  </property>
  <property fmtid="{D5CDD505-2E9C-101B-9397-08002B2CF9AE}" pid="53" name="DM_Subject">
    <vt:lpwstr>Product Information-EMEA/290467/2008</vt:lpwstr>
  </property>
  <property fmtid="{D5CDD505-2E9C-101B-9397-08002B2CF9AE}" pid="54" name="DM_Title">
    <vt:lpwstr/>
  </property>
  <property fmtid="{D5CDD505-2E9C-101B-9397-08002B2CF9AE}" pid="55" name="DM_Type">
    <vt:lpwstr>emea_document</vt:lpwstr>
  </property>
  <property fmtid="{D5CDD505-2E9C-101B-9397-08002B2CF9AE}" pid="56" name="DM_Version">
    <vt:lpwstr>CURRENT,04-04-16 pm,1.3</vt:lpwstr>
  </property>
  <property fmtid="{D5CDD505-2E9C-101B-9397-08002B2CF9AE}" pid="57" name="Document Status">
    <vt:lpwstr>Draft</vt:lpwstr>
  </property>
  <property fmtid="{D5CDD505-2E9C-101B-9397-08002B2CF9AE}" pid="58" name="EMEADocClassificationCode">
    <vt:lpwstr/>
  </property>
  <property fmtid="{D5CDD505-2E9C-101B-9397-08002B2CF9AE}" pid="59" name="EMEADocClassificationHidden">
    <vt:lpwstr>N</vt:lpwstr>
  </property>
  <property fmtid="{D5CDD505-2E9C-101B-9397-08002B2CF9AE}" pid="60" name="EMEADocClassificationText">
    <vt:lpwstr/>
  </property>
  <property fmtid="{D5CDD505-2E9C-101B-9397-08002B2CF9AE}" pid="61" name="EMEADocDate">
    <vt:lpwstr>20020523</vt:lpwstr>
  </property>
  <property fmtid="{D5CDD505-2E9C-101B-9397-08002B2CF9AE}" pid="62" name="EMEADocDateDay">
    <vt:lpwstr>23</vt:lpwstr>
  </property>
  <property fmtid="{D5CDD505-2E9C-101B-9397-08002B2CF9AE}" pid="63" name="EMEADocDateMonth">
    <vt:lpwstr>May</vt:lpwstr>
  </property>
  <property fmtid="{D5CDD505-2E9C-101B-9397-08002B2CF9AE}" pid="64" name="EMEADocDateYear">
    <vt:lpwstr>2002</vt:lpwstr>
  </property>
  <property fmtid="{D5CDD505-2E9C-101B-9397-08002B2CF9AE}" pid="65" name="EMEADocExtCatTitle">
    <vt:lpwstr>The Title will not be included in the External Catalogue.</vt:lpwstr>
  </property>
  <property fmtid="{D5CDD505-2E9C-101B-9397-08002B2CF9AE}" pid="66" name="EMEADocLanguage">
    <vt:lpwstr>en</vt:lpwstr>
  </property>
  <property fmtid="{D5CDD505-2E9C-101B-9397-08002B2CF9AE}" pid="67" name="EMEADocRefFull">
    <vt:lpwstr>EMEA/12488/02/en</vt:lpwstr>
  </property>
  <property fmtid="{D5CDD505-2E9C-101B-9397-08002B2CF9AE}" pid="68" name="EMEADocRefNum">
    <vt:lpwstr>12488</vt:lpwstr>
  </property>
  <property fmtid="{D5CDD505-2E9C-101B-9397-08002B2CF9AE}" pid="69" name="EMEADocRefPart0">
    <vt:lpwstr>EMEA</vt:lpwstr>
  </property>
  <property fmtid="{D5CDD505-2E9C-101B-9397-08002B2CF9AE}" pid="70" name="EMEADocRefPart1">
    <vt:lpwstr/>
  </property>
  <property fmtid="{D5CDD505-2E9C-101B-9397-08002B2CF9AE}" pid="71" name="EMEADocRefPart2">
    <vt:lpwstr/>
  </property>
  <property fmtid="{D5CDD505-2E9C-101B-9397-08002B2CF9AE}" pid="72" name="EMEADocRefPart3">
    <vt:lpwstr/>
  </property>
  <property fmtid="{D5CDD505-2E9C-101B-9397-08002B2CF9AE}" pid="73" name="EMEADocRefPartFreeText">
    <vt:lpwstr/>
  </property>
  <property fmtid="{D5CDD505-2E9C-101B-9397-08002B2CF9AE}" pid="74" name="EMEADocRefRoot">
    <vt:lpwstr>EMEA/12488/02</vt:lpwstr>
  </property>
  <property fmtid="{D5CDD505-2E9C-101B-9397-08002B2CF9AE}" pid="75" name="EMEADocRefYear">
    <vt:lpwstr>02</vt:lpwstr>
  </property>
  <property fmtid="{D5CDD505-2E9C-101B-9397-08002B2CF9AE}" pid="76" name="EMEADocStatus">
    <vt:lpwstr/>
  </property>
  <property fmtid="{D5CDD505-2E9C-101B-9397-08002B2CF9AE}" pid="77" name="EMEADocTitle">
    <vt:lpwstr/>
  </property>
  <property fmtid="{D5CDD505-2E9C-101B-9397-08002B2CF9AE}" pid="78" name="EMEADocTypeCode">
    <vt:lpwstr>spcx</vt:lpwstr>
  </property>
  <property fmtid="{D5CDD505-2E9C-101B-9397-08002B2CF9AE}" pid="79" name="EMEADocVersion">
    <vt:lpwstr/>
  </property>
  <property fmtid="{D5CDD505-2E9C-101B-9397-08002B2CF9AE}" pid="80" name="ItemRetentionFormula">
    <vt:lpwstr>&lt;formula id="Roche.Common.Coremap.ExpirationFormula" /&gt;</vt:lpwstr>
  </property>
  <property fmtid="{D5CDD505-2E9C-101B-9397-08002B2CF9AE}" pid="81" name="KpiDescription">
    <vt:lpwstr>Rapporteurs comments on SmPC</vt:lpwstr>
  </property>
  <property fmtid="{D5CDD505-2E9C-101B-9397-08002B2CF9AE}" pid="82" name="Language">
    <vt:lpwstr>English</vt:lpwstr>
  </property>
  <property fmtid="{D5CDD505-2E9C-101B-9397-08002B2CF9AE}" pid="83" name="MSIP_Label_2d9d7e6c-11f4-4257-b828-eab96c7cca9c_ActionId">
    <vt:lpwstr>5f636f13-7f5f-478c-b5e7-e1019796a81c</vt:lpwstr>
  </property>
  <property fmtid="{D5CDD505-2E9C-101B-9397-08002B2CF9AE}" pid="84" name="MSIP_Label_2d9d7e6c-11f4-4257-b828-eab96c7cca9c_Application">
    <vt:lpwstr>Microsoft Azure Information Protection</vt:lpwstr>
  </property>
  <property fmtid="{D5CDD505-2E9C-101B-9397-08002B2CF9AE}" pid="85" name="MSIP_Label_2d9d7e6c-11f4-4257-b828-eab96c7cca9c_Enabled">
    <vt:lpwstr>True</vt:lpwstr>
  </property>
  <property fmtid="{D5CDD505-2E9C-101B-9397-08002B2CF9AE}" pid="86" name="MSIP_Label_2d9d7e6c-11f4-4257-b828-eab96c7cca9c_Extended_MSFT_Method">
    <vt:lpwstr>Manual</vt:lpwstr>
  </property>
  <property fmtid="{D5CDD505-2E9C-101B-9397-08002B2CF9AE}" pid="87" name="MSIP_Label_2d9d7e6c-11f4-4257-b828-eab96c7cca9c_Name">
    <vt:lpwstr>Confidential</vt:lpwstr>
  </property>
  <property fmtid="{D5CDD505-2E9C-101B-9397-08002B2CF9AE}" pid="88" name="MSIP_Label_2d9d7e6c-11f4-4257-b828-eab96c7cca9c_Owner">
    <vt:lpwstr>Hilke.Irndorfer@ema.europa.eu</vt:lpwstr>
  </property>
  <property fmtid="{D5CDD505-2E9C-101B-9397-08002B2CF9AE}" pid="89" name="MSIP_Label_2d9d7e6c-11f4-4257-b828-eab96c7cca9c_SetDate">
    <vt:lpwstr>2019-11-25T07:08:48.7231791Z</vt:lpwstr>
  </property>
  <property fmtid="{D5CDD505-2E9C-101B-9397-08002B2CF9AE}" pid="90" name="MSIP_Label_2d9d7e6c-11f4-4257-b828-eab96c7cca9c_SiteId">
    <vt:lpwstr>bc9dc15c-61bc-4f03-b60b-e5b6d8922839</vt:lpwstr>
  </property>
  <property fmtid="{D5CDD505-2E9C-101B-9397-08002B2CF9AE}" pid="91" name="MSIP_Label_503f6870-8cd0-455e-9544-ac69fe858a10_ActionId">
    <vt:lpwstr>5f636f13-7f5f-478c-b5e7-e1019796a81c</vt:lpwstr>
  </property>
  <property fmtid="{D5CDD505-2E9C-101B-9397-08002B2CF9AE}" pid="92" name="MSIP_Label_503f6870-8cd0-455e-9544-ac69fe858a10_Application">
    <vt:lpwstr>Microsoft Azure Information Protection</vt:lpwstr>
  </property>
  <property fmtid="{D5CDD505-2E9C-101B-9397-08002B2CF9AE}" pid="93" name="MSIP_Label_503f6870-8cd0-455e-9544-ac69fe858a10_Enabled">
    <vt:lpwstr>True</vt:lpwstr>
  </property>
  <property fmtid="{D5CDD505-2E9C-101B-9397-08002B2CF9AE}" pid="94" name="MSIP_Label_503f6870-8cd0-455e-9544-ac69fe858a10_Extended_MSFT_Method">
    <vt:lpwstr>Manual</vt:lpwstr>
  </property>
  <property fmtid="{D5CDD505-2E9C-101B-9397-08002B2CF9AE}" pid="95" name="MSIP_Label_503f6870-8cd0-455e-9544-ac69fe858a10_Name">
    <vt:lpwstr>Recipient(s)  only</vt:lpwstr>
  </property>
  <property fmtid="{D5CDD505-2E9C-101B-9397-08002B2CF9AE}" pid="96" name="MSIP_Label_503f6870-8cd0-455e-9544-ac69fe858a10_Owner">
    <vt:lpwstr>Hilke.Irndorfer@ema.europa.eu</vt:lpwstr>
  </property>
  <property fmtid="{D5CDD505-2E9C-101B-9397-08002B2CF9AE}" pid="97" name="MSIP_Label_503f6870-8cd0-455e-9544-ac69fe858a10_Parent">
    <vt:lpwstr>2d9d7e6c-11f4-4257-b828-eab96c7cca9c</vt:lpwstr>
  </property>
  <property fmtid="{D5CDD505-2E9C-101B-9397-08002B2CF9AE}" pid="98" name="MSIP_Label_503f6870-8cd0-455e-9544-ac69fe858a10_SetDate">
    <vt:lpwstr>2019-11-25T07:08:48.7231791Z</vt:lpwstr>
  </property>
  <property fmtid="{D5CDD505-2E9C-101B-9397-08002B2CF9AE}" pid="99" name="MSIP_Label_503f6870-8cd0-455e-9544-ac69fe858a10_SiteId">
    <vt:lpwstr>bc9dc15c-61bc-4f03-b60b-e5b6d8922839</vt:lpwstr>
  </property>
  <property fmtid="{D5CDD505-2E9C-101B-9397-08002B2CF9AE}" pid="100" name="Status">
    <vt:lpwstr>For Team Review</vt:lpwstr>
  </property>
  <property fmtid="{D5CDD505-2E9C-101B-9397-08002B2CF9AE}" pid="101" name="TaxCatchAll">
    <vt:lpwstr>87;#;#85;#</vt:lpwstr>
  </property>
  <property fmtid="{D5CDD505-2E9C-101B-9397-08002B2CF9AE}" pid="102" name="TaxKeyword">
    <vt:lpwstr>87;#INN-rituximab|c85cde5d-955c-498b-a1d5-f3b521010966;#84;#MabThera|11111111-1111-1111-1111-111111111111</vt:lpwstr>
  </property>
  <property fmtid="{D5CDD505-2E9C-101B-9397-08002B2CF9AE}" pid="103" name="TaxKeywordTaxHTField">
    <vt:lpwstr>INN-rituximab|c85cde5d-955c-498b-a1d5-f3b521010966;MabThera|f0dc3681-bf19-43c3-a842-4141f60b8a1a</vt:lpwstr>
  </property>
  <property fmtid="{D5CDD505-2E9C-101B-9397-08002B2CF9AE}" pid="104" name="Template used">
    <vt:lpwstr>SPC_03.dot</vt:lpwstr>
  </property>
  <property fmtid="{D5CDD505-2E9C-101B-9397-08002B2CF9AE}" pid="105" name="Template Version">
    <vt:lpwstr>1.4</vt:lpwstr>
  </property>
  <property fmtid="{D5CDD505-2E9C-101B-9397-08002B2CF9AE}" pid="106" name="URL">
    <vt:lpwstr>, </vt:lpwstr>
  </property>
  <property fmtid="{D5CDD505-2E9C-101B-9397-08002B2CF9AE}" pid="107" name="_dlc_ExpireDate">
    <vt:filetime>2030-11-30T23:00:00Z</vt:filetime>
  </property>
  <property fmtid="{D5CDD505-2E9C-101B-9397-08002B2CF9AE}" pid="108" name="_dlc_policyId">
    <vt:lpwstr>/team/20125cca/RTX Working</vt:lpwstr>
  </property>
</Properties>
</file>