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863CEA" w:rsidRPr="000A6E8A" w:rsidP="00863CEA" w14:paraId="7D9189A1" w14:textId="77777777">
      <w:pPr>
        <w:jc w:val="center"/>
        <w:outlineLvl w:val="0"/>
        <w:rPr>
          <w:b/>
          <w:sz w:val="20"/>
        </w:rPr>
      </w:pPr>
    </w:p>
    <w:p w:rsidR="00863CEA" w:rsidRPr="000A6E8A" w:rsidP="00863CEA" w14:paraId="5359D9ED" w14:textId="77777777">
      <w:pPr>
        <w:jc w:val="center"/>
        <w:outlineLvl w:val="0"/>
        <w:rPr>
          <w:b/>
          <w:sz w:val="20"/>
        </w:rPr>
      </w:pPr>
    </w:p>
    <w:p w:rsidR="00863CEA" w:rsidRPr="000A6E8A" w:rsidP="00863CEA" w14:paraId="390A3D47" w14:textId="77777777">
      <w:pPr>
        <w:jc w:val="center"/>
        <w:outlineLvl w:val="0"/>
        <w:rPr>
          <w:b/>
          <w:sz w:val="20"/>
        </w:rPr>
      </w:pPr>
    </w:p>
    <w:p w:rsidR="00863CEA" w:rsidRPr="000A6E8A" w:rsidP="006139E5" w14:paraId="58DDA103" w14:textId="77777777">
      <w:pPr>
        <w:jc w:val="center"/>
      </w:pPr>
    </w:p>
    <w:p w:rsidR="00863CEA" w:rsidRPr="000A6E8A" w:rsidP="006139E5" w14:paraId="4976D039" w14:textId="77777777">
      <w:pPr>
        <w:jc w:val="center"/>
      </w:pPr>
    </w:p>
    <w:p w:rsidR="00863CEA" w:rsidRPr="000A6E8A" w:rsidP="006139E5" w14:paraId="6E1EF644" w14:textId="77777777">
      <w:pPr>
        <w:jc w:val="center"/>
      </w:pPr>
    </w:p>
    <w:p w:rsidR="00863CEA" w:rsidRPr="000A6E8A" w:rsidP="006139E5" w14:paraId="34DA8D8F" w14:textId="77777777">
      <w:pPr>
        <w:jc w:val="center"/>
      </w:pPr>
    </w:p>
    <w:p w:rsidR="00863CEA" w:rsidRPr="000A6E8A" w:rsidP="006139E5" w14:paraId="3F756E5B" w14:textId="77777777">
      <w:pPr>
        <w:jc w:val="center"/>
      </w:pPr>
    </w:p>
    <w:p w:rsidR="00863CEA" w:rsidRPr="000A6E8A" w:rsidP="006139E5" w14:paraId="171776DF" w14:textId="77777777">
      <w:pPr>
        <w:jc w:val="center"/>
      </w:pPr>
    </w:p>
    <w:p w:rsidR="00863CEA" w:rsidRPr="000A6E8A" w:rsidP="006139E5" w14:paraId="7A380C5E" w14:textId="77777777">
      <w:pPr>
        <w:jc w:val="center"/>
      </w:pPr>
    </w:p>
    <w:p w:rsidR="00863CEA" w:rsidRPr="000A6E8A" w:rsidP="006139E5" w14:paraId="533F7DAA" w14:textId="77777777">
      <w:pPr>
        <w:jc w:val="center"/>
      </w:pPr>
    </w:p>
    <w:p w:rsidR="00863CEA" w:rsidRPr="000A6E8A" w:rsidP="006139E5" w14:paraId="45C4C4D7" w14:textId="77777777">
      <w:pPr>
        <w:jc w:val="center"/>
        <w:rPr>
          <w:b/>
        </w:rPr>
      </w:pPr>
    </w:p>
    <w:p w:rsidR="00863CEA" w:rsidRPr="000A6E8A" w:rsidP="006139E5" w14:paraId="28C03D08" w14:textId="77777777">
      <w:pPr>
        <w:jc w:val="center"/>
        <w:rPr>
          <w:b/>
        </w:rPr>
      </w:pPr>
    </w:p>
    <w:p w:rsidR="00863CEA" w:rsidRPr="000A6E8A" w:rsidP="006139E5" w14:paraId="71F215F9" w14:textId="77777777">
      <w:pPr>
        <w:jc w:val="center"/>
        <w:rPr>
          <w:b/>
        </w:rPr>
      </w:pPr>
    </w:p>
    <w:p w:rsidR="00863CEA" w:rsidRPr="000A6E8A" w:rsidP="006139E5" w14:paraId="6F41E8E4" w14:textId="77777777">
      <w:pPr>
        <w:jc w:val="center"/>
        <w:rPr>
          <w:b/>
        </w:rPr>
      </w:pPr>
    </w:p>
    <w:p w:rsidR="00863CEA" w:rsidRPr="000A6E8A" w:rsidP="006139E5" w14:paraId="4E906132" w14:textId="77777777">
      <w:pPr>
        <w:jc w:val="center"/>
        <w:rPr>
          <w:b/>
        </w:rPr>
      </w:pPr>
    </w:p>
    <w:p w:rsidR="00863CEA" w:rsidRPr="000A6E8A" w:rsidP="006139E5" w14:paraId="13EDAA70" w14:textId="77777777">
      <w:pPr>
        <w:jc w:val="center"/>
        <w:rPr>
          <w:b/>
        </w:rPr>
      </w:pPr>
    </w:p>
    <w:p w:rsidR="00863CEA" w:rsidRPr="000A6E8A" w:rsidP="006139E5" w14:paraId="1FB0340D" w14:textId="77777777">
      <w:pPr>
        <w:jc w:val="center"/>
        <w:rPr>
          <w:b/>
        </w:rPr>
      </w:pPr>
    </w:p>
    <w:p w:rsidR="00863CEA" w:rsidP="006139E5" w14:paraId="45C99463" w14:textId="77777777">
      <w:pPr>
        <w:jc w:val="center"/>
        <w:rPr>
          <w:b/>
        </w:rPr>
      </w:pPr>
    </w:p>
    <w:p w:rsidR="000365AD" w:rsidP="006139E5" w14:paraId="614E869C" w14:textId="77777777">
      <w:pPr>
        <w:jc w:val="center"/>
        <w:rPr>
          <w:b/>
        </w:rPr>
      </w:pPr>
    </w:p>
    <w:p w:rsidR="003A18AF" w:rsidP="006139E5" w14:paraId="1C8EF70D" w14:textId="77777777">
      <w:pPr>
        <w:jc w:val="center"/>
        <w:rPr>
          <w:b/>
        </w:rPr>
      </w:pPr>
    </w:p>
    <w:p w:rsidR="000365AD" w:rsidP="006139E5" w14:paraId="33A8622C" w14:textId="77777777">
      <w:pPr>
        <w:jc w:val="center"/>
        <w:rPr>
          <w:b/>
        </w:rPr>
      </w:pPr>
    </w:p>
    <w:p w:rsidR="000365AD" w:rsidRPr="000A6E8A" w:rsidP="006139E5" w14:paraId="5DCB1184" w14:textId="77777777">
      <w:pPr>
        <w:jc w:val="center"/>
        <w:rPr>
          <w:b/>
        </w:rPr>
      </w:pPr>
    </w:p>
    <w:p w:rsidR="00863CEA" w:rsidRPr="000A6E8A" w:rsidP="006139E5" w14:paraId="526BE57F" w14:textId="77777777">
      <w:pPr>
        <w:jc w:val="center"/>
        <w:rPr>
          <w:b/>
        </w:rPr>
      </w:pPr>
      <w:r w:rsidRPr="000A6E8A">
        <w:rPr>
          <w:b/>
        </w:rPr>
        <w:t>ANNEX I</w:t>
      </w:r>
    </w:p>
    <w:p w:rsidR="00863CEA" w:rsidRPr="000A6E8A" w:rsidP="006139E5" w14:paraId="10500C3C" w14:textId="77777777">
      <w:pPr>
        <w:jc w:val="center"/>
      </w:pPr>
    </w:p>
    <w:p w:rsidR="00863CEA" w:rsidRPr="000A6E8A" w:rsidP="00132850" w14:paraId="69F21E21" w14:textId="77777777">
      <w:pPr>
        <w:pStyle w:val="Annex"/>
      </w:pPr>
      <w:r w:rsidRPr="000A6E8A">
        <w:t>SUMMARY OF PRODUCT CHARACTERISTICS</w:t>
      </w:r>
    </w:p>
    <w:p w:rsidR="00197320" w:rsidRPr="000D28E6" w:rsidP="00A311EA" w14:paraId="087ACB02" w14:textId="77777777">
      <w:pPr>
        <w:rPr>
          <w:rFonts w:eastAsia="SimSun"/>
          <w:b/>
          <w:noProof/>
          <w:sz w:val="20"/>
          <w:lang w:val="en-GB"/>
        </w:rPr>
      </w:pPr>
      <w:r w:rsidRPr="00BF2495">
        <w:rPr>
          <w:b/>
          <w:noProof/>
          <w:color w:val="008000"/>
          <w:sz w:val="20"/>
        </w:rPr>
        <w:br w:type="page"/>
      </w:r>
    </w:p>
    <w:p w:rsidR="00863CEA" w:rsidRPr="000D28E6" w:rsidP="00A311EA" w14:paraId="69CAB83B" w14:textId="77777777">
      <w:pPr>
        <w:rPr>
          <w:rFonts w:eastAsia="SimSun"/>
          <w:b/>
          <w:noProof/>
          <w:lang w:val="en-GB"/>
        </w:rPr>
      </w:pPr>
      <w:r w:rsidRPr="000D28E6">
        <w:rPr>
          <w:rFonts w:eastAsia="SimSun"/>
          <w:b/>
          <w:noProof/>
          <w:lang w:val="en-GB"/>
        </w:rPr>
        <w:t>1.</w:t>
      </w:r>
      <w:r w:rsidRPr="000D28E6">
        <w:rPr>
          <w:rFonts w:eastAsia="SimSun"/>
          <w:b/>
          <w:noProof/>
          <w:lang w:val="en-GB"/>
        </w:rPr>
        <w:tab/>
        <w:t>NAME OF THE MEDICINAL PRODUCT</w:t>
      </w:r>
    </w:p>
    <w:p w:rsidR="00863CEA" w:rsidRPr="000D28E6" w:rsidP="00A311EA" w14:paraId="210AAB98" w14:textId="77777777">
      <w:pPr>
        <w:rPr>
          <w:rFonts w:eastAsia="SimSun"/>
          <w:noProof/>
          <w:lang w:val="en-GB"/>
        </w:rPr>
      </w:pPr>
    </w:p>
    <w:p w:rsidR="00863CEA" w:rsidRPr="000D28E6" w:rsidP="00A311EA" w14:paraId="316598DF" w14:textId="77777777">
      <w:pPr>
        <w:rPr>
          <w:rFonts w:eastAsia="SimSun"/>
          <w:noProof/>
          <w:lang w:val="en-GB"/>
        </w:rPr>
      </w:pPr>
      <w:r w:rsidRPr="000D28E6">
        <w:rPr>
          <w:rFonts w:eastAsia="SimSun"/>
          <w:noProof/>
          <w:lang w:val="en-GB"/>
        </w:rPr>
        <w:t>Perjeta 420 mg concentrate for solution for infusion</w:t>
      </w:r>
    </w:p>
    <w:p w:rsidR="00863CEA" w:rsidRPr="000D28E6" w:rsidP="00A311EA" w14:paraId="21A674C3" w14:textId="77777777">
      <w:pPr>
        <w:rPr>
          <w:rFonts w:eastAsia="SimSun"/>
          <w:noProof/>
          <w:lang w:val="en-GB"/>
        </w:rPr>
      </w:pPr>
    </w:p>
    <w:p w:rsidR="00863CEA" w:rsidRPr="000D28E6" w:rsidP="00A311EA" w14:paraId="09DA16D7" w14:textId="77777777">
      <w:pPr>
        <w:rPr>
          <w:rFonts w:eastAsia="SimSun"/>
          <w:noProof/>
          <w:lang w:val="en-GB"/>
        </w:rPr>
      </w:pPr>
    </w:p>
    <w:p w:rsidR="00863CEA" w:rsidRPr="0018488B" w:rsidP="00A311EA" w14:paraId="0EAAD9D9" w14:textId="77777777">
      <w:pPr>
        <w:rPr>
          <w:rFonts w:eastAsia="SimSun"/>
          <w:noProof/>
          <w:lang w:val="en-GB"/>
        </w:rPr>
      </w:pPr>
      <w:r w:rsidRPr="0018488B">
        <w:rPr>
          <w:rFonts w:eastAsia="SimSun"/>
          <w:b/>
          <w:noProof/>
          <w:lang w:val="en-GB"/>
        </w:rPr>
        <w:t>2.</w:t>
      </w:r>
      <w:r w:rsidRPr="0018488B">
        <w:rPr>
          <w:rFonts w:eastAsia="SimSun"/>
          <w:b/>
          <w:noProof/>
          <w:lang w:val="en-GB"/>
        </w:rPr>
        <w:tab/>
        <w:t>QUALITATIVE AND QUANTITATIVE COMPOSITION</w:t>
      </w:r>
    </w:p>
    <w:p w:rsidR="00863CEA" w:rsidRPr="0018488B" w:rsidP="00A311EA" w14:paraId="4B7425F5" w14:textId="77777777">
      <w:pPr>
        <w:rPr>
          <w:rFonts w:eastAsia="SimSun"/>
          <w:bCs/>
          <w:noProof/>
          <w:lang w:val="en-GB"/>
        </w:rPr>
      </w:pPr>
    </w:p>
    <w:p w:rsidR="00E67387" w:rsidRPr="0018488B" w:rsidP="00A311EA" w14:paraId="41E116D3" w14:textId="77777777">
      <w:pPr>
        <w:rPr>
          <w:szCs w:val="22"/>
          <w:lang w:val="en-GB"/>
        </w:rPr>
      </w:pPr>
      <w:r w:rsidRPr="0018488B">
        <w:rPr>
          <w:szCs w:val="22"/>
          <w:lang w:val="en-GB"/>
        </w:rPr>
        <w:t>One 14</w:t>
      </w:r>
      <w:r w:rsidRPr="0018488B" w:rsidR="0041783A">
        <w:rPr>
          <w:szCs w:val="22"/>
          <w:lang w:val="en-GB"/>
        </w:rPr>
        <w:t> </w:t>
      </w:r>
      <w:r w:rsidRPr="0018488B">
        <w:rPr>
          <w:szCs w:val="22"/>
          <w:lang w:val="en-GB"/>
        </w:rPr>
        <w:t xml:space="preserve">ml vial of </w:t>
      </w:r>
      <w:r w:rsidRPr="0018488B" w:rsidR="001725B3">
        <w:rPr>
          <w:szCs w:val="22"/>
          <w:lang w:val="en-GB"/>
        </w:rPr>
        <w:t xml:space="preserve">concentrate </w:t>
      </w:r>
      <w:r w:rsidRPr="0018488B" w:rsidR="00210B02">
        <w:rPr>
          <w:szCs w:val="22"/>
          <w:lang w:val="en-GB"/>
        </w:rPr>
        <w:t>contains 420</w:t>
      </w:r>
      <w:r w:rsidRPr="0018488B" w:rsidR="00A006B5">
        <w:rPr>
          <w:szCs w:val="22"/>
          <w:lang w:val="en-GB"/>
        </w:rPr>
        <w:t> </w:t>
      </w:r>
      <w:r w:rsidRPr="0018488B" w:rsidR="00210B02">
        <w:rPr>
          <w:szCs w:val="22"/>
          <w:lang w:val="en-GB"/>
        </w:rPr>
        <w:t>mg of pertuzumab</w:t>
      </w:r>
      <w:r w:rsidRPr="0018488B" w:rsidR="00755BE4">
        <w:rPr>
          <w:szCs w:val="22"/>
          <w:lang w:val="en-GB"/>
        </w:rPr>
        <w:t xml:space="preserve"> at a concentration of 30</w:t>
      </w:r>
      <w:r w:rsidRPr="0018488B" w:rsidR="0041783A">
        <w:rPr>
          <w:szCs w:val="22"/>
          <w:lang w:val="en-GB"/>
        </w:rPr>
        <w:t> </w:t>
      </w:r>
      <w:r w:rsidRPr="0018488B" w:rsidR="00074CF2">
        <w:rPr>
          <w:szCs w:val="22"/>
          <w:lang w:val="en-GB"/>
        </w:rPr>
        <w:t>mg/ml.</w:t>
      </w:r>
    </w:p>
    <w:p w:rsidR="00210B02" w:rsidRPr="0018488B" w:rsidP="00A311EA" w14:paraId="733568ED" w14:textId="77777777">
      <w:pPr>
        <w:rPr>
          <w:szCs w:val="22"/>
          <w:lang w:val="en-GB"/>
        </w:rPr>
      </w:pPr>
      <w:r w:rsidRPr="0018488B">
        <w:rPr>
          <w:szCs w:val="22"/>
          <w:lang w:val="en-GB"/>
        </w:rPr>
        <w:t>After dilution</w:t>
      </w:r>
      <w:r w:rsidRPr="0018488B" w:rsidR="00755BE4">
        <w:rPr>
          <w:szCs w:val="22"/>
          <w:lang w:val="en-GB"/>
        </w:rPr>
        <w:t xml:space="preserve">, </w:t>
      </w:r>
      <w:r w:rsidRPr="0018488B" w:rsidR="00A40E00">
        <w:rPr>
          <w:szCs w:val="22"/>
          <w:lang w:val="en-GB"/>
        </w:rPr>
        <w:t xml:space="preserve">one ml of solution contains </w:t>
      </w:r>
      <w:r w:rsidRPr="0018488B" w:rsidR="006C55FF">
        <w:rPr>
          <w:szCs w:val="22"/>
          <w:lang w:val="en-GB"/>
        </w:rPr>
        <w:t xml:space="preserve">approximately </w:t>
      </w:r>
      <w:r w:rsidRPr="0018488B" w:rsidR="00D23BD6">
        <w:rPr>
          <w:szCs w:val="22"/>
          <w:lang w:val="en-GB"/>
        </w:rPr>
        <w:t xml:space="preserve">3.02 </w:t>
      </w:r>
      <w:r w:rsidRPr="0018488B" w:rsidR="00A40E00">
        <w:rPr>
          <w:szCs w:val="22"/>
          <w:lang w:val="en-GB"/>
        </w:rPr>
        <w:t xml:space="preserve">mg of pertuzumab for the initial dose and </w:t>
      </w:r>
      <w:r w:rsidRPr="0018488B" w:rsidR="006C55FF">
        <w:rPr>
          <w:szCs w:val="22"/>
          <w:lang w:val="en-GB"/>
        </w:rPr>
        <w:t xml:space="preserve">approximately </w:t>
      </w:r>
      <w:r w:rsidRPr="0018488B" w:rsidR="00D23BD6">
        <w:rPr>
          <w:szCs w:val="22"/>
          <w:lang w:val="en-GB"/>
        </w:rPr>
        <w:t xml:space="preserve">1.59 </w:t>
      </w:r>
      <w:r w:rsidRPr="0018488B" w:rsidR="00A40E00">
        <w:rPr>
          <w:szCs w:val="22"/>
          <w:lang w:val="en-GB"/>
        </w:rPr>
        <w:t>mg of pertuzumab for the maintenance dose (</w:t>
      </w:r>
      <w:r w:rsidRPr="0018488B" w:rsidR="00C350DB">
        <w:rPr>
          <w:szCs w:val="22"/>
          <w:lang w:val="en-GB"/>
        </w:rPr>
        <w:t>see section 6.6</w:t>
      </w:r>
      <w:r w:rsidRPr="0018488B" w:rsidR="00E6553E">
        <w:rPr>
          <w:szCs w:val="22"/>
          <w:lang w:val="en-GB"/>
        </w:rPr>
        <w:t>)</w:t>
      </w:r>
      <w:r w:rsidRPr="0018488B" w:rsidR="00C350DB">
        <w:rPr>
          <w:szCs w:val="22"/>
          <w:lang w:val="en-GB"/>
        </w:rPr>
        <w:t>.</w:t>
      </w:r>
    </w:p>
    <w:p w:rsidR="00BD40DD" w:rsidRPr="0018488B" w:rsidP="00A675E4" w14:paraId="630748DA" w14:textId="77777777">
      <w:pPr>
        <w:rPr>
          <w:szCs w:val="22"/>
          <w:lang w:val="en-GB"/>
        </w:rPr>
      </w:pPr>
    </w:p>
    <w:p w:rsidR="00097DF8" w:rsidRPr="000D28E6" w:rsidP="00A311EA" w14:paraId="2982BDAC" w14:textId="77777777">
      <w:pPr>
        <w:rPr>
          <w:szCs w:val="22"/>
          <w:lang w:val="en-GB"/>
        </w:rPr>
      </w:pPr>
      <w:r w:rsidRPr="0018488B">
        <w:rPr>
          <w:szCs w:val="22"/>
          <w:lang w:val="en-GB"/>
        </w:rPr>
        <w:t>Pertuzumab is a humani</w:t>
      </w:r>
      <w:r w:rsidRPr="0018488B" w:rsidR="00CC75EE">
        <w:rPr>
          <w:szCs w:val="22"/>
          <w:lang w:val="en-GB"/>
        </w:rPr>
        <w:t>s</w:t>
      </w:r>
      <w:r w:rsidRPr="0018488B">
        <w:rPr>
          <w:szCs w:val="22"/>
          <w:lang w:val="en-GB"/>
        </w:rPr>
        <w:t>ed IgG1 monoclonal antibody produced</w:t>
      </w:r>
      <w:r w:rsidRPr="0018488B" w:rsidR="00A675E4">
        <w:rPr>
          <w:szCs w:val="22"/>
          <w:lang w:val="en-GB"/>
        </w:rPr>
        <w:t xml:space="preserve"> in</w:t>
      </w:r>
      <w:r w:rsidRPr="0018488B">
        <w:rPr>
          <w:szCs w:val="22"/>
          <w:lang w:val="en-GB"/>
        </w:rPr>
        <w:t xml:space="preserve"> mammalian (Chinese hamster ovary) cells</w:t>
      </w:r>
      <w:r w:rsidRPr="0018488B" w:rsidR="009E7EB5">
        <w:rPr>
          <w:szCs w:val="22"/>
          <w:lang w:val="en-GB"/>
        </w:rPr>
        <w:t xml:space="preserve"> by recombinant DNA technology</w:t>
      </w:r>
      <w:r w:rsidRPr="0018488B">
        <w:rPr>
          <w:szCs w:val="22"/>
          <w:lang w:val="en-GB"/>
        </w:rPr>
        <w:t>.</w:t>
      </w:r>
    </w:p>
    <w:p w:rsidR="005878F0" w:rsidRPr="000D28E6" w:rsidP="00A311EA" w14:paraId="17B3273C" w14:textId="77777777">
      <w:pPr>
        <w:rPr>
          <w:rFonts w:eastAsia="SimSun"/>
          <w:noProof/>
          <w:lang w:val="en-GB"/>
        </w:rPr>
      </w:pPr>
    </w:p>
    <w:p w:rsidR="00863CEA" w:rsidRPr="000D28E6" w:rsidP="00A311EA" w14:paraId="4EF4E1AB" w14:textId="77777777">
      <w:pPr>
        <w:rPr>
          <w:rFonts w:eastAsia="SimSun"/>
          <w:b/>
          <w:noProof/>
          <w:lang w:val="en-GB"/>
        </w:rPr>
      </w:pPr>
      <w:r w:rsidRPr="000D28E6">
        <w:rPr>
          <w:rFonts w:eastAsia="SimSun"/>
          <w:noProof/>
          <w:lang w:val="en-GB"/>
        </w:rPr>
        <w:t>For the full list of excipients, see section 6.1.</w:t>
      </w:r>
    </w:p>
    <w:p w:rsidR="00863CEA" w:rsidRPr="000D28E6" w:rsidP="00A311EA" w14:paraId="238231CB" w14:textId="77777777">
      <w:pPr>
        <w:rPr>
          <w:rFonts w:eastAsia="SimSun"/>
          <w:noProof/>
          <w:lang w:val="en-GB"/>
        </w:rPr>
      </w:pPr>
    </w:p>
    <w:p w:rsidR="00890590" w:rsidRPr="000D28E6" w:rsidP="00A311EA" w14:paraId="54BCF5F6" w14:textId="77777777">
      <w:pPr>
        <w:rPr>
          <w:rFonts w:eastAsia="SimSun"/>
          <w:noProof/>
          <w:lang w:val="en-GB"/>
        </w:rPr>
      </w:pPr>
    </w:p>
    <w:p w:rsidR="00863CEA" w:rsidRPr="000D28E6" w:rsidP="00A311EA" w14:paraId="7034C790" w14:textId="77777777">
      <w:pPr>
        <w:rPr>
          <w:rFonts w:eastAsia="SimSun"/>
          <w:caps/>
          <w:noProof/>
          <w:lang w:val="en-GB"/>
        </w:rPr>
      </w:pPr>
      <w:r w:rsidRPr="000D28E6">
        <w:rPr>
          <w:rFonts w:eastAsia="SimSun"/>
          <w:b/>
          <w:noProof/>
          <w:lang w:val="en-GB"/>
        </w:rPr>
        <w:t>3.</w:t>
      </w:r>
      <w:r w:rsidRPr="000D28E6">
        <w:rPr>
          <w:rFonts w:eastAsia="SimSun"/>
          <w:b/>
          <w:noProof/>
          <w:lang w:val="en-GB"/>
        </w:rPr>
        <w:tab/>
        <w:t>PHARMACEUTICAL FORM</w:t>
      </w:r>
    </w:p>
    <w:p w:rsidR="00863CEA" w:rsidRPr="000D28E6" w:rsidP="00A311EA" w14:paraId="33D8E06A" w14:textId="77777777">
      <w:pPr>
        <w:rPr>
          <w:rFonts w:eastAsia="SimSun"/>
          <w:noProof/>
          <w:lang w:val="en-GB"/>
        </w:rPr>
      </w:pPr>
    </w:p>
    <w:p w:rsidR="00863CEA" w:rsidRPr="000D28E6" w:rsidP="00A311EA" w14:paraId="22261B26" w14:textId="77777777">
      <w:pPr>
        <w:rPr>
          <w:rFonts w:eastAsia="SimSun"/>
          <w:noProof/>
          <w:lang w:val="en-GB"/>
        </w:rPr>
      </w:pPr>
      <w:r w:rsidRPr="000D28E6">
        <w:rPr>
          <w:rFonts w:eastAsia="SimSun"/>
          <w:noProof/>
          <w:lang w:val="en-GB"/>
        </w:rPr>
        <w:t>Concentrate for solution for infusion.</w:t>
      </w:r>
    </w:p>
    <w:p w:rsidR="00863CEA" w:rsidRPr="000D28E6" w:rsidP="00A311EA" w14:paraId="2AEC5613" w14:textId="77777777">
      <w:pPr>
        <w:rPr>
          <w:rFonts w:eastAsia="SimSun"/>
          <w:noProof/>
          <w:lang w:val="en-GB"/>
        </w:rPr>
      </w:pPr>
      <w:r w:rsidRPr="000D28E6">
        <w:rPr>
          <w:rFonts w:eastAsia="SimSun"/>
          <w:noProof/>
          <w:lang w:val="en-GB"/>
        </w:rPr>
        <w:t>Clear to slightly opalescent, colourless to pale yellow, liquid.</w:t>
      </w:r>
    </w:p>
    <w:p w:rsidR="00863CEA" w:rsidRPr="000D28E6" w:rsidP="00A311EA" w14:paraId="47AEE581" w14:textId="77777777">
      <w:pPr>
        <w:rPr>
          <w:rFonts w:eastAsia="SimSun"/>
          <w:noProof/>
          <w:lang w:val="en-GB"/>
        </w:rPr>
      </w:pPr>
    </w:p>
    <w:p w:rsidR="00863CEA" w:rsidRPr="000D28E6" w:rsidP="00A311EA" w14:paraId="1BA74E19" w14:textId="77777777">
      <w:pPr>
        <w:rPr>
          <w:rFonts w:eastAsia="SimSun"/>
          <w:noProof/>
          <w:lang w:val="en-GB"/>
        </w:rPr>
      </w:pPr>
    </w:p>
    <w:p w:rsidR="00863CEA" w:rsidRPr="000D28E6" w:rsidP="00A311EA" w14:paraId="7C6BCC73" w14:textId="77777777">
      <w:pPr>
        <w:rPr>
          <w:rFonts w:eastAsia="SimSun"/>
          <w:caps/>
          <w:noProof/>
          <w:lang w:val="en-GB"/>
        </w:rPr>
      </w:pPr>
      <w:r w:rsidRPr="000D28E6">
        <w:rPr>
          <w:rFonts w:eastAsia="SimSun"/>
          <w:b/>
          <w:caps/>
          <w:noProof/>
          <w:lang w:val="en-GB"/>
        </w:rPr>
        <w:t>4.</w:t>
      </w:r>
      <w:r w:rsidRPr="000D28E6">
        <w:rPr>
          <w:rFonts w:eastAsia="SimSun"/>
          <w:b/>
          <w:caps/>
          <w:noProof/>
          <w:lang w:val="en-GB"/>
        </w:rPr>
        <w:tab/>
      </w:r>
      <w:r w:rsidRPr="000D28E6">
        <w:rPr>
          <w:rFonts w:eastAsia="SimSun"/>
          <w:b/>
          <w:noProof/>
          <w:lang w:val="en-GB"/>
        </w:rPr>
        <w:t>CLINICAL PARTICULARS</w:t>
      </w:r>
    </w:p>
    <w:p w:rsidR="00863CEA" w:rsidRPr="000D28E6" w:rsidP="00A311EA" w14:paraId="4E8F60E5" w14:textId="77777777">
      <w:pPr>
        <w:rPr>
          <w:rFonts w:eastAsia="SimSun"/>
          <w:noProof/>
          <w:lang w:val="en-GB"/>
        </w:rPr>
      </w:pPr>
    </w:p>
    <w:p w:rsidR="00863CEA" w:rsidRPr="000D28E6" w:rsidP="00A311EA" w14:paraId="6D851A77" w14:textId="77777777">
      <w:pPr>
        <w:rPr>
          <w:rFonts w:eastAsia="SimSun"/>
          <w:noProof/>
          <w:lang w:val="en-GB"/>
        </w:rPr>
      </w:pPr>
      <w:r w:rsidRPr="000D28E6">
        <w:rPr>
          <w:rFonts w:eastAsia="SimSun"/>
          <w:b/>
          <w:noProof/>
          <w:lang w:val="en-GB"/>
        </w:rPr>
        <w:t>4.1</w:t>
      </w:r>
      <w:r w:rsidRPr="000D28E6">
        <w:rPr>
          <w:rFonts w:eastAsia="SimSun"/>
          <w:b/>
          <w:noProof/>
          <w:lang w:val="en-GB"/>
        </w:rPr>
        <w:tab/>
        <w:t>Therapeutic indications</w:t>
      </w:r>
    </w:p>
    <w:p w:rsidR="00863CEA" w:rsidP="00A311EA" w14:paraId="265528F0" w14:textId="77777777">
      <w:pPr>
        <w:rPr>
          <w:rFonts w:eastAsia="SimSun"/>
          <w:noProof/>
          <w:lang w:val="en-GB"/>
        </w:rPr>
      </w:pPr>
    </w:p>
    <w:p w:rsidR="00844D94" w:rsidRPr="001F5859" w:rsidP="00A311EA" w14:paraId="2C1053A2" w14:textId="77777777">
      <w:pPr>
        <w:rPr>
          <w:rFonts w:eastAsia="SimSun"/>
          <w:noProof/>
          <w:u w:val="single"/>
          <w:lang w:val="en-GB"/>
        </w:rPr>
      </w:pPr>
      <w:r w:rsidRPr="001F5859">
        <w:rPr>
          <w:rFonts w:eastAsia="SimSun"/>
          <w:noProof/>
          <w:u w:val="single"/>
          <w:lang w:val="en-GB"/>
        </w:rPr>
        <w:t>Early breast cancer</w:t>
      </w:r>
    </w:p>
    <w:p w:rsidR="00844D94" w:rsidRPr="001F5859" w:rsidP="00A311EA" w14:paraId="09653C88" w14:textId="77777777">
      <w:pPr>
        <w:rPr>
          <w:noProof/>
          <w:lang w:val="en-GB"/>
        </w:rPr>
      </w:pPr>
      <w:r w:rsidRPr="001F5859">
        <w:rPr>
          <w:noProof/>
          <w:lang w:val="en-GB"/>
        </w:rPr>
        <w:t>Perjeta is indicated for use in combination with trastuzumab and chemotherapy in:</w:t>
      </w:r>
    </w:p>
    <w:p w:rsidR="00240D34" w:rsidRPr="001F5859" w:rsidP="001F5859" w14:paraId="0BCFD63F" w14:textId="77777777">
      <w:pPr>
        <w:ind w:left="714" w:hanging="357"/>
        <w:rPr>
          <w:noProof/>
          <w:lang w:val="en-GB"/>
        </w:rPr>
      </w:pPr>
      <w:r w:rsidRPr="000D28E6">
        <w:rPr>
          <w:rFonts w:ascii="Symbol" w:eastAsia="SimSun" w:hAnsi="Symbol"/>
          <w:lang w:val="en-GB"/>
        </w:rPr>
        <w:sym w:font="Symbol" w:char="F0B7"/>
      </w:r>
      <w:r>
        <w:rPr>
          <w:rFonts w:eastAsia="SimSun"/>
          <w:lang w:val="en-GB"/>
        </w:rPr>
        <w:tab/>
      </w:r>
      <w:r w:rsidRPr="001F5859" w:rsidR="00844D94">
        <w:rPr>
          <w:noProof/>
          <w:lang w:val="en-GB"/>
        </w:rPr>
        <w:t>the neoadjuvant treatment of adult patients with HER2-positive, locally advanced, inflammatory, or early stage breast cancer at high risk of recurrence (see section 5.1)</w:t>
      </w:r>
    </w:p>
    <w:p w:rsidR="00240D34" w:rsidRPr="001F5859" w:rsidP="001F5859" w14:paraId="3F5AE223" w14:textId="77777777">
      <w:pPr>
        <w:ind w:left="714" w:hanging="357"/>
        <w:rPr>
          <w:noProof/>
          <w:lang w:val="en-GB"/>
        </w:rPr>
      </w:pPr>
      <w:r w:rsidRPr="000D28E6">
        <w:rPr>
          <w:rFonts w:ascii="Symbol" w:eastAsia="SimSun" w:hAnsi="Symbol"/>
          <w:lang w:val="en-GB"/>
        </w:rPr>
        <w:sym w:font="Symbol" w:char="F0B7"/>
      </w:r>
      <w:r>
        <w:rPr>
          <w:rFonts w:eastAsia="SimSun"/>
          <w:lang w:val="en-GB"/>
        </w:rPr>
        <w:tab/>
      </w:r>
      <w:r w:rsidRPr="001F5859" w:rsidR="00844D94">
        <w:rPr>
          <w:noProof/>
          <w:lang w:val="en-GB"/>
        </w:rPr>
        <w:t>the adjuvant treatment of adult patients with HER2-positive early breast cancer at high risk of recurrence (see section 5.1)</w:t>
      </w:r>
    </w:p>
    <w:p w:rsidR="00844D94" w:rsidRPr="001F5859" w:rsidP="00A311EA" w14:paraId="1CA23BD9" w14:textId="77777777">
      <w:pPr>
        <w:rPr>
          <w:rFonts w:eastAsia="SimSun"/>
          <w:noProof/>
          <w:lang w:val="en-GB"/>
        </w:rPr>
      </w:pPr>
    </w:p>
    <w:p w:rsidR="006F3F1A" w:rsidRPr="00BF2495" w:rsidP="008D73C3" w14:paraId="16DEB339" w14:textId="77777777">
      <w:pPr>
        <w:rPr>
          <w:noProof/>
          <w:u w:val="single"/>
          <w:lang w:val="en-GB"/>
        </w:rPr>
      </w:pPr>
      <w:r w:rsidRPr="001F5859">
        <w:rPr>
          <w:noProof/>
          <w:u w:val="single"/>
          <w:lang w:val="en-GB"/>
        </w:rPr>
        <w:t xml:space="preserve">Metastatic </w:t>
      </w:r>
      <w:r w:rsidRPr="001F5859" w:rsidR="0057709A">
        <w:rPr>
          <w:noProof/>
          <w:u w:val="single"/>
          <w:lang w:val="en-GB"/>
        </w:rPr>
        <w:t>b</w:t>
      </w:r>
      <w:r w:rsidRPr="001F5859">
        <w:rPr>
          <w:noProof/>
          <w:u w:val="single"/>
          <w:lang w:val="en-GB"/>
        </w:rPr>
        <w:t xml:space="preserve">reast </w:t>
      </w:r>
      <w:r w:rsidRPr="001F5859" w:rsidR="0057709A">
        <w:rPr>
          <w:noProof/>
          <w:u w:val="single"/>
          <w:lang w:val="en-GB"/>
        </w:rPr>
        <w:t>c</w:t>
      </w:r>
      <w:r w:rsidRPr="001F5859">
        <w:rPr>
          <w:noProof/>
          <w:u w:val="single"/>
          <w:lang w:val="en-GB"/>
        </w:rPr>
        <w:t>ancer</w:t>
      </w:r>
    </w:p>
    <w:p w:rsidR="00863CEA" w:rsidRPr="000D28E6" w:rsidP="00A311EA" w14:paraId="788E5ECE" w14:textId="77777777">
      <w:pPr>
        <w:rPr>
          <w:rFonts w:eastAsia="SimSun"/>
          <w:noProof/>
          <w:lang w:val="en-GB" w:eastAsia="zh-CN"/>
        </w:rPr>
      </w:pPr>
      <w:r w:rsidRPr="000D28E6">
        <w:rPr>
          <w:rFonts w:eastAsia="SimSun"/>
          <w:noProof/>
          <w:lang w:val="en-GB" w:eastAsia="zh-CN"/>
        </w:rPr>
        <w:t xml:space="preserve">Perjeta is indicated </w:t>
      </w:r>
      <w:r w:rsidRPr="000D28E6" w:rsidR="008D6810">
        <w:rPr>
          <w:rFonts w:eastAsia="SimSun"/>
          <w:noProof/>
          <w:lang w:val="en-GB" w:eastAsia="zh-CN"/>
        </w:rPr>
        <w:t xml:space="preserve">for </w:t>
      </w:r>
      <w:r w:rsidRPr="000D28E6" w:rsidR="00237EE0">
        <w:rPr>
          <w:rFonts w:eastAsia="SimSun"/>
          <w:noProof/>
          <w:lang w:val="en-GB" w:eastAsia="zh-CN"/>
        </w:rPr>
        <w:t xml:space="preserve">use </w:t>
      </w:r>
      <w:r w:rsidRPr="000D28E6">
        <w:rPr>
          <w:rFonts w:eastAsia="SimSun"/>
          <w:noProof/>
          <w:lang w:val="en-GB" w:eastAsia="zh-CN"/>
        </w:rPr>
        <w:t xml:space="preserve">in combination with </w:t>
      </w:r>
      <w:r w:rsidRPr="000D28E6" w:rsidR="00DF2229">
        <w:rPr>
          <w:rFonts w:eastAsia="SimSun"/>
          <w:noProof/>
          <w:lang w:val="en-GB" w:eastAsia="zh-CN"/>
        </w:rPr>
        <w:t>trastuzumab</w:t>
      </w:r>
      <w:r w:rsidRPr="000D28E6" w:rsidR="00C25D6D">
        <w:rPr>
          <w:rFonts w:eastAsia="SimSun"/>
          <w:noProof/>
          <w:lang w:val="en-GB" w:eastAsia="zh-CN"/>
        </w:rPr>
        <w:t xml:space="preserve"> </w:t>
      </w:r>
      <w:r w:rsidRPr="000D28E6">
        <w:rPr>
          <w:rFonts w:eastAsia="SimSun"/>
          <w:noProof/>
          <w:lang w:val="en-GB" w:eastAsia="zh-CN"/>
        </w:rPr>
        <w:t xml:space="preserve">and docetaxel </w:t>
      </w:r>
      <w:r w:rsidRPr="000D28E6" w:rsidR="003E2E2A">
        <w:rPr>
          <w:rFonts w:eastAsia="SimSun"/>
          <w:noProof/>
          <w:lang w:val="en-GB" w:eastAsia="zh-CN"/>
        </w:rPr>
        <w:t>in</w:t>
      </w:r>
      <w:r w:rsidRPr="000D28E6" w:rsidR="00237EE0">
        <w:rPr>
          <w:rFonts w:eastAsia="SimSun"/>
          <w:noProof/>
          <w:lang w:val="en-GB" w:eastAsia="zh-CN"/>
        </w:rPr>
        <w:t xml:space="preserve"> </w:t>
      </w:r>
      <w:r w:rsidRPr="000D28E6" w:rsidR="008A35C7">
        <w:rPr>
          <w:rFonts w:eastAsia="SimSun"/>
          <w:noProof/>
          <w:lang w:val="en-GB" w:eastAsia="zh-CN"/>
        </w:rPr>
        <w:t xml:space="preserve">adult </w:t>
      </w:r>
      <w:r w:rsidRPr="000D28E6">
        <w:rPr>
          <w:rFonts w:eastAsia="SimSun"/>
          <w:noProof/>
          <w:lang w:val="en-GB" w:eastAsia="zh-CN"/>
        </w:rPr>
        <w:t>patients with HER2</w:t>
      </w:r>
      <w:r w:rsidRPr="000D28E6" w:rsidR="00237EE0">
        <w:rPr>
          <w:rFonts w:eastAsia="SimSun"/>
          <w:noProof/>
          <w:lang w:val="en-GB" w:eastAsia="zh-CN"/>
        </w:rPr>
        <w:t>-</w:t>
      </w:r>
      <w:r w:rsidRPr="000D28E6">
        <w:rPr>
          <w:rFonts w:eastAsia="SimSun"/>
          <w:noProof/>
          <w:lang w:val="en-GB" w:eastAsia="zh-CN"/>
        </w:rPr>
        <w:t>positive metastatic or locally recurrent unresectable breast cancer,</w:t>
      </w:r>
      <w:r w:rsidRPr="00616E43">
        <w:rPr>
          <w:rFonts w:ascii="Arial" w:eastAsia="SimSun" w:hAnsi="Arial" w:cs="Arial"/>
          <w:b/>
          <w:i/>
          <w:lang w:val="en-GB"/>
        </w:rPr>
        <w:t xml:space="preserve"> </w:t>
      </w:r>
      <w:r w:rsidRPr="000D28E6">
        <w:rPr>
          <w:rFonts w:eastAsia="SimSun"/>
          <w:lang w:val="en-GB"/>
        </w:rPr>
        <w:t xml:space="preserve">who have not received previous </w:t>
      </w:r>
      <w:r w:rsidRPr="000D28E6" w:rsidR="003E2E2A">
        <w:rPr>
          <w:rFonts w:eastAsia="SimSun"/>
          <w:lang w:val="en-GB"/>
        </w:rPr>
        <w:t xml:space="preserve">anti-HER2 therapy or </w:t>
      </w:r>
      <w:r w:rsidRPr="000D28E6" w:rsidR="008A35C7">
        <w:rPr>
          <w:rFonts w:eastAsia="SimSun"/>
          <w:lang w:val="en-GB"/>
        </w:rPr>
        <w:t>chemotherapy for their metastatic disease</w:t>
      </w:r>
      <w:r w:rsidRPr="000D28E6" w:rsidR="00997A87">
        <w:rPr>
          <w:rFonts w:eastAsia="SimSun"/>
          <w:lang w:val="en-GB"/>
        </w:rPr>
        <w:t>.</w:t>
      </w:r>
    </w:p>
    <w:p w:rsidR="006F3F1A" w:rsidRPr="00BF2495" w:rsidP="00A311EA" w14:paraId="08D80185" w14:textId="77777777">
      <w:pPr>
        <w:rPr>
          <w:b/>
          <w:noProof/>
          <w:lang w:val="en-GB"/>
        </w:rPr>
      </w:pPr>
    </w:p>
    <w:p w:rsidR="00863CEA" w:rsidRPr="000D28E6" w:rsidP="00A311EA" w14:paraId="61BF0862" w14:textId="77777777">
      <w:pPr>
        <w:rPr>
          <w:rFonts w:eastAsia="SimSun"/>
          <w:b/>
          <w:noProof/>
          <w:lang w:val="en-GB"/>
        </w:rPr>
      </w:pPr>
      <w:r w:rsidRPr="000D28E6">
        <w:rPr>
          <w:rFonts w:eastAsia="SimSun"/>
          <w:b/>
          <w:noProof/>
          <w:lang w:val="en-GB"/>
        </w:rPr>
        <w:t>4.2</w:t>
      </w:r>
      <w:r w:rsidRPr="000D28E6">
        <w:rPr>
          <w:rFonts w:eastAsia="SimSun"/>
          <w:b/>
          <w:noProof/>
          <w:lang w:val="en-GB"/>
        </w:rPr>
        <w:tab/>
        <w:t>Posology and method of administration</w:t>
      </w:r>
    </w:p>
    <w:p w:rsidR="00863CEA" w:rsidRPr="000D28E6" w:rsidP="00A311EA" w14:paraId="78B172DC" w14:textId="77777777">
      <w:pPr>
        <w:rPr>
          <w:rFonts w:eastAsia="SimSun"/>
          <w:b/>
          <w:i/>
          <w:lang w:val="en-GB"/>
        </w:rPr>
      </w:pPr>
    </w:p>
    <w:p w:rsidR="00310F21" w:rsidRPr="000D28E6" w:rsidP="00310F21" w14:paraId="4A906B44" w14:textId="77777777">
      <w:pPr>
        <w:rPr>
          <w:rFonts w:eastAsia="SimSun"/>
          <w:lang w:val="en-GB"/>
        </w:rPr>
      </w:pPr>
      <w:r w:rsidRPr="000D28E6">
        <w:rPr>
          <w:rFonts w:eastAsia="SimSun"/>
          <w:lang w:val="en-GB"/>
        </w:rPr>
        <w:t>Perjeta</w:t>
      </w:r>
      <w:r w:rsidRPr="000D28E6" w:rsidR="00863CEA">
        <w:rPr>
          <w:rFonts w:eastAsia="SimSun"/>
          <w:lang w:val="en-GB"/>
        </w:rPr>
        <w:t xml:space="preserve"> </w:t>
      </w:r>
      <w:r w:rsidRPr="001F5859" w:rsidR="00863CEA">
        <w:rPr>
          <w:rFonts w:eastAsia="SimSun"/>
          <w:lang w:val="en-GB"/>
        </w:rPr>
        <w:t>should only b</w:t>
      </w:r>
      <w:r w:rsidRPr="000D28E6" w:rsidR="00863CEA">
        <w:rPr>
          <w:rFonts w:eastAsia="SimSun"/>
          <w:lang w:val="en-GB"/>
        </w:rPr>
        <w:t>e initiated under the supervision of a physician experienced in the administration of anti-cancer agents.</w:t>
      </w:r>
      <w:r w:rsidRPr="000D28E6" w:rsidR="0034412E">
        <w:rPr>
          <w:rFonts w:eastAsia="SimSun"/>
          <w:lang w:val="en-GB"/>
        </w:rPr>
        <w:t xml:space="preserve"> Perjeta should be administered by a healthcare pro</w:t>
      </w:r>
      <w:r w:rsidRPr="000D28E6" w:rsidR="00E6539E">
        <w:rPr>
          <w:rFonts w:eastAsia="SimSun"/>
          <w:lang w:val="en-GB"/>
        </w:rPr>
        <w:t>fessional</w:t>
      </w:r>
      <w:r w:rsidRPr="000D28E6" w:rsidR="0034412E">
        <w:rPr>
          <w:rFonts w:eastAsia="SimSun"/>
          <w:lang w:val="en-GB"/>
        </w:rPr>
        <w:t xml:space="preserve"> prepared to manage anaphylaxis and </w:t>
      </w:r>
      <w:r w:rsidRPr="000D28E6">
        <w:rPr>
          <w:lang w:val="en-GB"/>
        </w:rPr>
        <w:t xml:space="preserve">in an environment where full resuscitation </w:t>
      </w:r>
      <w:r w:rsidRPr="000D28E6" w:rsidR="002061FA">
        <w:rPr>
          <w:lang w:val="en-GB"/>
        </w:rPr>
        <w:t>facilities are</w:t>
      </w:r>
      <w:r w:rsidRPr="000D28E6">
        <w:rPr>
          <w:lang w:val="en-GB"/>
        </w:rPr>
        <w:t xml:space="preserve"> immediately available</w:t>
      </w:r>
      <w:r w:rsidRPr="000D28E6">
        <w:rPr>
          <w:rFonts w:eastAsia="SimSun"/>
          <w:lang w:val="en-GB"/>
        </w:rPr>
        <w:t>.</w:t>
      </w:r>
    </w:p>
    <w:p w:rsidR="00863CEA" w:rsidP="00863CEA" w14:paraId="216FE799" w14:textId="77777777">
      <w:pPr>
        <w:rPr>
          <w:rFonts w:eastAsia="SimSun"/>
          <w:lang w:val="en-GB"/>
        </w:rPr>
      </w:pPr>
    </w:p>
    <w:p w:rsidR="0057709A" w:rsidRPr="00567D04" w:rsidP="00863CEA" w14:paraId="5D148E87" w14:textId="77777777">
      <w:pPr>
        <w:rPr>
          <w:rFonts w:eastAsia="SimSun"/>
          <w:u w:val="single"/>
          <w:lang w:val="en-GB"/>
        </w:rPr>
      </w:pPr>
      <w:r w:rsidRPr="00567D04">
        <w:rPr>
          <w:rFonts w:eastAsia="SimSun"/>
          <w:u w:val="single"/>
          <w:lang w:val="en-GB"/>
        </w:rPr>
        <w:t>Posology</w:t>
      </w:r>
    </w:p>
    <w:p w:rsidR="0057709A" w:rsidRPr="000D28E6" w:rsidP="00863CEA" w14:paraId="78ACC8DA" w14:textId="77777777">
      <w:pPr>
        <w:rPr>
          <w:rFonts w:eastAsia="SimSun"/>
          <w:lang w:val="en-GB"/>
        </w:rPr>
      </w:pPr>
    </w:p>
    <w:p w:rsidR="00D6273F" w:rsidRPr="000D28E6" w:rsidP="00B91CDD" w14:paraId="17A23E0C" w14:textId="77777777">
      <w:pPr>
        <w:rPr>
          <w:rFonts w:eastAsia="SimSun"/>
          <w:lang w:val="en-GB"/>
        </w:rPr>
      </w:pPr>
      <w:r w:rsidRPr="000D28E6">
        <w:rPr>
          <w:rFonts w:eastAsia="SimSun"/>
          <w:lang w:val="en-GB"/>
        </w:rPr>
        <w:t xml:space="preserve">Patients treated with </w:t>
      </w:r>
      <w:r w:rsidRPr="000D28E6" w:rsidR="002C3FA8">
        <w:rPr>
          <w:rFonts w:eastAsia="SimSun"/>
          <w:lang w:val="en-GB"/>
        </w:rPr>
        <w:t>Perjeta</w:t>
      </w:r>
      <w:r w:rsidRPr="000D28E6">
        <w:rPr>
          <w:rFonts w:eastAsia="SimSun"/>
          <w:lang w:val="en-GB"/>
        </w:rPr>
        <w:t xml:space="preserve"> must have HER2</w:t>
      </w:r>
      <w:r w:rsidRPr="000D28E6" w:rsidR="008D6810">
        <w:rPr>
          <w:rFonts w:eastAsia="SimSun"/>
          <w:lang w:val="en-GB"/>
        </w:rPr>
        <w:t>-</w:t>
      </w:r>
      <w:r w:rsidRPr="000D28E6">
        <w:rPr>
          <w:rFonts w:eastAsia="SimSun"/>
          <w:lang w:val="en-GB"/>
        </w:rPr>
        <w:t xml:space="preserve">positive tumour status, defined as a score of 3+ by immunohistochemistry (IHC) and/or a ratio of </w:t>
      </w:r>
      <w:r w:rsidRPr="000D28E6" w:rsidR="001A2ABB">
        <w:rPr>
          <w:rFonts w:eastAsia="SimSun"/>
          <w:lang w:val="en-GB"/>
        </w:rPr>
        <w:t>≥</w:t>
      </w:r>
      <w:r w:rsidRPr="000D28E6" w:rsidR="00363E9E">
        <w:rPr>
          <w:rFonts w:eastAsia="SimSun"/>
          <w:lang w:val="en-GB"/>
        </w:rPr>
        <w:t> </w:t>
      </w:r>
      <w:r w:rsidRPr="000D28E6">
        <w:rPr>
          <w:rFonts w:eastAsia="SimSun"/>
          <w:lang w:val="en-GB"/>
        </w:rPr>
        <w:t>2.0 by in situ hybridisation (ISH) assessed by a validated test.</w:t>
      </w:r>
    </w:p>
    <w:p w:rsidR="006F3F1A" w:rsidRPr="00BF2495" w:rsidP="00B91CDD" w14:paraId="46330696" w14:textId="77777777">
      <w:pPr>
        <w:rPr>
          <w:lang w:val="en-GB"/>
        </w:rPr>
      </w:pPr>
    </w:p>
    <w:p w:rsidR="00FC5ED2" w:rsidP="00A311EA" w14:paraId="2E90731F" w14:textId="77777777">
      <w:pPr>
        <w:rPr>
          <w:rFonts w:eastAsia="SimSun"/>
          <w:lang w:val="en-GB"/>
        </w:rPr>
      </w:pPr>
      <w:r w:rsidRPr="000D28E6">
        <w:rPr>
          <w:rFonts w:eastAsia="SimSun"/>
          <w:lang w:val="en-GB"/>
        </w:rPr>
        <w:t>To ensure accurate and reproducible results, the testing must be performed in a speciali</w:t>
      </w:r>
      <w:r w:rsidRPr="000D28E6" w:rsidR="0048446B">
        <w:rPr>
          <w:rFonts w:eastAsia="SimSun"/>
          <w:lang w:val="en-GB"/>
        </w:rPr>
        <w:t>s</w:t>
      </w:r>
      <w:r w:rsidRPr="000D28E6">
        <w:rPr>
          <w:rFonts w:eastAsia="SimSun"/>
          <w:lang w:val="en-GB"/>
        </w:rPr>
        <w:t xml:space="preserve">ed laboratory, which can ensure validation of the testing procedures. For full instructions on assay performance and interpretation please refer to the package </w:t>
      </w:r>
      <w:r w:rsidRPr="000D28E6" w:rsidR="00E6539E">
        <w:rPr>
          <w:rFonts w:eastAsia="SimSun"/>
          <w:lang w:val="en-GB"/>
        </w:rPr>
        <w:t>leaflets</w:t>
      </w:r>
      <w:r w:rsidRPr="000D28E6">
        <w:rPr>
          <w:rFonts w:eastAsia="SimSun"/>
          <w:lang w:val="en-GB"/>
        </w:rPr>
        <w:t xml:space="preserve"> of validated HER2 testing assays.</w:t>
      </w:r>
    </w:p>
    <w:p w:rsidR="00A311EA" w:rsidRPr="000D28E6" w:rsidP="00616E43" w14:paraId="769D42CD" w14:textId="77777777">
      <w:pPr>
        <w:keepNext/>
        <w:keepLines/>
        <w:rPr>
          <w:rFonts w:eastAsia="SimSun"/>
          <w:u w:val="single"/>
          <w:lang w:val="en-GB"/>
        </w:rPr>
      </w:pPr>
    </w:p>
    <w:p w:rsidR="00863CEA" w:rsidRPr="001F5859" w:rsidP="00A311EA" w14:paraId="0A18AAD0" w14:textId="77777777">
      <w:pPr>
        <w:rPr>
          <w:rFonts w:eastAsia="SimSun"/>
          <w:lang w:val="en-GB"/>
        </w:rPr>
      </w:pPr>
      <w:r w:rsidRPr="000D28E6">
        <w:rPr>
          <w:rFonts w:eastAsia="SimSun"/>
          <w:lang w:val="en-GB"/>
        </w:rPr>
        <w:t>The recom</w:t>
      </w:r>
      <w:r w:rsidRPr="001F5859">
        <w:rPr>
          <w:rFonts w:eastAsia="SimSun"/>
          <w:lang w:val="en-GB"/>
        </w:rPr>
        <w:t xml:space="preserve">mended initial loading dose of </w:t>
      </w:r>
      <w:r w:rsidRPr="001F5859" w:rsidR="0057709A">
        <w:rPr>
          <w:rFonts w:eastAsia="SimSun"/>
          <w:lang w:val="en-GB"/>
        </w:rPr>
        <w:t>p</w:t>
      </w:r>
      <w:r w:rsidRPr="001F5859" w:rsidR="002C3FA8">
        <w:rPr>
          <w:rFonts w:eastAsia="SimSun"/>
          <w:lang w:val="en-GB"/>
        </w:rPr>
        <w:t>er</w:t>
      </w:r>
      <w:r w:rsidRPr="001F5859" w:rsidR="0057709A">
        <w:rPr>
          <w:rFonts w:eastAsia="SimSun"/>
          <w:lang w:val="en-GB"/>
        </w:rPr>
        <w:t>tuzumab</w:t>
      </w:r>
      <w:r w:rsidRPr="001F5859">
        <w:rPr>
          <w:rFonts w:eastAsia="SimSun"/>
          <w:lang w:val="en-GB"/>
        </w:rPr>
        <w:t xml:space="preserve"> is 840 mg administered as a 60 minute intravenous infusion, followed every 3 weeks thereafter by a maintenance dose of 420 mg </w:t>
      </w:r>
      <w:r w:rsidRPr="001F5859">
        <w:rPr>
          <w:rFonts w:eastAsia="SimSun"/>
          <w:lang w:val="en-GB"/>
        </w:rPr>
        <w:t>administered over a period of 30</w:t>
      </w:r>
      <w:r w:rsidRPr="001F5859" w:rsidR="005D4021">
        <w:rPr>
          <w:rFonts w:eastAsia="SimSun"/>
          <w:lang w:val="en-GB"/>
        </w:rPr>
        <w:t xml:space="preserve"> </w:t>
      </w:r>
      <w:r w:rsidRPr="001F5859" w:rsidR="00AD2BAC">
        <w:rPr>
          <w:rFonts w:eastAsia="SimSun"/>
          <w:lang w:val="en-GB"/>
        </w:rPr>
        <w:t>to</w:t>
      </w:r>
      <w:r w:rsidRPr="001F5859" w:rsidR="00097DF8">
        <w:rPr>
          <w:rFonts w:eastAsia="SimSun"/>
          <w:lang w:val="en-GB"/>
        </w:rPr>
        <w:t xml:space="preserve"> </w:t>
      </w:r>
      <w:r w:rsidRPr="001F5859">
        <w:rPr>
          <w:rFonts w:eastAsia="SimSun"/>
          <w:lang w:val="en-GB"/>
        </w:rPr>
        <w:t>60 minutes.</w:t>
      </w:r>
      <w:r w:rsidRPr="001F5859" w:rsidR="00346035">
        <w:rPr>
          <w:rFonts w:eastAsia="SimSun"/>
          <w:lang w:val="en-GB"/>
        </w:rPr>
        <w:t xml:space="preserve"> An observation period of 30 </w:t>
      </w:r>
      <w:r w:rsidRPr="001F5859" w:rsidR="006564AC">
        <w:rPr>
          <w:rFonts w:eastAsia="SimSun"/>
          <w:lang w:val="en-GB"/>
        </w:rPr>
        <w:t>-</w:t>
      </w:r>
      <w:r w:rsidRPr="001F5859" w:rsidR="00346035">
        <w:rPr>
          <w:rFonts w:eastAsia="SimSun"/>
          <w:lang w:val="en-GB"/>
        </w:rPr>
        <w:t xml:space="preserve"> 60 minutes is recommended after </w:t>
      </w:r>
      <w:r w:rsidRPr="001F5859" w:rsidR="00521033">
        <w:rPr>
          <w:rFonts w:eastAsia="SimSun"/>
          <w:lang w:val="en-GB"/>
        </w:rPr>
        <w:t xml:space="preserve">completion of </w:t>
      </w:r>
      <w:r w:rsidRPr="001F5859" w:rsidR="00346035">
        <w:rPr>
          <w:rFonts w:eastAsia="SimSun"/>
          <w:lang w:val="en-GB"/>
        </w:rPr>
        <w:t>each infusion.</w:t>
      </w:r>
      <w:r w:rsidRPr="001F5859" w:rsidR="00844D94">
        <w:rPr>
          <w:rFonts w:eastAsia="SimSun"/>
          <w:lang w:val="en-GB"/>
        </w:rPr>
        <w:t xml:space="preserve">  The observation period should be completed prior to </w:t>
      </w:r>
      <w:r w:rsidRPr="001F5859" w:rsidR="00346035">
        <w:rPr>
          <w:rFonts w:eastAsia="SimSun"/>
          <w:lang w:val="en-GB"/>
        </w:rPr>
        <w:t xml:space="preserve">any subsequent infusion of trastuzumab or </w:t>
      </w:r>
      <w:r w:rsidRPr="001F5859" w:rsidR="00844D94">
        <w:rPr>
          <w:rFonts w:eastAsia="SimSun"/>
          <w:lang w:val="en-GB"/>
        </w:rPr>
        <w:t>chemotherapy</w:t>
      </w:r>
      <w:r w:rsidRPr="001F5859" w:rsidR="00346035">
        <w:rPr>
          <w:rFonts w:eastAsia="SimSun"/>
          <w:lang w:val="en-GB"/>
        </w:rPr>
        <w:t xml:space="preserve"> (see section 4.4).</w:t>
      </w:r>
    </w:p>
    <w:p w:rsidR="00A311EA" w:rsidRPr="001F5859" w:rsidP="00A311EA" w14:paraId="6F5D9619" w14:textId="77777777">
      <w:pPr>
        <w:rPr>
          <w:rFonts w:eastAsia="SimSun"/>
          <w:lang w:val="en-GB"/>
        </w:rPr>
      </w:pPr>
    </w:p>
    <w:p w:rsidR="002A2529" w:rsidRPr="001F5859" w:rsidP="002A2529" w14:paraId="7454212F" w14:textId="77777777">
      <w:pPr>
        <w:rPr>
          <w:rFonts w:eastAsia="SimSun"/>
          <w:lang w:val="en-GB"/>
        </w:rPr>
      </w:pPr>
      <w:r w:rsidRPr="001F5859">
        <w:rPr>
          <w:rFonts w:eastAsia="SimSun"/>
          <w:lang w:val="en-GB"/>
        </w:rPr>
        <w:t>Perjeta and trastuzumab</w:t>
      </w:r>
      <w:r w:rsidRPr="001F5859" w:rsidR="00346035">
        <w:rPr>
          <w:rFonts w:eastAsia="SimSun"/>
          <w:lang w:val="en-GB"/>
        </w:rPr>
        <w:t xml:space="preserve"> should be administered sequentially and not mixed in the same infusion bag. Perjeta and trastuzumab can be given in any order.</w:t>
      </w:r>
      <w:r w:rsidRPr="001F5859">
        <w:rPr>
          <w:rFonts w:eastAsia="SimSun"/>
          <w:lang w:val="en-GB"/>
        </w:rPr>
        <w:t xml:space="preserve"> </w:t>
      </w:r>
      <w:r w:rsidRPr="001F5859" w:rsidR="00422C81">
        <w:rPr>
          <w:rFonts w:eastAsia="SimSun"/>
          <w:lang w:val="en-GB"/>
        </w:rPr>
        <w:t xml:space="preserve">When administered with </w:t>
      </w:r>
      <w:r w:rsidRPr="001F5859">
        <w:rPr>
          <w:rFonts w:eastAsia="SimSun"/>
          <w:lang w:val="en-GB"/>
        </w:rPr>
        <w:t>Perjeta</w:t>
      </w:r>
      <w:r w:rsidRPr="001F5859" w:rsidR="0057709A">
        <w:rPr>
          <w:rFonts w:eastAsia="SimSun"/>
          <w:lang w:val="en-GB"/>
        </w:rPr>
        <w:t xml:space="preserve"> </w:t>
      </w:r>
      <w:r w:rsidRPr="001F5859" w:rsidR="00422C81">
        <w:rPr>
          <w:rFonts w:eastAsia="SimSun"/>
          <w:lang w:val="en-GB"/>
        </w:rPr>
        <w:t xml:space="preserve">the </w:t>
      </w:r>
    </w:p>
    <w:p w:rsidR="002A2529" w:rsidRPr="001F5859" w:rsidP="002A2529" w14:paraId="5A89FBB0" w14:textId="77777777">
      <w:pPr>
        <w:rPr>
          <w:rFonts w:eastAsia="SimSun"/>
          <w:lang w:val="en-GB"/>
        </w:rPr>
      </w:pPr>
      <w:r w:rsidRPr="001F5859">
        <w:rPr>
          <w:rFonts w:eastAsia="SimSun"/>
          <w:lang w:val="en-GB"/>
        </w:rPr>
        <w:t>recommendation is to follow a 3 weekly schedule for trastuzumab administered as either:</w:t>
      </w:r>
    </w:p>
    <w:p w:rsidR="002A2529" w:rsidRPr="001F5859" w:rsidP="002A2529" w14:paraId="7A897343" w14:textId="77777777">
      <w:pPr>
        <w:rPr>
          <w:rFonts w:eastAsia="SimSun"/>
          <w:lang w:val="en-GB"/>
        </w:rPr>
      </w:pPr>
    </w:p>
    <w:p w:rsidR="002A2529" w:rsidRPr="001F5859" w:rsidP="001F5859" w14:paraId="0617D9DD" w14:textId="77777777">
      <w:pPr>
        <w:ind w:left="714" w:hanging="357"/>
        <w:rPr>
          <w:rFonts w:eastAsia="SimSun"/>
          <w:lang w:val="en-GB"/>
        </w:rPr>
      </w:pPr>
      <w:r w:rsidRPr="000D28E6">
        <w:rPr>
          <w:rFonts w:ascii="Symbol" w:eastAsia="SimSun" w:hAnsi="Symbol"/>
          <w:lang w:val="en-GB"/>
        </w:rPr>
        <w:sym w:font="Symbol" w:char="F0B7"/>
      </w:r>
      <w:r>
        <w:rPr>
          <w:rFonts w:eastAsia="SimSun"/>
          <w:lang w:val="en-GB"/>
        </w:rPr>
        <w:tab/>
      </w:r>
      <w:r w:rsidRPr="001F5859">
        <w:rPr>
          <w:rFonts w:eastAsia="SimSun"/>
          <w:lang w:val="en-GB"/>
        </w:rPr>
        <w:t>an IV infusion with an initial loading dose of trastuzumab 8 mg/kg body weight followed every 3 weeks thereafter by a maintenance dose of 6 mg/kg body weight</w:t>
      </w:r>
    </w:p>
    <w:p w:rsidR="002A2529" w:rsidRPr="00035297" w:rsidP="001F5859" w14:paraId="5C0DA4D0" w14:textId="77777777">
      <w:pPr>
        <w:ind w:left="714" w:hanging="357"/>
        <w:rPr>
          <w:rFonts w:eastAsia="SimSun"/>
          <w:lang w:val="en-GB"/>
        </w:rPr>
      </w:pPr>
      <w:r w:rsidRPr="001F5859">
        <w:rPr>
          <w:rFonts w:eastAsia="SimSun"/>
          <w:lang w:val="en-GB"/>
        </w:rPr>
        <w:t>or</w:t>
      </w:r>
      <w:r w:rsidRPr="00035297">
        <w:rPr>
          <w:rFonts w:eastAsia="SimSun"/>
          <w:lang w:val="en-GB"/>
        </w:rPr>
        <w:t xml:space="preserve"> </w:t>
      </w:r>
    </w:p>
    <w:p w:rsidR="002A2529" w:rsidRPr="00035297" w:rsidP="001F5859" w14:paraId="12789BE1" w14:textId="77777777">
      <w:pPr>
        <w:ind w:left="714" w:hanging="357"/>
        <w:rPr>
          <w:rFonts w:eastAsia="SimSun"/>
          <w:lang w:val="en-GB"/>
        </w:rPr>
      </w:pPr>
      <w:r w:rsidRPr="000D28E6">
        <w:rPr>
          <w:rFonts w:ascii="Symbol" w:eastAsia="SimSun" w:hAnsi="Symbol"/>
          <w:lang w:val="en-GB"/>
        </w:rPr>
        <w:sym w:font="Symbol" w:char="F0B7"/>
      </w:r>
      <w:r>
        <w:rPr>
          <w:rFonts w:eastAsia="SimSun"/>
          <w:lang w:val="en-GB"/>
        </w:rPr>
        <w:tab/>
      </w:r>
      <w:r w:rsidRPr="00035297">
        <w:rPr>
          <w:rFonts w:eastAsia="SimSun"/>
          <w:lang w:val="en-GB"/>
        </w:rPr>
        <w:t>a fixed subcutaneous dose of trastuzumab by injection (600 mg) every 3 weeks irrespective of the patient’s body weight.</w:t>
      </w:r>
    </w:p>
    <w:p w:rsidR="00A311EA" w:rsidP="00A311EA" w14:paraId="3800B1D3" w14:textId="77777777">
      <w:pPr>
        <w:rPr>
          <w:rFonts w:eastAsia="SimSun"/>
          <w:lang w:val="en-GB"/>
        </w:rPr>
      </w:pPr>
    </w:p>
    <w:p w:rsidR="00844D94" w:rsidP="00A311EA" w14:paraId="0DB2B024" w14:textId="77777777">
      <w:pPr>
        <w:rPr>
          <w:rFonts w:eastAsia="SimSun"/>
          <w:lang w:val="en-GB"/>
        </w:rPr>
      </w:pPr>
      <w:r>
        <w:rPr>
          <w:rFonts w:eastAsia="SimSun"/>
          <w:lang w:val="en-GB"/>
        </w:rPr>
        <w:t xml:space="preserve">In patients receiving a taxane, </w:t>
      </w:r>
      <w:r w:rsidR="002E5989">
        <w:rPr>
          <w:rFonts w:eastAsia="SimSun"/>
          <w:lang w:val="en-GB"/>
        </w:rPr>
        <w:t>Perjeta</w:t>
      </w:r>
      <w:r>
        <w:rPr>
          <w:rFonts w:eastAsia="SimSun"/>
          <w:lang w:val="en-GB"/>
        </w:rPr>
        <w:t xml:space="preserve"> and trastuzumab should be administered prior to the taxane. </w:t>
      </w:r>
    </w:p>
    <w:p w:rsidR="00844D94" w:rsidRPr="000D28E6" w:rsidP="00A311EA" w14:paraId="1B1C094E" w14:textId="77777777">
      <w:pPr>
        <w:rPr>
          <w:rFonts w:eastAsia="SimSun"/>
          <w:lang w:val="en-GB"/>
        </w:rPr>
      </w:pPr>
    </w:p>
    <w:p w:rsidR="00A90D44" w:rsidRPr="001F5859" w:rsidP="00A311EA" w14:paraId="1D9DBFF8" w14:textId="77777777">
      <w:pPr>
        <w:rPr>
          <w:rFonts w:eastAsia="SimSun"/>
          <w:lang w:val="en-GB"/>
        </w:rPr>
      </w:pPr>
      <w:r w:rsidRPr="001F5859">
        <w:t xml:space="preserve">When administered with Perjeta, docetaxel can be started at 75 mg/m2, and subsequently escalated to 100 mg/m2 depending on the chosen regimen and tolerability of the initial dose. Alternatively, docetaxel can be given at 100 mg/m2 on a 3 weekly schedule from the start, again depending on the chosen regimen. If a carboplatin-based regimen is used, the recommended dose for docetaxel is 75 mg/m2 throughout (no dose escalation). </w:t>
      </w:r>
      <w:r w:rsidRPr="001F5859">
        <w:rPr>
          <w:rFonts w:eastAsia="SimSun"/>
          <w:lang w:val="en-GB"/>
        </w:rPr>
        <w:t>When administered with Perjeta in the adjuvant setting, the recommended dose of paclitaxel is 80 mg/m2 once weekly for 12 weekly cycles.</w:t>
      </w:r>
    </w:p>
    <w:p w:rsidR="00A311EA" w:rsidRPr="001F5859" w:rsidP="00A311EA" w14:paraId="47DA3D46" w14:textId="77777777">
      <w:pPr>
        <w:rPr>
          <w:rFonts w:eastAsia="SimSun"/>
          <w:lang w:val="en-GB"/>
        </w:rPr>
      </w:pPr>
    </w:p>
    <w:p w:rsidR="004015BA" w:rsidRPr="001F5859" w:rsidP="00A311EA" w14:paraId="1A6D7867" w14:textId="77777777">
      <w:pPr>
        <w:rPr>
          <w:rFonts w:eastAsia="SimSun"/>
          <w:lang w:val="en-GB"/>
        </w:rPr>
      </w:pPr>
      <w:r w:rsidRPr="001F5859">
        <w:rPr>
          <w:rFonts w:eastAsia="SimSun"/>
          <w:lang w:val="en-029"/>
        </w:rPr>
        <w:t>In patients receiving an anthracycline-based regimen, Perjeta and trastuzumab should be administered following completion of the entire anthracycline regimen (see section 4.4).</w:t>
      </w:r>
      <w:r w:rsidRPr="001F5859" w:rsidR="00346035">
        <w:rPr>
          <w:rFonts w:eastAsia="SimSun"/>
          <w:lang w:val="en-029"/>
        </w:rPr>
        <w:t xml:space="preserve"> </w:t>
      </w:r>
    </w:p>
    <w:p w:rsidR="00A311EA" w:rsidRPr="001F5859" w:rsidP="00A311EA" w14:paraId="74B0D651" w14:textId="77777777">
      <w:pPr>
        <w:rPr>
          <w:rFonts w:eastAsia="SimSun"/>
          <w:lang w:val="en-GB"/>
        </w:rPr>
      </w:pPr>
    </w:p>
    <w:p w:rsidR="006F3F1A" w:rsidRPr="001F5859" w:rsidP="006C4E55" w14:paraId="3F1AC588" w14:textId="77777777">
      <w:pPr>
        <w:rPr>
          <w:i/>
          <w:lang w:val="en-GB"/>
        </w:rPr>
      </w:pPr>
      <w:r w:rsidRPr="001F5859">
        <w:rPr>
          <w:i/>
          <w:lang w:val="en-GB"/>
        </w:rPr>
        <w:t xml:space="preserve">Metastatic </w:t>
      </w:r>
      <w:r w:rsidRPr="001F5859" w:rsidR="0057709A">
        <w:rPr>
          <w:i/>
          <w:lang w:val="en-GB"/>
        </w:rPr>
        <w:t>b</w:t>
      </w:r>
      <w:r w:rsidRPr="001F5859">
        <w:rPr>
          <w:i/>
          <w:lang w:val="en-GB"/>
        </w:rPr>
        <w:t xml:space="preserve">reast </w:t>
      </w:r>
      <w:r w:rsidRPr="001F5859" w:rsidR="0057709A">
        <w:rPr>
          <w:i/>
          <w:lang w:val="en-GB"/>
        </w:rPr>
        <w:t>c</w:t>
      </w:r>
      <w:r w:rsidRPr="001F5859">
        <w:rPr>
          <w:i/>
          <w:lang w:val="en-GB"/>
        </w:rPr>
        <w:t>ancer</w:t>
      </w:r>
    </w:p>
    <w:p w:rsidR="006F3F1A" w:rsidRPr="001F5859" w:rsidP="00A311EA" w14:paraId="0118BFA9" w14:textId="77777777">
      <w:pPr>
        <w:rPr>
          <w:lang w:val="en-GB"/>
        </w:rPr>
      </w:pPr>
    </w:p>
    <w:p w:rsidR="00863CEA" w:rsidRPr="000D28E6" w:rsidP="00A311EA" w14:paraId="2D7D7449" w14:textId="77777777">
      <w:pPr>
        <w:rPr>
          <w:rFonts w:eastAsia="SimSun"/>
          <w:noProof/>
          <w:lang w:val="en-GB"/>
        </w:rPr>
      </w:pPr>
      <w:r w:rsidRPr="001F5859">
        <w:rPr>
          <w:rFonts w:eastAsia="SimSun"/>
          <w:lang w:val="en-GB"/>
        </w:rPr>
        <w:t>Perjeta should be administered in combination with trastuzumab and docetaxel .</w:t>
      </w:r>
      <w:r>
        <w:rPr>
          <w:rFonts w:eastAsia="SimSun"/>
          <w:lang w:val="en-GB"/>
        </w:rPr>
        <w:t xml:space="preserve"> Treatment with Perjeta and trastuzumab may continue until disease progression or unmanageable toxicity even if treatment with docetaxel is discontinued.</w:t>
      </w:r>
    </w:p>
    <w:p w:rsidR="006F3F1A" w:rsidRPr="00BF2495" w:rsidP="00A311EA" w14:paraId="40E2EFB5" w14:textId="77777777">
      <w:pPr>
        <w:rPr>
          <w:lang w:val="en-GB"/>
        </w:rPr>
      </w:pPr>
    </w:p>
    <w:p w:rsidR="006F3F1A" w:rsidRPr="00BF2495" w:rsidP="00597A58" w14:paraId="5D12DA44" w14:textId="77777777">
      <w:pPr>
        <w:rPr>
          <w:i/>
          <w:lang w:val="en-GB"/>
        </w:rPr>
      </w:pPr>
      <w:r>
        <w:rPr>
          <w:i/>
          <w:lang w:val="en-GB"/>
        </w:rPr>
        <w:t xml:space="preserve">Early </w:t>
      </w:r>
      <w:r w:rsidR="0057709A">
        <w:rPr>
          <w:i/>
          <w:lang w:val="en-GB"/>
        </w:rPr>
        <w:t>b</w:t>
      </w:r>
      <w:r w:rsidRPr="00BF2495">
        <w:rPr>
          <w:i/>
          <w:lang w:val="en-GB"/>
        </w:rPr>
        <w:t xml:space="preserve">reast </w:t>
      </w:r>
      <w:r w:rsidR="0057709A">
        <w:rPr>
          <w:i/>
          <w:lang w:val="en-GB"/>
        </w:rPr>
        <w:t>c</w:t>
      </w:r>
      <w:r w:rsidRPr="00BF2495">
        <w:rPr>
          <w:i/>
          <w:lang w:val="en-GB"/>
        </w:rPr>
        <w:t>ancer</w:t>
      </w:r>
    </w:p>
    <w:p w:rsidR="006F3F1A" w:rsidRPr="00BF2495" w:rsidP="00597A58" w14:paraId="374C4D54" w14:textId="77777777">
      <w:pPr>
        <w:rPr>
          <w:i/>
          <w:lang w:val="en-GB"/>
        </w:rPr>
      </w:pPr>
    </w:p>
    <w:p w:rsidR="00275294" w:rsidP="00275294" w14:paraId="053F5534" w14:textId="77777777">
      <w:pPr>
        <w:rPr>
          <w:noProof/>
          <w:lang w:val="en-GB"/>
        </w:rPr>
      </w:pPr>
      <w:r>
        <w:rPr>
          <w:noProof/>
          <w:lang w:val="en-GB"/>
        </w:rPr>
        <w:t>In the neoadjuvant setting,</w:t>
      </w:r>
      <w:r w:rsidRPr="0018488B">
        <w:rPr>
          <w:noProof/>
          <w:lang w:val="en-GB"/>
        </w:rPr>
        <w:t xml:space="preserve"> </w:t>
      </w:r>
      <w:r w:rsidRPr="0018488B" w:rsidR="006F3F1A">
        <w:rPr>
          <w:noProof/>
          <w:lang w:val="en-GB"/>
        </w:rPr>
        <w:t xml:space="preserve">Perjeta should be administered for 3 to 6 cycles in combination with </w:t>
      </w:r>
      <w:r w:rsidRPr="0018488B" w:rsidR="000904F4">
        <w:rPr>
          <w:lang w:val="en-GB"/>
        </w:rPr>
        <w:t>trastuzumab</w:t>
      </w:r>
      <w:r w:rsidRPr="0018488B" w:rsidR="006F3F1A">
        <w:rPr>
          <w:noProof/>
          <w:lang w:val="en-GB"/>
        </w:rPr>
        <w:t xml:space="preserve"> and </w:t>
      </w:r>
      <w:r w:rsidRPr="0018488B" w:rsidR="000F7269">
        <w:rPr>
          <w:noProof/>
          <w:lang w:val="en-GB"/>
        </w:rPr>
        <w:t>chemotherapy</w:t>
      </w:r>
      <w:r w:rsidRPr="0018488B" w:rsidR="006F3F1A">
        <w:rPr>
          <w:noProof/>
          <w:lang w:val="en-GB"/>
        </w:rPr>
        <w:t xml:space="preserve">, as part of a </w:t>
      </w:r>
      <w:r>
        <w:rPr>
          <w:noProof/>
          <w:lang w:val="en-GB"/>
        </w:rPr>
        <w:t xml:space="preserve">complete </w:t>
      </w:r>
      <w:r w:rsidRPr="0018488B" w:rsidR="006F3F1A">
        <w:rPr>
          <w:noProof/>
          <w:lang w:val="en-GB"/>
        </w:rPr>
        <w:t>treatment regimen for early breast cancer</w:t>
      </w:r>
      <w:r>
        <w:rPr>
          <w:noProof/>
          <w:lang w:val="en-GB"/>
        </w:rPr>
        <w:t xml:space="preserve"> (see section 5.1)</w:t>
      </w:r>
      <w:r w:rsidRPr="0018488B">
        <w:rPr>
          <w:noProof/>
          <w:lang w:val="en-GB"/>
        </w:rPr>
        <w:t xml:space="preserve">. </w:t>
      </w:r>
    </w:p>
    <w:p w:rsidR="00275294" w:rsidP="00275294" w14:paraId="69B45C84" w14:textId="77777777">
      <w:pPr>
        <w:rPr>
          <w:noProof/>
          <w:lang w:val="en-GB"/>
        </w:rPr>
      </w:pPr>
    </w:p>
    <w:p w:rsidR="007B3B7A" w:rsidRPr="00275294" w:rsidP="00597A58" w14:paraId="474E2FBC" w14:textId="77777777">
      <w:pPr>
        <w:rPr>
          <w:bCs/>
          <w:noProof/>
        </w:rPr>
      </w:pPr>
      <w:r w:rsidRPr="00560596">
        <w:rPr>
          <w:bCs/>
          <w:noProof/>
        </w:rPr>
        <w:t xml:space="preserve">In the adjuvant setting, Perjeta should be administered in combination with </w:t>
      </w:r>
      <w:r>
        <w:rPr>
          <w:bCs/>
          <w:noProof/>
        </w:rPr>
        <w:t>trastuzumab</w:t>
      </w:r>
      <w:r w:rsidRPr="00560596">
        <w:rPr>
          <w:bCs/>
          <w:noProof/>
        </w:rPr>
        <w:t xml:space="preserve"> for a total of one year (</w:t>
      </w:r>
      <w:r>
        <w:rPr>
          <w:bCs/>
          <w:noProof/>
        </w:rPr>
        <w:t>up to</w:t>
      </w:r>
      <w:r w:rsidRPr="00560596">
        <w:rPr>
          <w:bCs/>
          <w:noProof/>
        </w:rPr>
        <w:t xml:space="preserve"> 18 cycles or until disease recurrence, or unmanageable toxicity, whichever occurs first</w:t>
      </w:r>
      <w:r>
        <w:rPr>
          <w:bCs/>
          <w:noProof/>
        </w:rPr>
        <w:t xml:space="preserve">) </w:t>
      </w:r>
      <w:r w:rsidRPr="00560596">
        <w:rPr>
          <w:bCs/>
          <w:noProof/>
        </w:rPr>
        <w:t>as part of a complete regimen for early breast cancer</w:t>
      </w:r>
      <w:r>
        <w:rPr>
          <w:bCs/>
          <w:noProof/>
        </w:rPr>
        <w:t xml:space="preserve"> and regardless of the timing of surgery.  Treatment should include</w:t>
      </w:r>
      <w:r w:rsidRPr="00560596">
        <w:rPr>
          <w:bCs/>
          <w:noProof/>
        </w:rPr>
        <w:t xml:space="preserve"> standard anthracycline- and/or taxane-based chemotherapy. Perjeta and </w:t>
      </w:r>
      <w:r>
        <w:rPr>
          <w:bCs/>
          <w:noProof/>
        </w:rPr>
        <w:t>trastuzumab</w:t>
      </w:r>
      <w:r w:rsidRPr="00560596">
        <w:rPr>
          <w:bCs/>
          <w:noProof/>
        </w:rPr>
        <w:t xml:space="preserve"> should start on Day 1 of the first taxane-containing cycle and should continue even if chemotherapy is discontinued</w:t>
      </w:r>
      <w:r w:rsidRPr="0018488B" w:rsidR="006F3F1A">
        <w:rPr>
          <w:noProof/>
          <w:lang w:val="en-GB"/>
        </w:rPr>
        <w:t xml:space="preserve">. </w:t>
      </w:r>
    </w:p>
    <w:p w:rsidR="006F3F1A" w:rsidRPr="001F5859" w:rsidP="001615CE" w14:paraId="1D8A1BD6" w14:textId="77777777">
      <w:pPr>
        <w:rPr>
          <w:noProof/>
          <w:lang w:val="en-GB"/>
        </w:rPr>
      </w:pPr>
    </w:p>
    <w:p w:rsidR="00863CEA" w:rsidRPr="000D28E6" w:rsidP="00616E43" w14:paraId="565AA0BB" w14:textId="77777777">
      <w:pPr>
        <w:keepNext/>
        <w:keepLines/>
        <w:rPr>
          <w:rFonts w:eastAsia="SimSun"/>
          <w:i/>
          <w:lang w:val="en-GB"/>
        </w:rPr>
      </w:pPr>
      <w:r w:rsidRPr="000D28E6">
        <w:rPr>
          <w:rFonts w:eastAsia="SimSun"/>
          <w:i/>
          <w:lang w:val="en-GB"/>
        </w:rPr>
        <w:t>Delayed or missed doses</w:t>
      </w:r>
    </w:p>
    <w:p w:rsidR="009402C4" w:rsidP="009402C4" w14:paraId="6DD5046A" w14:textId="77777777">
      <w:pPr>
        <w:rPr>
          <w:color w:val="000000"/>
          <w:szCs w:val="22"/>
          <w:lang w:val="en-029"/>
        </w:rPr>
      </w:pPr>
    </w:p>
    <w:p w:rsidR="009402C4" w:rsidRPr="001F5859" w:rsidP="009402C4" w14:paraId="20175896" w14:textId="77777777">
      <w:pPr>
        <w:rPr>
          <w:color w:val="000000"/>
          <w:lang w:val="en-029"/>
        </w:rPr>
      </w:pPr>
      <w:r w:rsidRPr="001F5859">
        <w:rPr>
          <w:color w:val="000000"/>
          <w:lang w:val="en-029"/>
        </w:rPr>
        <w:t>For recommendations on delayed or missed doses, please refer to Table 1 below.</w:t>
      </w:r>
    </w:p>
    <w:p w:rsidR="009402C4" w:rsidRPr="001F5859" w:rsidP="009402C4" w14:paraId="3AAE328E" w14:textId="77777777"/>
    <w:p w:rsidR="009402C4" w:rsidRPr="001F5859" w:rsidP="009402C4" w14:paraId="47D6570A" w14:textId="77777777">
      <w:pPr>
        <w:keepNext/>
        <w:ind w:left="1080" w:hanging="1080"/>
        <w:rPr>
          <w:rFonts w:eastAsia="SimSun"/>
          <w:b/>
          <w:lang w:val="en-GB" w:eastAsia="zh-CN"/>
        </w:rPr>
      </w:pPr>
      <w:r w:rsidRPr="001F5859">
        <w:rPr>
          <w:rFonts w:eastAsia="SimSun"/>
          <w:b/>
          <w:lang w:val="en-GB" w:eastAsia="zh-CN"/>
        </w:rPr>
        <w:t>Table 1</w:t>
      </w:r>
      <w:r w:rsidRPr="001F5859">
        <w:rPr>
          <w:rFonts w:eastAsia="SimSun"/>
          <w:b/>
          <w:lang w:val="en-GB" w:eastAsia="zh-CN"/>
        </w:rPr>
        <w:tab/>
        <w:t>Recommendations regarding delayed or missed doses</w:t>
      </w:r>
    </w:p>
    <w:p w:rsidR="009402C4" w:rsidRPr="001F5859" w:rsidP="009402C4" w14:paraId="04D5F23A" w14:textId="77777777">
      <w:pPr>
        <w:keepNext/>
        <w:ind w:left="1080" w:hanging="1080"/>
        <w:rPr>
          <w:rFonts w:eastAsia="SimSun"/>
          <w:b/>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1"/>
        <w:gridCol w:w="2522"/>
        <w:gridCol w:w="2471"/>
        <w:gridCol w:w="2233"/>
      </w:tblGrid>
      <w:tr w14:paraId="0524576B" w14:textId="77777777" w:rsidTr="00103A4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061" w:type="dxa"/>
            <w:vMerge w:val="restart"/>
            <w:shd w:val="clear" w:color="auto" w:fill="auto"/>
          </w:tcPr>
          <w:p w:rsidR="009402C4" w:rsidRPr="001F5859" w:rsidP="00103A4A" w14:paraId="1EBA5B83" w14:textId="77777777">
            <w:pPr>
              <w:keepNext/>
              <w:rPr>
                <w:rFonts w:eastAsia="SimSun"/>
                <w:b/>
                <w:lang w:eastAsia="zh-CN"/>
              </w:rPr>
            </w:pPr>
            <w:r w:rsidRPr="001F5859">
              <w:rPr>
                <w:rFonts w:eastAsia="SimSun"/>
                <w:b/>
                <w:lang w:eastAsia="zh-CN"/>
              </w:rPr>
              <w:t>Time between two sequential infusions</w:t>
            </w:r>
          </w:p>
        </w:tc>
        <w:tc>
          <w:tcPr>
            <w:tcW w:w="2522" w:type="dxa"/>
            <w:vMerge w:val="restart"/>
            <w:shd w:val="clear" w:color="auto" w:fill="auto"/>
          </w:tcPr>
          <w:p w:rsidR="009402C4" w:rsidRPr="001F5859" w:rsidP="00103A4A" w14:paraId="6E556C28" w14:textId="77777777">
            <w:pPr>
              <w:keepNext/>
              <w:rPr>
                <w:rFonts w:eastAsia="SimSun"/>
                <w:b/>
                <w:lang w:eastAsia="zh-CN"/>
              </w:rPr>
            </w:pPr>
            <w:r w:rsidRPr="001F5859">
              <w:rPr>
                <w:rFonts w:eastAsia="SimSun"/>
                <w:b/>
                <w:lang w:eastAsia="zh-CN"/>
              </w:rPr>
              <w:t xml:space="preserve">Perjeta </w:t>
            </w:r>
          </w:p>
        </w:tc>
        <w:tc>
          <w:tcPr>
            <w:tcW w:w="4704" w:type="dxa"/>
            <w:gridSpan w:val="2"/>
            <w:shd w:val="clear" w:color="auto" w:fill="auto"/>
          </w:tcPr>
          <w:p w:rsidR="009402C4" w:rsidRPr="001F5859" w:rsidP="00103A4A" w14:paraId="5E2323E1" w14:textId="77777777">
            <w:pPr>
              <w:keepNext/>
              <w:jc w:val="center"/>
              <w:rPr>
                <w:rFonts w:eastAsia="SimSun"/>
                <w:b/>
                <w:lang w:eastAsia="zh-CN"/>
              </w:rPr>
            </w:pPr>
            <w:r w:rsidRPr="001F5859">
              <w:rPr>
                <w:rFonts w:eastAsia="SimSun"/>
                <w:b/>
                <w:lang w:eastAsia="zh-CN"/>
              </w:rPr>
              <w:t>trastuzumab</w:t>
            </w:r>
          </w:p>
        </w:tc>
      </w:tr>
      <w:tr w14:paraId="2CEF957F" w14:textId="77777777" w:rsidTr="00103A4A">
        <w:tblPrEx>
          <w:tblW w:w="0" w:type="auto"/>
          <w:tblLook w:val="04A0"/>
        </w:tblPrEx>
        <w:tc>
          <w:tcPr>
            <w:tcW w:w="2061" w:type="dxa"/>
            <w:vMerge/>
            <w:shd w:val="clear" w:color="auto" w:fill="auto"/>
          </w:tcPr>
          <w:p w:rsidR="009402C4" w:rsidRPr="001F5859" w:rsidP="00103A4A" w14:paraId="5E3A4DD4" w14:textId="77777777">
            <w:pPr>
              <w:keepNext/>
              <w:rPr>
                <w:rFonts w:eastAsia="SimSun"/>
                <w:b/>
                <w:lang w:eastAsia="zh-CN"/>
              </w:rPr>
            </w:pPr>
          </w:p>
        </w:tc>
        <w:tc>
          <w:tcPr>
            <w:tcW w:w="2522" w:type="dxa"/>
            <w:vMerge/>
            <w:shd w:val="clear" w:color="auto" w:fill="auto"/>
          </w:tcPr>
          <w:p w:rsidR="009402C4" w:rsidRPr="001F5859" w:rsidP="00103A4A" w14:paraId="7DC8B36D" w14:textId="77777777">
            <w:pPr>
              <w:keepNext/>
              <w:rPr>
                <w:rFonts w:eastAsia="SimSun"/>
                <w:b/>
                <w:lang w:eastAsia="zh-CN"/>
              </w:rPr>
            </w:pPr>
          </w:p>
        </w:tc>
        <w:tc>
          <w:tcPr>
            <w:tcW w:w="2471" w:type="dxa"/>
            <w:shd w:val="clear" w:color="auto" w:fill="auto"/>
          </w:tcPr>
          <w:p w:rsidR="009402C4" w:rsidRPr="001F5859" w:rsidP="00103A4A" w14:paraId="17984EA4" w14:textId="77777777">
            <w:pPr>
              <w:keepNext/>
              <w:rPr>
                <w:rFonts w:eastAsia="SimSun"/>
                <w:b/>
                <w:lang w:eastAsia="zh-CN"/>
              </w:rPr>
            </w:pPr>
            <w:r w:rsidRPr="001F5859">
              <w:rPr>
                <w:rFonts w:eastAsia="SimSun"/>
                <w:b/>
                <w:lang w:eastAsia="zh-CN"/>
              </w:rPr>
              <w:t>IV</w:t>
            </w:r>
          </w:p>
        </w:tc>
        <w:tc>
          <w:tcPr>
            <w:tcW w:w="2233" w:type="dxa"/>
          </w:tcPr>
          <w:p w:rsidR="009402C4" w:rsidRPr="001F5859" w:rsidP="00103A4A" w14:paraId="490DAE96" w14:textId="77777777">
            <w:pPr>
              <w:keepNext/>
              <w:rPr>
                <w:rFonts w:eastAsia="SimSun"/>
                <w:b/>
                <w:lang w:eastAsia="zh-CN"/>
              </w:rPr>
            </w:pPr>
            <w:r w:rsidRPr="001F5859">
              <w:rPr>
                <w:rFonts w:eastAsia="SimSun"/>
                <w:b/>
                <w:lang w:eastAsia="zh-CN"/>
              </w:rPr>
              <w:t>SC</w:t>
            </w:r>
          </w:p>
        </w:tc>
      </w:tr>
      <w:tr w14:paraId="4C4DA5A6" w14:textId="77777777" w:rsidTr="00103A4A">
        <w:tblPrEx>
          <w:tblW w:w="0" w:type="auto"/>
          <w:tblLook w:val="04A0"/>
        </w:tblPrEx>
        <w:tc>
          <w:tcPr>
            <w:tcW w:w="2061" w:type="dxa"/>
            <w:shd w:val="clear" w:color="auto" w:fill="auto"/>
          </w:tcPr>
          <w:p w:rsidR="009402C4" w:rsidRPr="001F5859" w:rsidP="00103A4A" w14:paraId="7E46FD47" w14:textId="77777777">
            <w:pPr>
              <w:keepNext/>
              <w:rPr>
                <w:rFonts w:eastAsia="SimSun"/>
                <w:lang w:eastAsia="zh-CN"/>
              </w:rPr>
            </w:pPr>
            <w:r w:rsidRPr="001F5859">
              <w:rPr>
                <w:rFonts w:eastAsia="SimSun"/>
                <w:lang w:eastAsia="zh-CN"/>
              </w:rPr>
              <w:t>&lt; 6 weeks</w:t>
            </w:r>
          </w:p>
        </w:tc>
        <w:tc>
          <w:tcPr>
            <w:tcW w:w="2522" w:type="dxa"/>
            <w:shd w:val="clear" w:color="auto" w:fill="auto"/>
          </w:tcPr>
          <w:p w:rsidR="009402C4" w:rsidRPr="001F5859" w:rsidP="00103A4A" w14:paraId="046F8C53" w14:textId="77777777">
            <w:pPr>
              <w:keepNext/>
              <w:rPr>
                <w:rFonts w:eastAsia="SimSun"/>
                <w:lang w:eastAsia="zh-CN"/>
              </w:rPr>
            </w:pPr>
            <w:r w:rsidRPr="001F5859">
              <w:rPr>
                <w:rFonts w:eastAsia="SimSun"/>
                <w:lang w:eastAsia="zh-CN"/>
              </w:rPr>
              <w:t>The 420 mg dose of pertuzumab should be administered as soon as possible. Do not wait until the next planned dose. Thereafter, revert to the original planned schedule.</w:t>
            </w:r>
          </w:p>
        </w:tc>
        <w:tc>
          <w:tcPr>
            <w:tcW w:w="2471" w:type="dxa"/>
            <w:shd w:val="clear" w:color="auto" w:fill="auto"/>
          </w:tcPr>
          <w:p w:rsidR="009402C4" w:rsidRPr="001F5859" w:rsidP="00103A4A" w14:paraId="46670579" w14:textId="77777777">
            <w:pPr>
              <w:keepNext/>
              <w:rPr>
                <w:rFonts w:eastAsia="SimSun"/>
                <w:lang w:eastAsia="zh-CN"/>
              </w:rPr>
            </w:pPr>
            <w:r w:rsidRPr="001F5859">
              <w:rPr>
                <w:rFonts w:eastAsia="SimSun"/>
                <w:lang w:eastAsia="zh-CN"/>
              </w:rPr>
              <w:t xml:space="preserve">The 6 mg/kg dose of </w:t>
            </w:r>
            <w:r w:rsidRPr="001F5859">
              <w:t xml:space="preserve">trastuzumab </w:t>
            </w:r>
            <w:r w:rsidRPr="001F5859">
              <w:rPr>
                <w:rFonts w:eastAsia="SimSun"/>
                <w:lang w:eastAsia="zh-CN"/>
              </w:rPr>
              <w:t>IV should be administered as soon as possible. Do not wait until the next planned dose. Thereafter, revert to the original planned schedule.</w:t>
            </w:r>
          </w:p>
          <w:p w:rsidR="009402C4" w:rsidRPr="001F5859" w:rsidP="00103A4A" w14:paraId="7949CB12" w14:textId="77777777">
            <w:pPr>
              <w:keepNext/>
              <w:rPr>
                <w:rFonts w:eastAsia="SimSun"/>
                <w:lang w:eastAsia="zh-CN"/>
              </w:rPr>
            </w:pPr>
          </w:p>
        </w:tc>
        <w:tc>
          <w:tcPr>
            <w:tcW w:w="2233" w:type="dxa"/>
            <w:vMerge w:val="restart"/>
          </w:tcPr>
          <w:p w:rsidR="009402C4" w:rsidRPr="001F5859" w:rsidP="00103A4A" w14:paraId="1F0062C2" w14:textId="77777777">
            <w:pPr>
              <w:keepNext/>
              <w:rPr>
                <w:rFonts w:eastAsia="SimSun"/>
                <w:lang w:eastAsia="zh-CN"/>
              </w:rPr>
            </w:pPr>
            <w:r w:rsidRPr="001F5859">
              <w:rPr>
                <w:rFonts w:eastAsia="SimSun"/>
                <w:lang w:eastAsia="zh-CN"/>
              </w:rPr>
              <w:t xml:space="preserve">The fixed dose of 600mg trastuzumab SC should be administered as soon as possible. </w:t>
            </w:r>
          </w:p>
          <w:p w:rsidR="009402C4" w:rsidRPr="001F5859" w:rsidP="00103A4A" w14:paraId="6CD971A2" w14:textId="77777777">
            <w:pPr>
              <w:keepNext/>
              <w:rPr>
                <w:rFonts w:eastAsia="SimSun"/>
                <w:lang w:eastAsia="zh-CN"/>
              </w:rPr>
            </w:pPr>
            <w:r w:rsidRPr="001F5859">
              <w:rPr>
                <w:rFonts w:eastAsia="SimSun"/>
                <w:lang w:eastAsia="zh-CN"/>
              </w:rPr>
              <w:t>Do not wait until the next planned dose.</w:t>
            </w:r>
          </w:p>
          <w:p w:rsidR="009402C4" w:rsidRPr="001F5859" w:rsidP="00103A4A" w14:paraId="6CE946CA" w14:textId="77777777">
            <w:pPr>
              <w:keepNext/>
              <w:rPr>
                <w:rFonts w:eastAsia="SimSun"/>
                <w:lang w:eastAsia="zh-CN"/>
              </w:rPr>
            </w:pPr>
          </w:p>
        </w:tc>
      </w:tr>
      <w:tr w14:paraId="237599A5" w14:textId="77777777" w:rsidTr="00103A4A">
        <w:tblPrEx>
          <w:tblW w:w="0" w:type="auto"/>
          <w:tblLook w:val="04A0"/>
        </w:tblPrEx>
        <w:tc>
          <w:tcPr>
            <w:tcW w:w="2061" w:type="dxa"/>
            <w:shd w:val="clear" w:color="auto" w:fill="auto"/>
          </w:tcPr>
          <w:p w:rsidR="009402C4" w:rsidRPr="001F5859" w:rsidP="00103A4A" w14:paraId="59D8AB4B" w14:textId="77777777">
            <w:pPr>
              <w:keepNext/>
              <w:rPr>
                <w:rFonts w:eastAsia="SimSun"/>
                <w:lang w:eastAsia="zh-CN"/>
              </w:rPr>
            </w:pPr>
            <w:r w:rsidRPr="001F5859">
              <w:rPr>
                <w:rFonts w:eastAsia="SimSun" w:hint="eastAsia"/>
                <w:lang w:eastAsia="zh-CN"/>
              </w:rPr>
              <w:t>≥</w:t>
            </w:r>
            <w:r w:rsidRPr="001F5859">
              <w:rPr>
                <w:rFonts w:eastAsia="SimSun"/>
                <w:lang w:eastAsia="zh-CN"/>
              </w:rPr>
              <w:t xml:space="preserve"> 6 weeks</w:t>
            </w:r>
          </w:p>
        </w:tc>
        <w:tc>
          <w:tcPr>
            <w:tcW w:w="2522" w:type="dxa"/>
            <w:shd w:val="clear" w:color="auto" w:fill="auto"/>
          </w:tcPr>
          <w:p w:rsidR="009402C4" w:rsidRPr="001F5859" w:rsidP="00103A4A" w14:paraId="68303BDA" w14:textId="77777777">
            <w:pPr>
              <w:keepNext/>
              <w:rPr>
                <w:rFonts w:eastAsia="SimSun"/>
                <w:lang w:eastAsia="zh-CN"/>
              </w:rPr>
            </w:pPr>
            <w:r w:rsidRPr="001F5859">
              <w:rPr>
                <w:rFonts w:eastAsia="SimSun"/>
                <w:lang w:eastAsia="zh-CN"/>
              </w:rPr>
              <w:t>The 840 mg loading dose of pertuzumab should be re-administered as a 60 minute infusion, followed by a maintenance dose of 420 mg IV administered every 3 weeks thereafter.</w:t>
            </w:r>
          </w:p>
        </w:tc>
        <w:tc>
          <w:tcPr>
            <w:tcW w:w="2471" w:type="dxa"/>
            <w:shd w:val="clear" w:color="auto" w:fill="auto"/>
          </w:tcPr>
          <w:p w:rsidR="009402C4" w:rsidRPr="00A51CDA" w:rsidP="00103A4A" w14:paraId="1D7511B5" w14:textId="77777777">
            <w:pPr>
              <w:keepNext/>
              <w:rPr>
                <w:rFonts w:eastAsia="SimSun"/>
                <w:bCs/>
                <w:lang w:eastAsia="zh-CN"/>
              </w:rPr>
            </w:pPr>
            <w:r w:rsidRPr="001F5859">
              <w:rPr>
                <w:rFonts w:eastAsia="SimSun"/>
                <w:lang w:eastAsia="zh-CN"/>
              </w:rPr>
              <w:t xml:space="preserve">The loading dose of 8 mg/kg of </w:t>
            </w:r>
            <w:r w:rsidRPr="001F5859">
              <w:t>trastuzumab</w:t>
            </w:r>
            <w:r w:rsidRPr="001F5859">
              <w:rPr>
                <w:rFonts w:eastAsia="SimSun"/>
                <w:lang w:eastAsia="zh-CN"/>
              </w:rPr>
              <w:t xml:space="preserve"> IV should be re- administered over approximately 90 minutes, followed by a maintenance dose of 6 mg/kg IV administered</w:t>
            </w:r>
            <w:r w:rsidRPr="001F5859" w:rsidR="00377E79">
              <w:rPr>
                <w:rFonts w:eastAsia="SimSun"/>
                <w:lang w:eastAsia="zh-CN"/>
              </w:rPr>
              <w:t xml:space="preserve"> </w:t>
            </w:r>
            <w:r w:rsidRPr="001F5859">
              <w:rPr>
                <w:rFonts w:eastAsia="SimSun"/>
                <w:lang w:eastAsia="zh-CN"/>
              </w:rPr>
              <w:t>every 3 weeks thereafter.</w:t>
            </w:r>
          </w:p>
        </w:tc>
        <w:tc>
          <w:tcPr>
            <w:tcW w:w="2233" w:type="dxa"/>
            <w:vMerge/>
          </w:tcPr>
          <w:p w:rsidR="009402C4" w:rsidRPr="00A51CDA" w:rsidP="00103A4A" w14:paraId="2F351BBB" w14:textId="77777777">
            <w:pPr>
              <w:keepNext/>
              <w:rPr>
                <w:rFonts w:eastAsia="SimSun"/>
                <w:bCs/>
                <w:lang w:eastAsia="zh-CN"/>
              </w:rPr>
            </w:pPr>
          </w:p>
        </w:tc>
      </w:tr>
    </w:tbl>
    <w:p w:rsidR="00275294" w:rsidRPr="000D28E6" w:rsidP="00A311EA" w14:paraId="71941812" w14:textId="77777777">
      <w:pPr>
        <w:rPr>
          <w:rFonts w:eastAsia="SimSun"/>
          <w:lang w:val="en-GB"/>
        </w:rPr>
      </w:pPr>
    </w:p>
    <w:p w:rsidR="00863CEA" w:rsidRPr="000D28E6" w:rsidP="00A311EA" w14:paraId="596C4F2B" w14:textId="77777777">
      <w:pPr>
        <w:rPr>
          <w:rFonts w:eastAsia="SimSun"/>
          <w:i/>
          <w:lang w:val="en-GB"/>
        </w:rPr>
      </w:pPr>
      <w:r w:rsidRPr="000D28E6">
        <w:rPr>
          <w:rFonts w:eastAsia="SimSun"/>
          <w:i/>
          <w:lang w:val="en-GB"/>
        </w:rPr>
        <w:t>Dose modification</w:t>
      </w:r>
    </w:p>
    <w:p w:rsidR="00347FD6" w:rsidRPr="000D28E6" w:rsidP="00A311EA" w14:paraId="2B25FC5D" w14:textId="77777777">
      <w:pPr>
        <w:rPr>
          <w:rFonts w:eastAsia="SimSun"/>
          <w:lang w:val="en-GB"/>
        </w:rPr>
      </w:pPr>
      <w:r w:rsidRPr="000D28E6">
        <w:rPr>
          <w:rFonts w:eastAsia="SimSun"/>
          <w:lang w:val="en-GB"/>
        </w:rPr>
        <w:t xml:space="preserve">Dose reductions are not recommended for </w:t>
      </w:r>
      <w:r w:rsidRPr="000D28E6" w:rsidR="002C3FA8">
        <w:rPr>
          <w:rFonts w:eastAsia="SimSun"/>
          <w:lang w:val="en-GB"/>
        </w:rPr>
        <w:t>Perjeta</w:t>
      </w:r>
      <w:r w:rsidRPr="00275294" w:rsidR="00275294">
        <w:rPr>
          <w:rFonts w:eastAsia="SimSun"/>
          <w:lang w:val="en-GB"/>
        </w:rPr>
        <w:t xml:space="preserve"> </w:t>
      </w:r>
      <w:r w:rsidR="00275294">
        <w:rPr>
          <w:rFonts w:eastAsia="SimSun"/>
          <w:lang w:val="en-GB"/>
        </w:rPr>
        <w:t>or trastuzumab</w:t>
      </w:r>
      <w:r w:rsidRPr="000D28E6" w:rsidR="00275294">
        <w:rPr>
          <w:rFonts w:eastAsia="SimSun"/>
          <w:lang w:val="en-GB"/>
        </w:rPr>
        <w:t>.</w:t>
      </w:r>
      <w:r w:rsidR="00275294">
        <w:rPr>
          <w:rFonts w:eastAsia="SimSun"/>
          <w:lang w:val="en-GB"/>
        </w:rPr>
        <w:t xml:space="preserve">  For details regarding trastuzumab, please refer to the </w:t>
      </w:r>
      <w:r w:rsidRPr="000D28E6" w:rsidR="00275294">
        <w:rPr>
          <w:rFonts w:eastAsia="SimSun"/>
          <w:lang w:val="en-GB"/>
        </w:rPr>
        <w:t>summary of product characteristics</w:t>
      </w:r>
      <w:r w:rsidR="00275294">
        <w:rPr>
          <w:rFonts w:eastAsia="SimSun"/>
          <w:lang w:val="en-GB"/>
        </w:rPr>
        <w:t xml:space="preserve"> (SmPC)</w:t>
      </w:r>
      <w:r w:rsidRPr="000D28E6">
        <w:rPr>
          <w:rFonts w:eastAsia="SimSun"/>
          <w:lang w:val="en-GB"/>
        </w:rPr>
        <w:t xml:space="preserve">. </w:t>
      </w:r>
    </w:p>
    <w:p w:rsidR="00E035F1" w:rsidRPr="000D28E6" w:rsidP="00A311EA" w14:paraId="6B4F4A28" w14:textId="77777777">
      <w:pPr>
        <w:rPr>
          <w:rFonts w:eastAsia="SimSun"/>
          <w:lang w:val="en-GB"/>
        </w:rPr>
      </w:pPr>
    </w:p>
    <w:p w:rsidR="00347FD6" w:rsidRPr="000D28E6" w:rsidP="00A311EA" w14:paraId="5BDCE095" w14:textId="77777777">
      <w:pPr>
        <w:rPr>
          <w:rFonts w:eastAsia="SimSun"/>
          <w:lang w:val="en-GB"/>
        </w:rPr>
      </w:pPr>
      <w:r w:rsidRPr="000D28E6">
        <w:rPr>
          <w:color w:val="000000"/>
          <w:lang w:val="en-GB"/>
        </w:rPr>
        <w:t>Patients may continue therapy during periods of reversible</w:t>
      </w:r>
      <w:r w:rsidRPr="000D28E6" w:rsidR="00763B1E">
        <w:rPr>
          <w:color w:val="000000"/>
          <w:lang w:val="en-GB"/>
        </w:rPr>
        <w:t xml:space="preserve"> </w:t>
      </w:r>
      <w:r w:rsidRPr="000D28E6">
        <w:rPr>
          <w:color w:val="000000"/>
          <w:lang w:val="en-GB"/>
        </w:rPr>
        <w:t xml:space="preserve">chemotherapy-induced myelosuppression but they should be monitored carefully for complications of neutropenia during this time. </w:t>
      </w:r>
      <w:r w:rsidRPr="000D28E6">
        <w:rPr>
          <w:rFonts w:eastAsia="SimSun"/>
          <w:lang w:val="en-GB"/>
        </w:rPr>
        <w:t xml:space="preserve">For docetaxel </w:t>
      </w:r>
      <w:r w:rsidRPr="00BF2495" w:rsidR="006F3F1A">
        <w:rPr>
          <w:lang w:val="en-GB"/>
        </w:rPr>
        <w:t xml:space="preserve">and other chemotherapy </w:t>
      </w:r>
      <w:r w:rsidRPr="000D28E6">
        <w:rPr>
          <w:rFonts w:eastAsia="SimSun"/>
          <w:lang w:val="en-GB"/>
        </w:rPr>
        <w:t xml:space="preserve">dose modifications, see </w:t>
      </w:r>
      <w:r w:rsidRPr="00BF2495" w:rsidR="006F3F1A">
        <w:rPr>
          <w:lang w:val="en-GB"/>
        </w:rPr>
        <w:t>relevant</w:t>
      </w:r>
      <w:r w:rsidRPr="000D28E6" w:rsidR="00763B1E">
        <w:rPr>
          <w:rFonts w:eastAsia="SimSun"/>
          <w:lang w:val="en-GB"/>
        </w:rPr>
        <w:t xml:space="preserve"> </w:t>
      </w:r>
      <w:r w:rsidRPr="000D28E6">
        <w:rPr>
          <w:rFonts w:eastAsia="SimSun"/>
          <w:lang w:val="en-GB"/>
        </w:rPr>
        <w:t>SmPC.</w:t>
      </w:r>
    </w:p>
    <w:p w:rsidR="00962094" w:rsidRPr="000D28E6" w:rsidP="00A311EA" w14:paraId="43A09E4D" w14:textId="77777777">
      <w:pPr>
        <w:rPr>
          <w:rFonts w:eastAsia="SimSun"/>
          <w:lang w:val="en-GB"/>
        </w:rPr>
      </w:pPr>
    </w:p>
    <w:p w:rsidR="00863CEA" w:rsidRPr="000D28E6" w:rsidP="00A311EA" w14:paraId="03E5D894" w14:textId="77777777">
      <w:pPr>
        <w:rPr>
          <w:rFonts w:eastAsia="SimSun"/>
          <w:lang w:val="en-GB"/>
        </w:rPr>
      </w:pPr>
      <w:r w:rsidRPr="000D28E6">
        <w:rPr>
          <w:rFonts w:eastAsia="SimSun"/>
          <w:lang w:val="en-GB"/>
        </w:rPr>
        <w:t xml:space="preserve">If trastuzumab treatment is discontinued, treatment with </w:t>
      </w:r>
      <w:r w:rsidRPr="000D28E6" w:rsidR="002C3FA8">
        <w:rPr>
          <w:rFonts w:eastAsia="SimSun"/>
          <w:lang w:val="en-GB"/>
        </w:rPr>
        <w:t>Perjeta</w:t>
      </w:r>
      <w:r w:rsidRPr="000D28E6">
        <w:rPr>
          <w:rFonts w:eastAsia="SimSun"/>
          <w:lang w:val="en-GB"/>
        </w:rPr>
        <w:t xml:space="preserve"> should be discontinued. </w:t>
      </w:r>
    </w:p>
    <w:p w:rsidR="00A311EA" w:rsidRPr="000D28E6" w:rsidP="00A311EA" w14:paraId="23B248C2" w14:textId="77777777">
      <w:pPr>
        <w:rPr>
          <w:rFonts w:eastAsia="SimSun"/>
          <w:lang w:val="en-GB"/>
        </w:rPr>
      </w:pPr>
    </w:p>
    <w:p w:rsidR="00863CEA" w:rsidRPr="000D28E6" w:rsidP="00A311EA" w14:paraId="099E0DA7" w14:textId="77777777">
      <w:pPr>
        <w:rPr>
          <w:rFonts w:eastAsia="SimSun"/>
          <w:i/>
          <w:noProof/>
          <w:lang w:val="en-GB"/>
        </w:rPr>
      </w:pPr>
      <w:r w:rsidRPr="000D28E6">
        <w:rPr>
          <w:rFonts w:eastAsia="SimSun"/>
          <w:i/>
          <w:lang w:val="en-GB"/>
        </w:rPr>
        <w:t xml:space="preserve">Left ventricular dysfunction </w:t>
      </w:r>
    </w:p>
    <w:p w:rsidR="00275294" w:rsidP="00275294" w14:paraId="0F7E649C" w14:textId="77777777">
      <w:pPr>
        <w:rPr>
          <w:rFonts w:eastAsia="SimSun"/>
          <w:lang w:val="en-GB"/>
        </w:rPr>
      </w:pPr>
      <w:r w:rsidRPr="000D28E6">
        <w:rPr>
          <w:rFonts w:eastAsia="SimSun"/>
          <w:lang w:val="en-GB"/>
        </w:rPr>
        <w:t xml:space="preserve">Perjeta and trastuzumab should be withheld for at least 3 </w:t>
      </w:r>
      <w:r w:rsidRPr="000D28E6">
        <w:rPr>
          <w:rFonts w:eastAsia="SimSun"/>
          <w:noProof/>
          <w:color w:val="000000"/>
          <w:lang w:val="en-GB"/>
        </w:rPr>
        <w:t xml:space="preserve">weeks for </w:t>
      </w:r>
      <w:r w:rsidRPr="000D28E6" w:rsidR="00BB14DE">
        <w:rPr>
          <w:color w:val="000000"/>
          <w:lang w:val="en-GB" w:eastAsia="en-GB"/>
        </w:rPr>
        <w:t xml:space="preserve">any </w:t>
      </w:r>
      <w:r w:rsidRPr="000D28E6">
        <w:rPr>
          <w:rFonts w:eastAsia="SimSun"/>
          <w:lang w:val="en-GB"/>
        </w:rPr>
        <w:t>s</w:t>
      </w:r>
      <w:r w:rsidRPr="000D28E6" w:rsidR="004529A4">
        <w:rPr>
          <w:rFonts w:eastAsia="SimSun"/>
          <w:lang w:val="en-GB"/>
        </w:rPr>
        <w:t>igns and sy</w:t>
      </w:r>
      <w:r w:rsidRPr="000D28E6">
        <w:rPr>
          <w:rFonts w:eastAsia="SimSun"/>
          <w:lang w:val="en-GB"/>
        </w:rPr>
        <w:t>mptoms suggestive of congestive heart failure</w:t>
      </w:r>
      <w:r w:rsidR="007F0F48">
        <w:rPr>
          <w:rFonts w:eastAsia="SimSun"/>
          <w:lang w:val="en-GB"/>
        </w:rPr>
        <w:t>.</w:t>
      </w:r>
      <w:r w:rsidRPr="000D28E6">
        <w:rPr>
          <w:rFonts w:eastAsia="SimSun"/>
          <w:lang w:val="en-GB"/>
        </w:rPr>
        <w:t xml:space="preserve"> Perjeta should be discontinued if symptomatic heart failure is confirmed</w:t>
      </w:r>
      <w:r w:rsidRPr="00275294">
        <w:rPr>
          <w:rFonts w:eastAsia="SimSun"/>
          <w:lang w:val="en-GB"/>
        </w:rPr>
        <w:t xml:space="preserve"> </w:t>
      </w:r>
      <w:r>
        <w:rPr>
          <w:rFonts w:eastAsia="SimSun"/>
          <w:lang w:val="en-GB"/>
        </w:rPr>
        <w:t>(see section 4.4 for more details).</w:t>
      </w:r>
    </w:p>
    <w:p w:rsidR="00275294" w:rsidP="00275294" w14:paraId="7EE67D33" w14:textId="77777777">
      <w:pPr>
        <w:rPr>
          <w:rFonts w:eastAsia="SimSun"/>
          <w:lang w:val="en-GB"/>
        </w:rPr>
      </w:pPr>
    </w:p>
    <w:p w:rsidR="00275294" w:rsidP="00275294" w14:paraId="6B5E0722" w14:textId="77777777">
      <w:pPr>
        <w:rPr>
          <w:rFonts w:eastAsia="SimSun"/>
          <w:u w:val="single"/>
          <w:lang w:val="en-GB"/>
        </w:rPr>
      </w:pPr>
      <w:r w:rsidRPr="004144BF">
        <w:rPr>
          <w:rFonts w:eastAsia="SimSun"/>
          <w:u w:val="single"/>
          <w:lang w:val="en-GB"/>
        </w:rPr>
        <w:t>Patients with metastatic breast cancer</w:t>
      </w:r>
    </w:p>
    <w:p w:rsidR="00275294" w:rsidRPr="004144BF" w:rsidP="00275294" w14:paraId="11449C10" w14:textId="77777777">
      <w:pPr>
        <w:rPr>
          <w:rFonts w:eastAsia="SimSun"/>
          <w:u w:val="single"/>
          <w:lang w:val="en-GB"/>
        </w:rPr>
      </w:pPr>
    </w:p>
    <w:p w:rsidR="00275294" w:rsidRPr="000D28E6" w:rsidP="00275294" w14:paraId="1023DD45" w14:textId="77777777">
      <w:pPr>
        <w:rPr>
          <w:rFonts w:eastAsia="SimSun"/>
          <w:lang w:val="en-GB"/>
        </w:rPr>
      </w:pPr>
      <w:r w:rsidRPr="00574AE1">
        <w:rPr>
          <w:rFonts w:eastAsia="SimSun"/>
          <w:lang w:val="en-GB"/>
        </w:rPr>
        <w:t>Patients should have a pre-treatment left ventricular ejection fraction (LVEF) of ≥ 50%. Perjeta and trastuzumab should be withheld for at least 3 weeks for:</w:t>
      </w:r>
    </w:p>
    <w:p w:rsidR="00B43006" w:rsidRPr="000D28E6" w:rsidP="00B43006" w14:paraId="4AEC502C" w14:textId="77777777">
      <w:pPr>
        <w:rPr>
          <w:rFonts w:eastAsia="SimSun"/>
          <w:lang w:val="en-GB"/>
        </w:rPr>
      </w:pPr>
    </w:p>
    <w:p w:rsidR="00240D34" w:rsidP="001F5859" w14:paraId="66CC72FC" w14:textId="77777777">
      <w:pPr>
        <w:ind w:left="714" w:hanging="357"/>
        <w:rPr>
          <w:rFonts w:eastAsia="SimSun"/>
          <w:lang w:val="en-GB"/>
        </w:rPr>
      </w:pPr>
      <w:r w:rsidRPr="000D28E6">
        <w:rPr>
          <w:rFonts w:ascii="Symbol" w:eastAsia="SimSun" w:hAnsi="Symbol"/>
          <w:lang w:val="en-GB"/>
        </w:rPr>
        <w:sym w:font="Symbol" w:char="F0B7"/>
      </w:r>
      <w:r>
        <w:rPr>
          <w:rFonts w:eastAsia="SimSun"/>
          <w:lang w:val="en-GB"/>
        </w:rPr>
        <w:tab/>
      </w:r>
      <w:r w:rsidRPr="007F0F48" w:rsidR="00863CEA">
        <w:rPr>
          <w:rFonts w:eastAsia="SimSun"/>
          <w:lang w:val="en-GB"/>
        </w:rPr>
        <w:t xml:space="preserve">a drop in LVEF to less than 40% </w:t>
      </w:r>
    </w:p>
    <w:p w:rsidR="00A311EA" w:rsidRPr="000D28E6" w:rsidP="001F5859" w14:paraId="4C6426EE" w14:textId="77777777">
      <w:pPr>
        <w:ind w:left="714" w:hanging="357"/>
        <w:rPr>
          <w:rFonts w:eastAsia="SimSun"/>
          <w:lang w:val="en-GB"/>
        </w:rPr>
      </w:pPr>
    </w:p>
    <w:p w:rsidR="00240D34" w:rsidP="001F5859" w14:paraId="39365C31" w14:textId="77777777">
      <w:pPr>
        <w:ind w:left="714" w:hanging="357"/>
        <w:rPr>
          <w:rFonts w:eastAsia="SimSun"/>
          <w:lang w:val="en-GB"/>
        </w:rPr>
      </w:pPr>
      <w:r w:rsidRPr="000D28E6">
        <w:rPr>
          <w:rFonts w:ascii="Symbol" w:eastAsia="SimSun" w:hAnsi="Symbol"/>
          <w:lang w:val="en-GB"/>
        </w:rPr>
        <w:sym w:font="Symbol" w:char="F0B7"/>
      </w:r>
      <w:r>
        <w:rPr>
          <w:rFonts w:eastAsia="SimSun"/>
          <w:lang w:val="en-GB"/>
        </w:rPr>
        <w:tab/>
      </w:r>
      <w:r w:rsidRPr="007F0F48" w:rsidR="00863CEA">
        <w:rPr>
          <w:rFonts w:eastAsia="SimSun"/>
          <w:lang w:val="en-GB"/>
        </w:rPr>
        <w:t>a LVEF of 40%-45% associated with a fall of</w:t>
      </w:r>
      <w:r w:rsidRPr="007F0F48" w:rsidR="001A2ABB">
        <w:rPr>
          <w:rFonts w:eastAsia="SimSun"/>
          <w:lang w:val="en-GB"/>
        </w:rPr>
        <w:t xml:space="preserve"> ≥</w:t>
      </w:r>
      <w:r w:rsidRPr="007F0F48" w:rsidR="00691752">
        <w:rPr>
          <w:rFonts w:eastAsia="SimSun"/>
          <w:lang w:val="en-GB"/>
        </w:rPr>
        <w:t> </w:t>
      </w:r>
      <w:r w:rsidRPr="007F0F48" w:rsidR="00863CEA">
        <w:rPr>
          <w:rFonts w:eastAsia="SimSun"/>
          <w:lang w:val="en-GB"/>
        </w:rPr>
        <w:t>10% points bel</w:t>
      </w:r>
      <w:r w:rsidRPr="007F0F48" w:rsidR="003A1DF4">
        <w:rPr>
          <w:rFonts w:eastAsia="SimSun"/>
          <w:lang w:val="en-GB"/>
        </w:rPr>
        <w:t>ow pre-treatment value</w:t>
      </w:r>
      <w:r w:rsidRPr="007F0F48" w:rsidR="00863CEA">
        <w:rPr>
          <w:rFonts w:eastAsia="SimSun"/>
          <w:lang w:val="en-GB"/>
        </w:rPr>
        <w:t>.</w:t>
      </w:r>
    </w:p>
    <w:p w:rsidR="00A311EA" w:rsidRPr="000D28E6" w:rsidP="00B43006" w14:paraId="757B9492" w14:textId="77777777">
      <w:pPr>
        <w:rPr>
          <w:rFonts w:eastAsia="SimSun"/>
          <w:lang w:val="en-GB"/>
        </w:rPr>
      </w:pPr>
    </w:p>
    <w:p w:rsidR="00863CEA" w:rsidRPr="000D28E6" w:rsidP="00A311EA" w14:paraId="20FF9DE7" w14:textId="77777777">
      <w:pPr>
        <w:rPr>
          <w:rFonts w:eastAsia="SimSun"/>
          <w:lang w:val="en-GB"/>
        </w:rPr>
      </w:pPr>
      <w:r w:rsidRPr="000D28E6">
        <w:rPr>
          <w:rFonts w:eastAsia="SimSun"/>
          <w:lang w:val="en-GB"/>
        </w:rPr>
        <w:t xml:space="preserve">Perjeta and </w:t>
      </w:r>
      <w:r w:rsidRPr="000D28E6" w:rsidR="006753EF">
        <w:rPr>
          <w:rFonts w:eastAsia="SimSun"/>
          <w:lang w:val="en-GB"/>
        </w:rPr>
        <w:t xml:space="preserve">trastuzumab </w:t>
      </w:r>
      <w:r w:rsidRPr="000D28E6">
        <w:rPr>
          <w:rFonts w:eastAsia="SimSun"/>
          <w:lang w:val="en-GB"/>
        </w:rPr>
        <w:t>may be resumed if the LVEF has recovered to &gt;</w:t>
      </w:r>
      <w:r w:rsidRPr="000D28E6" w:rsidR="00671D1F">
        <w:rPr>
          <w:rFonts w:eastAsia="SimSun"/>
          <w:lang w:val="en-GB"/>
        </w:rPr>
        <w:t> </w:t>
      </w:r>
      <w:r w:rsidRPr="000D28E6">
        <w:rPr>
          <w:rFonts w:eastAsia="SimSun"/>
          <w:lang w:val="en-GB"/>
        </w:rPr>
        <w:t>45%</w:t>
      </w:r>
      <w:r w:rsidR="007F0F48">
        <w:rPr>
          <w:rFonts w:eastAsia="SimSun"/>
          <w:lang w:val="en-GB"/>
        </w:rPr>
        <w:t>,</w:t>
      </w:r>
      <w:r w:rsidRPr="000D28E6">
        <w:rPr>
          <w:rFonts w:eastAsia="SimSun"/>
          <w:lang w:val="en-GB"/>
        </w:rPr>
        <w:t xml:space="preserve"> or </w:t>
      </w:r>
      <w:r w:rsidR="007F0F48">
        <w:rPr>
          <w:rFonts w:eastAsia="SimSun"/>
          <w:lang w:val="en-GB"/>
        </w:rPr>
        <w:t xml:space="preserve">to </w:t>
      </w:r>
      <w:r w:rsidRPr="000D28E6">
        <w:rPr>
          <w:rFonts w:eastAsia="SimSun"/>
          <w:lang w:val="en-GB"/>
        </w:rPr>
        <w:t xml:space="preserve">40-45% associated with </w:t>
      </w:r>
      <w:r w:rsidR="007F0F48">
        <w:rPr>
          <w:rFonts w:eastAsia="SimSun"/>
          <w:lang w:val="en-GB"/>
        </w:rPr>
        <w:t xml:space="preserve">a difference of </w:t>
      </w:r>
      <w:r w:rsidRPr="000D28E6">
        <w:rPr>
          <w:rFonts w:eastAsia="SimSun"/>
          <w:lang w:val="en-GB"/>
        </w:rPr>
        <w:t>&lt;</w:t>
      </w:r>
      <w:r w:rsidRPr="000D28E6" w:rsidR="00671D1F">
        <w:rPr>
          <w:rFonts w:eastAsia="SimSun"/>
          <w:lang w:val="en-GB"/>
        </w:rPr>
        <w:t> </w:t>
      </w:r>
      <w:r w:rsidRPr="000D28E6">
        <w:rPr>
          <w:rFonts w:eastAsia="SimSun"/>
          <w:lang w:val="en-GB"/>
        </w:rPr>
        <w:t>10%</w:t>
      </w:r>
      <w:r w:rsidRPr="000D28E6" w:rsidR="0061307E">
        <w:rPr>
          <w:rFonts w:eastAsia="SimSun"/>
          <w:lang w:val="en-GB"/>
        </w:rPr>
        <w:t xml:space="preserve"> </w:t>
      </w:r>
      <w:r w:rsidRPr="000D28E6">
        <w:rPr>
          <w:rFonts w:eastAsia="SimSun"/>
          <w:lang w:val="en-GB"/>
        </w:rPr>
        <w:t xml:space="preserve">points below </w:t>
      </w:r>
      <w:r w:rsidRPr="001F5859">
        <w:rPr>
          <w:rFonts w:eastAsia="SimSun"/>
          <w:lang w:val="en-GB"/>
        </w:rPr>
        <w:t>pre</w:t>
      </w:r>
      <w:r w:rsidRPr="001F5859" w:rsidR="00AA0150">
        <w:rPr>
          <w:rFonts w:eastAsia="SimSun"/>
          <w:lang w:val="en-GB"/>
        </w:rPr>
        <w:t>-</w:t>
      </w:r>
      <w:r w:rsidRPr="001F5859">
        <w:rPr>
          <w:rFonts w:eastAsia="SimSun"/>
          <w:lang w:val="en-GB"/>
        </w:rPr>
        <w:t>treatment value</w:t>
      </w:r>
      <w:r w:rsidRPr="001F5859" w:rsidR="00AA0150">
        <w:rPr>
          <w:rFonts w:eastAsia="SimSun"/>
          <w:lang w:val="en-GB"/>
        </w:rPr>
        <w:t>s</w:t>
      </w:r>
      <w:r w:rsidRPr="001F5859">
        <w:rPr>
          <w:rFonts w:eastAsia="SimSun"/>
          <w:lang w:val="en-GB"/>
        </w:rPr>
        <w:t>.</w:t>
      </w:r>
      <w:r w:rsidRPr="000D28E6">
        <w:rPr>
          <w:rFonts w:eastAsia="SimSun"/>
          <w:lang w:val="en-GB"/>
        </w:rPr>
        <w:t xml:space="preserve"> </w:t>
      </w:r>
    </w:p>
    <w:p w:rsidR="007F0F48" w:rsidP="007F0F48" w14:paraId="095959F3" w14:textId="77777777">
      <w:pPr>
        <w:rPr>
          <w:rFonts w:eastAsia="SimSun"/>
          <w:lang w:val="en-GB"/>
        </w:rPr>
      </w:pPr>
    </w:p>
    <w:p w:rsidR="007F0F48" w:rsidP="001F5859" w14:paraId="43DC6724" w14:textId="77777777">
      <w:pPr>
        <w:keepNext/>
        <w:keepLines/>
        <w:rPr>
          <w:rFonts w:eastAsia="SimSun"/>
          <w:u w:val="single"/>
          <w:lang w:val="en-GB"/>
        </w:rPr>
      </w:pPr>
      <w:r w:rsidRPr="00574AE1">
        <w:rPr>
          <w:rFonts w:eastAsia="SimSun"/>
          <w:u w:val="single"/>
          <w:lang w:val="en-GB"/>
        </w:rPr>
        <w:t>Patients with early breast cancer</w:t>
      </w:r>
    </w:p>
    <w:p w:rsidR="007F0F48" w:rsidRPr="00574AE1" w:rsidP="001F5859" w14:paraId="796D9BD4" w14:textId="77777777">
      <w:pPr>
        <w:keepNext/>
        <w:keepLines/>
        <w:rPr>
          <w:rFonts w:eastAsia="SimSun"/>
          <w:u w:val="single"/>
          <w:lang w:val="en-GB"/>
        </w:rPr>
      </w:pPr>
    </w:p>
    <w:p w:rsidR="007F0F48" w:rsidRPr="00574AE1" w:rsidP="001F5859" w14:paraId="7D00065A" w14:textId="77777777">
      <w:pPr>
        <w:keepNext/>
        <w:keepLines/>
        <w:rPr>
          <w:rFonts w:eastAsia="SimSun"/>
          <w:u w:val="single"/>
          <w:lang w:val="en-GB"/>
        </w:rPr>
      </w:pPr>
      <w:r w:rsidRPr="00574AE1">
        <w:rPr>
          <w:rFonts w:eastAsia="SimSun"/>
          <w:lang w:val="en-GB"/>
        </w:rPr>
        <w:t xml:space="preserve">Patients should have a pre-treatment LVEF of ≥ 55% (≥ 50% after completion of the anthracycline component of chemotherapy, if given). Perjeta and trastuzumab should be withheld for at least 3 weeks for: </w:t>
      </w:r>
    </w:p>
    <w:p w:rsidR="007F0F48" w:rsidRPr="00574AE1" w:rsidP="001F5859" w14:paraId="0500B1F2" w14:textId="77777777">
      <w:pPr>
        <w:keepNext/>
        <w:keepLines/>
        <w:rPr>
          <w:rFonts w:eastAsia="SimSun"/>
          <w:lang w:val="en-GB"/>
        </w:rPr>
      </w:pPr>
    </w:p>
    <w:p w:rsidR="007F0F48" w:rsidRPr="001F5859" w:rsidP="001F5859" w14:paraId="06B73F26" w14:textId="77777777">
      <w:pPr>
        <w:keepNext/>
        <w:keepLines/>
        <w:ind w:left="714" w:hanging="357"/>
        <w:rPr>
          <w:rFonts w:eastAsia="SimSun"/>
          <w:lang w:val="en-GB"/>
        </w:rPr>
      </w:pPr>
      <w:r w:rsidRPr="00C03B42">
        <w:rPr>
          <w:rFonts w:ascii="Symbol" w:eastAsia="SimSun" w:hAnsi="Symbol"/>
          <w:color w:val="000000"/>
        </w:rPr>
        <w:sym w:font="Symbol" w:char="F0B7"/>
      </w:r>
      <w:r w:rsidRPr="006F67B7">
        <w:rPr>
          <w:rFonts w:eastAsia="SimSun"/>
          <w:color w:val="000000"/>
          <w:lang w:val="bg-BG"/>
        </w:rPr>
        <w:tab/>
      </w:r>
      <w:r w:rsidRPr="000872D8">
        <w:rPr>
          <w:rFonts w:eastAsia="SimSun"/>
          <w:lang w:val="en-GB"/>
        </w:rPr>
        <w:t>a d</w:t>
      </w:r>
      <w:r w:rsidRPr="001F5859">
        <w:rPr>
          <w:rFonts w:eastAsia="SimSun"/>
          <w:lang w:val="en-GB"/>
        </w:rPr>
        <w:t>rop in LVEF to less than 50% associated with a fall of</w:t>
      </w:r>
      <w:r w:rsidRPr="001F5859">
        <w:rPr>
          <w:rFonts w:eastAsia="SimSun" w:hint="eastAsia"/>
          <w:lang w:val="en-GB"/>
        </w:rPr>
        <w:t xml:space="preserve">  </w:t>
      </w:r>
      <w:r w:rsidRPr="001F5859">
        <w:rPr>
          <w:rFonts w:eastAsia="SimSun"/>
          <w:lang w:val="en-GB"/>
        </w:rPr>
        <w:t xml:space="preserve">≥ </w:t>
      </w:r>
      <w:r w:rsidRPr="001F5859">
        <w:rPr>
          <w:rFonts w:eastAsia="SimSun" w:hint="eastAsia"/>
          <w:lang w:val="en-GB"/>
        </w:rPr>
        <w:t>10% points below pre-treatment value</w:t>
      </w:r>
      <w:r w:rsidRPr="001F5859" w:rsidR="008B041F">
        <w:rPr>
          <w:rFonts w:eastAsia="SimSun"/>
          <w:lang w:val="en-GB"/>
        </w:rPr>
        <w:t>s</w:t>
      </w:r>
      <w:r w:rsidRPr="001F5859">
        <w:rPr>
          <w:rFonts w:eastAsia="SimSun"/>
          <w:lang w:val="en-GB"/>
        </w:rPr>
        <w:t>.</w:t>
      </w:r>
    </w:p>
    <w:p w:rsidR="007F0F48" w:rsidRPr="001F5859" w:rsidP="001F5859" w14:paraId="3EFE4B0E" w14:textId="77777777">
      <w:pPr>
        <w:keepNext/>
        <w:keepLines/>
        <w:rPr>
          <w:rFonts w:eastAsia="SimSun"/>
          <w:lang w:val="en-GB"/>
        </w:rPr>
      </w:pPr>
    </w:p>
    <w:p w:rsidR="00A311EA" w:rsidRPr="001F5859" w:rsidP="00A311EA" w14:paraId="3C921F0B" w14:textId="77777777">
      <w:pPr>
        <w:rPr>
          <w:rFonts w:eastAsia="SimSun"/>
          <w:lang w:val="en-GB"/>
        </w:rPr>
      </w:pPr>
      <w:r w:rsidRPr="001F5859">
        <w:rPr>
          <w:rFonts w:eastAsia="SimSun"/>
          <w:lang w:val="en-GB"/>
        </w:rPr>
        <w:t>Perjeta and trastuzumab may be resumed if the LVEF has recovered to ≥50% or to a difference of &lt; 10% points below pre-treatment value</w:t>
      </w:r>
      <w:r w:rsidRPr="001F5859" w:rsidR="008B041F">
        <w:rPr>
          <w:rFonts w:eastAsia="SimSun"/>
          <w:lang w:val="en-GB"/>
        </w:rPr>
        <w:t>s</w:t>
      </w:r>
      <w:r w:rsidRPr="001F5859">
        <w:rPr>
          <w:rFonts w:eastAsia="SimSun"/>
          <w:lang w:val="en-GB"/>
        </w:rPr>
        <w:t xml:space="preserve">. </w:t>
      </w:r>
    </w:p>
    <w:p w:rsidR="00A311EA" w:rsidRPr="001F5859" w:rsidP="00A311EA" w14:paraId="4CBDC35C" w14:textId="77777777">
      <w:pPr>
        <w:rPr>
          <w:rFonts w:eastAsia="SimSun"/>
          <w:lang w:val="en-GB"/>
        </w:rPr>
      </w:pPr>
    </w:p>
    <w:p w:rsidR="00863CEA" w:rsidRPr="001F5859" w:rsidP="00A50F77" w14:paraId="26FC7C83" w14:textId="77777777">
      <w:pPr>
        <w:keepNext/>
        <w:keepLines/>
        <w:rPr>
          <w:rFonts w:eastAsia="SimSun"/>
          <w:bCs/>
          <w:i/>
          <w:iCs/>
          <w:lang w:val="en-GB"/>
        </w:rPr>
      </w:pPr>
      <w:r w:rsidRPr="001F5859">
        <w:rPr>
          <w:rFonts w:eastAsia="SimSun"/>
          <w:bCs/>
          <w:i/>
          <w:iCs/>
          <w:lang w:val="en-GB"/>
        </w:rPr>
        <w:t>Elderly patients</w:t>
      </w:r>
    </w:p>
    <w:p w:rsidR="005967AC" w:rsidRPr="000D28E6" w:rsidP="00A50F77" w14:paraId="3F416A22" w14:textId="35B5C9A0">
      <w:pPr>
        <w:keepNext/>
        <w:keepLines/>
        <w:rPr>
          <w:rFonts w:eastAsia="SimSun"/>
          <w:noProof/>
          <w:lang w:val="en-GB"/>
        </w:rPr>
      </w:pPr>
      <w:r w:rsidRPr="001F5859">
        <w:rPr>
          <w:rFonts w:eastAsia="SimSun"/>
          <w:noProof/>
        </w:rPr>
        <w:t>No overall differences in efficacy of Perjeta were observed in patients ≥</w:t>
      </w:r>
      <w:r w:rsidR="0028477C">
        <w:rPr>
          <w:rFonts w:eastAsia="SimSun"/>
          <w:noProof/>
        </w:rPr>
        <w:t xml:space="preserve"> </w:t>
      </w:r>
      <w:r w:rsidRPr="001F5859">
        <w:rPr>
          <w:rFonts w:eastAsia="SimSun"/>
          <w:noProof/>
        </w:rPr>
        <w:t>65 and &lt;</w:t>
      </w:r>
      <w:r w:rsidR="0028477C">
        <w:rPr>
          <w:rFonts w:eastAsia="SimSun"/>
          <w:noProof/>
        </w:rPr>
        <w:t xml:space="preserve"> </w:t>
      </w:r>
      <w:r w:rsidRPr="001F5859">
        <w:rPr>
          <w:rFonts w:eastAsia="SimSun"/>
          <w:noProof/>
        </w:rPr>
        <w:t xml:space="preserve">65 years of age. </w:t>
      </w:r>
      <w:r w:rsidRPr="001F5859">
        <w:rPr>
          <w:rFonts w:eastAsia="SimSun"/>
          <w:bCs/>
          <w:iCs/>
          <w:lang w:val="en-GB"/>
        </w:rPr>
        <w:t xml:space="preserve">No dose adjustment is necessary in the elderly population </w:t>
      </w:r>
      <w:r w:rsidRPr="001F5859" w:rsidR="00363E9E">
        <w:rPr>
          <w:rFonts w:eastAsia="SimSun"/>
          <w:bCs/>
          <w:iCs/>
          <w:lang w:val="en-GB"/>
        </w:rPr>
        <w:t>≥ </w:t>
      </w:r>
      <w:r w:rsidRPr="001F5859">
        <w:rPr>
          <w:rFonts w:eastAsia="SimSun"/>
          <w:bCs/>
          <w:iCs/>
          <w:lang w:val="en-GB"/>
        </w:rPr>
        <w:t xml:space="preserve">65 years </w:t>
      </w:r>
      <w:r w:rsidRPr="001F5859" w:rsidR="00D86795">
        <w:rPr>
          <w:rFonts w:eastAsia="SimSun"/>
          <w:bCs/>
          <w:iCs/>
          <w:lang w:val="en-GB"/>
        </w:rPr>
        <w:t>of age.</w:t>
      </w:r>
      <w:r w:rsidRPr="001F5859">
        <w:rPr>
          <w:rFonts w:eastAsia="SimSun"/>
          <w:bCs/>
          <w:iCs/>
          <w:lang w:val="en-GB"/>
        </w:rPr>
        <w:t xml:space="preserve"> Limited da</w:t>
      </w:r>
      <w:r w:rsidRPr="000D28E6">
        <w:rPr>
          <w:rFonts w:eastAsia="SimSun"/>
          <w:bCs/>
          <w:iCs/>
          <w:lang w:val="en-GB"/>
        </w:rPr>
        <w:t>ta are available in patients &gt;</w:t>
      </w:r>
      <w:r w:rsidRPr="000D28E6" w:rsidR="00671D1F">
        <w:rPr>
          <w:rFonts w:eastAsia="SimSun"/>
          <w:bCs/>
          <w:iCs/>
          <w:lang w:val="en-GB"/>
        </w:rPr>
        <w:t> </w:t>
      </w:r>
      <w:r w:rsidRPr="000D28E6">
        <w:rPr>
          <w:rFonts w:eastAsia="SimSun"/>
          <w:bCs/>
          <w:iCs/>
          <w:lang w:val="en-GB"/>
        </w:rPr>
        <w:t>75 years</w:t>
      </w:r>
      <w:r w:rsidRPr="000D28E6" w:rsidR="00A44515">
        <w:rPr>
          <w:rFonts w:eastAsia="SimSun"/>
          <w:bCs/>
          <w:iCs/>
          <w:lang w:val="en-GB"/>
        </w:rPr>
        <w:t xml:space="preserve"> of age</w:t>
      </w:r>
      <w:r w:rsidRPr="000D28E6">
        <w:rPr>
          <w:rFonts w:eastAsia="SimSun"/>
          <w:bCs/>
          <w:iCs/>
          <w:lang w:val="en-GB"/>
        </w:rPr>
        <w:t>.</w:t>
      </w:r>
      <w:r w:rsidR="0028477C">
        <w:rPr>
          <w:rFonts w:eastAsia="SimSun"/>
          <w:bCs/>
          <w:iCs/>
          <w:lang w:val="en-GB"/>
        </w:rPr>
        <w:t xml:space="preserve"> Please see section 4.8 for assessment of safety of Perjeta in elderly patients.</w:t>
      </w:r>
    </w:p>
    <w:p w:rsidR="00A311EA" w:rsidRPr="000D28E6" w:rsidP="00A311EA" w14:paraId="4B916B33" w14:textId="77777777">
      <w:pPr>
        <w:rPr>
          <w:rFonts w:eastAsia="SimSun"/>
          <w:bCs/>
          <w:iCs/>
          <w:lang w:val="en-GB"/>
        </w:rPr>
      </w:pPr>
    </w:p>
    <w:p w:rsidR="00863CEA" w:rsidRPr="000D28E6" w:rsidP="00A311EA" w14:paraId="24CA5CFE" w14:textId="77777777">
      <w:pPr>
        <w:rPr>
          <w:rFonts w:eastAsia="SimSun"/>
          <w:i/>
          <w:lang w:val="en-GB"/>
        </w:rPr>
      </w:pPr>
      <w:r>
        <w:rPr>
          <w:rFonts w:eastAsia="SimSun"/>
          <w:i/>
          <w:lang w:val="en-GB"/>
        </w:rPr>
        <w:t>R</w:t>
      </w:r>
      <w:r w:rsidRPr="000D28E6">
        <w:rPr>
          <w:rFonts w:eastAsia="SimSun"/>
          <w:i/>
          <w:lang w:val="en-GB"/>
        </w:rPr>
        <w:t>enal impairment</w:t>
      </w:r>
    </w:p>
    <w:p w:rsidR="00A44515" w:rsidRPr="000D28E6" w:rsidP="00A311EA" w14:paraId="025E5179" w14:textId="77777777">
      <w:pPr>
        <w:rPr>
          <w:rFonts w:eastAsia="SimSun"/>
          <w:lang w:val="en-GB"/>
        </w:rPr>
      </w:pPr>
      <w:r w:rsidRPr="000D28E6">
        <w:rPr>
          <w:rFonts w:eastAsia="SimSun"/>
          <w:lang w:val="en-GB"/>
        </w:rPr>
        <w:t xml:space="preserve">Dose adjustments of </w:t>
      </w:r>
      <w:r w:rsidR="0057709A">
        <w:rPr>
          <w:rFonts w:eastAsia="SimSun"/>
          <w:lang w:val="en-GB"/>
        </w:rPr>
        <w:t>pertuzumab</w:t>
      </w:r>
      <w:r w:rsidRPr="000D28E6" w:rsidR="0057709A">
        <w:rPr>
          <w:rFonts w:eastAsia="SimSun"/>
          <w:lang w:val="en-GB"/>
        </w:rPr>
        <w:t xml:space="preserve"> </w:t>
      </w:r>
      <w:r w:rsidRPr="000D28E6">
        <w:rPr>
          <w:rFonts w:eastAsia="SimSun"/>
          <w:lang w:val="en-GB"/>
        </w:rPr>
        <w:t>are not needed in patients with mild or moderate renal impairment. No dose recommendations can be made for patients with severe renal impairment because of the limited pharmacokinetic data available (see section 5.2).</w:t>
      </w:r>
    </w:p>
    <w:p w:rsidR="00863CEA" w:rsidRPr="000D28E6" w:rsidP="00A311EA" w14:paraId="77683039" w14:textId="77777777">
      <w:pPr>
        <w:rPr>
          <w:rFonts w:eastAsia="SimSun"/>
          <w:lang w:val="en-GB"/>
        </w:rPr>
      </w:pPr>
    </w:p>
    <w:p w:rsidR="00863CEA" w:rsidRPr="000D28E6" w:rsidP="00A311EA" w14:paraId="730EED6C" w14:textId="77777777">
      <w:pPr>
        <w:rPr>
          <w:rFonts w:eastAsia="SimSun"/>
          <w:i/>
          <w:lang w:val="en-GB"/>
        </w:rPr>
      </w:pPr>
      <w:r>
        <w:rPr>
          <w:rFonts w:eastAsia="SimSun"/>
          <w:i/>
          <w:lang w:val="en-GB"/>
        </w:rPr>
        <w:t>H</w:t>
      </w:r>
      <w:r w:rsidRPr="000D28E6">
        <w:rPr>
          <w:rFonts w:eastAsia="SimSun"/>
          <w:i/>
          <w:lang w:val="en-GB"/>
        </w:rPr>
        <w:t>epatic impairment</w:t>
      </w:r>
    </w:p>
    <w:p w:rsidR="00863CEA" w:rsidRPr="000D28E6" w:rsidP="00A311EA" w14:paraId="1EB73C9A" w14:textId="77777777">
      <w:pPr>
        <w:rPr>
          <w:rFonts w:eastAsia="SimSun"/>
          <w:lang w:val="en-GB"/>
        </w:rPr>
      </w:pPr>
      <w:r w:rsidRPr="000D28E6">
        <w:rPr>
          <w:rFonts w:eastAsia="SimSun"/>
          <w:lang w:val="en-GB"/>
        </w:rPr>
        <w:t xml:space="preserve">The safety and efficacy of </w:t>
      </w:r>
      <w:r w:rsidRPr="000D28E6" w:rsidR="002C3FA8">
        <w:rPr>
          <w:rFonts w:eastAsia="SimSun"/>
          <w:lang w:val="en-GB"/>
        </w:rPr>
        <w:t>Perjeta</w:t>
      </w:r>
      <w:r w:rsidRPr="000D28E6">
        <w:rPr>
          <w:rFonts w:eastAsia="SimSun"/>
          <w:lang w:val="en-GB"/>
        </w:rPr>
        <w:t xml:space="preserve"> have not been studied in patients with hepatic impairment</w:t>
      </w:r>
      <w:r w:rsidRPr="000D28E6" w:rsidR="00671D1F">
        <w:rPr>
          <w:rFonts w:eastAsia="SimSun"/>
          <w:lang w:val="en-GB"/>
        </w:rPr>
        <w:t>.</w:t>
      </w:r>
      <w:r w:rsidRPr="000D28E6" w:rsidR="003E3480">
        <w:rPr>
          <w:rFonts w:eastAsia="SimSun"/>
          <w:lang w:val="en-GB"/>
        </w:rPr>
        <w:t xml:space="preserve">  </w:t>
      </w:r>
      <w:r w:rsidRPr="000D28E6" w:rsidR="009D37E5">
        <w:rPr>
          <w:rFonts w:eastAsia="SimSun"/>
          <w:lang w:val="en-GB"/>
        </w:rPr>
        <w:t>N</w:t>
      </w:r>
      <w:r w:rsidRPr="000D28E6" w:rsidR="00A94224">
        <w:rPr>
          <w:rFonts w:eastAsia="SimSun"/>
          <w:lang w:val="en-GB"/>
        </w:rPr>
        <w:t>o specific dose recommendations</w:t>
      </w:r>
      <w:r w:rsidRPr="000D28E6" w:rsidR="00E12F56">
        <w:rPr>
          <w:rFonts w:eastAsia="SimSun"/>
          <w:lang w:val="en-GB"/>
        </w:rPr>
        <w:t xml:space="preserve"> can be made.</w:t>
      </w:r>
    </w:p>
    <w:p w:rsidR="002A50F2" w:rsidRPr="000D28E6" w:rsidP="00A311EA" w14:paraId="769C96DD" w14:textId="77777777">
      <w:pPr>
        <w:rPr>
          <w:rFonts w:eastAsia="SimSun"/>
          <w:i/>
          <w:lang w:val="en-GB"/>
        </w:rPr>
      </w:pPr>
    </w:p>
    <w:p w:rsidR="00863CEA" w:rsidRPr="000D28E6" w:rsidP="006633C6" w14:paraId="7054A1F4" w14:textId="77777777">
      <w:pPr>
        <w:keepNext/>
        <w:keepLines/>
        <w:rPr>
          <w:rFonts w:eastAsia="SimSun"/>
          <w:i/>
          <w:noProof/>
          <w:lang w:val="en-GB"/>
        </w:rPr>
      </w:pPr>
      <w:r w:rsidRPr="000D28E6">
        <w:rPr>
          <w:rFonts w:eastAsia="SimSun"/>
          <w:i/>
          <w:lang w:val="en-GB"/>
        </w:rPr>
        <w:t>Paediatric population</w:t>
      </w:r>
    </w:p>
    <w:p w:rsidR="009F4E3E" w:rsidRPr="000D28E6" w:rsidP="00A311EA" w14:paraId="79D60FA3" w14:textId="77777777">
      <w:pPr>
        <w:rPr>
          <w:rFonts w:eastAsia="SimSun"/>
          <w:lang w:val="en-GB"/>
        </w:rPr>
      </w:pPr>
      <w:r w:rsidRPr="000D28E6">
        <w:rPr>
          <w:rFonts w:eastAsia="SimSun"/>
          <w:lang w:val="en-GB"/>
        </w:rPr>
        <w:t xml:space="preserve">The safety and efficacy of </w:t>
      </w:r>
      <w:r w:rsidRPr="000D28E6" w:rsidR="002C3FA8">
        <w:rPr>
          <w:rFonts w:eastAsia="SimSun"/>
          <w:lang w:val="en-GB"/>
        </w:rPr>
        <w:t>Perjeta</w:t>
      </w:r>
      <w:r w:rsidRPr="000D28E6">
        <w:rPr>
          <w:rFonts w:eastAsia="SimSun"/>
          <w:lang w:val="en-GB"/>
        </w:rPr>
        <w:t xml:space="preserve"> in children and adolescents below 18 years of age have not been established</w:t>
      </w:r>
      <w:r w:rsidRPr="000D28E6" w:rsidR="00A94224">
        <w:rPr>
          <w:rFonts w:eastAsia="SimSun"/>
          <w:lang w:val="en-GB"/>
        </w:rPr>
        <w:t>.</w:t>
      </w:r>
      <w:r w:rsidRPr="000D28E6" w:rsidR="00A94224">
        <w:rPr>
          <w:lang w:val="en-GB"/>
        </w:rPr>
        <w:t xml:space="preserve"> There is no relevant use of Perjeta in the paediatric population in the indication of breast cancer</w:t>
      </w:r>
      <w:r w:rsidRPr="000D28E6" w:rsidR="00C97F3F">
        <w:rPr>
          <w:lang w:val="en-GB"/>
        </w:rPr>
        <w:t>.</w:t>
      </w:r>
    </w:p>
    <w:p w:rsidR="000B3CDE" w:rsidRPr="000D28E6" w:rsidP="00A311EA" w14:paraId="2422E61D" w14:textId="77777777">
      <w:pPr>
        <w:rPr>
          <w:rFonts w:eastAsia="SimSun"/>
          <w:lang w:val="en-GB"/>
        </w:rPr>
      </w:pPr>
    </w:p>
    <w:p w:rsidR="00863CEA" w:rsidRPr="000D28E6" w:rsidP="006633C6" w14:paraId="69E2B0C9" w14:textId="77777777">
      <w:pPr>
        <w:keepNext/>
        <w:keepLines/>
        <w:rPr>
          <w:rFonts w:eastAsia="SimSun"/>
          <w:noProof/>
          <w:color w:val="000000"/>
          <w:u w:val="single"/>
          <w:lang w:val="en-GB"/>
        </w:rPr>
      </w:pPr>
      <w:r w:rsidRPr="000D28E6">
        <w:rPr>
          <w:rFonts w:eastAsia="SimSun"/>
          <w:noProof/>
          <w:color w:val="000000"/>
          <w:u w:val="single"/>
          <w:lang w:val="en-GB"/>
        </w:rPr>
        <w:t>Method of administration</w:t>
      </w:r>
    </w:p>
    <w:p w:rsidR="009D37E5" w:rsidRPr="000D28E6" w:rsidP="006633C6" w14:paraId="38A50F73" w14:textId="77777777">
      <w:pPr>
        <w:keepNext/>
        <w:keepLines/>
        <w:autoSpaceDE w:val="0"/>
        <w:autoSpaceDN w:val="0"/>
        <w:adjustRightInd w:val="0"/>
        <w:rPr>
          <w:rFonts w:eastAsia="SimSun"/>
          <w:i/>
          <w:iCs/>
          <w:color w:val="000000"/>
          <w:lang w:val="en-GB" w:eastAsia="zh-CN"/>
        </w:rPr>
      </w:pPr>
    </w:p>
    <w:p w:rsidR="00863CEA" w:rsidRPr="000D28E6" w:rsidP="00A311EA" w14:paraId="2F4E6EFE" w14:textId="77777777">
      <w:pPr>
        <w:rPr>
          <w:rFonts w:eastAsia="SimSun"/>
          <w:lang w:val="en-GB"/>
        </w:rPr>
      </w:pPr>
      <w:r w:rsidRPr="000D28E6">
        <w:rPr>
          <w:rFonts w:eastAsia="SimSun"/>
          <w:lang w:val="en-GB"/>
        </w:rPr>
        <w:t xml:space="preserve">Perjeta is administered intravenously by infusion. </w:t>
      </w:r>
      <w:r w:rsidRPr="000D28E6" w:rsidR="00E07442">
        <w:rPr>
          <w:rFonts w:eastAsia="SimSun"/>
          <w:lang w:val="en-GB"/>
        </w:rPr>
        <w:t>It</w:t>
      </w:r>
      <w:r w:rsidRPr="000D28E6">
        <w:rPr>
          <w:rFonts w:eastAsia="SimSun"/>
          <w:lang w:val="en-GB"/>
        </w:rPr>
        <w:t xml:space="preserve"> should not be administered as an intravenous push or bolus. For instructions on dilution of Perjeta prior to administration, see section</w:t>
      </w:r>
      <w:r w:rsidR="003A6C5F">
        <w:rPr>
          <w:rFonts w:eastAsia="SimSun"/>
          <w:lang w:val="en-GB"/>
        </w:rPr>
        <w:t>s</w:t>
      </w:r>
      <w:r w:rsidR="00465A99">
        <w:rPr>
          <w:rFonts w:eastAsia="SimSun"/>
          <w:lang w:val="en-GB"/>
        </w:rPr>
        <w:t xml:space="preserve"> 6.2 and</w:t>
      </w:r>
      <w:r w:rsidRPr="000D28E6">
        <w:rPr>
          <w:rFonts w:eastAsia="SimSun"/>
          <w:lang w:val="en-GB"/>
        </w:rPr>
        <w:t xml:space="preserve"> 6.6.</w:t>
      </w:r>
    </w:p>
    <w:p w:rsidR="00863CEA" w:rsidRPr="000D28E6" w:rsidP="00A311EA" w14:paraId="6F04D34C" w14:textId="77777777">
      <w:pPr>
        <w:rPr>
          <w:rFonts w:eastAsia="SimSun"/>
          <w:lang w:val="en-GB"/>
        </w:rPr>
      </w:pPr>
    </w:p>
    <w:p w:rsidR="00863CEA" w:rsidRPr="000D28E6" w:rsidP="00A311EA" w14:paraId="272B0053" w14:textId="77777777">
      <w:pPr>
        <w:rPr>
          <w:rFonts w:eastAsia="SimSun"/>
          <w:lang w:val="en-GB"/>
        </w:rPr>
      </w:pPr>
      <w:r w:rsidRPr="000D28E6">
        <w:rPr>
          <w:rFonts w:eastAsia="SimSun"/>
          <w:lang w:val="en-GB"/>
        </w:rPr>
        <w:t>For the initial dose, the recommended infusion period is 60 minutes. If the first infusion is well tolerated, subsequent infusions may be administered over a period of 30</w:t>
      </w:r>
      <w:r w:rsidRPr="000D28E6" w:rsidR="005D4021">
        <w:rPr>
          <w:rFonts w:eastAsia="SimSun"/>
          <w:lang w:val="en-GB"/>
        </w:rPr>
        <w:t xml:space="preserve"> minutes to </w:t>
      </w:r>
      <w:r w:rsidRPr="000D28E6">
        <w:rPr>
          <w:rFonts w:eastAsia="SimSun"/>
          <w:lang w:val="en-GB"/>
        </w:rPr>
        <w:t>60 minutes (see section 4.4).</w:t>
      </w:r>
    </w:p>
    <w:p w:rsidR="0057709A" w:rsidRPr="0057709A" w:rsidP="0057709A" w14:paraId="37B8316A" w14:textId="77777777">
      <w:pPr>
        <w:keepNext/>
        <w:rPr>
          <w:rFonts w:eastAsia="SimSun"/>
          <w:lang w:val="en-GB"/>
        </w:rPr>
      </w:pPr>
    </w:p>
    <w:p w:rsidR="0057709A" w:rsidRPr="000D28E6" w:rsidP="0057709A" w14:paraId="304C915E" w14:textId="77777777">
      <w:pPr>
        <w:keepNext/>
        <w:rPr>
          <w:rFonts w:eastAsia="SimSun"/>
          <w:i/>
          <w:lang w:val="en-GB"/>
        </w:rPr>
      </w:pPr>
      <w:r w:rsidRPr="000D28E6">
        <w:rPr>
          <w:rFonts w:eastAsia="SimSun"/>
          <w:i/>
          <w:lang w:val="en-GB"/>
        </w:rPr>
        <w:t>Infusion reactions</w:t>
      </w:r>
    </w:p>
    <w:p w:rsidR="0057709A" w:rsidRPr="000D28E6" w:rsidP="0057709A" w14:paraId="04717F2C" w14:textId="77777777">
      <w:pPr>
        <w:keepNext/>
        <w:rPr>
          <w:rFonts w:eastAsia="SimSun"/>
          <w:i/>
          <w:lang w:val="en-GB"/>
        </w:rPr>
      </w:pPr>
    </w:p>
    <w:p w:rsidR="0057709A" w:rsidRPr="000D28E6" w:rsidP="0057709A" w14:paraId="11285B0F" w14:textId="77777777">
      <w:pPr>
        <w:rPr>
          <w:rFonts w:eastAsia="SimSun"/>
          <w:lang w:val="en-GB"/>
        </w:rPr>
      </w:pPr>
      <w:r w:rsidRPr="000D28E6">
        <w:rPr>
          <w:rFonts w:eastAsia="SimSun"/>
          <w:lang w:val="en-GB"/>
        </w:rPr>
        <w:t xml:space="preserve">The infusion rate may be slowed or interrupted if the patient develops an infusion reaction (see section 4.8). The infusion may be resumed when symptoms abate. Treatment including oxygen, beta agonists, antihistamines, rapid i.v. fluids and antipyretics may also help alleviate symptoms. </w:t>
      </w:r>
    </w:p>
    <w:p w:rsidR="0057709A" w:rsidRPr="000D28E6" w:rsidP="0057709A" w14:paraId="5439F809" w14:textId="77777777">
      <w:pPr>
        <w:rPr>
          <w:rFonts w:eastAsia="SimSun"/>
          <w:lang w:val="en-GB"/>
        </w:rPr>
      </w:pPr>
    </w:p>
    <w:p w:rsidR="0057709A" w:rsidRPr="000D28E6" w:rsidP="0057709A" w14:paraId="4EED43D7" w14:textId="77777777">
      <w:pPr>
        <w:rPr>
          <w:rFonts w:eastAsia="SimSun"/>
          <w:i/>
          <w:lang w:val="en-GB"/>
        </w:rPr>
      </w:pPr>
      <w:r w:rsidRPr="000D28E6">
        <w:rPr>
          <w:rFonts w:eastAsia="SimSun"/>
          <w:i/>
          <w:lang w:val="en-GB"/>
        </w:rPr>
        <w:t xml:space="preserve">Hypersensitivity reactions/anaphylaxis </w:t>
      </w:r>
    </w:p>
    <w:p w:rsidR="0057709A" w:rsidRPr="000D28E6" w:rsidP="0057709A" w14:paraId="7F506F63" w14:textId="77777777">
      <w:pPr>
        <w:rPr>
          <w:rFonts w:eastAsia="SimSun"/>
          <w:lang w:val="en-GB"/>
        </w:rPr>
      </w:pPr>
    </w:p>
    <w:p w:rsidR="0057709A" w:rsidRPr="000D28E6" w:rsidP="0057709A" w14:paraId="4BCE1277" w14:textId="77777777">
      <w:pPr>
        <w:rPr>
          <w:noProof/>
          <w:lang w:val="en-GB"/>
        </w:rPr>
      </w:pPr>
      <w:r w:rsidRPr="000D28E6">
        <w:rPr>
          <w:rFonts w:eastAsia="SimSun"/>
          <w:lang w:val="en-GB"/>
        </w:rPr>
        <w:t>The infusion should be discontinued immediately</w:t>
      </w:r>
      <w:r>
        <w:rPr>
          <w:rFonts w:eastAsia="SimSun"/>
          <w:lang w:val="en-GB"/>
        </w:rPr>
        <w:t xml:space="preserve"> and permanently</w:t>
      </w:r>
      <w:r w:rsidRPr="000D28E6">
        <w:rPr>
          <w:rFonts w:eastAsia="SimSun"/>
          <w:lang w:val="en-GB"/>
        </w:rPr>
        <w:t xml:space="preserve"> if the patient experiences a NCI-CTCAE Grade 4 reaction (anaphylaxis), </w:t>
      </w:r>
      <w:r w:rsidRPr="000D28E6">
        <w:rPr>
          <w:lang w:val="en-GB"/>
        </w:rPr>
        <w:t>bronchospasm or acute respiratory distress syndrome (see section 4.4).</w:t>
      </w:r>
    </w:p>
    <w:p w:rsidR="00837281" w:rsidRPr="000D28E6" w:rsidP="00A311EA" w14:paraId="3BA72F7B" w14:textId="77777777">
      <w:pPr>
        <w:rPr>
          <w:rFonts w:eastAsia="SimSun"/>
          <w:i/>
          <w:noProof/>
          <w:lang w:val="en-GB"/>
        </w:rPr>
      </w:pPr>
    </w:p>
    <w:p w:rsidR="00863CEA" w:rsidRPr="000D28E6" w:rsidP="006633C6" w14:paraId="17D549C4" w14:textId="77777777">
      <w:pPr>
        <w:keepNext/>
        <w:keepLines/>
        <w:rPr>
          <w:rFonts w:eastAsia="SimSun"/>
          <w:b/>
          <w:noProof/>
          <w:lang w:val="en-GB"/>
        </w:rPr>
      </w:pPr>
      <w:r w:rsidRPr="000D28E6">
        <w:rPr>
          <w:rFonts w:eastAsia="SimSun"/>
          <w:b/>
          <w:noProof/>
          <w:lang w:val="en-GB"/>
        </w:rPr>
        <w:t>4.3</w:t>
      </w:r>
      <w:r w:rsidRPr="000D28E6">
        <w:rPr>
          <w:rFonts w:eastAsia="SimSun"/>
          <w:b/>
          <w:noProof/>
          <w:lang w:val="en-GB"/>
        </w:rPr>
        <w:tab/>
        <w:t>Contraindications</w:t>
      </w:r>
    </w:p>
    <w:p w:rsidR="00F1230C" w:rsidRPr="000D28E6" w:rsidP="006633C6" w14:paraId="6C7BB400" w14:textId="77777777">
      <w:pPr>
        <w:keepNext/>
        <w:keepLines/>
        <w:rPr>
          <w:rFonts w:eastAsia="SimSun"/>
          <w:b/>
          <w:noProof/>
          <w:lang w:val="en-GB"/>
        </w:rPr>
      </w:pPr>
    </w:p>
    <w:p w:rsidR="00F1230C" w:rsidRPr="000D28E6" w:rsidP="006633C6" w14:paraId="60B54EFF" w14:textId="77777777">
      <w:pPr>
        <w:keepNext/>
        <w:keepLines/>
        <w:rPr>
          <w:rFonts w:eastAsia="SimSun"/>
          <w:noProof/>
          <w:lang w:val="en-GB"/>
        </w:rPr>
      </w:pPr>
      <w:r w:rsidRPr="000D28E6">
        <w:rPr>
          <w:rFonts w:eastAsia="SimSun"/>
          <w:lang w:val="en-GB"/>
        </w:rPr>
        <w:t>H</w:t>
      </w:r>
      <w:r w:rsidRPr="000D28E6">
        <w:rPr>
          <w:rFonts w:eastAsia="SimSun"/>
          <w:noProof/>
          <w:lang w:val="en-GB"/>
        </w:rPr>
        <w:t xml:space="preserve">ypersensitivity to </w:t>
      </w:r>
      <w:r w:rsidR="0057709A">
        <w:rPr>
          <w:rFonts w:eastAsia="SimSun"/>
          <w:noProof/>
          <w:lang w:val="en-GB"/>
        </w:rPr>
        <w:t>the active substance</w:t>
      </w:r>
      <w:r w:rsidRPr="000D28E6">
        <w:rPr>
          <w:rFonts w:eastAsia="SimSun"/>
          <w:noProof/>
          <w:lang w:val="en-GB"/>
        </w:rPr>
        <w:t xml:space="preserve"> or to any of the excipients listed in section 6.1.</w:t>
      </w:r>
    </w:p>
    <w:p w:rsidR="00863CEA" w:rsidRPr="000D28E6" w:rsidP="006633C6" w14:paraId="26A4752A" w14:textId="77777777">
      <w:pPr>
        <w:keepNext/>
        <w:keepLines/>
        <w:rPr>
          <w:rFonts w:eastAsia="SimSun"/>
          <w:noProof/>
          <w:lang w:val="en-GB"/>
        </w:rPr>
      </w:pPr>
    </w:p>
    <w:p w:rsidR="00863CEA" w:rsidRPr="000D28E6" w:rsidP="006D287F" w14:paraId="0E2F8EA6" w14:textId="77777777">
      <w:pPr>
        <w:keepNext/>
        <w:keepLines/>
        <w:rPr>
          <w:rFonts w:eastAsia="SimSun"/>
          <w:b/>
          <w:noProof/>
          <w:lang w:val="en-GB"/>
        </w:rPr>
      </w:pPr>
      <w:r w:rsidRPr="000D28E6">
        <w:rPr>
          <w:rFonts w:eastAsia="SimSun"/>
          <w:b/>
          <w:noProof/>
          <w:lang w:val="en-GB"/>
        </w:rPr>
        <w:t>4.4</w:t>
      </w:r>
      <w:r w:rsidRPr="000D28E6">
        <w:rPr>
          <w:rFonts w:eastAsia="SimSun"/>
          <w:b/>
          <w:noProof/>
          <w:lang w:val="en-GB"/>
        </w:rPr>
        <w:tab/>
        <w:t>Special warnings and precautions for use</w:t>
      </w:r>
      <w:r w:rsidRPr="00BF2495" w:rsidR="006F3F1A">
        <w:rPr>
          <w:b/>
          <w:noProof/>
          <w:lang w:val="en-GB"/>
        </w:rPr>
        <w:t xml:space="preserve"> </w:t>
      </w:r>
    </w:p>
    <w:p w:rsidR="00110E72" w:rsidP="006633C6" w14:paraId="5180273B" w14:textId="77777777">
      <w:pPr>
        <w:keepNext/>
        <w:keepLines/>
        <w:rPr>
          <w:noProof/>
          <w:lang w:val="en-GB"/>
        </w:rPr>
      </w:pPr>
    </w:p>
    <w:p w:rsidR="002E6338" w:rsidRPr="00567D04" w:rsidP="006633C6" w14:paraId="3C6DF3BA" w14:textId="77777777">
      <w:pPr>
        <w:keepNext/>
        <w:keepLines/>
        <w:rPr>
          <w:noProof/>
          <w:u w:val="single"/>
          <w:lang w:val="en-GB"/>
        </w:rPr>
      </w:pPr>
      <w:r w:rsidRPr="00567D04">
        <w:rPr>
          <w:noProof/>
          <w:u w:val="single"/>
          <w:lang w:val="en-GB"/>
        </w:rPr>
        <w:t>Traceability</w:t>
      </w:r>
    </w:p>
    <w:p w:rsidR="002E6338" w:rsidRPr="000D28E6" w:rsidP="006633C6" w14:paraId="612BF29F" w14:textId="77777777">
      <w:pPr>
        <w:keepNext/>
        <w:keepLines/>
        <w:rPr>
          <w:noProof/>
          <w:lang w:val="en-GB"/>
        </w:rPr>
      </w:pPr>
    </w:p>
    <w:p w:rsidR="004C6AFF" w:rsidP="00A311EA" w14:paraId="6E07A59C" w14:textId="77777777">
      <w:pPr>
        <w:rPr>
          <w:lang w:val="en-GB"/>
        </w:rPr>
      </w:pPr>
      <w:r w:rsidRPr="000D28E6">
        <w:rPr>
          <w:lang w:val="en-GB"/>
        </w:rPr>
        <w:t xml:space="preserve">In order to improve </w:t>
      </w:r>
      <w:r w:rsidR="002E6338">
        <w:rPr>
          <w:lang w:val="en-GB"/>
        </w:rPr>
        <w:t xml:space="preserve">the </w:t>
      </w:r>
      <w:r w:rsidRPr="000D28E6">
        <w:rPr>
          <w:lang w:val="en-GB"/>
        </w:rPr>
        <w:t>traceability of biological medicinal products</w:t>
      </w:r>
      <w:r w:rsidRPr="000D28E6">
        <w:rPr>
          <w:bCs/>
          <w:lang w:val="en-GB"/>
        </w:rPr>
        <w:t>,</w:t>
      </w:r>
      <w:r w:rsidRPr="000D28E6" w:rsidR="009D37E5">
        <w:rPr>
          <w:bCs/>
          <w:lang w:val="en-GB"/>
        </w:rPr>
        <w:t xml:space="preserve"> </w:t>
      </w:r>
      <w:r w:rsidRPr="000D28E6">
        <w:rPr>
          <w:lang w:val="en-GB"/>
        </w:rPr>
        <w:t xml:space="preserve">the </w:t>
      </w:r>
      <w:r w:rsidRPr="0070285B">
        <w:rPr>
          <w:lang w:val="en-GB"/>
        </w:rPr>
        <w:t>name</w:t>
      </w:r>
      <w:r w:rsidR="00175426">
        <w:rPr>
          <w:lang w:val="en-GB"/>
        </w:rPr>
        <w:t xml:space="preserve"> </w:t>
      </w:r>
      <w:r w:rsidRPr="0070285B" w:rsidR="001D6EDD">
        <w:rPr>
          <w:lang w:val="en-GB"/>
        </w:rPr>
        <w:t xml:space="preserve">and batch number </w:t>
      </w:r>
      <w:r w:rsidRPr="0070285B">
        <w:rPr>
          <w:lang w:val="en-GB"/>
        </w:rPr>
        <w:t>of the</w:t>
      </w:r>
      <w:r w:rsidRPr="000D28E6">
        <w:rPr>
          <w:lang w:val="en-GB"/>
        </w:rPr>
        <w:t xml:space="preserve"> administered product should be clearly recorded.</w:t>
      </w:r>
    </w:p>
    <w:p w:rsidR="003B1688" w:rsidP="00A311EA" w14:paraId="3669486F" w14:textId="77777777">
      <w:pPr>
        <w:rPr>
          <w:rFonts w:eastAsia="SimSun"/>
          <w:i/>
          <w:noProof/>
          <w:lang w:val="en-GB"/>
        </w:rPr>
      </w:pPr>
    </w:p>
    <w:p w:rsidR="00863CEA" w:rsidRPr="00567D04" w:rsidP="00A311EA" w14:paraId="000CA06C" w14:textId="77777777">
      <w:pPr>
        <w:rPr>
          <w:rFonts w:eastAsia="SimSun"/>
          <w:noProof/>
          <w:u w:val="single"/>
        </w:rPr>
      </w:pPr>
      <w:r w:rsidRPr="00567D04">
        <w:rPr>
          <w:rFonts w:eastAsia="SimSun"/>
          <w:noProof/>
          <w:u w:val="single"/>
          <w:lang w:val="en-GB"/>
        </w:rPr>
        <w:t>Left ventricular dysfunction (including c</w:t>
      </w:r>
      <w:r w:rsidRPr="00567D04" w:rsidR="00A94858">
        <w:rPr>
          <w:rFonts w:eastAsia="SimSun"/>
          <w:noProof/>
          <w:u w:val="single"/>
          <w:lang w:val="en-GB"/>
        </w:rPr>
        <w:t>ongestive heart failure</w:t>
      </w:r>
      <w:r w:rsidRPr="00567D04">
        <w:rPr>
          <w:rFonts w:eastAsia="SimSun"/>
          <w:noProof/>
          <w:u w:val="single"/>
          <w:lang w:val="en-GB"/>
        </w:rPr>
        <w:t>)</w:t>
      </w:r>
    </w:p>
    <w:p w:rsidR="005C0BAD" w:rsidRPr="000D28E6" w:rsidP="00A311EA" w14:paraId="7F72F764" w14:textId="77777777">
      <w:pPr>
        <w:rPr>
          <w:rFonts w:eastAsia="SimSun"/>
          <w:i/>
          <w:noProof/>
          <w:lang w:val="en-GB"/>
        </w:rPr>
      </w:pPr>
    </w:p>
    <w:p w:rsidR="00C90DE4" w:rsidRPr="000D28E6" w:rsidP="00A311EA" w14:paraId="7889C551" w14:textId="77777777">
      <w:pPr>
        <w:rPr>
          <w:rFonts w:eastAsia="SimSun"/>
          <w:noProof/>
          <w:lang w:val="en-GB"/>
        </w:rPr>
      </w:pPr>
      <w:r w:rsidRPr="000D28E6">
        <w:rPr>
          <w:rFonts w:eastAsia="SimSun"/>
          <w:noProof/>
          <w:lang w:val="en-GB"/>
        </w:rPr>
        <w:t>Decreases in LVEF have been reported with medicinal products</w:t>
      </w:r>
      <w:r w:rsidRPr="000D28E6" w:rsidR="00851C96">
        <w:rPr>
          <w:rFonts w:eastAsia="SimSun"/>
          <w:noProof/>
          <w:lang w:val="en-GB"/>
        </w:rPr>
        <w:t xml:space="preserve"> </w:t>
      </w:r>
      <w:r w:rsidRPr="000D28E6">
        <w:rPr>
          <w:rFonts w:eastAsia="SimSun"/>
          <w:noProof/>
          <w:lang w:val="en-GB"/>
        </w:rPr>
        <w:t xml:space="preserve">that block HER2 activity, including </w:t>
      </w:r>
      <w:r w:rsidRPr="000D28E6" w:rsidR="00347FD6">
        <w:rPr>
          <w:rFonts w:eastAsia="SimSun"/>
          <w:noProof/>
          <w:lang w:val="en-GB"/>
        </w:rPr>
        <w:t>Perjeta.</w:t>
      </w:r>
      <w:r w:rsidRPr="000D28E6" w:rsidR="00F81047">
        <w:rPr>
          <w:rFonts w:eastAsia="SimSun"/>
          <w:noProof/>
          <w:lang w:val="en-GB"/>
        </w:rPr>
        <w:t xml:space="preserve"> </w:t>
      </w:r>
      <w:r w:rsidR="00C77998">
        <w:rPr>
          <w:rFonts w:eastAsia="SimSun"/>
          <w:noProof/>
          <w:lang w:val="en-GB"/>
        </w:rPr>
        <w:t xml:space="preserve">The </w:t>
      </w:r>
      <w:r w:rsidRPr="000D28E6">
        <w:rPr>
          <w:rFonts w:eastAsia="SimSun"/>
          <w:noProof/>
          <w:lang w:val="en-GB"/>
        </w:rPr>
        <w:t>incidence of symptomatic left ventricular systolic dysfunction (LVD)</w:t>
      </w:r>
      <w:r w:rsidR="00C77998">
        <w:rPr>
          <w:rFonts w:eastAsia="SimSun"/>
          <w:noProof/>
          <w:lang w:val="en-GB"/>
        </w:rPr>
        <w:t xml:space="preserve"> [congestive heart failure] was higher in patients treated with Perjeta in combination with</w:t>
      </w:r>
      <w:r w:rsidRPr="000D28E6">
        <w:rPr>
          <w:rFonts w:eastAsia="SimSun"/>
          <w:noProof/>
          <w:lang w:val="en-GB"/>
        </w:rPr>
        <w:t xml:space="preserve"> </w:t>
      </w:r>
      <w:r w:rsidRPr="000D28E6" w:rsidR="006753EF">
        <w:rPr>
          <w:rFonts w:eastAsia="SimSun"/>
          <w:noProof/>
          <w:lang w:val="en-GB"/>
        </w:rPr>
        <w:t xml:space="preserve">trastuzumab </w:t>
      </w:r>
      <w:r w:rsidRPr="000D28E6">
        <w:rPr>
          <w:rFonts w:eastAsia="SimSun"/>
          <w:noProof/>
          <w:lang w:val="en-GB"/>
        </w:rPr>
        <w:t xml:space="preserve">and </w:t>
      </w:r>
      <w:r w:rsidR="00C77998">
        <w:rPr>
          <w:rFonts w:eastAsia="SimSun"/>
          <w:noProof/>
          <w:lang w:val="en-GB"/>
        </w:rPr>
        <w:t>chemotherapy compared with trastuzumab and chemotherapy</w:t>
      </w:r>
      <w:r w:rsidRPr="000D28E6" w:rsidR="00C77998">
        <w:rPr>
          <w:rFonts w:eastAsia="SimSun"/>
          <w:noProof/>
          <w:lang w:val="en-GB"/>
        </w:rPr>
        <w:t xml:space="preserve"> </w:t>
      </w:r>
      <w:r w:rsidRPr="000D28E6" w:rsidR="00F81047">
        <w:rPr>
          <w:rFonts w:eastAsia="SimSun"/>
          <w:noProof/>
          <w:lang w:val="en-GB"/>
        </w:rPr>
        <w:t xml:space="preserve">. </w:t>
      </w:r>
      <w:r w:rsidRPr="000D28E6" w:rsidR="00C77998">
        <w:rPr>
          <w:rFonts w:eastAsia="SimSun"/>
          <w:noProof/>
          <w:lang w:val="en-GB"/>
        </w:rPr>
        <w:t>Patients who have received prior anthracyclines or prior radiotherapy to the chest area may be at higher risk of LVEF declines.</w:t>
      </w:r>
      <w:r w:rsidR="00C77998">
        <w:rPr>
          <w:rFonts w:eastAsia="SimSun"/>
          <w:noProof/>
          <w:lang w:val="en-GB"/>
        </w:rPr>
        <w:t xml:space="preserve"> </w:t>
      </w:r>
      <w:r w:rsidRPr="00A24384" w:rsidR="00C77998">
        <w:rPr>
          <w:rFonts w:eastAsia="SimSun"/>
          <w:noProof/>
          <w:lang w:val="en-GB"/>
        </w:rPr>
        <w:t>The majority of cases of symptomatic heart failure reported in the adjuvant setting were in patients who received anthracycline-based chemotherapy</w:t>
      </w:r>
      <w:r w:rsidR="00C77998">
        <w:rPr>
          <w:rFonts w:eastAsia="SimSun"/>
          <w:noProof/>
          <w:lang w:val="en-GB"/>
        </w:rPr>
        <w:t xml:space="preserve"> (see section 4.8).</w:t>
      </w:r>
    </w:p>
    <w:p w:rsidR="00FF13E3" w:rsidRPr="00BF2495" w:rsidP="00A311EA" w14:paraId="5863A3FE" w14:textId="77777777">
      <w:pPr>
        <w:rPr>
          <w:noProof/>
          <w:lang w:val="en-GB"/>
        </w:rPr>
      </w:pPr>
    </w:p>
    <w:p w:rsidR="00863CEA" w:rsidRPr="001F5859" w:rsidP="00A311EA" w14:paraId="019732F3" w14:textId="77777777">
      <w:pPr>
        <w:rPr>
          <w:rFonts w:eastAsia="SimSun"/>
          <w:lang w:val="en-GB" w:eastAsia="zh-CN"/>
        </w:rPr>
      </w:pPr>
      <w:r w:rsidRPr="000D28E6">
        <w:rPr>
          <w:rFonts w:eastAsia="SimSun"/>
          <w:iCs/>
          <w:lang w:val="en-GB" w:eastAsia="zh-CN"/>
        </w:rPr>
        <w:t>Perjeta</w:t>
      </w:r>
      <w:r w:rsidRPr="000D28E6" w:rsidR="00C90DE4">
        <w:rPr>
          <w:rFonts w:eastAsia="SimSun"/>
          <w:lang w:val="en-GB" w:eastAsia="zh-CN"/>
        </w:rPr>
        <w:t xml:space="preserve"> has not been studied in patients </w:t>
      </w:r>
      <w:r w:rsidRPr="001F5859" w:rsidR="00C90DE4">
        <w:rPr>
          <w:rFonts w:eastAsia="SimSun"/>
          <w:lang w:val="en-GB" w:eastAsia="zh-CN"/>
        </w:rPr>
        <w:t xml:space="preserve">with: a pre-treatment LVEF value </w:t>
      </w:r>
      <w:r w:rsidRPr="001F5859">
        <w:rPr>
          <w:rFonts w:eastAsia="SimSun"/>
          <w:lang w:val="en-GB" w:eastAsia="zh-CN"/>
        </w:rPr>
        <w:t xml:space="preserve">of </w:t>
      </w:r>
      <w:r w:rsidRPr="001F5859" w:rsidR="0008543A">
        <w:rPr>
          <w:rFonts w:eastAsia="SimSun"/>
          <w:lang w:val="en-GB" w:eastAsia="zh-CN"/>
        </w:rPr>
        <w:t>&lt;</w:t>
      </w:r>
      <w:r w:rsidRPr="001F5859">
        <w:rPr>
          <w:rFonts w:eastAsia="SimSun"/>
          <w:lang w:val="en-GB" w:eastAsia="zh-CN"/>
        </w:rPr>
        <w:t xml:space="preserve"> 50%; a prior history of congestive heart failure (CHF); </w:t>
      </w:r>
      <w:r w:rsidRPr="001F5859" w:rsidR="00C90DE4">
        <w:rPr>
          <w:rFonts w:eastAsia="SimSun"/>
          <w:lang w:val="en-GB" w:eastAsia="zh-CN"/>
        </w:rPr>
        <w:t>LVEF</w:t>
      </w:r>
      <w:r w:rsidRPr="001F5859" w:rsidR="00802600">
        <w:rPr>
          <w:rFonts w:eastAsia="SimSun"/>
          <w:lang w:val="en-GB" w:eastAsia="zh-CN"/>
        </w:rPr>
        <w:t xml:space="preserve"> declines</w:t>
      </w:r>
      <w:r w:rsidRPr="001F5859" w:rsidR="00C90DE4">
        <w:rPr>
          <w:rFonts w:eastAsia="SimSun"/>
          <w:lang w:val="en-GB" w:eastAsia="zh-CN"/>
        </w:rPr>
        <w:t xml:space="preserve"> to &lt;</w:t>
      </w:r>
      <w:r w:rsidRPr="001F5859" w:rsidR="00004DBC">
        <w:rPr>
          <w:rFonts w:eastAsia="SimSun"/>
          <w:lang w:val="en-GB" w:eastAsia="zh-CN"/>
        </w:rPr>
        <w:t> </w:t>
      </w:r>
      <w:r w:rsidRPr="001F5859" w:rsidR="00C90DE4">
        <w:rPr>
          <w:rFonts w:eastAsia="SimSun"/>
          <w:lang w:val="en-GB" w:eastAsia="zh-CN"/>
        </w:rPr>
        <w:t xml:space="preserve">50% during prior </w:t>
      </w:r>
      <w:r w:rsidRPr="001F5859" w:rsidR="006753EF">
        <w:rPr>
          <w:rFonts w:eastAsia="SimSun"/>
          <w:lang w:val="en-GB" w:eastAsia="zh-CN"/>
        </w:rPr>
        <w:t xml:space="preserve">trastuzumab </w:t>
      </w:r>
      <w:r w:rsidRPr="001F5859" w:rsidR="00C90DE4">
        <w:rPr>
          <w:rFonts w:eastAsia="SimSun"/>
          <w:lang w:val="en-GB" w:eastAsia="zh-CN"/>
        </w:rPr>
        <w:t xml:space="preserve">adjuvant therapy; </w:t>
      </w:r>
      <w:r w:rsidRPr="001F5859" w:rsidR="00802600">
        <w:rPr>
          <w:rFonts w:eastAsia="SimSun"/>
          <w:lang w:val="en-GB" w:eastAsia="zh-CN"/>
        </w:rPr>
        <w:t>or co</w:t>
      </w:r>
      <w:r w:rsidRPr="001F5859" w:rsidR="00C90DE4">
        <w:rPr>
          <w:rFonts w:eastAsia="SimSun"/>
          <w:lang w:val="en-GB" w:eastAsia="zh-CN"/>
        </w:rPr>
        <w:t>nditions that could impair left ventricular function such as uncontrolled hypertension, recent myocardial infarction, serious cardiac arrhythmia requiring treatment or a cumulative prior anthracycline exposure to &gt;</w:t>
      </w:r>
      <w:r w:rsidRPr="001F5859" w:rsidR="005C0BAD">
        <w:rPr>
          <w:rFonts w:eastAsia="SimSun"/>
          <w:lang w:val="en-GB" w:eastAsia="zh-CN"/>
        </w:rPr>
        <w:t> </w:t>
      </w:r>
      <w:r w:rsidRPr="001F5859" w:rsidR="00C90DE4">
        <w:rPr>
          <w:rFonts w:eastAsia="SimSun"/>
          <w:lang w:val="en-GB" w:eastAsia="zh-CN"/>
        </w:rPr>
        <w:t>360 mg/m</w:t>
      </w:r>
      <w:r w:rsidRPr="001F5859" w:rsidR="00C90DE4">
        <w:rPr>
          <w:rFonts w:eastAsia="SimSun"/>
          <w:vertAlign w:val="superscript"/>
          <w:lang w:val="en-GB" w:eastAsia="zh-CN"/>
        </w:rPr>
        <w:t>2</w:t>
      </w:r>
      <w:r w:rsidRPr="001F5859" w:rsidR="00C90DE4">
        <w:rPr>
          <w:rFonts w:eastAsia="SimSun"/>
          <w:lang w:val="en-GB" w:eastAsia="zh-CN"/>
        </w:rPr>
        <w:t xml:space="preserve"> of doxorubicin or its equivalent.</w:t>
      </w:r>
    </w:p>
    <w:p w:rsidR="004C6AFF" w:rsidRPr="001F5859" w:rsidP="00A311EA" w14:paraId="208A486E" w14:textId="77777777">
      <w:pPr>
        <w:rPr>
          <w:rFonts w:eastAsia="SimSun"/>
          <w:lang w:val="en-GB" w:eastAsia="zh-CN"/>
        </w:rPr>
      </w:pPr>
    </w:p>
    <w:p w:rsidR="00863CEA" w:rsidRPr="000D28E6" w:rsidP="00A311EA" w14:paraId="7409679F" w14:textId="77777777">
      <w:pPr>
        <w:rPr>
          <w:rFonts w:eastAsia="SimSun"/>
          <w:lang w:val="en-GB" w:eastAsia="zh-CN"/>
        </w:rPr>
      </w:pPr>
      <w:r w:rsidRPr="001F5859">
        <w:rPr>
          <w:rFonts w:eastAsia="SimSun"/>
          <w:lang w:val="en-GB" w:eastAsia="zh-CN"/>
        </w:rPr>
        <w:t xml:space="preserve">Assess LVEF prior to initiation of </w:t>
      </w:r>
      <w:r w:rsidRPr="001F5859" w:rsidR="002C3FA8">
        <w:rPr>
          <w:rFonts w:eastAsia="SimSun"/>
          <w:lang w:val="en-GB" w:eastAsia="zh-CN"/>
        </w:rPr>
        <w:t>Perjeta</w:t>
      </w:r>
      <w:r w:rsidRPr="001F5859">
        <w:rPr>
          <w:rFonts w:eastAsia="SimSun"/>
          <w:lang w:val="en-GB" w:eastAsia="zh-CN"/>
        </w:rPr>
        <w:t xml:space="preserve"> and </w:t>
      </w:r>
      <w:r w:rsidRPr="001F5859" w:rsidR="00F37E64">
        <w:rPr>
          <w:rFonts w:eastAsia="SimSun"/>
          <w:lang w:val="en-GB" w:eastAsia="zh-CN"/>
        </w:rPr>
        <w:t xml:space="preserve">at regular intervals </w:t>
      </w:r>
      <w:r w:rsidRPr="001F5859" w:rsidR="00AB390A">
        <w:rPr>
          <w:rFonts w:eastAsia="SimSun"/>
          <w:lang w:val="en-GB" w:eastAsia="zh-CN"/>
        </w:rPr>
        <w:t>during treatment</w:t>
      </w:r>
      <w:r w:rsidRPr="001F5859" w:rsidR="00074CF2">
        <w:rPr>
          <w:rFonts w:eastAsia="SimSun"/>
          <w:lang w:val="en-GB" w:eastAsia="zh-CN"/>
        </w:rPr>
        <w:t xml:space="preserve"> </w:t>
      </w:r>
      <w:r w:rsidRPr="001F5859" w:rsidR="006F3F1A">
        <w:rPr>
          <w:lang w:val="en-GB"/>
        </w:rPr>
        <w:t>with Perjeta (</w:t>
      </w:r>
      <w:r w:rsidRPr="001F5859" w:rsidR="00F37E64">
        <w:rPr>
          <w:lang w:val="en-GB"/>
        </w:rPr>
        <w:t xml:space="preserve">e.g. once during </w:t>
      </w:r>
      <w:r w:rsidRPr="001F5859" w:rsidR="006F3F1A">
        <w:rPr>
          <w:lang w:val="en-GB"/>
        </w:rPr>
        <w:t>neoadjuvant</w:t>
      </w:r>
      <w:r w:rsidRPr="001F5859" w:rsidR="00F37E64">
        <w:rPr>
          <w:lang w:val="en-GB"/>
        </w:rPr>
        <w:t xml:space="preserve"> treatment and every 12 weeks in the adjuvant or metastatic setting</w:t>
      </w:r>
      <w:r w:rsidRPr="001F5859" w:rsidR="006F3F1A">
        <w:rPr>
          <w:lang w:val="en-GB"/>
        </w:rPr>
        <w:t xml:space="preserve">) </w:t>
      </w:r>
      <w:r w:rsidRPr="001F5859">
        <w:rPr>
          <w:rFonts w:eastAsia="SimSun"/>
          <w:lang w:val="en-GB" w:eastAsia="zh-CN"/>
        </w:rPr>
        <w:t xml:space="preserve">to ensure that LVEF is within normal limits. If the LVEF has </w:t>
      </w:r>
      <w:r w:rsidRPr="001F5859" w:rsidR="00F37E64">
        <w:rPr>
          <w:rFonts w:eastAsia="SimSun"/>
          <w:lang w:val="en-GB" w:eastAsia="zh-CN"/>
        </w:rPr>
        <w:t xml:space="preserve">declined as indicated in section 4.2 and has </w:t>
      </w:r>
      <w:r w:rsidRPr="001F5859">
        <w:rPr>
          <w:rFonts w:eastAsia="SimSun"/>
          <w:lang w:val="en-GB" w:eastAsia="zh-CN"/>
        </w:rPr>
        <w:t>not improved, or has declined further</w:t>
      </w:r>
      <w:r w:rsidRPr="001F5859" w:rsidR="00F37E64">
        <w:rPr>
          <w:rFonts w:eastAsia="SimSun"/>
          <w:lang w:val="en-GB" w:eastAsia="zh-CN"/>
        </w:rPr>
        <w:t xml:space="preserve"> at the subsequent assessment</w:t>
      </w:r>
      <w:r w:rsidRPr="001F5859">
        <w:rPr>
          <w:rFonts w:eastAsia="SimSun"/>
          <w:lang w:val="en-GB" w:eastAsia="zh-CN"/>
        </w:rPr>
        <w:t>, disconti</w:t>
      </w:r>
      <w:r w:rsidRPr="000D28E6">
        <w:rPr>
          <w:rFonts w:eastAsia="SimSun"/>
          <w:lang w:val="en-GB" w:eastAsia="zh-CN"/>
        </w:rPr>
        <w:t xml:space="preserve">nuation of </w:t>
      </w:r>
      <w:r w:rsidRPr="000D28E6" w:rsidR="002C3FA8">
        <w:rPr>
          <w:rFonts w:eastAsia="SimSun"/>
          <w:lang w:val="en-GB" w:eastAsia="zh-CN"/>
        </w:rPr>
        <w:t>Perjeta</w:t>
      </w:r>
      <w:r w:rsidRPr="000D28E6">
        <w:rPr>
          <w:rFonts w:eastAsia="SimSun"/>
          <w:lang w:val="en-GB" w:eastAsia="zh-CN"/>
        </w:rPr>
        <w:t xml:space="preserve"> and </w:t>
      </w:r>
      <w:r w:rsidRPr="000D28E6" w:rsidR="006753EF">
        <w:rPr>
          <w:rFonts w:eastAsia="SimSun"/>
          <w:lang w:val="en-GB" w:eastAsia="zh-CN"/>
        </w:rPr>
        <w:t xml:space="preserve">trastuzumab </w:t>
      </w:r>
      <w:r w:rsidRPr="000D28E6">
        <w:rPr>
          <w:rFonts w:eastAsia="SimSun"/>
          <w:lang w:val="en-GB" w:eastAsia="zh-CN"/>
        </w:rPr>
        <w:t xml:space="preserve">should be strongly considered, unless the benefits for the individual patient are deemed to outweigh the risks. </w:t>
      </w:r>
    </w:p>
    <w:p w:rsidR="00863CEA" w:rsidP="00A311EA" w14:paraId="27D924EE" w14:textId="77777777">
      <w:pPr>
        <w:rPr>
          <w:rFonts w:eastAsia="SimSun"/>
          <w:i/>
          <w:noProof/>
          <w:lang w:val="en-GB"/>
        </w:rPr>
      </w:pPr>
    </w:p>
    <w:p w:rsidR="00500F19" w:rsidP="00EB4C9A" w14:paraId="506A7861" w14:textId="77777777">
      <w:pPr>
        <w:jc w:val="both"/>
        <w:rPr>
          <w:rFonts w:eastAsia="SimSun"/>
          <w:noProof/>
          <w:lang w:val="en-GB"/>
        </w:rPr>
      </w:pPr>
      <w:r w:rsidRPr="00AB390A">
        <w:rPr>
          <w:rFonts w:eastAsia="SimSun"/>
          <w:noProof/>
          <w:lang w:val="en-GB"/>
        </w:rPr>
        <w:t xml:space="preserve">Cardiac risk should be carefully considered and balanced against the medical need of the individual patient before use of Perjeta with an anthracycline. </w:t>
      </w:r>
      <w:r w:rsidRPr="005F666E" w:rsidR="00F37E64">
        <w:rPr>
          <w:rFonts w:eastAsia="SimSun"/>
          <w:lang w:val="en-GB" w:eastAsia="zh-CN"/>
        </w:rPr>
        <w:t xml:space="preserve">Based on the pharmacological actions of </w:t>
      </w:r>
      <w:r w:rsidR="00F37E64">
        <w:rPr>
          <w:rFonts w:eastAsia="SimSun"/>
          <w:lang w:val="en-GB" w:eastAsia="zh-CN"/>
        </w:rPr>
        <w:br/>
      </w:r>
      <w:r w:rsidRPr="005F666E" w:rsidR="00F37E64">
        <w:rPr>
          <w:rFonts w:eastAsia="SimSun"/>
          <w:lang w:val="en-GB" w:eastAsia="zh-CN"/>
        </w:rPr>
        <w:t>HER2-targeted agents and anthracyclines, the risk of cardiac toxicity might be expected to be higher with concomitant use of Perjeta and anthracyclines than with sequential use.</w:t>
      </w:r>
      <w:r w:rsidR="00F37E64">
        <w:rPr>
          <w:rFonts w:eastAsia="SimSun"/>
          <w:lang w:val="en-GB" w:eastAsia="zh-CN"/>
        </w:rPr>
        <w:t xml:space="preserve"> </w:t>
      </w:r>
    </w:p>
    <w:p w:rsidR="00B0028F" w:rsidRPr="00AB390A" w:rsidP="00EB4C9A" w14:paraId="1F990ABD" w14:textId="77777777">
      <w:pPr>
        <w:jc w:val="both"/>
        <w:rPr>
          <w:rFonts w:eastAsia="SimSun"/>
          <w:noProof/>
          <w:lang w:val="en-GB"/>
        </w:rPr>
      </w:pPr>
    </w:p>
    <w:p w:rsidR="00EB4C9A" w:rsidRPr="001F5859" w:rsidP="00EB4C9A" w14:paraId="4D3DC4E8" w14:textId="77777777">
      <w:pPr>
        <w:rPr>
          <w:rFonts w:ascii="Calibri" w:hAnsi="Calibri"/>
          <w:iCs/>
          <w:szCs w:val="22"/>
        </w:rPr>
      </w:pPr>
      <w:r w:rsidRPr="005F666E">
        <w:rPr>
          <w:rFonts w:eastAsia="SimSun"/>
          <w:lang w:val="en-GB" w:eastAsia="zh-CN"/>
        </w:rPr>
        <w:t>Sequential use of Perjeta (in combination with trastuzumab and a taxane) has been evaluated following the epirub</w:t>
      </w:r>
      <w:r>
        <w:rPr>
          <w:rFonts w:eastAsia="SimSun"/>
          <w:lang w:val="en-GB" w:eastAsia="zh-CN"/>
        </w:rPr>
        <w:t>ic</w:t>
      </w:r>
      <w:r w:rsidRPr="005F666E">
        <w:rPr>
          <w:rFonts w:eastAsia="SimSun"/>
          <w:lang w:val="en-GB" w:eastAsia="zh-CN"/>
        </w:rPr>
        <w:t xml:space="preserve">in or doxorubicin component of many anthracycline-based regimens in the APHINITY and BERENICE studies. However, only limited safety data are available on </w:t>
      </w:r>
      <w:r>
        <w:rPr>
          <w:rFonts w:eastAsia="SimSun"/>
          <w:lang w:val="en-GB" w:eastAsia="zh-CN"/>
        </w:rPr>
        <w:t>concurrent</w:t>
      </w:r>
      <w:r w:rsidRPr="005F666E">
        <w:rPr>
          <w:rFonts w:eastAsia="SimSun"/>
          <w:lang w:val="en-GB" w:eastAsia="zh-CN"/>
        </w:rPr>
        <w:t xml:space="preserve"> use of Perjeta and an anthracycline. In the TRYPHAENA study, Perjeta was given </w:t>
      </w:r>
      <w:r>
        <w:rPr>
          <w:rFonts w:eastAsia="SimSun"/>
          <w:lang w:val="en-GB" w:eastAsia="zh-CN"/>
        </w:rPr>
        <w:t>concurrently</w:t>
      </w:r>
      <w:r w:rsidRPr="005F666E">
        <w:rPr>
          <w:rFonts w:eastAsia="SimSun"/>
          <w:lang w:val="en-GB" w:eastAsia="zh-CN"/>
        </w:rPr>
        <w:t xml:space="preserve"> with epirubicin, as part of the FEC</w:t>
      </w:r>
      <w:r w:rsidRPr="00CE05EF">
        <w:t xml:space="preserve"> </w:t>
      </w:r>
      <w:r w:rsidRPr="00AB390A">
        <w:t xml:space="preserve">(5-fluorouracil, epirubicin, cyclophosphamide) </w:t>
      </w:r>
      <w:r w:rsidRPr="005F666E">
        <w:rPr>
          <w:rFonts w:eastAsia="SimSun"/>
          <w:lang w:val="en-GB" w:eastAsia="zh-CN"/>
        </w:rPr>
        <w:t>regimen (see sections 4.8 and 5.1). Only chemotherapy-naive patients were treated and they received low cumulative doses of epirubicin (up to 300 mg/m</w:t>
      </w:r>
      <w:r w:rsidRPr="005D2D18">
        <w:rPr>
          <w:rFonts w:eastAsia="SimSun"/>
          <w:vertAlign w:val="superscript"/>
          <w:lang w:val="en-GB" w:eastAsia="zh-CN"/>
        </w:rPr>
        <w:t>2</w:t>
      </w:r>
      <w:r w:rsidRPr="005F666E">
        <w:rPr>
          <w:rFonts w:eastAsia="SimSun"/>
          <w:lang w:val="en-GB" w:eastAsia="zh-CN"/>
        </w:rPr>
        <w:t>). In this study, cardiac safety was similar to that observed in patients</w:t>
      </w:r>
      <w:r>
        <w:rPr>
          <w:rFonts w:eastAsia="SimSun"/>
          <w:lang w:val="en-GB" w:eastAsia="zh-CN"/>
        </w:rPr>
        <w:t xml:space="preserve"> </w:t>
      </w:r>
      <w:r w:rsidRPr="005F666E">
        <w:rPr>
          <w:rFonts w:eastAsia="SimSun"/>
          <w:lang w:val="en-GB" w:eastAsia="zh-CN"/>
        </w:rPr>
        <w:t>given the same regimen</w:t>
      </w:r>
      <w:r>
        <w:rPr>
          <w:rFonts w:eastAsia="SimSun"/>
          <w:lang w:val="en-GB" w:eastAsia="zh-CN"/>
        </w:rPr>
        <w:t xml:space="preserve"> </w:t>
      </w:r>
      <w:r w:rsidRPr="005F666E">
        <w:rPr>
          <w:rFonts w:eastAsia="SimSun"/>
          <w:lang w:val="en-GB" w:eastAsia="zh-CN"/>
        </w:rPr>
        <w:t>but with</w:t>
      </w:r>
      <w:r>
        <w:rPr>
          <w:rFonts w:eastAsia="SimSun"/>
          <w:lang w:val="en-GB" w:eastAsia="zh-CN"/>
        </w:rPr>
        <w:t xml:space="preserve"> </w:t>
      </w:r>
      <w:r w:rsidRPr="005F666E">
        <w:rPr>
          <w:rFonts w:eastAsia="SimSun"/>
          <w:lang w:val="en-GB" w:eastAsia="zh-CN"/>
        </w:rPr>
        <w:t>Perjeta administered sequentiall</w:t>
      </w:r>
      <w:r>
        <w:rPr>
          <w:rFonts w:eastAsia="SimSun"/>
          <w:lang w:val="en-GB" w:eastAsia="zh-CN"/>
        </w:rPr>
        <w:t>y (following FEC chemotherapy).</w:t>
      </w:r>
    </w:p>
    <w:p w:rsidR="00EB4C9A" w:rsidRPr="000D28E6" w:rsidP="00EB4C9A" w14:paraId="55B7E6B9" w14:textId="77777777">
      <w:pPr>
        <w:rPr>
          <w:rFonts w:eastAsia="SimSun"/>
          <w:i/>
          <w:noProof/>
          <w:lang w:val="en-GB"/>
        </w:rPr>
      </w:pPr>
    </w:p>
    <w:p w:rsidR="00863CEA" w:rsidRPr="00567D04" w:rsidP="00A311EA" w14:paraId="0B1B3D5F" w14:textId="77777777">
      <w:pPr>
        <w:rPr>
          <w:rFonts w:eastAsia="SimSun"/>
          <w:noProof/>
          <w:u w:val="single"/>
          <w:lang w:val="en-GB"/>
        </w:rPr>
      </w:pPr>
      <w:r w:rsidRPr="00567D04">
        <w:rPr>
          <w:rFonts w:eastAsia="SimSun"/>
          <w:noProof/>
          <w:u w:val="single"/>
          <w:lang w:val="en-GB"/>
        </w:rPr>
        <w:t>Infusion reactions</w:t>
      </w:r>
    </w:p>
    <w:p w:rsidR="005C0BAD" w:rsidRPr="000D28E6" w:rsidP="00A311EA" w14:paraId="2F0E2A26" w14:textId="77777777">
      <w:pPr>
        <w:rPr>
          <w:rFonts w:eastAsia="SimSun"/>
          <w:i/>
          <w:noProof/>
          <w:lang w:val="en-GB"/>
        </w:rPr>
      </w:pPr>
    </w:p>
    <w:p w:rsidR="008F3DFD" w:rsidRPr="000D28E6" w:rsidP="006633C6" w14:paraId="4D73B5F7" w14:textId="77777777">
      <w:pPr>
        <w:shd w:val="clear" w:color="auto" w:fill="FFFFFF"/>
        <w:rPr>
          <w:lang w:val="en-GB"/>
        </w:rPr>
      </w:pPr>
      <w:r w:rsidRPr="000D28E6">
        <w:rPr>
          <w:rFonts w:eastAsia="SimSun"/>
          <w:lang w:val="en-GB" w:eastAsia="zh-CN"/>
        </w:rPr>
        <w:t>Perjeta</w:t>
      </w:r>
      <w:r w:rsidRPr="000D28E6" w:rsidR="00863CEA">
        <w:rPr>
          <w:rFonts w:eastAsia="SimSun"/>
          <w:lang w:val="en-GB" w:eastAsia="zh-CN"/>
        </w:rPr>
        <w:t xml:space="preserve"> has been associated with infusion reactions</w:t>
      </w:r>
      <w:r>
        <w:rPr>
          <w:rFonts w:eastAsia="SimSun"/>
          <w:lang w:val="en-GB" w:eastAsia="zh-CN"/>
        </w:rPr>
        <w:t>, including events</w:t>
      </w:r>
      <w:r w:rsidRPr="000D28E6" w:rsidR="00863CEA">
        <w:rPr>
          <w:rFonts w:eastAsia="SimSun"/>
          <w:lang w:val="en-GB" w:eastAsia="zh-CN"/>
        </w:rPr>
        <w:t xml:space="preserve"> </w:t>
      </w:r>
      <w:r w:rsidR="0022628D">
        <w:rPr>
          <w:rFonts w:eastAsia="SimSun"/>
          <w:lang w:val="en-GB" w:eastAsia="zh-CN"/>
        </w:rPr>
        <w:t xml:space="preserve">with a fatal outcome </w:t>
      </w:r>
      <w:r w:rsidRPr="000D28E6" w:rsidR="00863CEA">
        <w:rPr>
          <w:rFonts w:eastAsia="SimSun"/>
          <w:lang w:val="en-GB" w:eastAsia="zh-CN"/>
        </w:rPr>
        <w:t>(</w:t>
      </w:r>
      <w:r w:rsidRPr="000D28E6" w:rsidR="00863CEA">
        <w:rPr>
          <w:rFonts w:eastAsia="SimSun"/>
          <w:noProof/>
          <w:lang w:val="en-GB"/>
        </w:rPr>
        <w:t>see section 4.8</w:t>
      </w:r>
      <w:r w:rsidRPr="000D28E6" w:rsidR="00863CEA">
        <w:rPr>
          <w:rFonts w:eastAsia="SimSun"/>
          <w:lang w:val="en-GB" w:eastAsia="zh-CN"/>
        </w:rPr>
        <w:t>). Close observation of the patient during and for 60 minutes after the first infusion and during and for 30</w:t>
      </w:r>
      <w:r w:rsidRPr="000D28E6" w:rsidR="000A7517">
        <w:rPr>
          <w:rFonts w:eastAsia="SimSun"/>
          <w:lang w:val="en-GB" w:eastAsia="zh-CN"/>
        </w:rPr>
        <w:t>-60</w:t>
      </w:r>
      <w:r w:rsidRPr="000D28E6" w:rsidR="00863CEA">
        <w:rPr>
          <w:rFonts w:eastAsia="SimSun"/>
          <w:lang w:val="en-GB" w:eastAsia="zh-CN"/>
        </w:rPr>
        <w:t xml:space="preserve"> minutes after subsequent infusions </w:t>
      </w:r>
      <w:r w:rsidRPr="000D28E6" w:rsidR="002218DB">
        <w:rPr>
          <w:rFonts w:eastAsia="SimSun"/>
          <w:lang w:val="en-GB" w:eastAsia="zh-CN"/>
        </w:rPr>
        <w:t xml:space="preserve">of Perjeta </w:t>
      </w:r>
      <w:r w:rsidRPr="000D28E6" w:rsidR="00863CEA">
        <w:rPr>
          <w:rFonts w:eastAsia="SimSun"/>
          <w:lang w:val="en-GB" w:eastAsia="zh-CN"/>
        </w:rPr>
        <w:t>is recommended</w:t>
      </w:r>
      <w:r w:rsidR="00175426">
        <w:rPr>
          <w:rFonts w:eastAsia="SimSun"/>
          <w:lang w:val="en-GB" w:eastAsia="zh-CN"/>
        </w:rPr>
        <w:t>.</w:t>
      </w:r>
      <w:r w:rsidRPr="000D28E6" w:rsidR="002506C6">
        <w:rPr>
          <w:rFonts w:eastAsia="SimSun"/>
          <w:lang w:val="en-GB" w:eastAsia="zh-CN"/>
        </w:rPr>
        <w:t xml:space="preserve"> If a</w:t>
      </w:r>
      <w:r w:rsidR="009C5261">
        <w:rPr>
          <w:rFonts w:eastAsia="SimSun"/>
          <w:lang w:val="en-GB" w:eastAsia="zh-CN"/>
        </w:rPr>
        <w:t xml:space="preserve"> significant</w:t>
      </w:r>
      <w:r w:rsidRPr="000D28E6" w:rsidR="002506C6">
        <w:rPr>
          <w:rFonts w:eastAsia="SimSun"/>
          <w:lang w:val="en-GB" w:eastAsia="zh-CN"/>
        </w:rPr>
        <w:t xml:space="preserve"> </w:t>
      </w:r>
      <w:r w:rsidRPr="000D28E6" w:rsidR="00863CEA">
        <w:rPr>
          <w:rFonts w:eastAsia="SimSun"/>
          <w:lang w:val="en-GB" w:eastAsia="zh-CN"/>
        </w:rPr>
        <w:t>infusion</w:t>
      </w:r>
      <w:r w:rsidR="00175426">
        <w:rPr>
          <w:lang w:val="en-GB"/>
        </w:rPr>
        <w:t xml:space="preserve"> </w:t>
      </w:r>
      <w:r w:rsidRPr="000D28E6" w:rsidR="00863CEA">
        <w:rPr>
          <w:rFonts w:eastAsia="SimSun"/>
          <w:lang w:val="en-GB" w:eastAsia="zh-CN"/>
        </w:rPr>
        <w:t>reaction occurs, the infusion should be slowed down or interrupted and appropriate medical therapies should be administered. Patients should be evaluated and carefully monitored until complete resolution of signs and symptoms.</w:t>
      </w:r>
      <w:r w:rsidRPr="000D28E6" w:rsidR="00A94858">
        <w:rPr>
          <w:lang w:val="en-GB"/>
        </w:rPr>
        <w:t xml:space="preserve"> </w:t>
      </w:r>
      <w:r w:rsidRPr="000D28E6">
        <w:rPr>
          <w:lang w:val="en-GB"/>
        </w:rPr>
        <w:t xml:space="preserve">Permanent discontinuation should be considered in patients with </w:t>
      </w:r>
      <w:r w:rsidRPr="000D28E6">
        <w:rPr>
          <w:lang w:val="en-GB"/>
        </w:rPr>
        <w:t>severe infusion reactions. This clinical assessment should be based on the severity of the preceding reaction and response to administered treatment for the adverse reaction (see section 4.2).</w:t>
      </w:r>
    </w:p>
    <w:p w:rsidR="008F3DFD" w:rsidRPr="006633C6" w:rsidP="006633C6" w14:paraId="6B18AD7A" w14:textId="77777777">
      <w:pPr>
        <w:keepNext/>
        <w:keepLines/>
        <w:rPr>
          <w:i/>
          <w:lang w:val="en-GB"/>
        </w:rPr>
      </w:pPr>
    </w:p>
    <w:p w:rsidR="008F3DFD" w:rsidRPr="00567D04" w:rsidP="006633C6" w14:paraId="2CC41EFA" w14:textId="77777777">
      <w:pPr>
        <w:keepNext/>
        <w:keepLines/>
        <w:rPr>
          <w:rFonts w:eastAsia="SimSun"/>
          <w:noProof/>
          <w:u w:val="single"/>
          <w:lang w:val="en-GB"/>
        </w:rPr>
      </w:pPr>
      <w:r w:rsidRPr="00567D04">
        <w:rPr>
          <w:rFonts w:eastAsia="SimSun"/>
          <w:noProof/>
          <w:u w:val="single"/>
          <w:lang w:val="en-GB"/>
        </w:rPr>
        <w:t>Hypersensitivity reactions/anaphylaxis</w:t>
      </w:r>
    </w:p>
    <w:p w:rsidR="008F3DFD" w:rsidRPr="000D28E6" w:rsidP="008F3DFD" w14:paraId="7AE527D2" w14:textId="77777777">
      <w:pPr>
        <w:rPr>
          <w:rFonts w:eastAsia="SimSun"/>
          <w:i/>
          <w:noProof/>
          <w:lang w:val="en-GB"/>
        </w:rPr>
      </w:pPr>
    </w:p>
    <w:p w:rsidR="007772CF" w:rsidRPr="000D28E6" w:rsidP="00A311EA" w14:paraId="44359CAC" w14:textId="77777777">
      <w:pPr>
        <w:rPr>
          <w:lang w:val="en-GB"/>
        </w:rPr>
      </w:pPr>
      <w:r w:rsidRPr="000D28E6">
        <w:rPr>
          <w:lang w:val="en-GB"/>
        </w:rPr>
        <w:t>Patients should be observed closely for hypersensitivity reactions. Severe hypersensitivity, including anaphylaxis</w:t>
      </w:r>
      <w:r>
        <w:rPr>
          <w:lang w:val="en-GB"/>
        </w:rPr>
        <w:t xml:space="preserve"> and events</w:t>
      </w:r>
      <w:r w:rsidR="0022628D">
        <w:rPr>
          <w:lang w:val="en-GB"/>
        </w:rPr>
        <w:t xml:space="preserve"> with a fatal outcome</w:t>
      </w:r>
      <w:r w:rsidRPr="000D28E6">
        <w:rPr>
          <w:lang w:val="en-GB"/>
        </w:rPr>
        <w:t>, has been observed with Perjeta</w:t>
      </w:r>
      <w:r w:rsidR="0097557C">
        <w:rPr>
          <w:lang w:val="en-GB"/>
        </w:rPr>
        <w:t xml:space="preserve"> </w:t>
      </w:r>
      <w:r w:rsidRPr="000D28E6">
        <w:rPr>
          <w:lang w:val="en-GB"/>
        </w:rPr>
        <w:t>(see section 4.8). Medic</w:t>
      </w:r>
      <w:r w:rsidR="002E6338">
        <w:rPr>
          <w:lang w:val="en-GB"/>
        </w:rPr>
        <w:t>inal products</w:t>
      </w:r>
      <w:r w:rsidRPr="000D28E6">
        <w:rPr>
          <w:lang w:val="en-GB"/>
        </w:rPr>
        <w:t xml:space="preserve"> to treat such reactions, as well as emergency equipment, should be available for immediate use. Perjeta must be permanently discontinued in case of NCI-CTCAE Grade 4 hypersensitivity reactions (anaphylaxis), bronchospasm or acute respiratory distress syndrome (see section 4.2). </w:t>
      </w:r>
    </w:p>
    <w:p w:rsidR="00F87F64" w:rsidRPr="006633C6" w:rsidP="00BA495C" w14:paraId="57C85636" w14:textId="77777777">
      <w:pPr>
        <w:rPr>
          <w:lang w:val="en-GB"/>
        </w:rPr>
      </w:pPr>
    </w:p>
    <w:p w:rsidR="00BA495C" w:rsidRPr="00567D04" w:rsidP="00BA495C" w14:paraId="3BA04CC1" w14:textId="77777777">
      <w:pPr>
        <w:rPr>
          <w:rFonts w:eastAsia="SimSun"/>
          <w:iCs/>
          <w:noProof/>
          <w:u w:val="single"/>
          <w:lang w:val="en-GB"/>
        </w:rPr>
      </w:pPr>
      <w:r w:rsidRPr="00567D04">
        <w:rPr>
          <w:rFonts w:eastAsia="SimSun"/>
          <w:noProof/>
          <w:u w:val="single"/>
          <w:lang w:val="en-GB"/>
        </w:rPr>
        <w:t>Febrile neutropenia</w:t>
      </w:r>
    </w:p>
    <w:p w:rsidR="00F87F64" w:rsidRPr="000D28E6" w:rsidP="00BA495C" w14:paraId="0FAD5A9D" w14:textId="77777777">
      <w:pPr>
        <w:rPr>
          <w:rFonts w:eastAsia="SimSun"/>
          <w:i/>
          <w:iCs/>
          <w:noProof/>
          <w:lang w:val="en-GB"/>
        </w:rPr>
      </w:pPr>
    </w:p>
    <w:p w:rsidR="00BA495C" w:rsidP="00BA495C" w14:paraId="0879EBFD" w14:textId="77777777">
      <w:pPr>
        <w:rPr>
          <w:rFonts w:eastAsia="SimSun"/>
          <w:lang w:val="en-GB"/>
        </w:rPr>
      </w:pPr>
      <w:r w:rsidRPr="000D28E6">
        <w:rPr>
          <w:rFonts w:eastAsia="SimSun"/>
          <w:noProof/>
          <w:lang w:val="en-GB"/>
        </w:rPr>
        <w:t>Patients treated with Perjeta, trastuzumab and docetaxel are at increased risk of febrile neutropenia compared with patients treated with placebo, trastuzumab and docetaxe</w:t>
      </w:r>
      <w:r w:rsidRPr="000D28E6" w:rsidR="00713801">
        <w:rPr>
          <w:rFonts w:eastAsia="SimSun"/>
          <w:noProof/>
          <w:lang w:val="en-GB"/>
        </w:rPr>
        <w:t>l</w:t>
      </w:r>
      <w:r w:rsidRPr="000D28E6" w:rsidR="004529A4">
        <w:rPr>
          <w:rFonts w:eastAsia="SimSun"/>
          <w:noProof/>
          <w:lang w:val="en-GB"/>
        </w:rPr>
        <w:t>, especially during the first 3 cycles of treatment</w:t>
      </w:r>
      <w:r w:rsidRPr="000D28E6">
        <w:rPr>
          <w:rFonts w:eastAsia="SimSun"/>
          <w:noProof/>
          <w:lang w:val="en-GB"/>
        </w:rPr>
        <w:t xml:space="preserve"> (see section 4.8). </w:t>
      </w:r>
      <w:r w:rsidRPr="00BF2495" w:rsidR="006F3F1A">
        <w:rPr>
          <w:noProof/>
          <w:lang w:val="en-GB"/>
        </w:rPr>
        <w:t>In the CLEOPATRA trial in metastatic breast cancer,</w:t>
      </w:r>
      <w:r w:rsidRPr="000D28E6" w:rsidR="00AC4FE8">
        <w:rPr>
          <w:rFonts w:eastAsia="SimSun"/>
          <w:lang w:val="en-GB"/>
        </w:rPr>
        <w:t xml:space="preserve"> nadir neutrophil counts were similar in Perjeta-treated and placebo-treated patients</w:t>
      </w:r>
      <w:r w:rsidRPr="00BF2495" w:rsidR="006F3F1A">
        <w:rPr>
          <w:lang w:val="en-GB"/>
        </w:rPr>
        <w:t>. The</w:t>
      </w:r>
      <w:r w:rsidRPr="000D28E6" w:rsidR="00AC4FE8">
        <w:rPr>
          <w:rFonts w:eastAsia="SimSun"/>
          <w:lang w:val="en-GB"/>
        </w:rPr>
        <w:t xml:space="preserve"> higher incidence of febrile neutropenia in Perjeta-treated patients </w:t>
      </w:r>
      <w:r w:rsidRPr="00BF2495" w:rsidR="006F3F1A">
        <w:rPr>
          <w:lang w:val="en-GB"/>
        </w:rPr>
        <w:t>was</w:t>
      </w:r>
      <w:r w:rsidRPr="000D28E6" w:rsidR="00AC4FE8">
        <w:rPr>
          <w:rFonts w:eastAsia="SimSun"/>
          <w:lang w:val="en-GB"/>
        </w:rPr>
        <w:t xml:space="preserve"> associated with the higher incidence of mucositis and diarrh</w:t>
      </w:r>
      <w:r w:rsidRPr="000D28E6" w:rsidR="00FD08A1">
        <w:rPr>
          <w:rFonts w:eastAsia="SimSun"/>
          <w:lang w:val="en-GB"/>
        </w:rPr>
        <w:t>o</w:t>
      </w:r>
      <w:r w:rsidRPr="000D28E6" w:rsidR="00AC4FE8">
        <w:rPr>
          <w:rFonts w:eastAsia="SimSun"/>
          <w:lang w:val="en-GB"/>
        </w:rPr>
        <w:t>ea in these patients.</w:t>
      </w:r>
      <w:r w:rsidRPr="000D28E6" w:rsidR="00871005">
        <w:rPr>
          <w:rFonts w:eastAsia="SimSun"/>
          <w:lang w:val="en-GB"/>
        </w:rPr>
        <w:t xml:space="preserve"> Symptomatic treatment for mucositis and</w:t>
      </w:r>
      <w:r w:rsidRPr="000D28E6" w:rsidR="006F434A">
        <w:rPr>
          <w:rFonts w:eastAsia="SimSun"/>
          <w:lang w:val="en-GB"/>
        </w:rPr>
        <w:t xml:space="preserve"> </w:t>
      </w:r>
      <w:r w:rsidRPr="000D28E6" w:rsidR="00871005">
        <w:rPr>
          <w:rFonts w:eastAsia="SimSun"/>
          <w:lang w:val="en-GB"/>
        </w:rPr>
        <w:t>di</w:t>
      </w:r>
      <w:r w:rsidRPr="000D28E6" w:rsidR="00E43A99">
        <w:rPr>
          <w:rFonts w:eastAsia="SimSun"/>
          <w:lang w:val="en-GB"/>
        </w:rPr>
        <w:t>a</w:t>
      </w:r>
      <w:r w:rsidRPr="000D28E6" w:rsidR="00871005">
        <w:rPr>
          <w:rFonts w:eastAsia="SimSun"/>
          <w:lang w:val="en-GB"/>
        </w:rPr>
        <w:t xml:space="preserve">rrhoea should be considered. </w:t>
      </w:r>
      <w:r w:rsidRPr="00BF2495" w:rsidR="006F3F1A">
        <w:rPr>
          <w:lang w:val="en-GB"/>
        </w:rPr>
        <w:t>No</w:t>
      </w:r>
      <w:r w:rsidRPr="000D28E6" w:rsidR="006F434A">
        <w:rPr>
          <w:rFonts w:eastAsia="SimSun"/>
          <w:lang w:val="en-GB"/>
        </w:rPr>
        <w:t xml:space="preserve"> events of febrile neutropenia were reported after cessation of docetaxel.</w:t>
      </w:r>
    </w:p>
    <w:p w:rsidR="00637C25" w:rsidRPr="00947764" w:rsidP="00BA495C" w14:paraId="485F102B" w14:textId="77777777">
      <w:pPr>
        <w:rPr>
          <w:lang w:val="en-GB"/>
        </w:rPr>
      </w:pPr>
    </w:p>
    <w:p w:rsidR="00637C25" w:rsidRPr="001F5859" w:rsidP="00947764" w14:paraId="01FC1180" w14:textId="77777777">
      <w:pPr>
        <w:rPr>
          <w:u w:val="single"/>
          <w:lang w:val="es-ES"/>
        </w:rPr>
      </w:pPr>
      <w:r w:rsidRPr="001F5859">
        <w:rPr>
          <w:u w:val="single"/>
          <w:lang w:val="es-ES"/>
        </w:rPr>
        <w:t>Diarrhoea</w:t>
      </w:r>
    </w:p>
    <w:p w:rsidR="00637C25" w:rsidRPr="001F5859" w:rsidP="00947764" w14:paraId="3E3800BD" w14:textId="77777777">
      <w:pPr>
        <w:rPr>
          <w:lang w:val="es-ES"/>
        </w:rPr>
      </w:pPr>
    </w:p>
    <w:p w:rsidR="00637C25" w:rsidP="00637C25" w14:paraId="05813712" w14:textId="45F983E4">
      <w:pPr>
        <w:rPr>
          <w:rFonts w:eastAsia="SimSun"/>
          <w:lang w:val="en-GB"/>
        </w:rPr>
      </w:pPr>
      <w:r w:rsidRPr="001F5859">
        <w:rPr>
          <w:rFonts w:eastAsia="SimSun"/>
          <w:noProof/>
          <w:lang w:val="es-ES"/>
        </w:rPr>
        <w:t xml:space="preserve">Perjeta may elicit severe diarrhoea. </w:t>
      </w:r>
      <w:r w:rsidRPr="001F5859">
        <w:rPr>
          <w:noProof/>
          <w:lang w:val="en-GB"/>
        </w:rPr>
        <w:t>Diarrhoea is most frequent during concurrent administration with taxane therapy.</w:t>
      </w:r>
      <w:r w:rsidRPr="001F5859">
        <w:rPr>
          <w:rFonts w:eastAsia="SimSun"/>
          <w:noProof/>
        </w:rPr>
        <w:t xml:space="preserve"> Elderly patients (</w:t>
      </w:r>
      <w:r w:rsidRPr="001F5859">
        <w:rPr>
          <w:rFonts w:eastAsia="SimSun"/>
          <w:u w:val="single"/>
        </w:rPr>
        <w:t>&gt;</w:t>
      </w:r>
      <w:r w:rsidRPr="001F5859">
        <w:rPr>
          <w:rFonts w:eastAsia="SimSun"/>
          <w:noProof/>
        </w:rPr>
        <w:t xml:space="preserve"> 65 years) have a higher risk of diarrhoea compared with younger patients (</w:t>
      </w:r>
      <w:r w:rsidRPr="001F5859" w:rsidR="0005198B">
        <w:rPr>
          <w:rFonts w:eastAsia="SimSun"/>
          <w:noProof/>
        </w:rPr>
        <w:t>&lt;</w:t>
      </w:r>
      <w:r w:rsidRPr="001F5859">
        <w:rPr>
          <w:rFonts w:eastAsia="SimSun"/>
          <w:noProof/>
          <w:u w:val="single"/>
        </w:rPr>
        <w:t xml:space="preserve"> </w:t>
      </w:r>
      <w:r w:rsidRPr="001F5859">
        <w:rPr>
          <w:rFonts w:eastAsia="SimSun"/>
          <w:noProof/>
        </w:rPr>
        <w:t xml:space="preserve">65 years). Treat diarrhoea according to standard practice and guidelines. Early intervention with loperamide, fluids and electrolyte replacement should be considered, particularly in elderly patients, and in case of severe or prolonged diarrhoea.  </w:t>
      </w:r>
      <w:r w:rsidRPr="001F5859">
        <w:rPr>
          <w:rFonts w:eastAsia="SimSun"/>
          <w:lang w:val="en-GB"/>
        </w:rPr>
        <w:t>Interruption of treatment with pertuzumab should be considered if no improvement in the patient’s</w:t>
      </w:r>
      <w:r>
        <w:rPr>
          <w:rFonts w:eastAsia="SimSun"/>
          <w:lang w:val="en-GB"/>
        </w:rPr>
        <w:t xml:space="preserve"> condition is achieved. When the diarrhoea is under contro</w:t>
      </w:r>
      <w:r w:rsidRPr="001F5859">
        <w:rPr>
          <w:rFonts w:eastAsia="SimSun"/>
          <w:lang w:val="en-GB"/>
        </w:rPr>
        <w:t>l treatm</w:t>
      </w:r>
      <w:r>
        <w:rPr>
          <w:rFonts w:eastAsia="SimSun"/>
          <w:lang w:val="en-GB"/>
        </w:rPr>
        <w:t>ent with pertuzumab may be reinstated.</w:t>
      </w:r>
    </w:p>
    <w:p w:rsidR="00F87F64" w:rsidRPr="000D28E6" w:rsidP="00A311EA" w14:paraId="492A60F1" w14:textId="77777777">
      <w:pPr>
        <w:rPr>
          <w:rFonts w:eastAsia="SimSun"/>
          <w:b/>
          <w:i/>
          <w:noProof/>
          <w:u w:val="single"/>
          <w:lang w:val="en-GB"/>
        </w:rPr>
      </w:pPr>
    </w:p>
    <w:p w:rsidR="00863CEA" w:rsidRPr="000D28E6" w:rsidP="00A311EA" w14:paraId="79D5C840" w14:textId="77777777">
      <w:pPr>
        <w:rPr>
          <w:rFonts w:eastAsia="SimSun"/>
          <w:b/>
          <w:noProof/>
          <w:lang w:val="en-GB"/>
        </w:rPr>
      </w:pPr>
      <w:r w:rsidRPr="000D28E6">
        <w:rPr>
          <w:rFonts w:eastAsia="SimSun"/>
          <w:b/>
          <w:noProof/>
          <w:lang w:val="en-GB"/>
        </w:rPr>
        <w:t>4.5</w:t>
      </w:r>
      <w:r w:rsidRPr="000D28E6">
        <w:rPr>
          <w:rFonts w:eastAsia="SimSun"/>
          <w:b/>
          <w:noProof/>
          <w:lang w:val="en-GB"/>
        </w:rPr>
        <w:tab/>
        <w:t>Interaction with other medicinal products and other forms of interaction</w:t>
      </w:r>
    </w:p>
    <w:p w:rsidR="00863CEA" w:rsidRPr="000D28E6" w:rsidP="00A311EA" w14:paraId="19704320" w14:textId="77777777">
      <w:pPr>
        <w:rPr>
          <w:rFonts w:eastAsia="SimSun"/>
          <w:noProof/>
          <w:lang w:val="en-GB"/>
        </w:rPr>
      </w:pPr>
    </w:p>
    <w:p w:rsidR="00863CEA" w:rsidRPr="000D28E6" w:rsidP="00A311EA" w14:paraId="02CBF07B" w14:textId="77777777">
      <w:pPr>
        <w:rPr>
          <w:rFonts w:eastAsia="SimSun"/>
          <w:iCs/>
          <w:lang w:val="en-GB" w:eastAsia="zh-CN"/>
        </w:rPr>
      </w:pPr>
      <w:r w:rsidRPr="000D28E6">
        <w:rPr>
          <w:rFonts w:eastAsia="SimSun"/>
          <w:iCs/>
          <w:lang w:val="en-GB" w:eastAsia="zh-CN"/>
        </w:rPr>
        <w:t xml:space="preserve">No pharmacokinetic (PK) interactions were observed between </w:t>
      </w:r>
      <w:r w:rsidRPr="00BF2495" w:rsidR="006F3F1A">
        <w:rPr>
          <w:iCs/>
          <w:lang w:val="en-GB"/>
        </w:rPr>
        <w:t>pertuzumab</w:t>
      </w:r>
      <w:r w:rsidRPr="000D28E6">
        <w:rPr>
          <w:rFonts w:eastAsia="SimSun"/>
          <w:iCs/>
          <w:lang w:val="en-GB" w:eastAsia="zh-CN"/>
        </w:rPr>
        <w:t xml:space="preserve"> and trastuzumab, or between </w:t>
      </w:r>
      <w:r w:rsidRPr="00BF2495" w:rsidR="006F3F1A">
        <w:rPr>
          <w:iCs/>
          <w:lang w:val="en-GB"/>
        </w:rPr>
        <w:t>pertuzumab</w:t>
      </w:r>
      <w:r w:rsidRPr="000D28E6">
        <w:rPr>
          <w:rFonts w:eastAsia="SimSun"/>
          <w:iCs/>
          <w:lang w:val="en-GB" w:eastAsia="zh-CN"/>
        </w:rPr>
        <w:t xml:space="preserve"> and docetaxel in a sub-study of 37 patients in the randomised, pivotal trial CLEOPATRA</w:t>
      </w:r>
      <w:r w:rsidRPr="00BF2495" w:rsidR="006F3F1A">
        <w:rPr>
          <w:iCs/>
          <w:lang w:val="en-GB"/>
        </w:rPr>
        <w:t xml:space="preserve"> in metastatic breast cancer</w:t>
      </w:r>
      <w:r w:rsidRPr="000D28E6">
        <w:rPr>
          <w:rFonts w:eastAsia="SimSun"/>
          <w:iCs/>
          <w:lang w:val="en-GB" w:eastAsia="zh-CN"/>
        </w:rPr>
        <w:t xml:space="preserve">. In addition, in the population </w:t>
      </w:r>
      <w:r w:rsidRPr="000D28E6" w:rsidR="0048446B">
        <w:rPr>
          <w:rFonts w:eastAsia="SimSun"/>
          <w:iCs/>
          <w:lang w:val="en-GB" w:eastAsia="zh-CN"/>
        </w:rPr>
        <w:t>PK</w:t>
      </w:r>
      <w:r w:rsidRPr="000D28E6">
        <w:rPr>
          <w:rFonts w:eastAsia="SimSun"/>
          <w:iCs/>
          <w:lang w:val="en-GB" w:eastAsia="zh-CN"/>
        </w:rPr>
        <w:t xml:space="preserve"> analysis, no evidence of a drug-drug interaction has been shown between </w:t>
      </w:r>
      <w:r w:rsidRPr="00BF2495" w:rsidR="006F3F1A">
        <w:rPr>
          <w:iCs/>
          <w:lang w:val="en-GB"/>
        </w:rPr>
        <w:t>pertuzumab</w:t>
      </w:r>
      <w:r w:rsidRPr="000D28E6">
        <w:rPr>
          <w:rFonts w:eastAsia="SimSun"/>
          <w:iCs/>
          <w:lang w:val="en-GB" w:eastAsia="zh-CN"/>
        </w:rPr>
        <w:t xml:space="preserve"> and trastuzumab </w:t>
      </w:r>
      <w:r w:rsidRPr="00BF2495" w:rsidR="006F3F1A">
        <w:rPr>
          <w:iCs/>
          <w:lang w:val="en-GB"/>
        </w:rPr>
        <w:t>or</w:t>
      </w:r>
      <w:r w:rsidRPr="000D28E6">
        <w:rPr>
          <w:rFonts w:eastAsia="SimSun"/>
          <w:iCs/>
          <w:lang w:val="en-GB" w:eastAsia="zh-CN"/>
        </w:rPr>
        <w:t xml:space="preserve"> between </w:t>
      </w:r>
      <w:r w:rsidRPr="00BF2495" w:rsidR="006F3F1A">
        <w:rPr>
          <w:iCs/>
          <w:lang w:val="en-GB"/>
        </w:rPr>
        <w:t>pertuzumab</w:t>
      </w:r>
      <w:r w:rsidRPr="000D28E6">
        <w:rPr>
          <w:rFonts w:eastAsia="SimSun"/>
          <w:iCs/>
          <w:lang w:val="en-GB" w:eastAsia="zh-CN"/>
        </w:rPr>
        <w:t xml:space="preserve"> and docetaxel</w:t>
      </w:r>
      <w:r w:rsidRPr="00BF2495" w:rsidR="006F3F1A">
        <w:rPr>
          <w:iCs/>
          <w:lang w:val="en-GB"/>
        </w:rPr>
        <w:t xml:space="preserve">. This absence of drug-drug interaction was confirmed by pharmacokinetic data from the NEOSPHERE </w:t>
      </w:r>
      <w:r w:rsidR="00F37E64">
        <w:rPr>
          <w:iCs/>
          <w:lang w:val="en-GB"/>
        </w:rPr>
        <w:t>and APHINITY studies</w:t>
      </w:r>
      <w:r w:rsidRPr="000D28E6">
        <w:rPr>
          <w:rFonts w:eastAsia="SimSun"/>
          <w:iCs/>
          <w:lang w:val="en-GB" w:eastAsia="zh-CN"/>
        </w:rPr>
        <w:t>.</w:t>
      </w:r>
    </w:p>
    <w:p w:rsidR="00110E72" w:rsidRPr="000D28E6" w:rsidP="00A311EA" w14:paraId="64D54798" w14:textId="77777777">
      <w:pPr>
        <w:rPr>
          <w:rFonts w:eastAsia="SimSun"/>
          <w:lang w:val="en-GB" w:eastAsia="zh-CN"/>
        </w:rPr>
      </w:pPr>
    </w:p>
    <w:p w:rsidR="00863CEA" w:rsidRPr="000D28E6" w:rsidP="00A311EA" w14:paraId="652872CD" w14:textId="77777777">
      <w:pPr>
        <w:rPr>
          <w:rFonts w:eastAsia="SimSun"/>
          <w:lang w:val="en-GB" w:eastAsia="zh-CN"/>
        </w:rPr>
      </w:pPr>
      <w:r>
        <w:rPr>
          <w:rFonts w:eastAsia="SimSun"/>
          <w:lang w:val="en-GB" w:eastAsia="zh-CN"/>
        </w:rPr>
        <w:t>Five</w:t>
      </w:r>
      <w:r w:rsidRPr="000D28E6">
        <w:rPr>
          <w:rFonts w:eastAsia="SimSun"/>
          <w:lang w:val="en-GB" w:eastAsia="zh-CN"/>
        </w:rPr>
        <w:t xml:space="preserve"> studies evaluated the effects of </w:t>
      </w:r>
      <w:r w:rsidRPr="00BF2495" w:rsidR="006F3F1A">
        <w:rPr>
          <w:lang w:val="en-GB"/>
        </w:rPr>
        <w:t>pertuzumab</w:t>
      </w:r>
      <w:r w:rsidRPr="000D28E6">
        <w:rPr>
          <w:rFonts w:eastAsia="SimSun"/>
          <w:lang w:val="en-GB" w:eastAsia="zh-CN"/>
        </w:rPr>
        <w:t xml:space="preserve"> on the PK of co-administered cytotoxic agents, docetaxel, </w:t>
      </w:r>
      <w:r w:rsidR="00BF4782">
        <w:rPr>
          <w:rFonts w:eastAsia="SimSun"/>
          <w:lang w:val="en-GB" w:eastAsia="zh-CN"/>
        </w:rPr>
        <w:t xml:space="preserve">paclitaxel, </w:t>
      </w:r>
      <w:r w:rsidRPr="000D28E6">
        <w:rPr>
          <w:rFonts w:eastAsia="SimSun"/>
          <w:lang w:val="en-GB" w:eastAsia="zh-CN"/>
        </w:rPr>
        <w:t>gemcitabine, capecitabine</w:t>
      </w:r>
      <w:r w:rsidR="00BF4782">
        <w:rPr>
          <w:rFonts w:eastAsia="SimSun"/>
          <w:lang w:val="en-GB" w:eastAsia="zh-CN"/>
        </w:rPr>
        <w:t>, carboplatin and erlotinib</w:t>
      </w:r>
      <w:r w:rsidR="00175426">
        <w:rPr>
          <w:rFonts w:eastAsia="SimSun"/>
          <w:lang w:val="en-GB" w:eastAsia="zh-CN"/>
        </w:rPr>
        <w:t>.</w:t>
      </w:r>
      <w:r w:rsidRPr="000D28E6">
        <w:rPr>
          <w:rFonts w:eastAsia="SimSun"/>
          <w:lang w:val="en-GB" w:eastAsia="zh-CN"/>
        </w:rPr>
        <w:t xml:space="preserve"> There was no evidence of any PK interaction between </w:t>
      </w:r>
      <w:r w:rsidRPr="00BF2495" w:rsidR="006F3F1A">
        <w:rPr>
          <w:lang w:val="en-GB"/>
        </w:rPr>
        <w:t>pertuzumab</w:t>
      </w:r>
      <w:r w:rsidRPr="000D28E6">
        <w:rPr>
          <w:rFonts w:eastAsia="SimSun"/>
          <w:lang w:val="en-GB" w:eastAsia="zh-CN"/>
        </w:rPr>
        <w:t xml:space="preserve"> and any of these agents. The PK of </w:t>
      </w:r>
      <w:r w:rsidRPr="00BF2495" w:rsidR="006F3F1A">
        <w:rPr>
          <w:lang w:val="en-GB"/>
        </w:rPr>
        <w:t>pertuzumab</w:t>
      </w:r>
      <w:r w:rsidRPr="000D28E6">
        <w:rPr>
          <w:rFonts w:eastAsia="SimSun"/>
          <w:lang w:val="en-GB" w:eastAsia="zh-CN"/>
        </w:rPr>
        <w:t xml:space="preserve"> in these studies </w:t>
      </w:r>
      <w:r w:rsidRPr="000D28E6" w:rsidR="00B92780">
        <w:rPr>
          <w:rFonts w:eastAsia="SimSun"/>
          <w:lang w:val="en-GB" w:eastAsia="zh-CN"/>
        </w:rPr>
        <w:t>was</w:t>
      </w:r>
      <w:r w:rsidRPr="000D28E6">
        <w:rPr>
          <w:rFonts w:eastAsia="SimSun"/>
          <w:lang w:val="en-GB" w:eastAsia="zh-CN"/>
        </w:rPr>
        <w:t xml:space="preserve"> comparable to those observed in single-agent studies.</w:t>
      </w:r>
    </w:p>
    <w:p w:rsidR="00863CEA" w:rsidRPr="000D28E6" w:rsidP="00A311EA" w14:paraId="5BC9187C" w14:textId="77777777">
      <w:pPr>
        <w:rPr>
          <w:rFonts w:eastAsia="SimSun"/>
          <w:noProof/>
          <w:lang w:val="en-GB"/>
        </w:rPr>
      </w:pPr>
    </w:p>
    <w:p w:rsidR="00863CEA" w:rsidRPr="000D28E6" w:rsidP="006633C6" w14:paraId="4CBD2A1B" w14:textId="77777777">
      <w:pPr>
        <w:keepNext/>
        <w:keepLines/>
        <w:rPr>
          <w:rFonts w:eastAsia="SimSun"/>
          <w:b/>
          <w:noProof/>
          <w:lang w:val="en-GB"/>
        </w:rPr>
      </w:pPr>
      <w:r w:rsidRPr="000D28E6">
        <w:rPr>
          <w:rFonts w:eastAsia="SimSun"/>
          <w:b/>
          <w:bCs/>
          <w:lang w:val="en-GB"/>
        </w:rPr>
        <w:t>4.6</w:t>
      </w:r>
      <w:r w:rsidRPr="000D28E6">
        <w:rPr>
          <w:rFonts w:eastAsia="SimSun"/>
          <w:b/>
          <w:bCs/>
          <w:lang w:val="en-GB"/>
        </w:rPr>
        <w:tab/>
        <w:t>Fertility, p</w:t>
      </w:r>
      <w:r w:rsidRPr="000D28E6">
        <w:rPr>
          <w:rFonts w:eastAsia="SimSun"/>
          <w:b/>
          <w:noProof/>
          <w:lang w:val="en-GB"/>
        </w:rPr>
        <w:t>regnancy and lactation</w:t>
      </w:r>
    </w:p>
    <w:p w:rsidR="00863CEA" w:rsidRPr="000D28E6" w:rsidP="006633C6" w14:paraId="10053E94" w14:textId="77777777">
      <w:pPr>
        <w:keepNext/>
        <w:keepLines/>
        <w:suppressLineNumbers/>
        <w:rPr>
          <w:rFonts w:eastAsia="SimSun"/>
          <w:noProof/>
          <w:lang w:val="en-GB"/>
        </w:rPr>
      </w:pPr>
    </w:p>
    <w:p w:rsidR="00C12931" w:rsidRPr="000D28E6" w:rsidP="006633C6" w14:paraId="343E7567" w14:textId="77777777">
      <w:pPr>
        <w:keepNext/>
        <w:keepLines/>
        <w:rPr>
          <w:rFonts w:eastAsia="SimSun"/>
          <w:strike/>
          <w:noProof/>
          <w:u w:val="single"/>
          <w:lang w:val="en-GB"/>
        </w:rPr>
      </w:pPr>
      <w:r w:rsidRPr="000D28E6">
        <w:rPr>
          <w:rFonts w:eastAsia="SimSun"/>
          <w:noProof/>
          <w:u w:val="single"/>
          <w:lang w:val="en-GB" w:eastAsia="zh-CN"/>
        </w:rPr>
        <w:t xml:space="preserve">Contraception </w:t>
      </w:r>
    </w:p>
    <w:p w:rsidR="00C12931" w:rsidRPr="000D28E6" w:rsidP="006633C6" w14:paraId="5B2ACEC0" w14:textId="77777777">
      <w:pPr>
        <w:keepNext/>
        <w:keepLines/>
        <w:rPr>
          <w:rFonts w:eastAsia="SimSun"/>
          <w:noProof/>
          <w:lang w:val="en-GB"/>
        </w:rPr>
      </w:pPr>
    </w:p>
    <w:p w:rsidR="006C55FF" w:rsidRPr="000D28E6" w:rsidP="006633C6" w14:paraId="144A8FE4" w14:textId="77777777">
      <w:pPr>
        <w:keepNext/>
        <w:keepLines/>
        <w:rPr>
          <w:rFonts w:eastAsia="SimSun"/>
          <w:noProof/>
          <w:lang w:val="en-GB"/>
        </w:rPr>
      </w:pPr>
      <w:r w:rsidRPr="000D28E6">
        <w:rPr>
          <w:rFonts w:eastAsia="SimSun"/>
          <w:noProof/>
          <w:szCs w:val="22"/>
          <w:lang w:val="en-GB"/>
        </w:rPr>
        <w:t xml:space="preserve">Women of childbearing potential should use effective contraception while receiving Perjeta and for 6 months following the last dose of </w:t>
      </w:r>
      <w:r w:rsidR="002E6338">
        <w:rPr>
          <w:rFonts w:eastAsia="SimSun"/>
          <w:noProof/>
          <w:szCs w:val="22"/>
          <w:lang w:val="en-GB"/>
        </w:rPr>
        <w:t>pertuzumab</w:t>
      </w:r>
      <w:r w:rsidRPr="000D28E6">
        <w:rPr>
          <w:rFonts w:eastAsia="SimSun"/>
          <w:noProof/>
          <w:szCs w:val="22"/>
          <w:lang w:val="en-GB"/>
        </w:rPr>
        <w:t>.</w:t>
      </w:r>
    </w:p>
    <w:p w:rsidR="00C12931" w:rsidRPr="000D28E6" w:rsidP="006633C6" w14:paraId="0B7EE623" w14:textId="77777777">
      <w:pPr>
        <w:keepNext/>
        <w:keepLines/>
        <w:rPr>
          <w:rFonts w:eastAsia="SimSun"/>
          <w:noProof/>
          <w:u w:val="single"/>
          <w:lang w:val="en-GB"/>
        </w:rPr>
      </w:pPr>
    </w:p>
    <w:p w:rsidR="00863CEA" w:rsidRPr="000D28E6" w:rsidP="006633C6" w14:paraId="1E4F8B0F" w14:textId="77777777">
      <w:pPr>
        <w:keepNext/>
        <w:keepLines/>
        <w:rPr>
          <w:rFonts w:eastAsia="SimSun"/>
          <w:noProof/>
          <w:u w:val="single"/>
          <w:lang w:val="en-GB"/>
        </w:rPr>
      </w:pPr>
      <w:r w:rsidRPr="000D28E6">
        <w:rPr>
          <w:rFonts w:eastAsia="SimSun"/>
          <w:noProof/>
          <w:u w:val="single"/>
          <w:lang w:val="en-GB"/>
        </w:rPr>
        <w:t>Pregnancy</w:t>
      </w:r>
    </w:p>
    <w:p w:rsidR="006A67D0" w:rsidRPr="000D28E6" w:rsidP="00A311EA" w14:paraId="6C9676B8" w14:textId="77777777">
      <w:pPr>
        <w:rPr>
          <w:rFonts w:eastAsia="SimSun"/>
          <w:noProof/>
          <w:lang w:val="en-GB"/>
        </w:rPr>
      </w:pPr>
    </w:p>
    <w:p w:rsidR="00B00B2A" w:rsidRPr="000D28E6" w:rsidP="00B00B2A" w14:paraId="63555A7E" w14:textId="77777777">
      <w:pPr>
        <w:rPr>
          <w:rFonts w:eastAsia="SimSun"/>
          <w:lang w:val="en-GB"/>
        </w:rPr>
      </w:pPr>
      <w:r w:rsidRPr="000D28E6">
        <w:rPr>
          <w:rFonts w:eastAsia="SimSun"/>
          <w:lang w:val="en-GB"/>
        </w:rPr>
        <w:t xml:space="preserve">There is limited amount of data from the use of pertuzumab in pregnant women. </w:t>
      </w:r>
    </w:p>
    <w:p w:rsidR="00B00B2A" w:rsidRPr="000D28E6" w:rsidP="00B00B2A" w14:paraId="5C7D71F5" w14:textId="77777777">
      <w:pPr>
        <w:rPr>
          <w:rFonts w:eastAsia="SimSun"/>
          <w:lang w:val="en-GB"/>
        </w:rPr>
      </w:pPr>
      <w:r w:rsidRPr="000D28E6">
        <w:rPr>
          <w:rFonts w:eastAsia="SimSun"/>
          <w:lang w:val="en-GB"/>
        </w:rPr>
        <w:t>Studies in animals have shown reproductive toxicity (see section 5.3).</w:t>
      </w:r>
    </w:p>
    <w:p w:rsidR="00B00B2A" w:rsidRPr="000D28E6" w:rsidP="00B00B2A" w14:paraId="5389AA35" w14:textId="77777777">
      <w:pPr>
        <w:rPr>
          <w:rFonts w:eastAsia="SimSun"/>
          <w:lang w:val="en-GB"/>
        </w:rPr>
      </w:pPr>
      <w:r w:rsidRPr="000D28E6">
        <w:rPr>
          <w:rFonts w:eastAsia="SimSun"/>
          <w:lang w:val="en-GB"/>
        </w:rPr>
        <w:t>Perjeta is not recommended during pregnancy and in women</w:t>
      </w:r>
      <w:r w:rsidRPr="000D28E6">
        <w:rPr>
          <w:rFonts w:eastAsia="SimSun"/>
          <w:noProof/>
          <w:lang w:val="en-GB"/>
        </w:rPr>
        <w:t xml:space="preserve"> of childbearing potential </w:t>
      </w:r>
      <w:r w:rsidRPr="000D28E6">
        <w:rPr>
          <w:rFonts w:eastAsia="SimSun"/>
          <w:lang w:val="en-GB"/>
        </w:rPr>
        <w:t>not using</w:t>
      </w:r>
      <w:r w:rsidRPr="000D28E6">
        <w:rPr>
          <w:rFonts w:eastAsia="SimSun"/>
          <w:noProof/>
          <w:lang w:val="en-GB"/>
        </w:rPr>
        <w:t xml:space="preserve"> contraception</w:t>
      </w:r>
      <w:r w:rsidRPr="000D28E6">
        <w:rPr>
          <w:rFonts w:eastAsia="SimSun"/>
          <w:lang w:val="en-GB"/>
        </w:rPr>
        <w:t xml:space="preserve">. </w:t>
      </w:r>
    </w:p>
    <w:p w:rsidR="00863CEA" w:rsidRPr="000D28E6" w:rsidP="00A311EA" w14:paraId="635383CD" w14:textId="77777777">
      <w:pPr>
        <w:rPr>
          <w:rFonts w:eastAsia="SimSun"/>
          <w:color w:val="000000"/>
          <w:lang w:val="en-GB"/>
        </w:rPr>
      </w:pPr>
    </w:p>
    <w:p w:rsidR="00863CEA" w:rsidRPr="000D28E6" w:rsidP="00A311EA" w14:paraId="15F4336E" w14:textId="77777777">
      <w:pPr>
        <w:rPr>
          <w:rFonts w:eastAsia="SimSun"/>
          <w:noProof/>
          <w:u w:val="single"/>
          <w:lang w:val="en-GB"/>
        </w:rPr>
      </w:pPr>
      <w:r w:rsidRPr="000D28E6">
        <w:rPr>
          <w:rFonts w:eastAsia="SimSun"/>
          <w:noProof/>
          <w:u w:val="single"/>
          <w:lang w:val="en-GB"/>
        </w:rPr>
        <w:t>Breast-feeding</w:t>
      </w:r>
    </w:p>
    <w:p w:rsidR="00863CEA" w:rsidRPr="000D28E6" w:rsidP="00A311EA" w14:paraId="5465C246" w14:textId="77777777">
      <w:pPr>
        <w:rPr>
          <w:rFonts w:eastAsia="SimSun"/>
          <w:noProof/>
          <w:lang w:val="en-GB"/>
        </w:rPr>
      </w:pPr>
    </w:p>
    <w:p w:rsidR="00863CEA" w:rsidRPr="000D28E6" w:rsidP="00A311EA" w14:paraId="5EDAE3ED" w14:textId="77777777">
      <w:pPr>
        <w:rPr>
          <w:rFonts w:eastAsia="SimSun"/>
          <w:lang w:val="en-GB" w:eastAsia="de-DE"/>
        </w:rPr>
      </w:pPr>
      <w:r w:rsidRPr="000D28E6">
        <w:rPr>
          <w:rFonts w:eastAsia="SimSun"/>
          <w:lang w:val="en-GB" w:eastAsia="de-DE"/>
        </w:rPr>
        <w:t xml:space="preserve">Because human IgG is secreted in human milk and the potential for absorption and harm to the infant is unknown, a decision should be made to discontinue breast-feeding or to discontinue treatment, taking into account the benefit of </w:t>
      </w:r>
      <w:r w:rsidRPr="000D28E6" w:rsidR="00674A2C">
        <w:rPr>
          <w:rFonts w:eastAsia="SimSun"/>
          <w:lang w:val="en-GB" w:eastAsia="de-DE"/>
        </w:rPr>
        <w:t xml:space="preserve">breast-feeding </w:t>
      </w:r>
      <w:r w:rsidRPr="000D28E6">
        <w:rPr>
          <w:rFonts w:eastAsia="SimSun"/>
          <w:lang w:val="en-GB" w:eastAsia="de-DE"/>
        </w:rPr>
        <w:t xml:space="preserve">for the child and the benefit of </w:t>
      </w:r>
      <w:r w:rsidRPr="000D28E6" w:rsidR="002C3FA8">
        <w:rPr>
          <w:rFonts w:eastAsia="SimSun"/>
          <w:lang w:val="en-GB" w:eastAsia="de-DE"/>
        </w:rPr>
        <w:t>Perjeta</w:t>
      </w:r>
      <w:r w:rsidRPr="000D28E6">
        <w:rPr>
          <w:rFonts w:eastAsia="SimSun"/>
          <w:lang w:val="en-GB" w:eastAsia="de-DE"/>
        </w:rPr>
        <w:t xml:space="preserve"> therapy for the woman (see section 5.2).</w:t>
      </w:r>
    </w:p>
    <w:p w:rsidR="00863CEA" w:rsidRPr="000D28E6" w:rsidP="00A311EA" w14:paraId="0E66D58A" w14:textId="77777777">
      <w:pPr>
        <w:rPr>
          <w:rFonts w:eastAsia="SimSun"/>
          <w:noProof/>
          <w:lang w:val="en-GB"/>
        </w:rPr>
      </w:pPr>
    </w:p>
    <w:p w:rsidR="00863CEA" w:rsidRPr="000D28E6" w:rsidP="006633C6" w14:paraId="1A1ACBD4" w14:textId="77777777">
      <w:pPr>
        <w:keepNext/>
        <w:keepLines/>
        <w:rPr>
          <w:rFonts w:eastAsia="SimSun"/>
          <w:noProof/>
          <w:u w:val="single"/>
          <w:lang w:val="en-GB"/>
        </w:rPr>
      </w:pPr>
      <w:r w:rsidRPr="000D28E6">
        <w:rPr>
          <w:rFonts w:eastAsia="SimSun"/>
          <w:noProof/>
          <w:u w:val="single"/>
          <w:lang w:val="en-GB"/>
        </w:rPr>
        <w:t>Fertility</w:t>
      </w:r>
    </w:p>
    <w:p w:rsidR="00863CEA" w:rsidRPr="000D28E6" w:rsidP="006633C6" w14:paraId="110A3C71" w14:textId="77777777">
      <w:pPr>
        <w:keepNext/>
        <w:keepLines/>
        <w:rPr>
          <w:rFonts w:eastAsia="SimSun"/>
          <w:noProof/>
          <w:lang w:val="en-GB"/>
        </w:rPr>
      </w:pPr>
    </w:p>
    <w:p w:rsidR="00863CEA" w:rsidRPr="001F5859" w:rsidP="00A311EA" w14:paraId="50BD65E9" w14:textId="77777777">
      <w:pPr>
        <w:rPr>
          <w:rFonts w:eastAsia="SimSun"/>
          <w:noProof/>
          <w:lang w:val="en-GB"/>
        </w:rPr>
      </w:pPr>
      <w:r w:rsidRPr="001F5859">
        <w:rPr>
          <w:rFonts w:eastAsia="SimSun"/>
          <w:noProof/>
          <w:lang w:val="en-GB"/>
        </w:rPr>
        <w:t xml:space="preserve">No specific fertility studies in animals have been performed to evaluate the effect of </w:t>
      </w:r>
      <w:r w:rsidRPr="001F5859" w:rsidR="005B75C7">
        <w:rPr>
          <w:rFonts w:eastAsia="SimSun"/>
          <w:lang w:val="en-GB" w:eastAsia="zh-CN"/>
        </w:rPr>
        <w:t>pertuzumab</w:t>
      </w:r>
      <w:r w:rsidRPr="001F5859" w:rsidR="00E6553E">
        <w:rPr>
          <w:lang w:val="en-GB"/>
        </w:rPr>
        <w:t>.</w:t>
      </w:r>
      <w:r w:rsidRPr="001F5859" w:rsidR="00E6553E">
        <w:rPr>
          <w:rFonts w:eastAsia="SimSun"/>
          <w:noProof/>
          <w:lang w:val="en-GB"/>
        </w:rPr>
        <w:t xml:space="preserve"> </w:t>
      </w:r>
      <w:r w:rsidRPr="001F5859" w:rsidR="00BF4782">
        <w:rPr>
          <w:rFonts w:eastAsia="SimSun"/>
          <w:noProof/>
          <w:lang w:val="en-GB"/>
        </w:rPr>
        <w:t xml:space="preserve">In repeated dose toxicity studies in cynomolgus monkeys, no definitive conclusions could be drawn on the adverse effect on male reproductive organs. </w:t>
      </w:r>
      <w:r w:rsidRPr="001F5859" w:rsidR="00A15B80">
        <w:rPr>
          <w:rFonts w:eastAsia="SimSun"/>
          <w:lang w:val="en-GB" w:eastAsia="zh-CN"/>
        </w:rPr>
        <w:t xml:space="preserve">No adverse </w:t>
      </w:r>
      <w:r w:rsidRPr="001F5859" w:rsidR="00F76F21">
        <w:rPr>
          <w:rFonts w:eastAsia="SimSun"/>
          <w:lang w:val="en-GB" w:eastAsia="zh-CN"/>
        </w:rPr>
        <w:t xml:space="preserve">reactions </w:t>
      </w:r>
      <w:r w:rsidRPr="001F5859" w:rsidR="00A15B80">
        <w:rPr>
          <w:rFonts w:eastAsia="SimSun"/>
          <w:lang w:val="en-GB" w:eastAsia="zh-CN"/>
        </w:rPr>
        <w:t>were observed in sexually mature female cynomolgus monkeys exposed to pertuzumab</w:t>
      </w:r>
      <w:r w:rsidRPr="001F5859" w:rsidR="00BF4782">
        <w:rPr>
          <w:rFonts w:eastAsia="SimSun"/>
          <w:lang w:val="en-GB" w:eastAsia="zh-CN"/>
        </w:rPr>
        <w:t xml:space="preserve"> (see section 5.3)</w:t>
      </w:r>
      <w:r w:rsidRPr="001F5859" w:rsidR="00A15B80">
        <w:rPr>
          <w:rFonts w:eastAsia="SimSun"/>
          <w:lang w:val="en-GB" w:eastAsia="zh-CN"/>
        </w:rPr>
        <w:t>.</w:t>
      </w:r>
    </w:p>
    <w:p w:rsidR="00A57E6B" w:rsidRPr="001F5859" w:rsidP="00A311EA" w14:paraId="0CFB7197" w14:textId="77777777">
      <w:pPr>
        <w:rPr>
          <w:rFonts w:eastAsia="SimSun"/>
          <w:b/>
          <w:noProof/>
          <w:lang w:val="en-GB"/>
        </w:rPr>
      </w:pPr>
    </w:p>
    <w:p w:rsidR="00863CEA" w:rsidRPr="001F5859" w:rsidP="007C4DC4" w14:paraId="25416E72" w14:textId="77777777">
      <w:pPr>
        <w:keepNext/>
        <w:keepLines/>
        <w:rPr>
          <w:rFonts w:eastAsia="SimSun"/>
          <w:noProof/>
          <w:lang w:val="en-GB"/>
        </w:rPr>
      </w:pPr>
      <w:r w:rsidRPr="001F5859">
        <w:rPr>
          <w:rFonts w:eastAsia="SimSun"/>
          <w:b/>
          <w:noProof/>
          <w:lang w:val="en-GB"/>
        </w:rPr>
        <w:t>4.7</w:t>
      </w:r>
      <w:r w:rsidRPr="001F5859">
        <w:rPr>
          <w:rFonts w:eastAsia="SimSun"/>
          <w:b/>
          <w:noProof/>
          <w:lang w:val="en-GB"/>
        </w:rPr>
        <w:tab/>
        <w:t>Effects on ability to drive and use machines</w:t>
      </w:r>
    </w:p>
    <w:p w:rsidR="00863CEA" w:rsidRPr="001F5859" w:rsidP="007C4DC4" w14:paraId="5A36D4EB" w14:textId="77777777">
      <w:pPr>
        <w:keepNext/>
        <w:keepLines/>
        <w:rPr>
          <w:rFonts w:eastAsia="SimSun"/>
          <w:noProof/>
          <w:lang w:val="en-GB"/>
        </w:rPr>
      </w:pPr>
    </w:p>
    <w:p w:rsidR="00863CEA" w:rsidRPr="001F5859" w:rsidP="00D94D57" w14:paraId="04931C7B" w14:textId="104594C7">
      <w:pPr>
        <w:keepNext/>
        <w:keepLines/>
        <w:rPr>
          <w:lang w:val="en-GB"/>
        </w:rPr>
      </w:pPr>
      <w:r w:rsidRPr="001F5859">
        <w:rPr>
          <w:rFonts w:eastAsia="SimSun"/>
          <w:lang w:val="en-GB"/>
        </w:rPr>
        <w:t xml:space="preserve">On the basis of reported adverse reactions, </w:t>
      </w:r>
      <w:r w:rsidRPr="001F5859" w:rsidR="00F76F21">
        <w:rPr>
          <w:rFonts w:eastAsia="SimSun"/>
          <w:lang w:val="en-GB"/>
        </w:rPr>
        <w:t xml:space="preserve">Perjeta has </w:t>
      </w:r>
      <w:r w:rsidR="0028477C">
        <w:rPr>
          <w:rFonts w:eastAsia="SimSun"/>
          <w:lang w:val="en-GB"/>
        </w:rPr>
        <w:t xml:space="preserve">a minor </w:t>
      </w:r>
      <w:r w:rsidRPr="001F5859">
        <w:rPr>
          <w:rFonts w:eastAsia="SimSun"/>
          <w:lang w:val="en-GB"/>
        </w:rPr>
        <w:t xml:space="preserve">influence </w:t>
      </w:r>
      <w:r w:rsidRPr="001F5859" w:rsidR="00BF4782">
        <w:rPr>
          <w:rFonts w:eastAsia="SimSun"/>
          <w:lang w:val="en-GB"/>
        </w:rPr>
        <w:t xml:space="preserve">on </w:t>
      </w:r>
      <w:r w:rsidRPr="001F5859">
        <w:rPr>
          <w:rFonts w:eastAsia="SimSun"/>
          <w:lang w:val="en-GB"/>
        </w:rPr>
        <w:t>the ability to drive or use machines</w:t>
      </w:r>
      <w:r w:rsidRPr="001F5859" w:rsidR="00BD4146">
        <w:rPr>
          <w:rFonts w:eastAsia="SimSun"/>
          <w:lang w:val="en-GB"/>
        </w:rPr>
        <w:t>.</w:t>
      </w:r>
      <w:r w:rsidRPr="001F5859">
        <w:rPr>
          <w:rFonts w:eastAsia="SimSun"/>
          <w:lang w:val="en-GB"/>
        </w:rPr>
        <w:t xml:space="preserve"> </w:t>
      </w:r>
      <w:r w:rsidRPr="000110ED" w:rsidR="0028477C">
        <w:rPr>
          <w:iCs/>
        </w:rPr>
        <w:t xml:space="preserve">Dizziness may occur during treatment with Perjeta (see section 4.8). </w:t>
      </w:r>
      <w:r w:rsidRPr="001F5859">
        <w:rPr>
          <w:rFonts w:eastAsia="SimSun"/>
          <w:lang w:val="en-GB"/>
        </w:rPr>
        <w:t>Patients experiencing infusion reactions should be advised not to drive and use machines until symptoms abate.</w:t>
      </w:r>
      <w:r w:rsidRPr="001F5859" w:rsidR="004C6AFF">
        <w:rPr>
          <w:rFonts w:eastAsia="SimSun"/>
          <w:lang w:val="en-GB"/>
        </w:rPr>
        <w:t xml:space="preserve"> </w:t>
      </w:r>
    </w:p>
    <w:p w:rsidR="00D94D57" w:rsidRPr="001F5859" w:rsidP="00D94D57" w14:paraId="1AB85DBF" w14:textId="77777777">
      <w:pPr>
        <w:keepNext/>
        <w:keepLines/>
        <w:rPr>
          <w:lang w:val="en-GB"/>
        </w:rPr>
      </w:pPr>
    </w:p>
    <w:p w:rsidR="00863CEA" w:rsidRPr="001F5859" w:rsidP="00A311EA" w14:paraId="2DF131AB" w14:textId="77777777">
      <w:pPr>
        <w:rPr>
          <w:rFonts w:eastAsia="SimSun"/>
          <w:b/>
          <w:noProof/>
          <w:lang w:val="en-GB"/>
        </w:rPr>
      </w:pPr>
      <w:r w:rsidRPr="001F5859">
        <w:rPr>
          <w:rFonts w:eastAsia="SimSun"/>
          <w:b/>
          <w:noProof/>
          <w:lang w:val="en-GB"/>
        </w:rPr>
        <w:t>4.8</w:t>
      </w:r>
      <w:r w:rsidRPr="001F5859">
        <w:rPr>
          <w:rFonts w:eastAsia="SimSun"/>
          <w:b/>
          <w:noProof/>
          <w:lang w:val="en-GB"/>
        </w:rPr>
        <w:tab/>
        <w:t>Undesirable effects</w:t>
      </w:r>
      <w:r w:rsidRPr="001F5859" w:rsidR="006F3F1A">
        <w:rPr>
          <w:b/>
          <w:noProof/>
          <w:lang w:val="en-GB"/>
        </w:rPr>
        <w:t xml:space="preserve"> </w:t>
      </w:r>
    </w:p>
    <w:p w:rsidR="00863CEA" w:rsidRPr="001F5859" w:rsidP="00A311EA" w14:paraId="190B3953" w14:textId="77777777">
      <w:pPr>
        <w:rPr>
          <w:rFonts w:eastAsia="SimSun"/>
          <w:noProof/>
          <w:lang w:val="en-GB"/>
        </w:rPr>
      </w:pPr>
    </w:p>
    <w:p w:rsidR="00863CEA" w:rsidRPr="001F5859" w:rsidP="00A311EA" w14:paraId="5EA2F493" w14:textId="77777777">
      <w:pPr>
        <w:rPr>
          <w:rFonts w:eastAsia="SimSun"/>
          <w:noProof/>
          <w:u w:val="single"/>
          <w:lang w:val="en-GB"/>
        </w:rPr>
      </w:pPr>
      <w:r w:rsidRPr="001F5859">
        <w:rPr>
          <w:rFonts w:eastAsia="SimSun"/>
          <w:noProof/>
          <w:u w:val="single"/>
          <w:lang w:val="en-GB"/>
        </w:rPr>
        <w:t>Summary of the safety profile</w:t>
      </w:r>
    </w:p>
    <w:p w:rsidR="00863CEA" w:rsidRPr="001F5859" w:rsidP="00A311EA" w14:paraId="2C8D99EC" w14:textId="77777777">
      <w:pPr>
        <w:rPr>
          <w:rFonts w:eastAsia="SimSun"/>
          <w:noProof/>
          <w:lang w:val="en-GB"/>
        </w:rPr>
      </w:pPr>
    </w:p>
    <w:p w:rsidR="006F3F1A" w:rsidRPr="00BF2495" w:rsidP="00A311EA" w14:paraId="4F56C980" w14:textId="77777777">
      <w:pPr>
        <w:rPr>
          <w:lang w:val="en-GB"/>
        </w:rPr>
      </w:pPr>
      <w:r w:rsidRPr="001F5859">
        <w:rPr>
          <w:rFonts w:eastAsia="SimSun"/>
          <w:lang w:val="en-GB"/>
        </w:rPr>
        <w:t xml:space="preserve">The safety of </w:t>
      </w:r>
      <w:r w:rsidRPr="001F5859" w:rsidR="002C3FA8">
        <w:rPr>
          <w:rFonts w:eastAsia="SimSun"/>
          <w:lang w:val="en-GB"/>
        </w:rPr>
        <w:t>Perjeta</w:t>
      </w:r>
      <w:r w:rsidRPr="001F5859">
        <w:rPr>
          <w:rFonts w:eastAsia="SimSun"/>
          <w:lang w:val="en-GB"/>
        </w:rPr>
        <w:t xml:space="preserve"> has been evaluated in more than </w:t>
      </w:r>
      <w:r w:rsidRPr="001F5859" w:rsidR="00BF4782">
        <w:rPr>
          <w:rFonts w:eastAsia="SimSun"/>
          <w:lang w:val="en-GB"/>
        </w:rPr>
        <w:t>6,000</w:t>
      </w:r>
      <w:r w:rsidRPr="001F5859">
        <w:rPr>
          <w:rFonts w:eastAsia="SimSun"/>
          <w:lang w:val="en-GB"/>
        </w:rPr>
        <w:t xml:space="preserve"> patients in </w:t>
      </w:r>
      <w:r w:rsidRPr="001F5859">
        <w:rPr>
          <w:lang w:val="en-GB"/>
        </w:rPr>
        <w:t>Phase</w:t>
      </w:r>
      <w:r w:rsidRPr="001F5859">
        <w:rPr>
          <w:rFonts w:eastAsia="SimSun"/>
          <w:lang w:val="en-GB"/>
        </w:rPr>
        <w:t xml:space="preserve"> I</w:t>
      </w:r>
      <w:r w:rsidRPr="001F5859" w:rsidR="00BF4782">
        <w:rPr>
          <w:rFonts w:eastAsia="SimSun"/>
          <w:lang w:val="en-GB"/>
        </w:rPr>
        <w:t>,</w:t>
      </w:r>
      <w:r w:rsidRPr="001F5859" w:rsidR="00BA2E75">
        <w:rPr>
          <w:rFonts w:eastAsia="SimSun"/>
          <w:lang w:val="en-GB"/>
        </w:rPr>
        <w:t xml:space="preserve"> </w:t>
      </w:r>
      <w:r w:rsidRPr="001F5859">
        <w:rPr>
          <w:rFonts w:eastAsia="SimSun"/>
          <w:lang w:val="en-GB"/>
        </w:rPr>
        <w:t>II</w:t>
      </w:r>
      <w:r w:rsidRPr="001F5859" w:rsidR="00BF4782">
        <w:rPr>
          <w:rFonts w:eastAsia="SimSun"/>
          <w:lang w:val="en-GB"/>
        </w:rPr>
        <w:t>,</w:t>
      </w:r>
      <w:r w:rsidRPr="001F5859">
        <w:rPr>
          <w:rFonts w:eastAsia="SimSun"/>
          <w:lang w:val="en-GB"/>
        </w:rPr>
        <w:t xml:space="preserve"> </w:t>
      </w:r>
      <w:r w:rsidRPr="001F5859" w:rsidR="00BF4782">
        <w:rPr>
          <w:rFonts w:eastAsia="SimSun"/>
          <w:lang w:val="en-GB"/>
        </w:rPr>
        <w:t xml:space="preserve">and III </w:t>
      </w:r>
      <w:r w:rsidRPr="001F5859">
        <w:rPr>
          <w:rFonts w:eastAsia="SimSun"/>
          <w:lang w:val="en-GB"/>
        </w:rPr>
        <w:t xml:space="preserve">trials in patients with various malignancies and predominantly treated with </w:t>
      </w:r>
      <w:r w:rsidRPr="001F5859" w:rsidR="002C3FA8">
        <w:rPr>
          <w:rFonts w:eastAsia="SimSun"/>
          <w:lang w:val="en-GB"/>
        </w:rPr>
        <w:t>Perjeta</w:t>
      </w:r>
      <w:r w:rsidRPr="001F5859">
        <w:rPr>
          <w:rFonts w:eastAsia="SimSun"/>
          <w:lang w:val="en-GB"/>
        </w:rPr>
        <w:t xml:space="preserve"> in combination with other antineoplastic agents. </w:t>
      </w:r>
      <w:r w:rsidRPr="001F5859" w:rsidR="00BF4782">
        <w:rPr>
          <w:rFonts w:eastAsia="SimSun"/>
        </w:rPr>
        <w:t xml:space="preserve">Those studies included the pivotal trials CLEOPATRA (n=808), NEOSPHERE (n=417), TRYPHAENA (n=225), and APHINITY (n=4804) [pooled in Table 2]. </w:t>
      </w:r>
      <w:r w:rsidRPr="001F5859">
        <w:rPr>
          <w:lang w:val="en-GB"/>
        </w:rPr>
        <w:t xml:space="preserve">The safety of Perjeta was generally consistent </w:t>
      </w:r>
      <w:r w:rsidRPr="001F5859" w:rsidR="00BF4782">
        <w:rPr>
          <w:lang w:val="en-GB"/>
        </w:rPr>
        <w:t>across studies</w:t>
      </w:r>
      <w:r w:rsidRPr="001F5859">
        <w:rPr>
          <w:lang w:val="en-GB"/>
        </w:rPr>
        <w:t>, although the incidence and most common</w:t>
      </w:r>
      <w:r w:rsidRPr="00BF2495">
        <w:rPr>
          <w:lang w:val="en-GB"/>
        </w:rPr>
        <w:t xml:space="preserve"> adverse drug reactions (ADRs) varied depending on whether Perjeta was administered as monotherapy or with concomitant anti-neoplastic agents. </w:t>
      </w:r>
    </w:p>
    <w:p w:rsidR="003C161C" w:rsidRPr="000D28E6" w:rsidP="00A311EA" w14:paraId="4F7D1A60" w14:textId="77777777">
      <w:pPr>
        <w:rPr>
          <w:rFonts w:eastAsia="SimSun"/>
          <w:lang w:val="en-GB"/>
        </w:rPr>
      </w:pPr>
    </w:p>
    <w:p w:rsidR="00863CEA" w:rsidRPr="000D28E6" w:rsidP="00B82876" w14:paraId="0D69BDC7" w14:textId="77777777">
      <w:pPr>
        <w:keepNext/>
        <w:keepLines/>
        <w:rPr>
          <w:rFonts w:eastAsia="SimSun"/>
          <w:u w:val="single"/>
          <w:lang w:val="en-GB"/>
        </w:rPr>
      </w:pPr>
      <w:r w:rsidRPr="000D28E6">
        <w:rPr>
          <w:rFonts w:eastAsia="SimSun"/>
          <w:u w:val="single"/>
          <w:lang w:val="en-GB"/>
        </w:rPr>
        <w:t xml:space="preserve">Tabulated </w:t>
      </w:r>
      <w:r w:rsidRPr="000D28E6" w:rsidR="002D4985">
        <w:rPr>
          <w:rFonts w:eastAsia="SimSun"/>
          <w:u w:val="single"/>
          <w:lang w:val="en-GB"/>
        </w:rPr>
        <w:t xml:space="preserve">list </w:t>
      </w:r>
      <w:r w:rsidRPr="000D28E6">
        <w:rPr>
          <w:rFonts w:eastAsia="SimSun"/>
          <w:u w:val="single"/>
          <w:lang w:val="en-GB"/>
        </w:rPr>
        <w:t>of adverse reactions</w:t>
      </w:r>
    </w:p>
    <w:p w:rsidR="00863CEA" w:rsidRPr="000D28E6" w:rsidP="00B82876" w14:paraId="2CA23A29" w14:textId="77777777">
      <w:pPr>
        <w:keepNext/>
        <w:keepLines/>
        <w:rPr>
          <w:rFonts w:eastAsia="SimSun"/>
          <w:noProof/>
          <w:lang w:val="en-GB"/>
        </w:rPr>
      </w:pPr>
    </w:p>
    <w:p w:rsidR="00BF4782" w:rsidRPr="001F5859" w:rsidP="00B82876" w14:paraId="669DF994" w14:textId="77777777">
      <w:pPr>
        <w:keepNext/>
        <w:keepLines/>
        <w:rPr>
          <w:rFonts w:eastAsia="SimSun"/>
          <w:lang w:val="en-GB"/>
        </w:rPr>
      </w:pPr>
      <w:r w:rsidRPr="000D28E6">
        <w:rPr>
          <w:rFonts w:eastAsia="SimSun"/>
          <w:lang w:val="en-GB"/>
        </w:rPr>
        <w:t>Tabl</w:t>
      </w:r>
      <w:r w:rsidRPr="001F5859">
        <w:rPr>
          <w:rFonts w:eastAsia="SimSun"/>
          <w:lang w:val="en-GB"/>
        </w:rPr>
        <w:t xml:space="preserve">e 2 </w:t>
      </w:r>
      <w:r w:rsidRPr="001F5859" w:rsidR="00836818">
        <w:rPr>
          <w:rFonts w:eastAsia="SimSun"/>
          <w:lang w:val="en-GB"/>
        </w:rPr>
        <w:t>summarizes</w:t>
      </w:r>
      <w:r w:rsidRPr="001F5859">
        <w:rPr>
          <w:rFonts w:eastAsia="SimSun"/>
          <w:lang w:val="en-GB"/>
        </w:rPr>
        <w:t xml:space="preserve"> the ADRs from the Perjeta-treated groups of the following pivotal clinical trials:</w:t>
      </w:r>
    </w:p>
    <w:p w:rsidR="00240D34" w:rsidRPr="001F5859" w:rsidP="001F5859" w14:paraId="557C95EE" w14:textId="77777777">
      <w:pPr>
        <w:ind w:left="714" w:hanging="357"/>
        <w:rPr>
          <w:lang w:val="en-GB"/>
        </w:rPr>
      </w:pPr>
      <w:r w:rsidRPr="000D28E6">
        <w:rPr>
          <w:rFonts w:ascii="Symbol" w:eastAsia="SimSun" w:hAnsi="Symbol"/>
          <w:lang w:val="en-GB"/>
        </w:rPr>
        <w:sym w:font="Symbol" w:char="F0B7"/>
      </w:r>
      <w:r>
        <w:rPr>
          <w:rFonts w:eastAsia="SimSun"/>
          <w:lang w:val="en-GB"/>
        </w:rPr>
        <w:tab/>
      </w:r>
      <w:r w:rsidRPr="001F5859" w:rsidR="00863CEA">
        <w:rPr>
          <w:rFonts w:eastAsia="SimSun"/>
          <w:lang w:val="en-GB"/>
        </w:rPr>
        <w:t xml:space="preserve">CLEOPATRA, in which </w:t>
      </w:r>
      <w:r w:rsidRPr="001F5859" w:rsidR="002C3FA8">
        <w:rPr>
          <w:rFonts w:eastAsia="SimSun"/>
          <w:lang w:val="en-GB"/>
        </w:rPr>
        <w:t>Perjeta</w:t>
      </w:r>
      <w:r w:rsidRPr="001F5859" w:rsidR="00863CEA">
        <w:rPr>
          <w:rFonts w:eastAsia="SimSun"/>
          <w:lang w:val="en-GB"/>
        </w:rPr>
        <w:t xml:space="preserve"> was given in combination with docetaxel and </w:t>
      </w:r>
      <w:r w:rsidRPr="001F5859" w:rsidR="006753EF">
        <w:rPr>
          <w:rFonts w:eastAsia="SimSun"/>
          <w:lang w:val="en-GB"/>
        </w:rPr>
        <w:t>trastuzumab</w:t>
      </w:r>
      <w:r w:rsidRPr="001F5859" w:rsidR="006F3F1A">
        <w:rPr>
          <w:lang w:val="en-GB"/>
        </w:rPr>
        <w:t xml:space="preserve"> to patients with metastatic breast cancer</w:t>
      </w:r>
      <w:r w:rsidRPr="001F5859" w:rsidR="00BF4782">
        <w:rPr>
          <w:lang w:val="en-GB"/>
        </w:rPr>
        <w:t xml:space="preserve"> (n=453)</w:t>
      </w:r>
    </w:p>
    <w:p w:rsidR="00240D34" w:rsidRPr="001F5859" w:rsidP="001F5859" w14:paraId="2790AC45" w14:textId="77777777">
      <w:pPr>
        <w:ind w:left="714" w:hanging="357"/>
        <w:rPr>
          <w:color w:val="000000"/>
          <w:lang w:val="en-GB"/>
        </w:rPr>
      </w:pPr>
      <w:r w:rsidRPr="000D28E6">
        <w:rPr>
          <w:rFonts w:ascii="Symbol" w:eastAsia="SimSun" w:hAnsi="Symbol"/>
          <w:lang w:val="en-GB"/>
        </w:rPr>
        <w:sym w:font="Symbol" w:char="F0B7"/>
      </w:r>
      <w:r>
        <w:rPr>
          <w:rFonts w:eastAsia="SimSun"/>
          <w:lang w:val="en-GB"/>
        </w:rPr>
        <w:tab/>
      </w:r>
      <w:r w:rsidRPr="001F5859">
        <w:rPr>
          <w:color w:val="000000"/>
          <w:lang w:val="en-GB"/>
        </w:rPr>
        <w:t>NEOSPHERE (n=309) and TRYPHAENA (n=218), in which neoadjuvant Perjeta was given in combination with trastuzumab and chemotherapy to patients with locally advanced, inflammatory, or early breast cancer</w:t>
      </w:r>
    </w:p>
    <w:p w:rsidR="00240D34" w:rsidP="001F5859" w14:paraId="742DA09D" w14:textId="77777777">
      <w:pPr>
        <w:ind w:left="714" w:hanging="357"/>
      </w:pPr>
      <w:r w:rsidRPr="000D28E6">
        <w:rPr>
          <w:rFonts w:ascii="Symbol" w:eastAsia="SimSun" w:hAnsi="Symbol"/>
          <w:lang w:val="en-GB"/>
        </w:rPr>
        <w:sym w:font="Symbol" w:char="F0B7"/>
      </w:r>
      <w:r>
        <w:rPr>
          <w:rFonts w:eastAsia="SimSun"/>
          <w:lang w:val="en-GB"/>
        </w:rPr>
        <w:tab/>
      </w:r>
      <w:r w:rsidRPr="008D0C13" w:rsidR="003205E7">
        <w:t xml:space="preserve">APHINITY, in which adjuvant Perjeta was given in combination with </w:t>
      </w:r>
      <w:r w:rsidR="003205E7">
        <w:t>trastuzumab</w:t>
      </w:r>
      <w:r w:rsidRPr="008D0C13" w:rsidR="003205E7">
        <w:t xml:space="preserve"> and anthracycline-based or non-anthracycline-based, taxane-containing chemotherapy to patients with early breast cancer </w:t>
      </w:r>
      <w:r w:rsidRPr="00373FC5" w:rsidR="003205E7">
        <w:t>(n=2364)</w:t>
      </w:r>
    </w:p>
    <w:p w:rsidR="003205E7" w:rsidP="00B82876" w14:paraId="1577A72A" w14:textId="77777777">
      <w:pPr>
        <w:keepNext/>
        <w:keepLines/>
      </w:pPr>
    </w:p>
    <w:p w:rsidR="00863CEA" w:rsidRPr="000D28E6" w:rsidP="00B82876" w14:paraId="2A54C0F7" w14:textId="77777777">
      <w:pPr>
        <w:keepNext/>
        <w:keepLines/>
        <w:rPr>
          <w:rFonts w:eastAsia="SimSun"/>
          <w:lang w:val="en-GB"/>
        </w:rPr>
      </w:pPr>
      <w:r>
        <w:rPr>
          <w:rFonts w:eastAsia="SimSun"/>
          <w:lang w:val="en-GB"/>
        </w:rPr>
        <w:t xml:space="preserve">In addition, ADRs reported in the post-marketing setting are included in Table 2. </w:t>
      </w:r>
      <w:r w:rsidRPr="000D28E6">
        <w:rPr>
          <w:rFonts w:eastAsia="SimSun"/>
          <w:lang w:val="en-GB"/>
        </w:rPr>
        <w:t xml:space="preserve">As </w:t>
      </w:r>
      <w:r w:rsidRPr="000D28E6" w:rsidR="002C3FA8">
        <w:rPr>
          <w:rFonts w:eastAsia="SimSun"/>
          <w:lang w:val="en-GB"/>
        </w:rPr>
        <w:t>Perjeta</w:t>
      </w:r>
      <w:r w:rsidRPr="000D28E6">
        <w:rPr>
          <w:rFonts w:eastAsia="SimSun"/>
          <w:lang w:val="en-GB"/>
        </w:rPr>
        <w:t xml:space="preserve"> </w:t>
      </w:r>
      <w:r w:rsidR="003205E7">
        <w:rPr>
          <w:rFonts w:eastAsia="SimSun"/>
          <w:lang w:val="en-GB"/>
        </w:rPr>
        <w:t>wa</w:t>
      </w:r>
      <w:r w:rsidRPr="000D28E6">
        <w:rPr>
          <w:rFonts w:eastAsia="SimSun"/>
          <w:lang w:val="en-GB"/>
        </w:rPr>
        <w:t xml:space="preserve">s used with </w:t>
      </w:r>
      <w:r w:rsidRPr="000D28E6" w:rsidR="006753EF">
        <w:rPr>
          <w:rFonts w:eastAsia="SimSun"/>
          <w:lang w:val="en-GB"/>
        </w:rPr>
        <w:t xml:space="preserve">trastuzumab </w:t>
      </w:r>
      <w:r w:rsidRPr="000D28E6">
        <w:rPr>
          <w:rFonts w:eastAsia="SimSun"/>
          <w:lang w:val="en-GB"/>
        </w:rPr>
        <w:t xml:space="preserve">and </w:t>
      </w:r>
      <w:r w:rsidRPr="00BF2495" w:rsidR="006F3F1A">
        <w:rPr>
          <w:lang w:val="en-GB"/>
        </w:rPr>
        <w:t>chemotherapy</w:t>
      </w:r>
      <w:r w:rsidR="003205E7">
        <w:rPr>
          <w:lang w:val="en-GB"/>
        </w:rPr>
        <w:t xml:space="preserve"> in these trials</w:t>
      </w:r>
      <w:r w:rsidRPr="000D28E6">
        <w:rPr>
          <w:rFonts w:eastAsia="SimSun"/>
          <w:lang w:val="en-GB"/>
        </w:rPr>
        <w:t xml:space="preserve">, it is difficult to ascertain the causal relationship of an adverse event to a particular medicinal product. </w:t>
      </w:r>
    </w:p>
    <w:p w:rsidR="00863CEA" w:rsidRPr="000D28E6" w:rsidP="00A311EA" w14:paraId="107B7AE2" w14:textId="77777777">
      <w:pPr>
        <w:rPr>
          <w:rFonts w:eastAsia="SimSun"/>
          <w:lang w:val="en-GB"/>
        </w:rPr>
      </w:pPr>
    </w:p>
    <w:p w:rsidR="00136814" w:rsidRPr="000D28E6" w:rsidP="00136814" w14:paraId="6C25D796" w14:textId="77777777">
      <w:pPr>
        <w:keepNext/>
        <w:rPr>
          <w:rFonts w:eastAsia="SimSun"/>
          <w:lang w:val="en-GB"/>
        </w:rPr>
      </w:pPr>
      <w:r w:rsidRPr="000D28E6">
        <w:rPr>
          <w:rFonts w:eastAsia="SimSun"/>
          <w:lang w:val="en-GB"/>
        </w:rPr>
        <w:t xml:space="preserve">The ADRs are listed below by MedDRA system organ class (SOC) and categories of frequency: </w:t>
      </w:r>
    </w:p>
    <w:p w:rsidR="00136814" w:rsidRPr="000D28E6" w:rsidP="00136814" w14:paraId="02CC8B22" w14:textId="77777777">
      <w:pPr>
        <w:keepNext/>
        <w:rPr>
          <w:rFonts w:eastAsia="SimSun"/>
          <w:lang w:val="en-GB"/>
        </w:rPr>
      </w:pPr>
      <w:r w:rsidRPr="000D28E6">
        <w:rPr>
          <w:rFonts w:eastAsia="SimSun"/>
          <w:lang w:val="en-GB"/>
        </w:rPr>
        <w:t>Very common (≥ 1/10)</w:t>
      </w:r>
    </w:p>
    <w:p w:rsidR="00136814" w:rsidRPr="000D28E6" w:rsidP="00136814" w14:paraId="7C025191" w14:textId="77777777">
      <w:pPr>
        <w:keepNext/>
        <w:rPr>
          <w:rFonts w:eastAsia="SimSun"/>
          <w:lang w:val="en-GB"/>
        </w:rPr>
      </w:pPr>
      <w:r w:rsidRPr="000D28E6">
        <w:rPr>
          <w:rFonts w:eastAsia="SimSun"/>
          <w:lang w:val="en-GB"/>
        </w:rPr>
        <w:t>Common (≥ 1/100 to &lt; 1/10)</w:t>
      </w:r>
    </w:p>
    <w:p w:rsidR="00136814" w:rsidRPr="000D28E6" w:rsidP="00136814" w14:paraId="00002D0E" w14:textId="77777777">
      <w:pPr>
        <w:keepNext/>
        <w:rPr>
          <w:rFonts w:eastAsia="SimSun"/>
          <w:lang w:val="en-GB"/>
        </w:rPr>
      </w:pPr>
      <w:r w:rsidRPr="000D28E6">
        <w:rPr>
          <w:rFonts w:eastAsia="SimSun"/>
          <w:lang w:val="en-GB"/>
        </w:rPr>
        <w:t>Uncommon( ≥ 1/1,000 to &lt; 1/100)</w:t>
      </w:r>
    </w:p>
    <w:p w:rsidR="00136814" w:rsidRPr="000D28E6" w:rsidP="00136814" w14:paraId="21CD226B" w14:textId="77777777">
      <w:pPr>
        <w:keepNext/>
        <w:rPr>
          <w:lang w:val="en-GB" w:eastAsia="en-GB"/>
        </w:rPr>
      </w:pPr>
      <w:r w:rsidRPr="000D28E6">
        <w:rPr>
          <w:lang w:val="en-GB" w:eastAsia="en-GB"/>
        </w:rPr>
        <w:t>Rare (</w:t>
      </w:r>
      <w:r w:rsidRPr="000D28E6">
        <w:rPr>
          <w:rFonts w:eastAsia="SimSun"/>
          <w:lang w:val="en-GB"/>
        </w:rPr>
        <w:t>≥ </w:t>
      </w:r>
      <w:r w:rsidRPr="000D28E6">
        <w:rPr>
          <w:lang w:val="en-GB" w:eastAsia="en-GB"/>
        </w:rPr>
        <w:t>1/10,000 to &lt; 1/1,000)</w:t>
      </w:r>
    </w:p>
    <w:p w:rsidR="00136814" w:rsidRPr="000D28E6" w:rsidP="00136814" w14:paraId="55AE1C6B" w14:textId="77777777">
      <w:pPr>
        <w:keepNext/>
        <w:rPr>
          <w:lang w:val="en-GB" w:eastAsia="en-GB"/>
        </w:rPr>
      </w:pPr>
      <w:r w:rsidRPr="000D28E6">
        <w:rPr>
          <w:lang w:val="en-GB" w:eastAsia="en-GB"/>
        </w:rPr>
        <w:t>Very rare (&lt; 1/10,000)</w:t>
      </w:r>
    </w:p>
    <w:p w:rsidR="00136814" w:rsidRPr="000D28E6" w:rsidP="00136814" w14:paraId="13850951" w14:textId="77777777">
      <w:pPr>
        <w:rPr>
          <w:rFonts w:eastAsia="SimSun"/>
          <w:lang w:val="en-GB"/>
        </w:rPr>
      </w:pPr>
      <w:r w:rsidRPr="000D28E6">
        <w:rPr>
          <w:lang w:val="en-GB" w:eastAsia="en-GB"/>
        </w:rPr>
        <w:t>Not known (cannot be estimated from the available data)</w:t>
      </w:r>
    </w:p>
    <w:p w:rsidR="00CE7799" w:rsidRPr="000D28E6" w:rsidP="00A311EA" w14:paraId="71C33719" w14:textId="77777777">
      <w:pPr>
        <w:rPr>
          <w:rFonts w:eastAsia="SimSun"/>
          <w:lang w:val="en-GB"/>
        </w:rPr>
      </w:pPr>
    </w:p>
    <w:p w:rsidR="00CE7799" w:rsidRPr="001F5859" w:rsidP="00A311EA" w14:paraId="6925AFA4" w14:textId="77777777">
      <w:pPr>
        <w:rPr>
          <w:rFonts w:eastAsia="SimSun"/>
          <w:lang w:val="en-GB"/>
        </w:rPr>
      </w:pPr>
      <w:r w:rsidRPr="000D28E6">
        <w:rPr>
          <w:rFonts w:eastAsia="SimSun"/>
          <w:lang w:val="en-GB"/>
        </w:rPr>
        <w:t xml:space="preserve">Within each </w:t>
      </w:r>
      <w:r w:rsidRPr="001F5859">
        <w:rPr>
          <w:rFonts w:eastAsia="SimSun"/>
          <w:lang w:val="en-GB"/>
        </w:rPr>
        <w:t>frequency grouping</w:t>
      </w:r>
      <w:r w:rsidRPr="001F5859" w:rsidR="0048446B">
        <w:rPr>
          <w:rFonts w:eastAsia="SimSun"/>
          <w:lang w:val="en-GB"/>
        </w:rPr>
        <w:t xml:space="preserve"> and SOC</w:t>
      </w:r>
      <w:r w:rsidRPr="001F5859">
        <w:rPr>
          <w:rFonts w:eastAsia="SimSun"/>
          <w:lang w:val="en-GB"/>
        </w:rPr>
        <w:t xml:space="preserve">, </w:t>
      </w:r>
      <w:r w:rsidRPr="001F5859" w:rsidR="003205E7">
        <w:rPr>
          <w:rFonts w:eastAsia="SimSun"/>
          <w:lang w:val="en-GB"/>
        </w:rPr>
        <w:t>ADRs</w:t>
      </w:r>
      <w:r w:rsidRPr="001F5859">
        <w:rPr>
          <w:rFonts w:eastAsia="SimSun"/>
          <w:lang w:val="en-GB"/>
        </w:rPr>
        <w:t xml:space="preserve"> are presented in the order of decreasing seriousness.</w:t>
      </w:r>
    </w:p>
    <w:p w:rsidR="003205E7" w:rsidRPr="001F5859" w:rsidP="003205E7" w14:paraId="65D026A1" w14:textId="77777777">
      <w:pPr>
        <w:rPr>
          <w:rFonts w:eastAsia="SimSun"/>
          <w:lang w:val="en-GB"/>
        </w:rPr>
      </w:pPr>
    </w:p>
    <w:p w:rsidR="003205E7" w:rsidRPr="001F5859" w:rsidP="00A311EA" w14:paraId="7D66D895" w14:textId="77777777">
      <w:pPr>
        <w:rPr>
          <w:rFonts w:eastAsia="SimSun"/>
          <w:lang w:val="en-GB"/>
        </w:rPr>
      </w:pPr>
      <w:r w:rsidRPr="001F5859">
        <w:rPr>
          <w:rFonts w:eastAsia="SimSun"/>
          <w:lang w:val="en-GB"/>
        </w:rPr>
        <w:t>The most common ADRs (≥30%) from this pooled data were diarrhoea, alopecia, nausea, fatigue, neutropenia, and vomiting. The most common NCI-CTCAE Grade 3-4 ADRs (≥10%) were neutropenia and febrile neutropenia.</w:t>
      </w:r>
    </w:p>
    <w:p w:rsidR="00CE7799" w:rsidRPr="001F5859" w:rsidP="00A311EA" w14:paraId="6D8FD41F" w14:textId="77777777">
      <w:pPr>
        <w:rPr>
          <w:rFonts w:eastAsia="SimSun"/>
        </w:rPr>
      </w:pPr>
    </w:p>
    <w:p w:rsidR="00863CEA" w:rsidRPr="000D28E6" w:rsidP="009F4E3E" w14:paraId="41C99D2D" w14:textId="77777777">
      <w:pPr>
        <w:keepNext/>
        <w:keepLines/>
        <w:ind w:left="1080" w:hanging="1080"/>
        <w:rPr>
          <w:rFonts w:eastAsia="SimSun"/>
          <w:b/>
          <w:noProof/>
          <w:lang w:val="en-GB"/>
        </w:rPr>
      </w:pPr>
      <w:r w:rsidRPr="001F5859">
        <w:rPr>
          <w:rFonts w:eastAsia="SimSun"/>
          <w:b/>
          <w:lang w:val="en-GB"/>
        </w:rPr>
        <w:t xml:space="preserve">Table </w:t>
      </w:r>
      <w:r w:rsidRPr="001F5859" w:rsidR="003205E7">
        <w:rPr>
          <w:rFonts w:eastAsia="SimSun"/>
          <w:b/>
          <w:lang w:val="en-GB"/>
        </w:rPr>
        <w:t>2</w:t>
      </w:r>
      <w:r w:rsidRPr="001F5859" w:rsidR="00A311EA">
        <w:rPr>
          <w:rFonts w:eastAsia="SimSun"/>
          <w:b/>
          <w:lang w:val="en-GB"/>
        </w:rPr>
        <w:tab/>
      </w:r>
      <w:r w:rsidRPr="001F5859">
        <w:rPr>
          <w:rFonts w:eastAsia="SimSun"/>
          <w:b/>
          <w:lang w:val="en-GB"/>
        </w:rPr>
        <w:t xml:space="preserve">Summary of ADRs </w:t>
      </w:r>
      <w:r w:rsidRPr="001F5859" w:rsidR="006F3F1A">
        <w:rPr>
          <w:b/>
          <w:lang w:val="en-GB"/>
        </w:rPr>
        <w:t>in patients treated with Perjeta</w:t>
      </w:r>
      <w:r w:rsidR="005711FA">
        <w:rPr>
          <w:b/>
          <w:lang w:val="en-GB"/>
        </w:rPr>
        <w:t xml:space="preserve"> </w:t>
      </w:r>
      <w:r w:rsidRPr="00911A09" w:rsidR="005711FA">
        <w:rPr>
          <w:b/>
          <w:lang w:val="en-GB"/>
        </w:rPr>
        <w:t>in clinical trials</w:t>
      </w:r>
      <w:r w:rsidRPr="001F5859" w:rsidR="006F3F1A">
        <w:rPr>
          <w:b/>
          <w:lang w:val="en-GB"/>
        </w:rPr>
        <w:t>^</w:t>
      </w:r>
      <w:r w:rsidR="004D2263">
        <w:rPr>
          <w:b/>
          <w:lang w:val="en-GB"/>
        </w:rPr>
        <w:t>,</w:t>
      </w:r>
      <w:r w:rsidRPr="00BF2495" w:rsidR="004D2263">
        <w:rPr>
          <w:b/>
          <w:lang w:val="en-GB"/>
        </w:rPr>
        <w:t xml:space="preserve"> </w:t>
      </w:r>
      <w:r w:rsidR="004D2263">
        <w:rPr>
          <w:b/>
          <w:lang w:val="en-GB"/>
        </w:rPr>
        <w:t xml:space="preserve">and in </w:t>
      </w:r>
      <w:r w:rsidRPr="00911A09" w:rsidR="005711FA">
        <w:rPr>
          <w:b/>
          <w:lang w:val="en-GB"/>
        </w:rPr>
        <w:t>the</w:t>
      </w:r>
      <w:r w:rsidR="005711FA">
        <w:rPr>
          <w:b/>
          <w:lang w:val="en-GB"/>
        </w:rPr>
        <w:t xml:space="preserve"> </w:t>
      </w:r>
      <w:r w:rsidR="004D2263">
        <w:rPr>
          <w:b/>
          <w:lang w:val="en-GB"/>
        </w:rPr>
        <w:t>Post-marketing</w:t>
      </w:r>
      <w:r w:rsidR="005711FA">
        <w:rPr>
          <w:b/>
          <w:lang w:val="en-GB"/>
        </w:rPr>
        <w:t xml:space="preserve"> </w:t>
      </w:r>
      <w:r w:rsidRPr="00911A09" w:rsidR="005711FA">
        <w:rPr>
          <w:b/>
          <w:lang w:val="en-GB"/>
        </w:rPr>
        <w:t>setting</w:t>
      </w:r>
      <w:r w:rsidRPr="000D28E6" w:rsidR="004D2263">
        <w:rPr>
          <w:sz w:val="20"/>
          <w:lang w:val="en-GB" w:eastAsia="en-US"/>
        </w:rPr>
        <w:t>†</w:t>
      </w:r>
      <w:r w:rsidRPr="00BF2495" w:rsidR="006F3F1A">
        <w:rPr>
          <w:b/>
          <w:lang w:val="en-GB"/>
        </w:rPr>
        <w:t xml:space="preserve"> </w:t>
      </w:r>
      <w:r w:rsidRPr="00BF2495" w:rsidR="006F3F1A">
        <w:rPr>
          <w:rFonts w:cs="Arial"/>
          <w:b/>
          <w:color w:val="000000"/>
          <w:lang w:val="en-GB"/>
        </w:rPr>
        <w:t xml:space="preserve"> </w:t>
      </w:r>
    </w:p>
    <w:p w:rsidR="0082777C" w:rsidRPr="000D28E6" w:rsidP="009F4E3E" w14:paraId="6E9FA12F" w14:textId="77777777">
      <w:pPr>
        <w:keepNext/>
        <w:keepLines/>
        <w:rPr>
          <w:rFonts w:eastAsia="SimSun"/>
          <w:i/>
          <w:noProof/>
          <w:lang w:val="en-GB"/>
        </w:rPr>
      </w:pPr>
    </w:p>
    <w:tbl>
      <w:tblPr>
        <w:tblW w:w="1084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1E0"/>
      </w:tblPr>
      <w:tblGrid>
        <w:gridCol w:w="2409"/>
        <w:gridCol w:w="2109"/>
        <w:gridCol w:w="2110"/>
        <w:gridCol w:w="2109"/>
        <w:gridCol w:w="2110"/>
      </w:tblGrid>
      <w:tr w14:paraId="2D9D1623" w14:textId="77777777" w:rsidTr="001F5859">
        <w:tblPrEx>
          <w:tblW w:w="1084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1E0"/>
        </w:tblPrEx>
        <w:trPr>
          <w:trHeight w:hRule="exact" w:val="633"/>
          <w:tblHeader/>
          <w:jc w:val="center"/>
        </w:trPr>
        <w:tc>
          <w:tcPr>
            <w:tcW w:w="2409" w:type="dxa"/>
            <w:noWrap/>
            <w:vAlign w:val="center"/>
          </w:tcPr>
          <w:p w:rsidR="003205E7" w:rsidRPr="000D28E6" w:rsidP="009F4E3E" w14:paraId="7CF7801B" w14:textId="77777777">
            <w:pPr>
              <w:keepNext/>
              <w:keepLines/>
              <w:autoSpaceDE w:val="0"/>
              <w:autoSpaceDN w:val="0"/>
              <w:adjustRightInd w:val="0"/>
              <w:ind w:left="-1" w:firstLine="1"/>
              <w:rPr>
                <w:rFonts w:eastAsia="SimSun"/>
                <w:b/>
                <w:noProof/>
                <w:color w:val="000000"/>
                <w:lang w:val="en-GB"/>
              </w:rPr>
            </w:pPr>
            <w:r w:rsidRPr="000D28E6">
              <w:rPr>
                <w:rFonts w:eastAsia="SimSun"/>
                <w:b/>
                <w:noProof/>
                <w:color w:val="000000"/>
                <w:lang w:val="en-GB"/>
              </w:rPr>
              <w:t xml:space="preserve">System </w:t>
            </w:r>
            <w:r w:rsidRPr="000D28E6">
              <w:rPr>
                <w:rFonts w:eastAsia="SimSun"/>
                <w:b/>
                <w:noProof/>
                <w:color w:val="000000"/>
                <w:lang w:val="en-GB" w:eastAsia="zh-CN"/>
              </w:rPr>
              <w:t>organ class</w:t>
            </w:r>
          </w:p>
        </w:tc>
        <w:tc>
          <w:tcPr>
            <w:tcW w:w="2109" w:type="dxa"/>
            <w:noWrap/>
            <w:vAlign w:val="center"/>
          </w:tcPr>
          <w:p w:rsidR="003205E7" w:rsidRPr="000D28E6" w:rsidP="009F4E3E" w14:paraId="3DFA8B90" w14:textId="77777777">
            <w:pPr>
              <w:keepNext/>
              <w:keepLines/>
              <w:autoSpaceDE w:val="0"/>
              <w:autoSpaceDN w:val="0"/>
              <w:adjustRightInd w:val="0"/>
              <w:jc w:val="center"/>
              <w:rPr>
                <w:rFonts w:eastAsia="SimSun"/>
                <w:i/>
                <w:noProof/>
                <w:color w:val="000000"/>
                <w:sz w:val="20"/>
                <w:u w:val="single"/>
                <w:lang w:val="en-GB"/>
              </w:rPr>
            </w:pPr>
            <w:r w:rsidRPr="000D28E6">
              <w:rPr>
                <w:rFonts w:eastAsia="SimSun"/>
                <w:b/>
                <w:i/>
                <w:color w:val="000000"/>
                <w:sz w:val="20"/>
                <w:u w:val="single"/>
                <w:lang w:val="en-GB" w:eastAsia="zh-CN"/>
              </w:rPr>
              <w:t>Very Common</w:t>
            </w:r>
          </w:p>
        </w:tc>
        <w:tc>
          <w:tcPr>
            <w:tcW w:w="2110" w:type="dxa"/>
            <w:noWrap/>
            <w:vAlign w:val="center"/>
          </w:tcPr>
          <w:p w:rsidR="003205E7" w:rsidRPr="000D28E6" w:rsidP="009F4E3E" w14:paraId="4FC8E19D" w14:textId="77777777">
            <w:pPr>
              <w:keepNext/>
              <w:keepLines/>
              <w:autoSpaceDE w:val="0"/>
              <w:autoSpaceDN w:val="0"/>
              <w:adjustRightInd w:val="0"/>
              <w:jc w:val="center"/>
              <w:rPr>
                <w:rFonts w:eastAsia="SimSun"/>
                <w:i/>
                <w:noProof/>
                <w:color w:val="000000"/>
                <w:sz w:val="20"/>
                <w:lang w:val="en-GB"/>
              </w:rPr>
            </w:pPr>
            <w:r w:rsidRPr="000D28E6">
              <w:rPr>
                <w:rFonts w:eastAsia="SimSun"/>
                <w:b/>
                <w:i/>
                <w:noProof/>
                <w:color w:val="000000"/>
                <w:sz w:val="20"/>
                <w:u w:val="single"/>
                <w:lang w:val="en-GB"/>
              </w:rPr>
              <w:t>Common</w:t>
            </w:r>
          </w:p>
        </w:tc>
        <w:tc>
          <w:tcPr>
            <w:tcW w:w="2109" w:type="dxa"/>
            <w:noWrap/>
            <w:vAlign w:val="center"/>
          </w:tcPr>
          <w:p w:rsidR="003205E7" w:rsidRPr="000D28E6" w:rsidP="009F4E3E" w14:paraId="688416C1" w14:textId="77777777">
            <w:pPr>
              <w:keepNext/>
              <w:keepLines/>
              <w:autoSpaceDE w:val="0"/>
              <w:autoSpaceDN w:val="0"/>
              <w:adjustRightInd w:val="0"/>
              <w:jc w:val="center"/>
              <w:rPr>
                <w:rFonts w:eastAsia="SimSun"/>
                <w:i/>
                <w:color w:val="000000"/>
                <w:sz w:val="20"/>
                <w:lang w:val="en-GB" w:eastAsia="zh-CN"/>
              </w:rPr>
            </w:pPr>
            <w:r w:rsidRPr="000D28E6">
              <w:rPr>
                <w:rFonts w:eastAsia="SimSun"/>
                <w:b/>
                <w:i/>
                <w:color w:val="000000"/>
                <w:sz w:val="20"/>
                <w:u w:val="single"/>
                <w:lang w:val="en-GB" w:eastAsia="zh-CN"/>
              </w:rPr>
              <w:t>Uncommon</w:t>
            </w:r>
          </w:p>
        </w:tc>
        <w:tc>
          <w:tcPr>
            <w:tcW w:w="2110" w:type="dxa"/>
            <w:vAlign w:val="center"/>
          </w:tcPr>
          <w:p w:rsidR="003205E7" w:rsidRPr="000D28E6" w:rsidP="003205E7" w14:paraId="2E69D856" w14:textId="77777777">
            <w:pPr>
              <w:keepNext/>
              <w:keepLines/>
              <w:autoSpaceDE w:val="0"/>
              <w:autoSpaceDN w:val="0"/>
              <w:adjustRightInd w:val="0"/>
              <w:jc w:val="center"/>
              <w:rPr>
                <w:rFonts w:eastAsia="SimSun"/>
                <w:b/>
                <w:i/>
                <w:color w:val="000000"/>
                <w:sz w:val="20"/>
                <w:u w:val="single"/>
                <w:lang w:val="en-GB" w:eastAsia="zh-CN"/>
              </w:rPr>
            </w:pPr>
            <w:r>
              <w:rPr>
                <w:rFonts w:eastAsia="SimSun"/>
                <w:b/>
                <w:i/>
                <w:color w:val="000000"/>
                <w:sz w:val="20"/>
                <w:u w:val="single"/>
                <w:lang w:val="en-GB" w:eastAsia="zh-CN"/>
              </w:rPr>
              <w:t>Rare</w:t>
            </w:r>
          </w:p>
        </w:tc>
      </w:tr>
      <w:tr w14:paraId="74212420" w14:textId="77777777" w:rsidTr="001F5859">
        <w:tblPrEx>
          <w:tblW w:w="10847" w:type="dxa"/>
          <w:jc w:val="center"/>
          <w:tblLayout w:type="fixed"/>
          <w:tblCellMar>
            <w:left w:w="85" w:type="dxa"/>
            <w:right w:w="85" w:type="dxa"/>
          </w:tblCellMar>
          <w:tblLook w:val="01E0"/>
        </w:tblPrEx>
        <w:trPr>
          <w:trHeight w:val="592"/>
          <w:jc w:val="center"/>
        </w:trPr>
        <w:tc>
          <w:tcPr>
            <w:tcW w:w="2409" w:type="dxa"/>
            <w:noWrap/>
          </w:tcPr>
          <w:p w:rsidR="003205E7" w:rsidRPr="000D28E6" w:rsidP="009F4E3E" w14:paraId="7E670DB5"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Infections and infestations</w:t>
            </w:r>
          </w:p>
        </w:tc>
        <w:tc>
          <w:tcPr>
            <w:tcW w:w="2109" w:type="dxa"/>
            <w:noWrap/>
          </w:tcPr>
          <w:p w:rsidR="003205E7" w:rsidRPr="000D28E6" w:rsidP="009F4E3E" w14:paraId="5285E684" w14:textId="77777777">
            <w:pPr>
              <w:keepNext/>
              <w:keepLines/>
              <w:autoSpaceDE w:val="0"/>
              <w:autoSpaceDN w:val="0"/>
              <w:adjustRightInd w:val="0"/>
              <w:rPr>
                <w:rFonts w:eastAsia="SimSun"/>
                <w:noProof/>
                <w:color w:val="000000"/>
                <w:sz w:val="20"/>
                <w:lang w:val="en-GB"/>
              </w:rPr>
            </w:pPr>
            <w:r w:rsidRPr="00AB390A">
              <w:rPr>
                <w:rFonts w:eastAsia="SimSun"/>
                <w:noProof/>
                <w:color w:val="000000"/>
                <w:sz w:val="20"/>
                <w:lang w:val="en-GB"/>
              </w:rPr>
              <w:t>Nasopharyngitis</w:t>
            </w:r>
          </w:p>
        </w:tc>
        <w:tc>
          <w:tcPr>
            <w:tcW w:w="2110" w:type="dxa"/>
            <w:noWrap/>
          </w:tcPr>
          <w:p w:rsidR="003205E7" w:rsidRPr="000D28E6" w:rsidP="009F4E3E" w14:paraId="75E94944"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rPr>
              <w:t>Paronychia</w:t>
            </w:r>
            <w:r w:rsidRPr="000D28E6">
              <w:rPr>
                <w:rFonts w:eastAsia="SimSun"/>
                <w:noProof/>
                <w:color w:val="000000"/>
                <w:sz w:val="20"/>
                <w:lang w:val="en-GB" w:eastAsia="zh-CN"/>
              </w:rPr>
              <w:t xml:space="preserve"> </w:t>
            </w:r>
          </w:p>
          <w:p w:rsidR="003205E7" w:rsidRPr="000D28E6" w:rsidP="003205E7" w14:paraId="11ACA473"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rPr>
              <w:t>Upper respiratory tract infection</w:t>
            </w:r>
            <w:r w:rsidRPr="000D28E6">
              <w:rPr>
                <w:rFonts w:eastAsia="SimSun"/>
                <w:noProof/>
                <w:color w:val="000000"/>
                <w:sz w:val="20"/>
                <w:lang w:val="en-GB" w:eastAsia="zh-CN"/>
              </w:rPr>
              <w:t xml:space="preserve"> </w:t>
            </w:r>
          </w:p>
          <w:p w:rsidR="003205E7" w:rsidRPr="001A0A7F" w:rsidP="009F4E3E" w14:paraId="272D9516" w14:textId="77777777">
            <w:pPr>
              <w:keepNext/>
              <w:keepLines/>
              <w:autoSpaceDE w:val="0"/>
              <w:autoSpaceDN w:val="0"/>
              <w:adjustRightInd w:val="0"/>
              <w:rPr>
                <w:rFonts w:eastAsia="SimSun"/>
                <w:noProof/>
                <w:color w:val="000000"/>
                <w:sz w:val="20"/>
                <w:lang w:val="en-GB"/>
              </w:rPr>
            </w:pPr>
          </w:p>
        </w:tc>
        <w:tc>
          <w:tcPr>
            <w:tcW w:w="2109" w:type="dxa"/>
            <w:noWrap/>
          </w:tcPr>
          <w:p w:rsidR="003205E7" w:rsidRPr="000D28E6" w:rsidP="009F4E3E" w14:paraId="1ABD4782" w14:textId="77777777">
            <w:pPr>
              <w:keepNext/>
              <w:keepLines/>
              <w:autoSpaceDE w:val="0"/>
              <w:autoSpaceDN w:val="0"/>
              <w:adjustRightInd w:val="0"/>
              <w:rPr>
                <w:rFonts w:eastAsia="SimSun"/>
                <w:noProof/>
                <w:color w:val="000000"/>
                <w:sz w:val="20"/>
                <w:lang w:val="en-GB" w:eastAsia="zh-CN"/>
              </w:rPr>
            </w:pPr>
          </w:p>
        </w:tc>
        <w:tc>
          <w:tcPr>
            <w:tcW w:w="2110" w:type="dxa"/>
          </w:tcPr>
          <w:p w:rsidR="003205E7" w:rsidRPr="000D28E6" w:rsidP="009F4E3E" w14:paraId="6A6D09E2" w14:textId="77777777">
            <w:pPr>
              <w:keepNext/>
              <w:keepLines/>
              <w:autoSpaceDE w:val="0"/>
              <w:autoSpaceDN w:val="0"/>
              <w:adjustRightInd w:val="0"/>
              <w:rPr>
                <w:rFonts w:eastAsia="SimSun"/>
                <w:noProof/>
                <w:color w:val="000000"/>
                <w:sz w:val="20"/>
                <w:lang w:val="en-GB" w:eastAsia="zh-CN"/>
              </w:rPr>
            </w:pPr>
          </w:p>
        </w:tc>
      </w:tr>
      <w:tr w14:paraId="729F88B1" w14:textId="77777777" w:rsidTr="001F5859">
        <w:tblPrEx>
          <w:tblW w:w="10847" w:type="dxa"/>
          <w:jc w:val="center"/>
          <w:tblLayout w:type="fixed"/>
          <w:tblCellMar>
            <w:left w:w="85" w:type="dxa"/>
            <w:right w:w="85" w:type="dxa"/>
          </w:tblCellMar>
          <w:tblLook w:val="01E0"/>
        </w:tblPrEx>
        <w:trPr>
          <w:trHeight w:val="541"/>
          <w:jc w:val="center"/>
        </w:trPr>
        <w:tc>
          <w:tcPr>
            <w:tcW w:w="2409" w:type="dxa"/>
            <w:noWrap/>
          </w:tcPr>
          <w:p w:rsidR="003205E7" w:rsidRPr="000D28E6" w:rsidP="009F4E3E" w14:paraId="3673D796"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rPr>
              <w:t>Blood and lymphatic system</w:t>
            </w:r>
          </w:p>
          <w:p w:rsidR="003205E7" w:rsidRPr="000D28E6" w:rsidP="009F4E3E" w14:paraId="152267FE"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disorders</w:t>
            </w:r>
          </w:p>
        </w:tc>
        <w:tc>
          <w:tcPr>
            <w:tcW w:w="2109" w:type="dxa"/>
            <w:noWrap/>
          </w:tcPr>
          <w:p w:rsidR="003205E7" w:rsidRPr="001F5859" w:rsidP="009F4E3E" w14:paraId="63FC2E39" w14:textId="77777777">
            <w:pPr>
              <w:keepNext/>
              <w:keepLines/>
              <w:autoSpaceDE w:val="0"/>
              <w:autoSpaceDN w:val="0"/>
              <w:adjustRightInd w:val="0"/>
              <w:rPr>
                <w:rFonts w:eastAsia="SimSun"/>
                <w:noProof/>
                <w:color w:val="000000"/>
                <w:sz w:val="20"/>
                <w:lang w:val="it-IT" w:eastAsia="zh-CN"/>
              </w:rPr>
            </w:pPr>
            <w:r w:rsidRPr="001F5859">
              <w:rPr>
                <w:rFonts w:eastAsia="SimSun"/>
                <w:noProof/>
                <w:color w:val="000000"/>
                <w:sz w:val="20"/>
                <w:lang w:val="it-IT" w:eastAsia="zh-CN"/>
              </w:rPr>
              <w:t>Febrile neutropenia*</w:t>
            </w:r>
          </w:p>
          <w:p w:rsidR="003205E7" w:rsidRPr="001F5859" w:rsidP="009F4E3E" w14:paraId="5C862E53" w14:textId="77777777">
            <w:pPr>
              <w:keepNext/>
              <w:keepLines/>
              <w:autoSpaceDE w:val="0"/>
              <w:autoSpaceDN w:val="0"/>
              <w:adjustRightInd w:val="0"/>
              <w:rPr>
                <w:rFonts w:eastAsia="SimSun"/>
                <w:noProof/>
                <w:color w:val="000000"/>
                <w:sz w:val="20"/>
                <w:lang w:val="it-IT" w:eastAsia="zh-CN"/>
              </w:rPr>
            </w:pPr>
            <w:r w:rsidRPr="001F5859">
              <w:rPr>
                <w:rFonts w:eastAsia="SimSun"/>
                <w:noProof/>
                <w:color w:val="000000"/>
                <w:sz w:val="20"/>
                <w:lang w:val="it-IT"/>
              </w:rPr>
              <w:t>Neutropenia</w:t>
            </w:r>
            <w:r w:rsidRPr="001F5859">
              <w:rPr>
                <w:rFonts w:eastAsia="SimSun"/>
                <w:noProof/>
                <w:color w:val="000000"/>
                <w:sz w:val="20"/>
                <w:lang w:val="it-IT" w:eastAsia="zh-CN"/>
              </w:rPr>
              <w:t xml:space="preserve"> </w:t>
            </w:r>
          </w:p>
          <w:p w:rsidR="003205E7" w:rsidRPr="001F5859" w:rsidP="009F4E3E" w14:paraId="22AC1C64" w14:textId="77777777">
            <w:pPr>
              <w:keepNext/>
              <w:keepLines/>
              <w:autoSpaceDE w:val="0"/>
              <w:autoSpaceDN w:val="0"/>
              <w:adjustRightInd w:val="0"/>
              <w:rPr>
                <w:rFonts w:eastAsia="SimSun"/>
                <w:noProof/>
                <w:color w:val="000000"/>
                <w:sz w:val="20"/>
                <w:lang w:val="it-IT" w:eastAsia="zh-CN"/>
              </w:rPr>
            </w:pPr>
            <w:r w:rsidRPr="001F5859">
              <w:rPr>
                <w:rFonts w:eastAsia="SimSun"/>
                <w:noProof/>
                <w:color w:val="000000"/>
                <w:sz w:val="20"/>
                <w:lang w:val="it-IT" w:eastAsia="zh-CN"/>
              </w:rPr>
              <w:t xml:space="preserve">Leucopenia </w:t>
            </w:r>
          </w:p>
          <w:p w:rsidR="003205E7" w:rsidRPr="001F5859" w:rsidP="009F4E3E" w14:paraId="3FC9F3EE" w14:textId="77777777">
            <w:pPr>
              <w:keepNext/>
              <w:keepLines/>
              <w:autoSpaceDE w:val="0"/>
              <w:autoSpaceDN w:val="0"/>
              <w:adjustRightInd w:val="0"/>
              <w:rPr>
                <w:rFonts w:eastAsia="SimSun"/>
                <w:noProof/>
                <w:color w:val="000000"/>
                <w:sz w:val="20"/>
                <w:lang w:val="it-IT"/>
              </w:rPr>
            </w:pPr>
            <w:r w:rsidRPr="001F5859">
              <w:rPr>
                <w:rFonts w:eastAsia="SimSun"/>
                <w:noProof/>
                <w:color w:val="000000"/>
                <w:sz w:val="20"/>
                <w:lang w:val="it-IT"/>
              </w:rPr>
              <w:t>Anaemia</w:t>
            </w:r>
          </w:p>
        </w:tc>
        <w:tc>
          <w:tcPr>
            <w:tcW w:w="2110" w:type="dxa"/>
            <w:noWrap/>
          </w:tcPr>
          <w:p w:rsidR="003205E7" w:rsidRPr="001F5859" w:rsidP="009F4E3E" w14:paraId="419FD5DD" w14:textId="77777777">
            <w:pPr>
              <w:keepNext/>
              <w:keepLines/>
              <w:autoSpaceDE w:val="0"/>
              <w:autoSpaceDN w:val="0"/>
              <w:adjustRightInd w:val="0"/>
              <w:rPr>
                <w:rFonts w:eastAsia="SimSun"/>
                <w:noProof/>
                <w:color w:val="000000"/>
                <w:sz w:val="20"/>
                <w:lang w:val="it-IT"/>
              </w:rPr>
            </w:pPr>
          </w:p>
        </w:tc>
        <w:tc>
          <w:tcPr>
            <w:tcW w:w="2109" w:type="dxa"/>
            <w:noWrap/>
          </w:tcPr>
          <w:p w:rsidR="003205E7" w:rsidRPr="001F5859" w:rsidP="009F4E3E" w14:paraId="2BDC6869" w14:textId="77777777">
            <w:pPr>
              <w:keepNext/>
              <w:keepLines/>
              <w:autoSpaceDE w:val="0"/>
              <w:autoSpaceDN w:val="0"/>
              <w:adjustRightInd w:val="0"/>
              <w:rPr>
                <w:rFonts w:eastAsia="SimSun"/>
                <w:noProof/>
                <w:color w:val="000000"/>
                <w:sz w:val="20"/>
                <w:lang w:val="it-IT" w:eastAsia="zh-CN"/>
              </w:rPr>
            </w:pPr>
          </w:p>
        </w:tc>
        <w:tc>
          <w:tcPr>
            <w:tcW w:w="2110" w:type="dxa"/>
          </w:tcPr>
          <w:p w:rsidR="003205E7" w:rsidRPr="001F5859" w:rsidP="009F4E3E" w14:paraId="419E57EA" w14:textId="77777777">
            <w:pPr>
              <w:keepNext/>
              <w:keepLines/>
              <w:autoSpaceDE w:val="0"/>
              <w:autoSpaceDN w:val="0"/>
              <w:adjustRightInd w:val="0"/>
              <w:rPr>
                <w:rFonts w:eastAsia="SimSun"/>
                <w:noProof/>
                <w:color w:val="000000"/>
                <w:sz w:val="20"/>
                <w:lang w:val="it-IT" w:eastAsia="zh-CN"/>
              </w:rPr>
            </w:pPr>
          </w:p>
        </w:tc>
      </w:tr>
      <w:tr w14:paraId="53C8A1A7" w14:textId="77777777" w:rsidTr="001F5859">
        <w:tblPrEx>
          <w:tblW w:w="10847" w:type="dxa"/>
          <w:jc w:val="center"/>
          <w:tblLayout w:type="fixed"/>
          <w:tblCellMar>
            <w:left w:w="85" w:type="dxa"/>
            <w:right w:w="85" w:type="dxa"/>
          </w:tblCellMar>
          <w:tblLook w:val="01E0"/>
        </w:tblPrEx>
        <w:trPr>
          <w:trHeight w:val="541"/>
          <w:jc w:val="center"/>
        </w:trPr>
        <w:tc>
          <w:tcPr>
            <w:tcW w:w="2409" w:type="dxa"/>
            <w:noWrap/>
          </w:tcPr>
          <w:p w:rsidR="003205E7" w:rsidRPr="000D28E6" w:rsidP="009F4E3E" w14:paraId="6D4BE296"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Immune system disorders</w:t>
            </w:r>
          </w:p>
        </w:tc>
        <w:tc>
          <w:tcPr>
            <w:tcW w:w="2109" w:type="dxa"/>
            <w:noWrap/>
          </w:tcPr>
          <w:p w:rsidR="003205E7" w:rsidRPr="000D28E6" w:rsidP="003205E7" w14:paraId="1340911A"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eastAsia="zh-CN"/>
              </w:rPr>
              <w:t>Infusion reaction°°</w:t>
            </w:r>
            <w:r w:rsidR="00FB7AAD">
              <w:rPr>
                <w:rFonts w:eastAsia="SimSun"/>
                <w:noProof/>
                <w:color w:val="000000"/>
                <w:sz w:val="20"/>
                <w:lang w:val="en-GB" w:eastAsia="zh-CN"/>
              </w:rPr>
              <w:t>, *</w:t>
            </w:r>
          </w:p>
        </w:tc>
        <w:tc>
          <w:tcPr>
            <w:tcW w:w="2110" w:type="dxa"/>
            <w:noWrap/>
          </w:tcPr>
          <w:p w:rsidR="003205E7" w:rsidRPr="000D28E6" w:rsidP="003205E7" w14:paraId="2F0B489F"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rPr>
              <w:t>Hypersensitivity</w:t>
            </w:r>
            <w:r w:rsidRPr="000D28E6">
              <w:rPr>
                <w:rFonts w:eastAsia="SimSun"/>
                <w:noProof/>
                <w:color w:val="000000"/>
                <w:sz w:val="20"/>
                <w:lang w:val="en-GB" w:eastAsia="zh-CN"/>
              </w:rPr>
              <w:t>°</w:t>
            </w:r>
            <w:r w:rsidR="00713995">
              <w:rPr>
                <w:rFonts w:eastAsia="SimSun"/>
                <w:noProof/>
                <w:color w:val="000000"/>
                <w:sz w:val="20"/>
                <w:lang w:val="en-GB" w:eastAsia="zh-CN"/>
              </w:rPr>
              <w:t>, *</w:t>
            </w:r>
          </w:p>
          <w:p w:rsidR="003205E7" w:rsidRPr="000D28E6" w:rsidP="003205E7" w14:paraId="5EEDBBC0" w14:textId="77777777">
            <w:pPr>
              <w:keepNext/>
              <w:keepLines/>
              <w:autoSpaceDE w:val="0"/>
              <w:autoSpaceDN w:val="0"/>
              <w:adjustRightInd w:val="0"/>
              <w:rPr>
                <w:rFonts w:eastAsia="SimSun"/>
                <w:noProof/>
                <w:color w:val="000000"/>
                <w:sz w:val="20"/>
                <w:lang w:val="en-GB"/>
              </w:rPr>
            </w:pPr>
            <w:r>
              <w:rPr>
                <w:rFonts w:eastAsia="SimSun"/>
                <w:noProof/>
                <w:color w:val="000000"/>
                <w:sz w:val="20"/>
                <w:lang w:val="en-GB" w:eastAsia="zh-CN"/>
              </w:rPr>
              <w:t>Drug hypersensitivity</w:t>
            </w:r>
            <w:r w:rsidRPr="0008543A" w:rsidR="0008543A">
              <w:rPr>
                <w:rFonts w:eastAsia="SimSun"/>
                <w:noProof/>
                <w:color w:val="000000"/>
                <w:sz w:val="20"/>
                <w:lang w:val="en-GB" w:eastAsia="zh-CN"/>
              </w:rPr>
              <w:t>°</w:t>
            </w:r>
            <w:r w:rsidR="00713995">
              <w:rPr>
                <w:rFonts w:eastAsia="SimSun"/>
                <w:noProof/>
                <w:color w:val="000000"/>
                <w:sz w:val="20"/>
                <w:lang w:val="en-GB" w:eastAsia="zh-CN"/>
              </w:rPr>
              <w:t>, *</w:t>
            </w:r>
          </w:p>
        </w:tc>
        <w:tc>
          <w:tcPr>
            <w:tcW w:w="2109" w:type="dxa"/>
            <w:noWrap/>
          </w:tcPr>
          <w:p w:rsidR="003205E7" w:rsidRPr="000D28E6" w:rsidP="009F4E3E" w14:paraId="6148933C" w14:textId="77777777">
            <w:pPr>
              <w:keepNext/>
              <w:keepLines/>
              <w:autoSpaceDE w:val="0"/>
              <w:autoSpaceDN w:val="0"/>
              <w:adjustRightInd w:val="0"/>
              <w:rPr>
                <w:rFonts w:eastAsia="SimSun"/>
                <w:noProof/>
                <w:color w:val="000000"/>
                <w:sz w:val="20"/>
                <w:lang w:val="en-GB" w:eastAsia="zh-CN"/>
              </w:rPr>
            </w:pPr>
            <w:r>
              <w:rPr>
                <w:rFonts w:eastAsia="SimSun"/>
                <w:noProof/>
                <w:color w:val="000000"/>
                <w:sz w:val="20"/>
                <w:lang w:val="en-GB" w:eastAsia="zh-CN"/>
              </w:rPr>
              <w:t>A</w:t>
            </w:r>
            <w:r w:rsidRPr="000D28E6">
              <w:rPr>
                <w:rFonts w:eastAsia="SimSun"/>
                <w:noProof/>
                <w:color w:val="000000"/>
                <w:sz w:val="20"/>
                <w:lang w:val="en-GB" w:eastAsia="zh-CN"/>
              </w:rPr>
              <w:t>naphylactic reaction°</w:t>
            </w:r>
            <w:r w:rsidR="00713995">
              <w:rPr>
                <w:rFonts w:eastAsia="SimSun"/>
                <w:noProof/>
                <w:color w:val="000000"/>
                <w:sz w:val="20"/>
                <w:lang w:val="en-GB" w:eastAsia="zh-CN"/>
              </w:rPr>
              <w:t>, *</w:t>
            </w:r>
          </w:p>
        </w:tc>
        <w:tc>
          <w:tcPr>
            <w:tcW w:w="2110" w:type="dxa"/>
          </w:tcPr>
          <w:p w:rsidR="003205E7" w:rsidRPr="000D28E6" w:rsidP="009F4E3E" w14:paraId="38454083" w14:textId="77777777">
            <w:pPr>
              <w:keepNext/>
              <w:keepLines/>
              <w:autoSpaceDE w:val="0"/>
              <w:autoSpaceDN w:val="0"/>
              <w:adjustRightInd w:val="0"/>
              <w:rPr>
                <w:rFonts w:eastAsia="SimSun"/>
                <w:noProof/>
                <w:color w:val="000000"/>
                <w:sz w:val="20"/>
                <w:lang w:val="en-GB" w:eastAsia="zh-CN"/>
              </w:rPr>
            </w:pPr>
            <w:r>
              <w:rPr>
                <w:rFonts w:eastAsia="SimSun"/>
                <w:noProof/>
                <w:color w:val="000000"/>
                <w:sz w:val="20"/>
                <w:lang w:val="en-GB" w:eastAsia="zh-CN"/>
              </w:rPr>
              <w:t>C</w:t>
            </w:r>
            <w:r w:rsidRPr="000D28E6">
              <w:rPr>
                <w:rFonts w:eastAsia="SimSun"/>
                <w:noProof/>
                <w:color w:val="000000"/>
                <w:sz w:val="20"/>
                <w:lang w:val="en-GB" w:eastAsia="zh-CN"/>
              </w:rPr>
              <w:t>ytokine release syndrome°°</w:t>
            </w:r>
          </w:p>
        </w:tc>
      </w:tr>
      <w:tr w14:paraId="16FA8C52" w14:textId="77777777" w:rsidTr="001F5859">
        <w:tblPrEx>
          <w:tblW w:w="10847" w:type="dxa"/>
          <w:jc w:val="center"/>
          <w:tblLayout w:type="fixed"/>
          <w:tblCellMar>
            <w:left w:w="85" w:type="dxa"/>
            <w:right w:w="85" w:type="dxa"/>
          </w:tblCellMar>
          <w:tblLook w:val="01E0"/>
        </w:tblPrEx>
        <w:trPr>
          <w:trHeight w:val="541"/>
          <w:jc w:val="center"/>
        </w:trPr>
        <w:tc>
          <w:tcPr>
            <w:tcW w:w="2409" w:type="dxa"/>
            <w:noWrap/>
          </w:tcPr>
          <w:p w:rsidR="003205E7" w:rsidRPr="000D28E6" w:rsidP="009F4E3E" w14:paraId="52EE691F"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Metabolism and nutrition disorders</w:t>
            </w:r>
            <w:r w:rsidRPr="000D28E6">
              <w:rPr>
                <w:rFonts w:eastAsia="SimSun"/>
                <w:noProof/>
                <w:color w:val="000000"/>
                <w:sz w:val="20"/>
                <w:lang w:val="en-GB" w:eastAsia="zh-CN"/>
              </w:rPr>
              <w:t xml:space="preserve"> </w:t>
            </w:r>
          </w:p>
        </w:tc>
        <w:tc>
          <w:tcPr>
            <w:tcW w:w="2109" w:type="dxa"/>
            <w:noWrap/>
          </w:tcPr>
          <w:p w:rsidR="003205E7" w:rsidRPr="000D28E6" w:rsidP="009F4E3E" w14:paraId="1F43A1DB"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Decreased appetite</w:t>
            </w:r>
            <w:r w:rsidRPr="000D28E6">
              <w:rPr>
                <w:rFonts w:eastAsia="SimSun"/>
                <w:noProof/>
                <w:color w:val="000000"/>
                <w:sz w:val="20"/>
                <w:lang w:val="en-GB" w:eastAsia="zh-CN"/>
              </w:rPr>
              <w:t xml:space="preserve"> </w:t>
            </w:r>
          </w:p>
        </w:tc>
        <w:tc>
          <w:tcPr>
            <w:tcW w:w="2110" w:type="dxa"/>
            <w:noWrap/>
          </w:tcPr>
          <w:p w:rsidR="003205E7" w:rsidRPr="000D28E6" w:rsidP="009F4E3E" w14:paraId="00A50F00" w14:textId="77777777">
            <w:pPr>
              <w:keepNext/>
              <w:keepLines/>
              <w:autoSpaceDE w:val="0"/>
              <w:autoSpaceDN w:val="0"/>
              <w:adjustRightInd w:val="0"/>
              <w:rPr>
                <w:rFonts w:eastAsia="SimSun"/>
                <w:noProof/>
                <w:color w:val="000000"/>
                <w:sz w:val="20"/>
                <w:lang w:val="en-GB"/>
              </w:rPr>
            </w:pPr>
          </w:p>
        </w:tc>
        <w:tc>
          <w:tcPr>
            <w:tcW w:w="2109" w:type="dxa"/>
            <w:noWrap/>
          </w:tcPr>
          <w:p w:rsidR="003205E7" w:rsidRPr="000D28E6" w:rsidP="009F4E3E" w14:paraId="573D2E91" w14:textId="77777777">
            <w:pPr>
              <w:keepNext/>
              <w:keepLines/>
              <w:autoSpaceDE w:val="0"/>
              <w:autoSpaceDN w:val="0"/>
              <w:adjustRightInd w:val="0"/>
              <w:rPr>
                <w:rFonts w:eastAsia="SimSun"/>
                <w:noProof/>
                <w:color w:val="000000"/>
                <w:sz w:val="20"/>
                <w:lang w:val="en-GB" w:eastAsia="zh-CN"/>
              </w:rPr>
            </w:pPr>
          </w:p>
        </w:tc>
        <w:tc>
          <w:tcPr>
            <w:tcW w:w="2110" w:type="dxa"/>
          </w:tcPr>
          <w:p w:rsidR="003205E7" w:rsidRPr="000D28E6" w:rsidP="009F4E3E" w14:paraId="61305A06" w14:textId="77777777">
            <w:pPr>
              <w:keepNext/>
              <w:keepLines/>
              <w:autoSpaceDE w:val="0"/>
              <w:autoSpaceDN w:val="0"/>
              <w:adjustRightInd w:val="0"/>
              <w:rPr>
                <w:rFonts w:eastAsia="SimSun"/>
                <w:noProof/>
                <w:color w:val="000000"/>
                <w:sz w:val="20"/>
                <w:lang w:val="en-GB" w:eastAsia="zh-CN"/>
              </w:rPr>
            </w:pPr>
            <w:r w:rsidRPr="004D2263">
              <w:rPr>
                <w:rFonts w:eastAsia="SimSun"/>
                <w:noProof/>
                <w:color w:val="000000"/>
                <w:sz w:val="20"/>
                <w:lang w:val="en-GB" w:eastAsia="zh-CN"/>
              </w:rPr>
              <w:t>Tumour lysis syndrome†</w:t>
            </w:r>
          </w:p>
        </w:tc>
      </w:tr>
      <w:tr w14:paraId="60F8B106" w14:textId="77777777" w:rsidTr="001F5859">
        <w:tblPrEx>
          <w:tblW w:w="10847" w:type="dxa"/>
          <w:jc w:val="center"/>
          <w:tblLayout w:type="fixed"/>
          <w:tblCellMar>
            <w:left w:w="85" w:type="dxa"/>
            <w:right w:w="85" w:type="dxa"/>
          </w:tblCellMar>
          <w:tblLook w:val="01E0"/>
        </w:tblPrEx>
        <w:trPr>
          <w:trHeight w:val="311"/>
          <w:jc w:val="center"/>
        </w:trPr>
        <w:tc>
          <w:tcPr>
            <w:tcW w:w="2409" w:type="dxa"/>
            <w:noWrap/>
          </w:tcPr>
          <w:p w:rsidR="003205E7" w:rsidRPr="000D28E6" w:rsidP="009F4E3E" w14:paraId="24E5EE19"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Psychiatric disorders</w:t>
            </w:r>
          </w:p>
        </w:tc>
        <w:tc>
          <w:tcPr>
            <w:tcW w:w="2109" w:type="dxa"/>
            <w:noWrap/>
          </w:tcPr>
          <w:p w:rsidR="003205E7" w:rsidRPr="000D28E6" w:rsidP="009F4E3E" w14:paraId="23EBF36D"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Insomnia</w:t>
            </w:r>
            <w:r w:rsidRPr="000D28E6">
              <w:rPr>
                <w:rFonts w:eastAsia="SimSun"/>
                <w:noProof/>
                <w:color w:val="000000"/>
                <w:sz w:val="20"/>
                <w:lang w:val="en-GB" w:eastAsia="zh-CN"/>
              </w:rPr>
              <w:t xml:space="preserve"> </w:t>
            </w:r>
          </w:p>
        </w:tc>
        <w:tc>
          <w:tcPr>
            <w:tcW w:w="2110" w:type="dxa"/>
            <w:noWrap/>
          </w:tcPr>
          <w:p w:rsidR="003205E7" w:rsidRPr="000D28E6" w:rsidP="009F4E3E" w14:paraId="2DE654DF" w14:textId="77777777">
            <w:pPr>
              <w:keepNext/>
              <w:keepLines/>
              <w:autoSpaceDE w:val="0"/>
              <w:autoSpaceDN w:val="0"/>
              <w:adjustRightInd w:val="0"/>
              <w:rPr>
                <w:rFonts w:eastAsia="SimSun"/>
                <w:noProof/>
                <w:color w:val="000000"/>
                <w:sz w:val="20"/>
                <w:lang w:val="en-GB"/>
              </w:rPr>
            </w:pPr>
          </w:p>
        </w:tc>
        <w:tc>
          <w:tcPr>
            <w:tcW w:w="2109" w:type="dxa"/>
            <w:noWrap/>
          </w:tcPr>
          <w:p w:rsidR="003205E7" w:rsidRPr="000D28E6" w:rsidP="009F4E3E" w14:paraId="7852B24B" w14:textId="77777777">
            <w:pPr>
              <w:keepNext/>
              <w:keepLines/>
              <w:autoSpaceDE w:val="0"/>
              <w:autoSpaceDN w:val="0"/>
              <w:adjustRightInd w:val="0"/>
              <w:rPr>
                <w:rFonts w:eastAsia="SimSun"/>
                <w:noProof/>
                <w:color w:val="000000"/>
                <w:sz w:val="20"/>
                <w:lang w:val="en-GB" w:eastAsia="zh-CN"/>
              </w:rPr>
            </w:pPr>
          </w:p>
        </w:tc>
        <w:tc>
          <w:tcPr>
            <w:tcW w:w="2110" w:type="dxa"/>
          </w:tcPr>
          <w:p w:rsidR="003205E7" w:rsidRPr="000D28E6" w:rsidP="009F4E3E" w14:paraId="178EEBCC" w14:textId="77777777">
            <w:pPr>
              <w:keepNext/>
              <w:keepLines/>
              <w:autoSpaceDE w:val="0"/>
              <w:autoSpaceDN w:val="0"/>
              <w:adjustRightInd w:val="0"/>
              <w:rPr>
                <w:rFonts w:eastAsia="SimSun"/>
                <w:noProof/>
                <w:color w:val="000000"/>
                <w:sz w:val="20"/>
                <w:lang w:val="en-GB" w:eastAsia="zh-CN"/>
              </w:rPr>
            </w:pPr>
          </w:p>
        </w:tc>
      </w:tr>
      <w:tr w14:paraId="10DCA58A" w14:textId="77777777" w:rsidTr="001F5859">
        <w:tblPrEx>
          <w:tblW w:w="10847" w:type="dxa"/>
          <w:jc w:val="center"/>
          <w:tblLayout w:type="fixed"/>
          <w:tblCellMar>
            <w:left w:w="85" w:type="dxa"/>
            <w:right w:w="85" w:type="dxa"/>
          </w:tblCellMar>
          <w:tblLook w:val="01E0"/>
        </w:tblPrEx>
        <w:trPr>
          <w:trHeight w:val="261"/>
          <w:jc w:val="center"/>
        </w:trPr>
        <w:tc>
          <w:tcPr>
            <w:tcW w:w="2409" w:type="dxa"/>
            <w:noWrap/>
          </w:tcPr>
          <w:p w:rsidR="003205E7" w:rsidRPr="000D28E6" w:rsidP="009F4E3E" w14:paraId="3FAC0AB2"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Nervous system disorders</w:t>
            </w:r>
            <w:r w:rsidRPr="000D28E6">
              <w:rPr>
                <w:rFonts w:eastAsia="SimSun"/>
                <w:noProof/>
                <w:color w:val="000000"/>
                <w:sz w:val="20"/>
                <w:lang w:val="en-GB" w:eastAsia="zh-CN"/>
              </w:rPr>
              <w:t xml:space="preserve"> </w:t>
            </w:r>
          </w:p>
        </w:tc>
        <w:tc>
          <w:tcPr>
            <w:tcW w:w="2109" w:type="dxa"/>
            <w:noWrap/>
          </w:tcPr>
          <w:p w:rsidR="003205E7" w:rsidP="009F4E3E" w14:paraId="46232E7F"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Neuropathy peripheral</w:t>
            </w:r>
          </w:p>
          <w:p w:rsidR="003205E7" w:rsidRPr="000D28E6" w:rsidP="009F4E3E" w14:paraId="4EBBA430"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eastAsia="zh-CN"/>
              </w:rPr>
              <w:t xml:space="preserve">Headache  </w:t>
            </w:r>
          </w:p>
          <w:p w:rsidR="003205E7" w:rsidP="009F4E3E" w14:paraId="0F96AE6A"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Dysgeusia</w:t>
            </w:r>
          </w:p>
          <w:p w:rsidR="009C6A38" w:rsidRPr="00AB390A" w:rsidP="009C6A38" w14:paraId="22ADDE58" w14:textId="77777777">
            <w:pPr>
              <w:keepNext/>
              <w:keepLines/>
              <w:autoSpaceDE w:val="0"/>
              <w:autoSpaceDN w:val="0"/>
              <w:adjustRightInd w:val="0"/>
              <w:rPr>
                <w:rFonts w:eastAsia="SimSun"/>
                <w:noProof/>
                <w:color w:val="000000"/>
                <w:sz w:val="20"/>
                <w:lang w:val="en-GB" w:eastAsia="zh-CN"/>
              </w:rPr>
            </w:pPr>
            <w:r w:rsidRPr="00AB390A">
              <w:rPr>
                <w:rFonts w:eastAsia="SimSun"/>
                <w:noProof/>
                <w:color w:val="000000"/>
                <w:sz w:val="20"/>
                <w:lang w:val="en-GB"/>
              </w:rPr>
              <w:t>Peripheral sensory neuropathy</w:t>
            </w:r>
          </w:p>
          <w:p w:rsidR="009C6A38" w:rsidP="009C6A38" w14:paraId="0337948A" w14:textId="77777777">
            <w:pPr>
              <w:keepNext/>
              <w:keepLines/>
              <w:autoSpaceDE w:val="0"/>
              <w:autoSpaceDN w:val="0"/>
              <w:adjustRightInd w:val="0"/>
              <w:rPr>
                <w:rFonts w:eastAsia="SimSun"/>
                <w:noProof/>
                <w:color w:val="000000"/>
                <w:sz w:val="20"/>
                <w:lang w:val="en-GB"/>
              </w:rPr>
            </w:pPr>
            <w:r w:rsidRPr="00AB390A">
              <w:rPr>
                <w:rFonts w:eastAsia="SimSun"/>
                <w:noProof/>
                <w:color w:val="000000"/>
                <w:sz w:val="20"/>
                <w:lang w:val="en-GB"/>
              </w:rPr>
              <w:t>Dizziness</w:t>
            </w:r>
          </w:p>
          <w:p w:rsidR="009C6A38" w:rsidRPr="000D28E6" w:rsidP="009C6A38" w14:paraId="064A18F3" w14:textId="77777777">
            <w:pPr>
              <w:keepNext/>
              <w:keepLines/>
              <w:autoSpaceDE w:val="0"/>
              <w:autoSpaceDN w:val="0"/>
              <w:adjustRightInd w:val="0"/>
              <w:rPr>
                <w:rFonts w:eastAsia="SimSun"/>
                <w:noProof/>
                <w:color w:val="000000"/>
                <w:sz w:val="20"/>
                <w:lang w:val="en-GB"/>
              </w:rPr>
            </w:pPr>
            <w:r>
              <w:rPr>
                <w:rFonts w:eastAsia="SimSun"/>
                <w:noProof/>
                <w:color w:val="000000"/>
                <w:sz w:val="20"/>
                <w:lang w:val="en-GB"/>
              </w:rPr>
              <w:t>Paraesthesia</w:t>
            </w:r>
          </w:p>
        </w:tc>
        <w:tc>
          <w:tcPr>
            <w:tcW w:w="2110" w:type="dxa"/>
            <w:noWrap/>
          </w:tcPr>
          <w:p w:rsidR="003205E7" w:rsidRPr="00AB390A" w:rsidP="009F4E3E" w14:paraId="63ABD933" w14:textId="77777777">
            <w:pPr>
              <w:keepNext/>
              <w:keepLines/>
              <w:autoSpaceDE w:val="0"/>
              <w:autoSpaceDN w:val="0"/>
              <w:adjustRightInd w:val="0"/>
              <w:rPr>
                <w:rFonts w:eastAsia="SimSun"/>
                <w:noProof/>
                <w:color w:val="000000"/>
                <w:sz w:val="20"/>
                <w:lang w:val="en-GB"/>
              </w:rPr>
            </w:pPr>
          </w:p>
        </w:tc>
        <w:tc>
          <w:tcPr>
            <w:tcW w:w="2109" w:type="dxa"/>
            <w:noWrap/>
          </w:tcPr>
          <w:p w:rsidR="003205E7" w:rsidRPr="000D28E6" w:rsidP="009F4E3E" w14:paraId="52B86FD5"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eastAsia="zh-CN"/>
              </w:rPr>
              <w:t xml:space="preserve"> </w:t>
            </w:r>
          </w:p>
        </w:tc>
        <w:tc>
          <w:tcPr>
            <w:tcW w:w="2110" w:type="dxa"/>
          </w:tcPr>
          <w:p w:rsidR="003205E7" w:rsidRPr="000D28E6" w:rsidP="009F4E3E" w14:paraId="08A72FAD" w14:textId="77777777">
            <w:pPr>
              <w:keepNext/>
              <w:keepLines/>
              <w:autoSpaceDE w:val="0"/>
              <w:autoSpaceDN w:val="0"/>
              <w:adjustRightInd w:val="0"/>
              <w:rPr>
                <w:rFonts w:eastAsia="SimSun"/>
                <w:noProof/>
                <w:color w:val="000000"/>
                <w:sz w:val="20"/>
                <w:lang w:val="en-GB" w:eastAsia="zh-CN"/>
              </w:rPr>
            </w:pPr>
          </w:p>
        </w:tc>
      </w:tr>
      <w:tr w14:paraId="7D952F21" w14:textId="77777777" w:rsidTr="001F5859">
        <w:tblPrEx>
          <w:tblW w:w="10847" w:type="dxa"/>
          <w:jc w:val="center"/>
          <w:tblLayout w:type="fixed"/>
          <w:tblCellMar>
            <w:left w:w="85" w:type="dxa"/>
            <w:right w:w="85" w:type="dxa"/>
          </w:tblCellMar>
          <w:tblLook w:val="01E0"/>
        </w:tblPrEx>
        <w:trPr>
          <w:trHeight w:val="364"/>
          <w:jc w:val="center"/>
        </w:trPr>
        <w:tc>
          <w:tcPr>
            <w:tcW w:w="2409" w:type="dxa"/>
            <w:noWrap/>
          </w:tcPr>
          <w:p w:rsidR="003205E7" w:rsidRPr="000D28E6" w:rsidP="009F4E3E" w14:paraId="7BC7609E"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Eye disorders</w:t>
            </w:r>
          </w:p>
        </w:tc>
        <w:tc>
          <w:tcPr>
            <w:tcW w:w="2109" w:type="dxa"/>
            <w:noWrap/>
          </w:tcPr>
          <w:p w:rsidR="003205E7" w:rsidRPr="000D28E6" w:rsidP="009F4E3E" w14:paraId="2AD28429" w14:textId="77777777">
            <w:pPr>
              <w:keepNext/>
              <w:keepLines/>
              <w:autoSpaceDE w:val="0"/>
              <w:autoSpaceDN w:val="0"/>
              <w:adjustRightInd w:val="0"/>
              <w:rPr>
                <w:rFonts w:eastAsia="SimSun"/>
                <w:noProof/>
                <w:color w:val="000000"/>
                <w:sz w:val="20"/>
                <w:lang w:val="en-GB"/>
              </w:rPr>
            </w:pPr>
            <w:r w:rsidRPr="00AB390A">
              <w:rPr>
                <w:rFonts w:eastAsia="SimSun"/>
                <w:noProof/>
                <w:color w:val="000000"/>
                <w:sz w:val="20"/>
                <w:lang w:val="en-GB"/>
              </w:rPr>
              <w:t>Lacrimation increased</w:t>
            </w:r>
          </w:p>
        </w:tc>
        <w:tc>
          <w:tcPr>
            <w:tcW w:w="2110" w:type="dxa"/>
            <w:noWrap/>
          </w:tcPr>
          <w:p w:rsidR="003205E7" w:rsidRPr="00AB390A" w:rsidP="009F4E3E" w14:paraId="6924EEFC" w14:textId="77777777">
            <w:pPr>
              <w:keepNext/>
              <w:keepLines/>
              <w:autoSpaceDE w:val="0"/>
              <w:autoSpaceDN w:val="0"/>
              <w:adjustRightInd w:val="0"/>
              <w:rPr>
                <w:rFonts w:eastAsia="SimSun"/>
                <w:noProof/>
                <w:color w:val="000000"/>
                <w:sz w:val="20"/>
                <w:lang w:val="en-GB"/>
              </w:rPr>
            </w:pPr>
          </w:p>
        </w:tc>
        <w:tc>
          <w:tcPr>
            <w:tcW w:w="2109" w:type="dxa"/>
            <w:noWrap/>
          </w:tcPr>
          <w:p w:rsidR="003205E7" w:rsidRPr="000D28E6" w:rsidP="009F4E3E" w14:paraId="48F12E6F" w14:textId="77777777">
            <w:pPr>
              <w:keepNext/>
              <w:keepLines/>
              <w:autoSpaceDE w:val="0"/>
              <w:autoSpaceDN w:val="0"/>
              <w:adjustRightInd w:val="0"/>
              <w:rPr>
                <w:rFonts w:eastAsia="SimSun"/>
                <w:noProof/>
                <w:color w:val="000000"/>
                <w:sz w:val="20"/>
                <w:lang w:val="en-GB" w:eastAsia="zh-CN"/>
              </w:rPr>
            </w:pPr>
          </w:p>
        </w:tc>
        <w:tc>
          <w:tcPr>
            <w:tcW w:w="2110" w:type="dxa"/>
          </w:tcPr>
          <w:p w:rsidR="003205E7" w:rsidRPr="000D28E6" w:rsidP="009F4E3E" w14:paraId="678F3FF3" w14:textId="77777777">
            <w:pPr>
              <w:keepNext/>
              <w:keepLines/>
              <w:autoSpaceDE w:val="0"/>
              <w:autoSpaceDN w:val="0"/>
              <w:adjustRightInd w:val="0"/>
              <w:rPr>
                <w:rFonts w:eastAsia="SimSun"/>
                <w:noProof/>
                <w:color w:val="000000"/>
                <w:sz w:val="20"/>
                <w:lang w:val="en-GB" w:eastAsia="zh-CN"/>
              </w:rPr>
            </w:pPr>
          </w:p>
        </w:tc>
      </w:tr>
      <w:tr w14:paraId="520F6212" w14:textId="77777777" w:rsidTr="001F5859">
        <w:tblPrEx>
          <w:tblW w:w="10847" w:type="dxa"/>
          <w:jc w:val="center"/>
          <w:tblLayout w:type="fixed"/>
          <w:tblCellMar>
            <w:left w:w="85" w:type="dxa"/>
            <w:right w:w="85" w:type="dxa"/>
          </w:tblCellMar>
          <w:tblLook w:val="01E0"/>
        </w:tblPrEx>
        <w:trPr>
          <w:trHeight w:val="364"/>
          <w:jc w:val="center"/>
        </w:trPr>
        <w:tc>
          <w:tcPr>
            <w:tcW w:w="2409" w:type="dxa"/>
            <w:noWrap/>
          </w:tcPr>
          <w:p w:rsidR="003205E7" w:rsidRPr="000D28E6" w:rsidP="009F4E3E" w14:paraId="5F3E0DBB"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Cardiac disorders</w:t>
            </w:r>
          </w:p>
        </w:tc>
        <w:tc>
          <w:tcPr>
            <w:tcW w:w="2109" w:type="dxa"/>
            <w:noWrap/>
          </w:tcPr>
          <w:p w:rsidR="003205E7" w:rsidRPr="000D28E6" w:rsidP="009F4E3E" w14:paraId="6AA1ABCD" w14:textId="77777777">
            <w:pPr>
              <w:keepNext/>
              <w:keepLines/>
              <w:autoSpaceDE w:val="0"/>
              <w:autoSpaceDN w:val="0"/>
              <w:adjustRightInd w:val="0"/>
              <w:rPr>
                <w:rFonts w:eastAsia="SimSun"/>
                <w:noProof/>
                <w:color w:val="000000"/>
                <w:sz w:val="20"/>
                <w:lang w:val="en-GB" w:eastAsia="zh-CN"/>
              </w:rPr>
            </w:pPr>
          </w:p>
        </w:tc>
        <w:tc>
          <w:tcPr>
            <w:tcW w:w="2110" w:type="dxa"/>
            <w:noWrap/>
          </w:tcPr>
          <w:p w:rsidR="003205E7" w:rsidRPr="000D28E6" w:rsidP="009C6A38" w14:paraId="5748D4C0"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Left ventricular dysfunction</w:t>
            </w:r>
            <w:r w:rsidRPr="000D28E6">
              <w:rPr>
                <w:rFonts w:eastAsia="SimSun"/>
                <w:noProof/>
                <w:color w:val="000000"/>
                <w:sz w:val="20"/>
                <w:lang w:val="en-GB" w:eastAsia="zh-CN"/>
              </w:rPr>
              <w:t xml:space="preserve"> </w:t>
            </w:r>
            <w:r w:rsidRPr="00BF2495">
              <w:rPr>
                <w:noProof/>
                <w:color w:val="000000"/>
                <w:sz w:val="20"/>
                <w:lang w:val="en-GB"/>
              </w:rPr>
              <w:t>**</w:t>
            </w:r>
          </w:p>
        </w:tc>
        <w:tc>
          <w:tcPr>
            <w:tcW w:w="2109" w:type="dxa"/>
            <w:noWrap/>
          </w:tcPr>
          <w:p w:rsidR="003205E7" w:rsidRPr="000D28E6" w:rsidP="000E5912" w14:paraId="2016BE91" w14:textId="77777777">
            <w:pPr>
              <w:keepNext/>
              <w:keepLines/>
              <w:autoSpaceDE w:val="0"/>
              <w:autoSpaceDN w:val="0"/>
              <w:adjustRightInd w:val="0"/>
              <w:rPr>
                <w:rFonts w:eastAsia="SimSun"/>
                <w:noProof/>
                <w:color w:val="000000"/>
                <w:sz w:val="20"/>
                <w:lang w:val="en-GB"/>
              </w:rPr>
            </w:pPr>
            <w:r>
              <w:rPr>
                <w:rFonts w:eastAsia="SimSun"/>
                <w:noProof/>
                <w:color w:val="000000"/>
                <w:sz w:val="20"/>
                <w:lang w:val="en-GB" w:eastAsia="zh-CN"/>
              </w:rPr>
              <w:t>Cardiac failure c</w:t>
            </w:r>
            <w:r w:rsidRPr="000D28E6">
              <w:rPr>
                <w:rFonts w:eastAsia="SimSun"/>
                <w:noProof/>
                <w:color w:val="000000"/>
                <w:sz w:val="20"/>
                <w:lang w:val="en-GB" w:eastAsia="zh-CN"/>
              </w:rPr>
              <w:t>ongestive</w:t>
            </w:r>
            <w:r w:rsidRPr="00BF2495">
              <w:rPr>
                <w:noProof/>
                <w:color w:val="000000"/>
                <w:sz w:val="20"/>
                <w:lang w:val="en-GB"/>
              </w:rPr>
              <w:t>**</w:t>
            </w:r>
          </w:p>
        </w:tc>
        <w:tc>
          <w:tcPr>
            <w:tcW w:w="2110" w:type="dxa"/>
          </w:tcPr>
          <w:p w:rsidR="003205E7" w:rsidRPr="000D28E6" w:rsidP="009F4E3E" w14:paraId="23997AF9" w14:textId="77777777">
            <w:pPr>
              <w:keepNext/>
              <w:keepLines/>
              <w:autoSpaceDE w:val="0"/>
              <w:autoSpaceDN w:val="0"/>
              <w:adjustRightInd w:val="0"/>
              <w:rPr>
                <w:rFonts w:eastAsia="SimSun"/>
                <w:noProof/>
                <w:color w:val="000000"/>
                <w:sz w:val="20"/>
                <w:lang w:val="en-GB"/>
              </w:rPr>
            </w:pPr>
          </w:p>
        </w:tc>
      </w:tr>
      <w:tr w14:paraId="2171359C" w14:textId="77777777" w:rsidTr="00FC2656">
        <w:tblPrEx>
          <w:tblW w:w="10847" w:type="dxa"/>
          <w:jc w:val="center"/>
          <w:tblLayout w:type="fixed"/>
          <w:tblCellMar>
            <w:left w:w="85" w:type="dxa"/>
            <w:right w:w="85" w:type="dxa"/>
          </w:tblCellMar>
          <w:tblLook w:val="01E0"/>
        </w:tblPrEx>
        <w:trPr>
          <w:trHeight w:val="364"/>
          <w:jc w:val="center"/>
        </w:trPr>
        <w:tc>
          <w:tcPr>
            <w:tcW w:w="2409" w:type="dxa"/>
            <w:noWrap/>
          </w:tcPr>
          <w:p w:rsidR="009C6A38" w:rsidRPr="001F5859" w:rsidP="008E474D" w14:paraId="33322E8C" w14:textId="77777777">
            <w:pPr>
              <w:autoSpaceDE w:val="0"/>
              <w:autoSpaceDN w:val="0"/>
              <w:adjustRightInd w:val="0"/>
              <w:rPr>
                <w:rFonts w:eastAsia="SimSun"/>
                <w:noProof/>
                <w:color w:val="000000"/>
                <w:sz w:val="20"/>
                <w:lang w:val="en-GB"/>
              </w:rPr>
            </w:pPr>
            <w:r w:rsidRPr="001F5859">
              <w:rPr>
                <w:rFonts w:eastAsia="SimSun"/>
                <w:noProof/>
                <w:color w:val="000000"/>
                <w:sz w:val="20"/>
                <w:lang w:val="en-GB"/>
              </w:rPr>
              <w:t>Vascular disorders</w:t>
            </w:r>
          </w:p>
        </w:tc>
        <w:tc>
          <w:tcPr>
            <w:tcW w:w="2109" w:type="dxa"/>
            <w:noWrap/>
          </w:tcPr>
          <w:p w:rsidR="009C6A38" w:rsidRPr="001F5859" w:rsidP="007358E0" w14:paraId="27307AD1" w14:textId="77777777">
            <w:pPr>
              <w:autoSpaceDE w:val="0"/>
              <w:autoSpaceDN w:val="0"/>
              <w:adjustRightInd w:val="0"/>
              <w:rPr>
                <w:rFonts w:eastAsia="SimSun"/>
                <w:noProof/>
                <w:color w:val="000000"/>
                <w:sz w:val="20"/>
                <w:lang w:val="en-GB" w:eastAsia="zh-CN"/>
              </w:rPr>
            </w:pPr>
            <w:r w:rsidRPr="001F5859">
              <w:rPr>
                <w:rFonts w:eastAsia="SimSun"/>
                <w:noProof/>
                <w:color w:val="000000"/>
                <w:sz w:val="20"/>
                <w:lang w:val="en-GB" w:eastAsia="zh-CN"/>
              </w:rPr>
              <w:t>Hot flush</w:t>
            </w:r>
          </w:p>
        </w:tc>
        <w:tc>
          <w:tcPr>
            <w:tcW w:w="2110" w:type="dxa"/>
            <w:noWrap/>
          </w:tcPr>
          <w:p w:rsidR="009C6A38" w:rsidRPr="00AB390A" w:rsidP="00655A35" w14:paraId="09E4621F" w14:textId="77777777">
            <w:pPr>
              <w:autoSpaceDE w:val="0"/>
              <w:autoSpaceDN w:val="0"/>
              <w:adjustRightInd w:val="0"/>
              <w:rPr>
                <w:rFonts w:eastAsia="SimSun"/>
                <w:noProof/>
                <w:color w:val="000000"/>
                <w:sz w:val="20"/>
                <w:lang w:val="en-GB"/>
              </w:rPr>
            </w:pPr>
          </w:p>
        </w:tc>
        <w:tc>
          <w:tcPr>
            <w:tcW w:w="2109" w:type="dxa"/>
            <w:noWrap/>
          </w:tcPr>
          <w:p w:rsidR="009C6A38" w:rsidRPr="000D28E6" w:rsidP="008E474D" w14:paraId="1994E999" w14:textId="77777777">
            <w:pPr>
              <w:autoSpaceDE w:val="0"/>
              <w:autoSpaceDN w:val="0"/>
              <w:adjustRightInd w:val="0"/>
              <w:rPr>
                <w:rFonts w:eastAsia="SimSun"/>
                <w:noProof/>
                <w:color w:val="000000"/>
                <w:sz w:val="20"/>
                <w:lang w:val="en-GB" w:eastAsia="zh-CN"/>
              </w:rPr>
            </w:pPr>
          </w:p>
        </w:tc>
        <w:tc>
          <w:tcPr>
            <w:tcW w:w="2110" w:type="dxa"/>
          </w:tcPr>
          <w:p w:rsidR="009C6A38" w:rsidRPr="000D28E6" w:rsidP="008E474D" w14:paraId="00D25E1D" w14:textId="77777777">
            <w:pPr>
              <w:autoSpaceDE w:val="0"/>
              <w:autoSpaceDN w:val="0"/>
              <w:adjustRightInd w:val="0"/>
              <w:rPr>
                <w:rFonts w:eastAsia="SimSun"/>
                <w:noProof/>
                <w:color w:val="000000"/>
                <w:sz w:val="20"/>
                <w:lang w:val="en-GB" w:eastAsia="zh-CN"/>
              </w:rPr>
            </w:pPr>
          </w:p>
        </w:tc>
      </w:tr>
      <w:tr w14:paraId="40D79CA7" w14:textId="77777777" w:rsidTr="001F5859">
        <w:tblPrEx>
          <w:tblW w:w="10847" w:type="dxa"/>
          <w:jc w:val="center"/>
          <w:tblLayout w:type="fixed"/>
          <w:tblCellMar>
            <w:left w:w="85" w:type="dxa"/>
            <w:right w:w="85" w:type="dxa"/>
          </w:tblCellMar>
          <w:tblLook w:val="01E0"/>
        </w:tblPrEx>
        <w:trPr>
          <w:trHeight w:val="364"/>
          <w:jc w:val="center"/>
        </w:trPr>
        <w:tc>
          <w:tcPr>
            <w:tcW w:w="2409" w:type="dxa"/>
            <w:noWrap/>
          </w:tcPr>
          <w:p w:rsidR="003205E7" w:rsidRPr="001F5859" w:rsidP="008E474D" w14:paraId="0F22688F" w14:textId="77777777">
            <w:pPr>
              <w:autoSpaceDE w:val="0"/>
              <w:autoSpaceDN w:val="0"/>
              <w:adjustRightInd w:val="0"/>
              <w:rPr>
                <w:rFonts w:eastAsia="SimSun"/>
                <w:noProof/>
                <w:color w:val="000000"/>
                <w:sz w:val="20"/>
                <w:lang w:val="en-GB"/>
              </w:rPr>
            </w:pPr>
            <w:r w:rsidRPr="001F5859">
              <w:rPr>
                <w:rFonts w:eastAsia="SimSun"/>
                <w:noProof/>
                <w:color w:val="000000"/>
                <w:sz w:val="20"/>
                <w:lang w:val="en-GB"/>
              </w:rPr>
              <w:t>Respiratory, thoracic and mediastinal disorders</w:t>
            </w:r>
            <w:r w:rsidRPr="001F5859">
              <w:rPr>
                <w:rFonts w:eastAsia="SimSun"/>
                <w:noProof/>
                <w:color w:val="000000"/>
                <w:sz w:val="20"/>
                <w:lang w:val="en-GB" w:eastAsia="zh-CN"/>
              </w:rPr>
              <w:t xml:space="preserve"> </w:t>
            </w:r>
          </w:p>
        </w:tc>
        <w:tc>
          <w:tcPr>
            <w:tcW w:w="2109" w:type="dxa"/>
            <w:noWrap/>
          </w:tcPr>
          <w:p w:rsidR="009C6A38" w:rsidRPr="001F5859" w:rsidP="007358E0" w14:paraId="3611EE7C" w14:textId="77777777">
            <w:pPr>
              <w:autoSpaceDE w:val="0"/>
              <w:autoSpaceDN w:val="0"/>
              <w:adjustRightInd w:val="0"/>
              <w:rPr>
                <w:sz w:val="20"/>
                <w:lang w:val="en-GB" w:eastAsia="en-US"/>
              </w:rPr>
            </w:pPr>
            <w:r w:rsidRPr="001F5859">
              <w:rPr>
                <w:rFonts w:eastAsia="SimSun"/>
                <w:noProof/>
                <w:color w:val="000000"/>
                <w:sz w:val="20"/>
                <w:lang w:val="en-GB" w:eastAsia="zh-CN"/>
              </w:rPr>
              <w:t xml:space="preserve">Cough </w:t>
            </w:r>
          </w:p>
          <w:p w:rsidR="009C6A38" w:rsidRPr="001F5859" w:rsidP="007358E0" w14:paraId="68F6D38A" w14:textId="77777777">
            <w:pPr>
              <w:autoSpaceDE w:val="0"/>
              <w:autoSpaceDN w:val="0"/>
              <w:adjustRightInd w:val="0"/>
              <w:rPr>
                <w:sz w:val="20"/>
                <w:lang w:val="en-GB" w:eastAsia="en-US"/>
              </w:rPr>
            </w:pPr>
            <w:r w:rsidRPr="001F5859">
              <w:rPr>
                <w:sz w:val="20"/>
                <w:lang w:val="en-GB" w:eastAsia="en-US"/>
              </w:rPr>
              <w:t>Epistaxis</w:t>
            </w:r>
          </w:p>
          <w:p w:rsidR="003205E7" w:rsidRPr="001F5859" w:rsidP="007358E0" w14:paraId="601E381D" w14:textId="77777777">
            <w:pPr>
              <w:autoSpaceDE w:val="0"/>
              <w:autoSpaceDN w:val="0"/>
              <w:adjustRightInd w:val="0"/>
              <w:rPr>
                <w:rFonts w:eastAsia="SimSun"/>
                <w:noProof/>
                <w:color w:val="000000"/>
                <w:sz w:val="20"/>
                <w:lang w:val="en-GB"/>
              </w:rPr>
            </w:pPr>
            <w:r w:rsidRPr="001F5859">
              <w:rPr>
                <w:sz w:val="20"/>
                <w:lang w:val="en-GB" w:eastAsia="en-US"/>
              </w:rPr>
              <w:t>Dyspnoea</w:t>
            </w:r>
          </w:p>
        </w:tc>
        <w:tc>
          <w:tcPr>
            <w:tcW w:w="2110" w:type="dxa"/>
            <w:noWrap/>
          </w:tcPr>
          <w:p w:rsidR="003205E7" w:rsidRPr="00AB390A" w:rsidP="009C6A38" w14:paraId="025B885B" w14:textId="77777777">
            <w:pPr>
              <w:autoSpaceDE w:val="0"/>
              <w:autoSpaceDN w:val="0"/>
              <w:adjustRightInd w:val="0"/>
              <w:rPr>
                <w:rFonts w:eastAsia="SimSun"/>
                <w:noProof/>
                <w:color w:val="000000"/>
                <w:sz w:val="20"/>
                <w:lang w:val="en-GB"/>
              </w:rPr>
            </w:pPr>
          </w:p>
        </w:tc>
        <w:tc>
          <w:tcPr>
            <w:tcW w:w="2109" w:type="dxa"/>
            <w:noWrap/>
          </w:tcPr>
          <w:p w:rsidR="003205E7" w:rsidRPr="000D28E6" w:rsidP="008E474D" w14:paraId="0C8ABA0B" w14:textId="77777777">
            <w:pPr>
              <w:autoSpaceDE w:val="0"/>
              <w:autoSpaceDN w:val="0"/>
              <w:adjustRightInd w:val="0"/>
              <w:rPr>
                <w:rFonts w:eastAsia="SimSun"/>
                <w:noProof/>
                <w:color w:val="000000"/>
                <w:sz w:val="20"/>
                <w:lang w:val="en-GB" w:eastAsia="zh-CN"/>
              </w:rPr>
            </w:pPr>
            <w:r w:rsidRPr="000D28E6">
              <w:rPr>
                <w:rFonts w:eastAsia="SimSun"/>
                <w:noProof/>
                <w:color w:val="000000"/>
                <w:sz w:val="20"/>
                <w:lang w:val="en-GB" w:eastAsia="zh-CN"/>
              </w:rPr>
              <w:t xml:space="preserve">Interstitial lung disease </w:t>
            </w:r>
          </w:p>
          <w:p w:rsidR="009C6A38" w:rsidRPr="00AB390A" w:rsidP="009C6A38" w14:paraId="410FE734" w14:textId="77777777">
            <w:pPr>
              <w:autoSpaceDE w:val="0"/>
              <w:autoSpaceDN w:val="0"/>
              <w:adjustRightInd w:val="0"/>
              <w:rPr>
                <w:rFonts w:eastAsia="SimSun"/>
                <w:noProof/>
                <w:color w:val="000000"/>
                <w:sz w:val="20"/>
                <w:lang w:val="en-GB" w:eastAsia="zh-CN"/>
              </w:rPr>
            </w:pPr>
            <w:r w:rsidRPr="00AB390A">
              <w:rPr>
                <w:rFonts w:eastAsia="SimSun"/>
                <w:noProof/>
                <w:color w:val="000000"/>
                <w:sz w:val="20"/>
                <w:lang w:val="en-GB"/>
              </w:rPr>
              <w:t>Pleural effusion</w:t>
            </w:r>
            <w:r w:rsidRPr="00AB390A">
              <w:rPr>
                <w:rFonts w:eastAsia="SimSun"/>
                <w:noProof/>
                <w:color w:val="000000"/>
                <w:sz w:val="20"/>
                <w:lang w:val="en-GB" w:eastAsia="zh-CN"/>
              </w:rPr>
              <w:t xml:space="preserve"> </w:t>
            </w:r>
          </w:p>
          <w:p w:rsidR="003205E7" w:rsidRPr="000D28E6" w:rsidP="00655A35" w14:paraId="1A2590FF" w14:textId="77777777">
            <w:pPr>
              <w:autoSpaceDE w:val="0"/>
              <w:autoSpaceDN w:val="0"/>
              <w:adjustRightInd w:val="0"/>
              <w:rPr>
                <w:rFonts w:eastAsia="SimSun"/>
                <w:noProof/>
                <w:color w:val="000000"/>
                <w:sz w:val="20"/>
                <w:lang w:val="en-GB" w:eastAsia="zh-CN"/>
              </w:rPr>
            </w:pPr>
          </w:p>
        </w:tc>
        <w:tc>
          <w:tcPr>
            <w:tcW w:w="2110" w:type="dxa"/>
          </w:tcPr>
          <w:p w:rsidR="003205E7" w:rsidRPr="000D28E6" w:rsidP="008E474D" w14:paraId="2E384C65" w14:textId="77777777">
            <w:pPr>
              <w:autoSpaceDE w:val="0"/>
              <w:autoSpaceDN w:val="0"/>
              <w:adjustRightInd w:val="0"/>
              <w:rPr>
                <w:rFonts w:eastAsia="SimSun"/>
                <w:noProof/>
                <w:color w:val="000000"/>
                <w:sz w:val="20"/>
                <w:lang w:val="en-GB" w:eastAsia="zh-CN"/>
              </w:rPr>
            </w:pPr>
          </w:p>
        </w:tc>
      </w:tr>
      <w:tr w14:paraId="3132F1F9" w14:textId="77777777" w:rsidTr="001F5859">
        <w:tblPrEx>
          <w:tblW w:w="10847" w:type="dxa"/>
          <w:jc w:val="center"/>
          <w:tblLayout w:type="fixed"/>
          <w:tblCellMar>
            <w:left w:w="85" w:type="dxa"/>
            <w:right w:w="85" w:type="dxa"/>
          </w:tblCellMar>
          <w:tblLook w:val="01E0"/>
        </w:tblPrEx>
        <w:trPr>
          <w:trHeight w:val="232"/>
          <w:jc w:val="center"/>
        </w:trPr>
        <w:tc>
          <w:tcPr>
            <w:tcW w:w="2409" w:type="dxa"/>
            <w:noWrap/>
          </w:tcPr>
          <w:p w:rsidR="003205E7" w:rsidRPr="000D28E6" w:rsidP="00763EEE" w14:paraId="2AA183F7" w14:textId="77777777">
            <w:pPr>
              <w:autoSpaceDE w:val="0"/>
              <w:autoSpaceDN w:val="0"/>
              <w:adjustRightInd w:val="0"/>
              <w:rPr>
                <w:rFonts w:eastAsia="SimSun"/>
                <w:noProof/>
                <w:color w:val="000000"/>
                <w:sz w:val="20"/>
                <w:lang w:val="en-GB"/>
              </w:rPr>
            </w:pPr>
            <w:r w:rsidRPr="000D28E6">
              <w:rPr>
                <w:rFonts w:eastAsia="SimSun"/>
                <w:noProof/>
                <w:color w:val="000000"/>
                <w:sz w:val="20"/>
                <w:lang w:val="en-GB"/>
              </w:rPr>
              <w:t>Gastrointestinal disorders</w:t>
            </w:r>
            <w:r w:rsidRPr="000D28E6">
              <w:rPr>
                <w:rFonts w:eastAsia="SimSun"/>
                <w:noProof/>
                <w:color w:val="000000"/>
                <w:sz w:val="20"/>
                <w:lang w:val="en-GB" w:eastAsia="zh-CN"/>
              </w:rPr>
              <w:t xml:space="preserve"> </w:t>
            </w:r>
          </w:p>
        </w:tc>
        <w:tc>
          <w:tcPr>
            <w:tcW w:w="2109" w:type="dxa"/>
            <w:noWrap/>
          </w:tcPr>
          <w:p w:rsidR="003205E7" w:rsidRPr="00AB390A" w:rsidP="00763EEE" w14:paraId="115077A5" w14:textId="77777777">
            <w:pPr>
              <w:autoSpaceDE w:val="0"/>
              <w:autoSpaceDN w:val="0"/>
              <w:adjustRightInd w:val="0"/>
              <w:rPr>
                <w:rFonts w:eastAsia="SimSun"/>
                <w:noProof/>
                <w:color w:val="000000"/>
                <w:sz w:val="20"/>
                <w:lang w:val="en-GB" w:eastAsia="zh-CN"/>
              </w:rPr>
            </w:pPr>
            <w:r w:rsidRPr="00AB390A">
              <w:rPr>
                <w:rFonts w:eastAsia="SimSun"/>
                <w:noProof/>
                <w:color w:val="000000"/>
                <w:sz w:val="20"/>
                <w:lang w:val="en-GB"/>
              </w:rPr>
              <w:t>Diarrhoea</w:t>
            </w:r>
            <w:r w:rsidRPr="00AB390A">
              <w:rPr>
                <w:rFonts w:eastAsia="SimSun"/>
                <w:noProof/>
                <w:color w:val="000000"/>
                <w:sz w:val="20"/>
                <w:lang w:val="en-GB" w:eastAsia="zh-CN"/>
              </w:rPr>
              <w:t xml:space="preserve"> </w:t>
            </w:r>
          </w:p>
          <w:p w:rsidR="003205E7" w:rsidRPr="00AB390A" w:rsidP="00763EEE" w14:paraId="570AB168" w14:textId="77777777">
            <w:pPr>
              <w:autoSpaceDE w:val="0"/>
              <w:autoSpaceDN w:val="0"/>
              <w:adjustRightInd w:val="0"/>
              <w:rPr>
                <w:rFonts w:eastAsia="SimSun"/>
                <w:noProof/>
                <w:color w:val="000000"/>
                <w:sz w:val="20"/>
                <w:lang w:val="en-GB" w:eastAsia="zh-CN"/>
              </w:rPr>
            </w:pPr>
            <w:r w:rsidRPr="00AB390A">
              <w:rPr>
                <w:rFonts w:eastAsia="SimSun"/>
                <w:noProof/>
                <w:color w:val="000000"/>
                <w:sz w:val="20"/>
                <w:lang w:val="en-GB" w:eastAsia="zh-CN"/>
              </w:rPr>
              <w:t xml:space="preserve">Vomiting  </w:t>
            </w:r>
          </w:p>
          <w:p w:rsidR="003205E7" w:rsidRPr="00AB390A" w:rsidP="00763EEE" w14:paraId="5044D306" w14:textId="77777777">
            <w:pPr>
              <w:autoSpaceDE w:val="0"/>
              <w:autoSpaceDN w:val="0"/>
              <w:adjustRightInd w:val="0"/>
              <w:rPr>
                <w:rFonts w:eastAsia="SimSun"/>
                <w:noProof/>
                <w:color w:val="000000"/>
                <w:sz w:val="20"/>
                <w:lang w:val="en-GB" w:eastAsia="zh-CN"/>
              </w:rPr>
            </w:pPr>
            <w:r w:rsidRPr="00AB390A">
              <w:rPr>
                <w:rFonts w:eastAsia="SimSun"/>
                <w:noProof/>
                <w:color w:val="000000"/>
                <w:sz w:val="20"/>
                <w:lang w:val="en-GB"/>
              </w:rPr>
              <w:t>Stomatitis</w:t>
            </w:r>
            <w:r w:rsidRPr="00AB390A">
              <w:rPr>
                <w:rFonts w:eastAsia="SimSun"/>
                <w:noProof/>
                <w:color w:val="000000"/>
                <w:sz w:val="20"/>
                <w:lang w:val="en-GB" w:eastAsia="zh-CN"/>
              </w:rPr>
              <w:t xml:space="preserve"> </w:t>
            </w:r>
          </w:p>
          <w:p w:rsidR="003205E7" w:rsidRPr="00AB390A" w:rsidP="00763EEE" w14:paraId="7B606AC3" w14:textId="77777777">
            <w:pPr>
              <w:autoSpaceDE w:val="0"/>
              <w:autoSpaceDN w:val="0"/>
              <w:adjustRightInd w:val="0"/>
              <w:rPr>
                <w:rFonts w:eastAsia="SimSun"/>
                <w:noProof/>
                <w:color w:val="000000"/>
                <w:sz w:val="20"/>
                <w:lang w:val="en-GB" w:eastAsia="zh-CN"/>
              </w:rPr>
            </w:pPr>
            <w:r w:rsidRPr="00AB390A">
              <w:rPr>
                <w:rFonts w:eastAsia="SimSun"/>
                <w:noProof/>
                <w:color w:val="000000"/>
                <w:sz w:val="20"/>
                <w:lang w:val="en-GB" w:eastAsia="zh-CN"/>
              </w:rPr>
              <w:t xml:space="preserve">Nausea </w:t>
            </w:r>
          </w:p>
          <w:p w:rsidR="003205E7" w:rsidRPr="00AB390A" w:rsidP="00763EEE" w14:paraId="3CECB606" w14:textId="77777777">
            <w:pPr>
              <w:autoSpaceDE w:val="0"/>
              <w:autoSpaceDN w:val="0"/>
              <w:adjustRightInd w:val="0"/>
              <w:rPr>
                <w:rFonts w:eastAsia="SimSun"/>
                <w:noProof/>
                <w:color w:val="000000"/>
                <w:sz w:val="20"/>
                <w:lang w:val="en-GB" w:eastAsia="zh-CN"/>
              </w:rPr>
            </w:pPr>
            <w:r w:rsidRPr="00AB390A">
              <w:rPr>
                <w:rFonts w:eastAsia="SimSun"/>
                <w:noProof/>
                <w:color w:val="000000"/>
                <w:sz w:val="20"/>
                <w:lang w:val="en-GB" w:eastAsia="zh-CN"/>
              </w:rPr>
              <w:t xml:space="preserve">Constipation </w:t>
            </w:r>
          </w:p>
          <w:p w:rsidR="003205E7" w:rsidP="00763EEE" w14:paraId="600FCF55" w14:textId="77777777">
            <w:pPr>
              <w:autoSpaceDE w:val="0"/>
              <w:autoSpaceDN w:val="0"/>
              <w:adjustRightInd w:val="0"/>
              <w:rPr>
                <w:rFonts w:eastAsia="SimSun"/>
                <w:noProof/>
                <w:color w:val="000000"/>
                <w:sz w:val="20"/>
                <w:lang w:val="en-GB" w:eastAsia="zh-CN"/>
              </w:rPr>
            </w:pPr>
            <w:r w:rsidRPr="00AB390A">
              <w:rPr>
                <w:rFonts w:eastAsia="SimSun"/>
                <w:noProof/>
                <w:color w:val="000000"/>
                <w:sz w:val="20"/>
                <w:lang w:val="en-GB" w:eastAsia="zh-CN"/>
              </w:rPr>
              <w:t xml:space="preserve">Dyspepsia </w:t>
            </w:r>
          </w:p>
          <w:p w:rsidR="009C6A38" w:rsidRPr="00AB390A" w:rsidP="00763EEE" w14:paraId="5991D0D6" w14:textId="77777777">
            <w:pPr>
              <w:autoSpaceDE w:val="0"/>
              <w:autoSpaceDN w:val="0"/>
              <w:adjustRightInd w:val="0"/>
              <w:rPr>
                <w:rFonts w:eastAsia="SimSun"/>
                <w:noProof/>
                <w:color w:val="000000"/>
                <w:sz w:val="20"/>
                <w:lang w:val="en-GB"/>
              </w:rPr>
            </w:pPr>
            <w:r>
              <w:rPr>
                <w:rFonts w:eastAsia="SimSun"/>
                <w:noProof/>
                <w:color w:val="000000"/>
                <w:sz w:val="20"/>
                <w:lang w:val="en-GB" w:eastAsia="zh-CN"/>
              </w:rPr>
              <w:t>Abdominal pain</w:t>
            </w:r>
          </w:p>
        </w:tc>
        <w:tc>
          <w:tcPr>
            <w:tcW w:w="2110" w:type="dxa"/>
            <w:noWrap/>
          </w:tcPr>
          <w:p w:rsidR="003205E7" w:rsidRPr="00AB390A" w:rsidP="00763EEE" w14:paraId="4A057D3B" w14:textId="77777777">
            <w:pPr>
              <w:autoSpaceDE w:val="0"/>
              <w:autoSpaceDN w:val="0"/>
              <w:adjustRightInd w:val="0"/>
              <w:rPr>
                <w:rFonts w:eastAsia="SimSun"/>
                <w:b/>
                <w:noProof/>
                <w:color w:val="000000"/>
                <w:sz w:val="20"/>
                <w:lang w:val="en-GB"/>
              </w:rPr>
            </w:pPr>
          </w:p>
        </w:tc>
        <w:tc>
          <w:tcPr>
            <w:tcW w:w="2109" w:type="dxa"/>
            <w:noWrap/>
          </w:tcPr>
          <w:p w:rsidR="003205E7" w:rsidRPr="000D28E6" w:rsidP="00763EEE" w14:paraId="4FA211F4" w14:textId="77777777">
            <w:pPr>
              <w:autoSpaceDE w:val="0"/>
              <w:autoSpaceDN w:val="0"/>
              <w:adjustRightInd w:val="0"/>
              <w:rPr>
                <w:rFonts w:eastAsia="SimSun"/>
                <w:b/>
                <w:noProof/>
                <w:color w:val="000000"/>
                <w:sz w:val="20"/>
                <w:lang w:val="en-GB" w:eastAsia="zh-CN"/>
              </w:rPr>
            </w:pPr>
          </w:p>
        </w:tc>
        <w:tc>
          <w:tcPr>
            <w:tcW w:w="2110" w:type="dxa"/>
          </w:tcPr>
          <w:p w:rsidR="003205E7" w:rsidRPr="000D28E6" w:rsidP="00763EEE" w14:paraId="1797AF76" w14:textId="77777777">
            <w:pPr>
              <w:autoSpaceDE w:val="0"/>
              <w:autoSpaceDN w:val="0"/>
              <w:adjustRightInd w:val="0"/>
              <w:rPr>
                <w:rFonts w:eastAsia="SimSun"/>
                <w:b/>
                <w:noProof/>
                <w:color w:val="000000"/>
                <w:sz w:val="20"/>
                <w:lang w:val="en-GB" w:eastAsia="zh-CN"/>
              </w:rPr>
            </w:pPr>
          </w:p>
        </w:tc>
      </w:tr>
      <w:tr w14:paraId="14BA8ED0" w14:textId="77777777" w:rsidTr="001F5859">
        <w:tblPrEx>
          <w:tblW w:w="10847" w:type="dxa"/>
          <w:jc w:val="center"/>
          <w:tblLayout w:type="fixed"/>
          <w:tblCellMar>
            <w:left w:w="85" w:type="dxa"/>
            <w:right w:w="85" w:type="dxa"/>
          </w:tblCellMar>
          <w:tblLook w:val="01E0"/>
        </w:tblPrEx>
        <w:trPr>
          <w:trHeight w:val="748"/>
          <w:jc w:val="center"/>
        </w:trPr>
        <w:tc>
          <w:tcPr>
            <w:tcW w:w="2409" w:type="dxa"/>
            <w:noWrap/>
          </w:tcPr>
          <w:p w:rsidR="003205E7" w:rsidRPr="000D28E6" w:rsidP="00763EEE" w14:paraId="0A79A877" w14:textId="77777777">
            <w:pPr>
              <w:keepNext/>
              <w:autoSpaceDE w:val="0"/>
              <w:autoSpaceDN w:val="0"/>
              <w:adjustRightInd w:val="0"/>
              <w:rPr>
                <w:rFonts w:eastAsia="SimSun"/>
                <w:noProof/>
                <w:color w:val="000000"/>
                <w:sz w:val="20"/>
                <w:lang w:val="en-GB"/>
              </w:rPr>
            </w:pPr>
            <w:r w:rsidRPr="000D28E6">
              <w:rPr>
                <w:rFonts w:eastAsia="SimSun"/>
                <w:noProof/>
                <w:color w:val="000000"/>
                <w:sz w:val="20"/>
                <w:lang w:val="en-GB"/>
              </w:rPr>
              <w:t>Skin and subcutaneous tissue disorders</w:t>
            </w:r>
            <w:r w:rsidRPr="000D28E6">
              <w:rPr>
                <w:rFonts w:eastAsia="SimSun"/>
                <w:noProof/>
                <w:color w:val="000000"/>
                <w:sz w:val="20"/>
                <w:lang w:val="en-GB" w:eastAsia="zh-CN"/>
              </w:rPr>
              <w:t xml:space="preserve"> </w:t>
            </w:r>
          </w:p>
        </w:tc>
        <w:tc>
          <w:tcPr>
            <w:tcW w:w="2109" w:type="dxa"/>
            <w:noWrap/>
          </w:tcPr>
          <w:p w:rsidR="003205E7" w:rsidRPr="00AB390A" w:rsidP="00763EEE" w14:paraId="784089E2" w14:textId="77777777">
            <w:pPr>
              <w:keepNext/>
              <w:autoSpaceDE w:val="0"/>
              <w:autoSpaceDN w:val="0"/>
              <w:adjustRightInd w:val="0"/>
              <w:rPr>
                <w:rFonts w:eastAsia="SimSun"/>
                <w:noProof/>
                <w:color w:val="000000"/>
                <w:sz w:val="20"/>
                <w:lang w:val="en-GB" w:eastAsia="zh-CN"/>
              </w:rPr>
            </w:pPr>
            <w:r w:rsidRPr="00AB390A">
              <w:rPr>
                <w:rFonts w:eastAsia="SimSun"/>
                <w:noProof/>
                <w:color w:val="000000"/>
                <w:sz w:val="20"/>
                <w:lang w:val="en-GB"/>
              </w:rPr>
              <w:t>Alopecia</w:t>
            </w:r>
            <w:r w:rsidRPr="00AB390A">
              <w:rPr>
                <w:rFonts w:eastAsia="SimSun"/>
                <w:noProof/>
                <w:color w:val="000000"/>
                <w:sz w:val="20"/>
                <w:lang w:val="en-GB" w:eastAsia="zh-CN"/>
              </w:rPr>
              <w:t xml:space="preserve"> </w:t>
            </w:r>
          </w:p>
          <w:p w:rsidR="003205E7" w:rsidRPr="00AB390A" w:rsidP="00763EEE" w14:paraId="5EF6AD31" w14:textId="77777777">
            <w:pPr>
              <w:keepNext/>
              <w:autoSpaceDE w:val="0"/>
              <w:autoSpaceDN w:val="0"/>
              <w:adjustRightInd w:val="0"/>
              <w:rPr>
                <w:rFonts w:eastAsia="SimSun"/>
                <w:noProof/>
                <w:color w:val="000000"/>
                <w:sz w:val="20"/>
                <w:lang w:val="en-GB" w:eastAsia="zh-CN"/>
              </w:rPr>
            </w:pPr>
            <w:r w:rsidRPr="00AB390A">
              <w:rPr>
                <w:rFonts w:eastAsia="SimSun"/>
                <w:noProof/>
                <w:color w:val="000000"/>
                <w:sz w:val="20"/>
                <w:lang w:val="en-GB" w:eastAsia="zh-CN"/>
              </w:rPr>
              <w:t xml:space="preserve">Rash </w:t>
            </w:r>
          </w:p>
          <w:p w:rsidR="003205E7" w:rsidRPr="00AB390A" w:rsidP="00763EEE" w14:paraId="385F2803" w14:textId="77777777">
            <w:pPr>
              <w:keepNext/>
              <w:autoSpaceDE w:val="0"/>
              <w:autoSpaceDN w:val="0"/>
              <w:adjustRightInd w:val="0"/>
              <w:rPr>
                <w:rFonts w:eastAsia="SimSun"/>
                <w:noProof/>
                <w:color w:val="000000"/>
                <w:sz w:val="20"/>
                <w:lang w:val="en-GB" w:eastAsia="zh-CN"/>
              </w:rPr>
            </w:pPr>
            <w:r w:rsidRPr="00AB390A">
              <w:rPr>
                <w:rFonts w:eastAsia="SimSun"/>
                <w:noProof/>
                <w:color w:val="000000"/>
                <w:sz w:val="20"/>
                <w:lang w:val="en-GB"/>
              </w:rPr>
              <w:t>Nail disorder</w:t>
            </w:r>
            <w:r w:rsidRPr="00AB390A">
              <w:rPr>
                <w:rFonts w:eastAsia="SimSun"/>
                <w:noProof/>
                <w:color w:val="000000"/>
                <w:sz w:val="20"/>
                <w:lang w:val="en-GB" w:eastAsia="zh-CN"/>
              </w:rPr>
              <w:t xml:space="preserve"> </w:t>
            </w:r>
          </w:p>
          <w:p w:rsidR="009C6A38" w:rsidRPr="00AB390A" w:rsidP="00763EEE" w14:paraId="358ED48E" w14:textId="77777777">
            <w:pPr>
              <w:keepNext/>
              <w:autoSpaceDE w:val="0"/>
              <w:autoSpaceDN w:val="0"/>
              <w:adjustRightInd w:val="0"/>
              <w:rPr>
                <w:rFonts w:eastAsia="SimSun"/>
                <w:noProof/>
                <w:color w:val="000000"/>
                <w:sz w:val="20"/>
                <w:lang w:val="en-GB" w:eastAsia="zh-CN"/>
              </w:rPr>
            </w:pPr>
            <w:r w:rsidRPr="00AB390A">
              <w:rPr>
                <w:rFonts w:eastAsia="SimSun"/>
                <w:noProof/>
                <w:color w:val="000000"/>
                <w:sz w:val="20"/>
                <w:lang w:val="en-GB"/>
              </w:rPr>
              <w:t>Pruritus</w:t>
            </w:r>
            <w:r w:rsidRPr="00AB390A">
              <w:rPr>
                <w:rFonts w:eastAsia="SimSun"/>
                <w:noProof/>
                <w:color w:val="000000"/>
                <w:sz w:val="20"/>
                <w:lang w:val="en-GB" w:eastAsia="zh-CN"/>
              </w:rPr>
              <w:t xml:space="preserve"> </w:t>
            </w:r>
          </w:p>
          <w:p w:rsidR="003205E7" w:rsidRPr="00AB390A" w:rsidP="00763EEE" w14:paraId="437D20C8" w14:textId="77777777">
            <w:pPr>
              <w:keepNext/>
              <w:autoSpaceDE w:val="0"/>
              <w:autoSpaceDN w:val="0"/>
              <w:adjustRightInd w:val="0"/>
              <w:rPr>
                <w:rFonts w:eastAsia="SimSun"/>
                <w:noProof/>
                <w:color w:val="000000"/>
                <w:sz w:val="20"/>
                <w:lang w:val="en-GB"/>
              </w:rPr>
            </w:pPr>
            <w:r w:rsidRPr="00AB390A">
              <w:rPr>
                <w:rFonts w:eastAsia="SimSun"/>
                <w:noProof/>
                <w:color w:val="000000"/>
                <w:sz w:val="20"/>
                <w:lang w:val="en-GB"/>
              </w:rPr>
              <w:t>Dry skin</w:t>
            </w:r>
          </w:p>
        </w:tc>
        <w:tc>
          <w:tcPr>
            <w:tcW w:w="2110" w:type="dxa"/>
            <w:noWrap/>
          </w:tcPr>
          <w:p w:rsidR="003205E7" w:rsidRPr="00AB390A" w:rsidP="00763EEE" w14:paraId="325F604A" w14:textId="77777777">
            <w:pPr>
              <w:keepNext/>
              <w:autoSpaceDE w:val="0"/>
              <w:autoSpaceDN w:val="0"/>
              <w:adjustRightInd w:val="0"/>
              <w:rPr>
                <w:rFonts w:eastAsia="SimSun"/>
                <w:noProof/>
                <w:color w:val="000000"/>
                <w:sz w:val="20"/>
                <w:lang w:val="en-GB"/>
              </w:rPr>
            </w:pPr>
          </w:p>
        </w:tc>
        <w:tc>
          <w:tcPr>
            <w:tcW w:w="2109" w:type="dxa"/>
            <w:noWrap/>
          </w:tcPr>
          <w:p w:rsidR="003205E7" w:rsidRPr="000D28E6" w:rsidP="00763EEE" w14:paraId="0FFDC33D" w14:textId="77777777">
            <w:pPr>
              <w:keepNext/>
              <w:autoSpaceDE w:val="0"/>
              <w:autoSpaceDN w:val="0"/>
              <w:adjustRightInd w:val="0"/>
              <w:rPr>
                <w:rFonts w:eastAsia="SimSun"/>
                <w:noProof/>
                <w:color w:val="000000"/>
                <w:sz w:val="20"/>
                <w:lang w:val="en-GB" w:eastAsia="zh-CN"/>
              </w:rPr>
            </w:pPr>
          </w:p>
        </w:tc>
        <w:tc>
          <w:tcPr>
            <w:tcW w:w="2110" w:type="dxa"/>
          </w:tcPr>
          <w:p w:rsidR="003205E7" w:rsidRPr="000D28E6" w:rsidP="00763EEE" w14:paraId="1537B229" w14:textId="77777777">
            <w:pPr>
              <w:keepNext/>
              <w:autoSpaceDE w:val="0"/>
              <w:autoSpaceDN w:val="0"/>
              <w:adjustRightInd w:val="0"/>
              <w:rPr>
                <w:rFonts w:eastAsia="SimSun"/>
                <w:noProof/>
                <w:color w:val="000000"/>
                <w:sz w:val="20"/>
                <w:lang w:val="en-GB" w:eastAsia="zh-CN"/>
              </w:rPr>
            </w:pPr>
          </w:p>
        </w:tc>
      </w:tr>
      <w:tr w14:paraId="78E73CE2" w14:textId="77777777" w:rsidTr="001F5859">
        <w:tblPrEx>
          <w:tblW w:w="10847" w:type="dxa"/>
          <w:jc w:val="center"/>
          <w:tblLayout w:type="fixed"/>
          <w:tblCellMar>
            <w:left w:w="85" w:type="dxa"/>
            <w:right w:w="85" w:type="dxa"/>
          </w:tblCellMar>
          <w:tblLook w:val="01E0"/>
        </w:tblPrEx>
        <w:trPr>
          <w:trHeight w:val="529"/>
          <w:jc w:val="center"/>
        </w:trPr>
        <w:tc>
          <w:tcPr>
            <w:tcW w:w="2409" w:type="dxa"/>
            <w:noWrap/>
          </w:tcPr>
          <w:p w:rsidR="003205E7" w:rsidRPr="000D28E6" w:rsidP="008E474D" w14:paraId="540572B7" w14:textId="77777777">
            <w:pPr>
              <w:autoSpaceDE w:val="0"/>
              <w:autoSpaceDN w:val="0"/>
              <w:adjustRightInd w:val="0"/>
              <w:rPr>
                <w:rFonts w:eastAsia="SimSun"/>
                <w:noProof/>
                <w:color w:val="000000"/>
                <w:sz w:val="20"/>
                <w:lang w:val="en-GB"/>
              </w:rPr>
            </w:pPr>
            <w:r w:rsidRPr="000D28E6">
              <w:rPr>
                <w:rFonts w:eastAsia="SimSun"/>
                <w:noProof/>
                <w:color w:val="000000"/>
                <w:sz w:val="20"/>
                <w:lang w:val="en-GB"/>
              </w:rPr>
              <w:t>Musculoskeletal and connective tissue disorders</w:t>
            </w:r>
            <w:r w:rsidRPr="000D28E6">
              <w:rPr>
                <w:rFonts w:eastAsia="SimSun"/>
                <w:noProof/>
                <w:color w:val="000000"/>
                <w:sz w:val="20"/>
                <w:lang w:val="en-GB" w:eastAsia="zh-CN"/>
              </w:rPr>
              <w:t xml:space="preserve"> </w:t>
            </w:r>
          </w:p>
        </w:tc>
        <w:tc>
          <w:tcPr>
            <w:tcW w:w="2109" w:type="dxa"/>
            <w:noWrap/>
          </w:tcPr>
          <w:p w:rsidR="003205E7" w:rsidRPr="000D28E6" w:rsidP="008E474D" w14:paraId="700EB650" w14:textId="77777777">
            <w:pPr>
              <w:autoSpaceDE w:val="0"/>
              <w:autoSpaceDN w:val="0"/>
              <w:adjustRightInd w:val="0"/>
              <w:rPr>
                <w:rFonts w:eastAsia="SimSun"/>
                <w:noProof/>
                <w:color w:val="000000"/>
                <w:sz w:val="20"/>
                <w:lang w:val="en-GB" w:eastAsia="zh-CN"/>
              </w:rPr>
            </w:pPr>
            <w:r w:rsidRPr="000D28E6">
              <w:rPr>
                <w:rFonts w:eastAsia="SimSun"/>
                <w:noProof/>
                <w:color w:val="000000"/>
                <w:sz w:val="20"/>
                <w:lang w:val="en-GB"/>
              </w:rPr>
              <w:t>Myalgia</w:t>
            </w:r>
            <w:r w:rsidRPr="000D28E6">
              <w:rPr>
                <w:rFonts w:eastAsia="SimSun"/>
                <w:noProof/>
                <w:color w:val="000000"/>
                <w:sz w:val="20"/>
                <w:lang w:val="en-GB" w:eastAsia="zh-CN"/>
              </w:rPr>
              <w:t xml:space="preserve"> </w:t>
            </w:r>
          </w:p>
          <w:p w:rsidR="003205E7" w:rsidP="008E474D" w14:paraId="7F75011C" w14:textId="77777777">
            <w:pPr>
              <w:autoSpaceDE w:val="0"/>
              <w:autoSpaceDN w:val="0"/>
              <w:adjustRightInd w:val="0"/>
              <w:rPr>
                <w:rFonts w:eastAsia="SimSun"/>
                <w:noProof/>
                <w:color w:val="000000"/>
                <w:sz w:val="20"/>
                <w:lang w:val="en-GB" w:eastAsia="zh-CN"/>
              </w:rPr>
            </w:pPr>
            <w:r w:rsidRPr="000D28E6">
              <w:rPr>
                <w:rFonts w:eastAsia="SimSun"/>
                <w:noProof/>
                <w:color w:val="000000"/>
                <w:sz w:val="20"/>
                <w:lang w:val="en-GB"/>
              </w:rPr>
              <w:t>Arthralgia</w:t>
            </w:r>
            <w:r w:rsidRPr="000D28E6">
              <w:rPr>
                <w:rFonts w:eastAsia="SimSun"/>
                <w:noProof/>
                <w:color w:val="000000"/>
                <w:sz w:val="20"/>
                <w:lang w:val="en-GB" w:eastAsia="zh-CN"/>
              </w:rPr>
              <w:t xml:space="preserve"> </w:t>
            </w:r>
          </w:p>
          <w:p w:rsidR="009C6A38" w:rsidRPr="000D28E6" w:rsidP="008E474D" w14:paraId="46B89E82" w14:textId="77777777">
            <w:pPr>
              <w:autoSpaceDE w:val="0"/>
              <w:autoSpaceDN w:val="0"/>
              <w:adjustRightInd w:val="0"/>
              <w:rPr>
                <w:rFonts w:eastAsia="SimSun"/>
                <w:noProof/>
                <w:color w:val="000000"/>
                <w:sz w:val="20"/>
                <w:lang w:val="en-GB"/>
              </w:rPr>
            </w:pPr>
            <w:r>
              <w:rPr>
                <w:rFonts w:eastAsia="SimSun"/>
                <w:noProof/>
                <w:color w:val="000000"/>
                <w:sz w:val="20"/>
                <w:lang w:val="en-GB" w:eastAsia="zh-CN"/>
              </w:rPr>
              <w:t>Pain in extremity</w:t>
            </w:r>
          </w:p>
        </w:tc>
        <w:tc>
          <w:tcPr>
            <w:tcW w:w="2110" w:type="dxa"/>
            <w:noWrap/>
          </w:tcPr>
          <w:p w:rsidR="003205E7" w:rsidRPr="000D28E6" w:rsidP="008E474D" w14:paraId="33A5CD80" w14:textId="77777777">
            <w:pPr>
              <w:autoSpaceDE w:val="0"/>
              <w:autoSpaceDN w:val="0"/>
              <w:adjustRightInd w:val="0"/>
              <w:rPr>
                <w:rFonts w:eastAsia="SimSun"/>
                <w:noProof/>
                <w:color w:val="000000"/>
                <w:sz w:val="20"/>
                <w:lang w:val="en-GB"/>
              </w:rPr>
            </w:pPr>
          </w:p>
        </w:tc>
        <w:tc>
          <w:tcPr>
            <w:tcW w:w="2109" w:type="dxa"/>
            <w:noWrap/>
          </w:tcPr>
          <w:p w:rsidR="003205E7" w:rsidRPr="000D28E6" w:rsidP="008E474D" w14:paraId="7AC96D08" w14:textId="77777777">
            <w:pPr>
              <w:autoSpaceDE w:val="0"/>
              <w:autoSpaceDN w:val="0"/>
              <w:adjustRightInd w:val="0"/>
              <w:rPr>
                <w:rFonts w:eastAsia="SimSun"/>
                <w:noProof/>
                <w:color w:val="000000"/>
                <w:sz w:val="20"/>
                <w:lang w:val="en-GB" w:eastAsia="zh-CN"/>
              </w:rPr>
            </w:pPr>
          </w:p>
        </w:tc>
        <w:tc>
          <w:tcPr>
            <w:tcW w:w="2110" w:type="dxa"/>
          </w:tcPr>
          <w:p w:rsidR="003205E7" w:rsidRPr="000D28E6" w:rsidP="008E474D" w14:paraId="1C68BB54" w14:textId="77777777">
            <w:pPr>
              <w:autoSpaceDE w:val="0"/>
              <w:autoSpaceDN w:val="0"/>
              <w:adjustRightInd w:val="0"/>
              <w:rPr>
                <w:rFonts w:eastAsia="SimSun"/>
                <w:noProof/>
                <w:color w:val="000000"/>
                <w:sz w:val="20"/>
                <w:lang w:val="en-GB" w:eastAsia="zh-CN"/>
              </w:rPr>
            </w:pPr>
          </w:p>
        </w:tc>
      </w:tr>
      <w:tr w14:paraId="751FE760" w14:textId="77777777" w:rsidTr="001F5859">
        <w:tblPrEx>
          <w:tblW w:w="10847" w:type="dxa"/>
          <w:jc w:val="center"/>
          <w:tblLayout w:type="fixed"/>
          <w:tblCellMar>
            <w:left w:w="85" w:type="dxa"/>
            <w:right w:w="85" w:type="dxa"/>
          </w:tblCellMar>
          <w:tblLook w:val="01E0"/>
        </w:tblPrEx>
        <w:trPr>
          <w:trHeight w:val="251"/>
          <w:jc w:val="center"/>
        </w:trPr>
        <w:tc>
          <w:tcPr>
            <w:tcW w:w="2409" w:type="dxa"/>
            <w:noWrap/>
          </w:tcPr>
          <w:p w:rsidR="003205E7" w:rsidRPr="000D28E6" w:rsidP="009F4E3E" w14:paraId="5A17B338" w14:textId="77777777">
            <w:pPr>
              <w:keepNext/>
              <w:keepLines/>
              <w:autoSpaceDE w:val="0"/>
              <w:autoSpaceDN w:val="0"/>
              <w:adjustRightInd w:val="0"/>
              <w:rPr>
                <w:rFonts w:eastAsia="SimSun"/>
                <w:noProof/>
                <w:color w:val="000000"/>
                <w:sz w:val="20"/>
                <w:lang w:val="en-GB"/>
              </w:rPr>
            </w:pPr>
            <w:r w:rsidRPr="000D28E6">
              <w:rPr>
                <w:rFonts w:eastAsia="SimSun"/>
                <w:noProof/>
                <w:color w:val="000000"/>
                <w:sz w:val="20"/>
                <w:lang w:val="en-GB"/>
              </w:rPr>
              <w:t xml:space="preserve">General disorders and administration site conditions </w:t>
            </w:r>
          </w:p>
        </w:tc>
        <w:tc>
          <w:tcPr>
            <w:tcW w:w="2109" w:type="dxa"/>
            <w:noWrap/>
          </w:tcPr>
          <w:p w:rsidR="003205E7" w:rsidRPr="000D28E6" w:rsidP="009F4E3E" w14:paraId="5A43549E"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eastAsia="zh-CN"/>
              </w:rPr>
              <w:t>Mucosal inflammation</w:t>
            </w:r>
          </w:p>
          <w:p w:rsidR="003205E7" w:rsidRPr="001F5859" w:rsidP="009F4E3E" w14:paraId="6412131A" w14:textId="77777777">
            <w:pPr>
              <w:keepNext/>
              <w:keepLines/>
              <w:autoSpaceDE w:val="0"/>
              <w:autoSpaceDN w:val="0"/>
              <w:adjustRightInd w:val="0"/>
              <w:rPr>
                <w:rFonts w:eastAsia="SimSun"/>
                <w:noProof/>
                <w:color w:val="000000"/>
                <w:sz w:val="20"/>
                <w:lang w:val="pt-BR" w:eastAsia="zh-CN"/>
              </w:rPr>
            </w:pPr>
            <w:r w:rsidRPr="001F5859">
              <w:rPr>
                <w:rFonts w:eastAsia="SimSun"/>
                <w:noProof/>
                <w:color w:val="000000"/>
                <w:sz w:val="20"/>
                <w:lang w:val="pt-BR" w:eastAsia="zh-CN"/>
              </w:rPr>
              <w:t xml:space="preserve">Oedema </w:t>
            </w:r>
            <w:r w:rsidRPr="001F5859" w:rsidR="009C6A38">
              <w:rPr>
                <w:rFonts w:eastAsia="SimSun"/>
                <w:noProof/>
                <w:color w:val="000000"/>
                <w:sz w:val="20"/>
                <w:lang w:val="pt-BR" w:eastAsia="zh-CN"/>
              </w:rPr>
              <w:t>peripheral</w:t>
            </w:r>
          </w:p>
          <w:p w:rsidR="003205E7" w:rsidRPr="001F5859" w:rsidP="009F4E3E" w14:paraId="2473C741" w14:textId="77777777">
            <w:pPr>
              <w:keepNext/>
              <w:keepLines/>
              <w:autoSpaceDE w:val="0"/>
              <w:autoSpaceDN w:val="0"/>
              <w:adjustRightInd w:val="0"/>
              <w:rPr>
                <w:rFonts w:eastAsia="SimSun"/>
                <w:noProof/>
                <w:color w:val="000000"/>
                <w:sz w:val="20"/>
                <w:lang w:val="pt-BR" w:eastAsia="zh-CN"/>
              </w:rPr>
            </w:pPr>
            <w:r w:rsidRPr="001F5859">
              <w:rPr>
                <w:rFonts w:eastAsia="SimSun"/>
                <w:noProof/>
                <w:color w:val="000000"/>
                <w:sz w:val="20"/>
                <w:lang w:val="pt-BR"/>
              </w:rPr>
              <w:t>Pyrexia</w:t>
            </w:r>
            <w:r w:rsidRPr="001F5859">
              <w:rPr>
                <w:rFonts w:eastAsia="SimSun"/>
                <w:noProof/>
                <w:color w:val="000000"/>
                <w:sz w:val="20"/>
                <w:lang w:val="pt-BR" w:eastAsia="zh-CN"/>
              </w:rPr>
              <w:t xml:space="preserve"> </w:t>
            </w:r>
          </w:p>
          <w:p w:rsidR="003205E7" w:rsidRPr="001F5859" w:rsidP="009F4E3E" w14:paraId="08AFD74B" w14:textId="77777777">
            <w:pPr>
              <w:keepNext/>
              <w:keepLines/>
              <w:autoSpaceDE w:val="0"/>
              <w:autoSpaceDN w:val="0"/>
              <w:adjustRightInd w:val="0"/>
              <w:rPr>
                <w:rFonts w:eastAsia="SimSun"/>
                <w:noProof/>
                <w:color w:val="000000"/>
                <w:sz w:val="20"/>
                <w:lang w:val="pt-BR" w:eastAsia="zh-CN"/>
              </w:rPr>
            </w:pPr>
            <w:r w:rsidRPr="001F5859">
              <w:rPr>
                <w:rFonts w:eastAsia="SimSun"/>
                <w:noProof/>
                <w:color w:val="000000"/>
                <w:sz w:val="20"/>
                <w:lang w:val="pt-BR"/>
              </w:rPr>
              <w:t>Fatigue</w:t>
            </w:r>
            <w:r w:rsidRPr="001F5859">
              <w:rPr>
                <w:rFonts w:eastAsia="SimSun"/>
                <w:noProof/>
                <w:color w:val="000000"/>
                <w:sz w:val="20"/>
                <w:lang w:val="pt-BR" w:eastAsia="zh-CN"/>
              </w:rPr>
              <w:t xml:space="preserve"> </w:t>
            </w:r>
          </w:p>
          <w:p w:rsidR="003205E7" w:rsidRPr="001F5859" w:rsidP="009C6A38" w14:paraId="5CE30115" w14:textId="77777777">
            <w:pPr>
              <w:keepNext/>
              <w:keepLines/>
              <w:autoSpaceDE w:val="0"/>
              <w:autoSpaceDN w:val="0"/>
              <w:adjustRightInd w:val="0"/>
              <w:rPr>
                <w:rFonts w:eastAsia="SimSun"/>
                <w:noProof/>
                <w:color w:val="000000"/>
                <w:sz w:val="20"/>
                <w:lang w:val="pt-BR"/>
              </w:rPr>
            </w:pPr>
            <w:r w:rsidRPr="001F5859">
              <w:rPr>
                <w:rFonts w:eastAsia="SimSun"/>
                <w:noProof/>
                <w:color w:val="000000"/>
                <w:sz w:val="20"/>
                <w:lang w:val="pt-BR" w:eastAsia="zh-CN"/>
              </w:rPr>
              <w:t xml:space="preserve">Asthenia </w:t>
            </w:r>
          </w:p>
        </w:tc>
        <w:tc>
          <w:tcPr>
            <w:tcW w:w="2110" w:type="dxa"/>
            <w:noWrap/>
          </w:tcPr>
          <w:p w:rsidR="003205E7" w:rsidP="009F4E3E" w14:paraId="0BAD5C3F" w14:textId="77777777">
            <w:pPr>
              <w:keepNext/>
              <w:keepLines/>
              <w:autoSpaceDE w:val="0"/>
              <w:autoSpaceDN w:val="0"/>
              <w:adjustRightInd w:val="0"/>
              <w:rPr>
                <w:rFonts w:eastAsia="SimSun"/>
                <w:noProof/>
                <w:color w:val="000000"/>
                <w:sz w:val="20"/>
                <w:lang w:val="en-GB" w:eastAsia="zh-CN"/>
              </w:rPr>
            </w:pPr>
            <w:r w:rsidRPr="000D28E6">
              <w:rPr>
                <w:rFonts w:eastAsia="SimSun"/>
                <w:noProof/>
                <w:color w:val="000000"/>
                <w:sz w:val="20"/>
                <w:lang w:val="en-GB" w:eastAsia="zh-CN"/>
              </w:rPr>
              <w:t>Chills</w:t>
            </w:r>
          </w:p>
          <w:p w:rsidR="009C6A38" w:rsidP="009F4E3E" w14:paraId="14B899A8" w14:textId="77777777">
            <w:pPr>
              <w:keepNext/>
              <w:keepLines/>
              <w:autoSpaceDE w:val="0"/>
              <w:autoSpaceDN w:val="0"/>
              <w:adjustRightInd w:val="0"/>
              <w:rPr>
                <w:rFonts w:eastAsia="SimSun"/>
                <w:noProof/>
                <w:color w:val="000000"/>
                <w:sz w:val="20"/>
                <w:lang w:val="en-GB" w:eastAsia="zh-CN"/>
              </w:rPr>
            </w:pPr>
            <w:r>
              <w:rPr>
                <w:rFonts w:eastAsia="SimSun"/>
                <w:noProof/>
                <w:color w:val="000000"/>
                <w:sz w:val="20"/>
                <w:lang w:val="en-GB" w:eastAsia="zh-CN"/>
              </w:rPr>
              <w:t>Pain</w:t>
            </w:r>
          </w:p>
          <w:p w:rsidR="009C6A38" w:rsidRPr="000D28E6" w:rsidP="009F4E3E" w14:paraId="08EB816D" w14:textId="77777777">
            <w:pPr>
              <w:keepNext/>
              <w:keepLines/>
              <w:autoSpaceDE w:val="0"/>
              <w:autoSpaceDN w:val="0"/>
              <w:adjustRightInd w:val="0"/>
              <w:rPr>
                <w:rFonts w:eastAsia="SimSun"/>
                <w:noProof/>
                <w:color w:val="000000"/>
                <w:sz w:val="20"/>
                <w:lang w:val="en-GB"/>
              </w:rPr>
            </w:pPr>
            <w:r>
              <w:rPr>
                <w:rFonts w:eastAsia="SimSun"/>
                <w:noProof/>
                <w:color w:val="000000"/>
                <w:sz w:val="20"/>
                <w:lang w:val="en-GB" w:eastAsia="zh-CN"/>
              </w:rPr>
              <w:t>Oedema</w:t>
            </w:r>
          </w:p>
        </w:tc>
        <w:tc>
          <w:tcPr>
            <w:tcW w:w="2109" w:type="dxa"/>
            <w:noWrap/>
          </w:tcPr>
          <w:p w:rsidR="003205E7" w:rsidRPr="000D28E6" w:rsidP="009F4E3E" w14:paraId="4DD0D956" w14:textId="77777777">
            <w:pPr>
              <w:keepNext/>
              <w:keepLines/>
              <w:autoSpaceDE w:val="0"/>
              <w:autoSpaceDN w:val="0"/>
              <w:adjustRightInd w:val="0"/>
              <w:rPr>
                <w:rFonts w:eastAsia="SimSun"/>
                <w:noProof/>
                <w:color w:val="000000"/>
                <w:sz w:val="20"/>
                <w:lang w:val="en-GB" w:eastAsia="zh-CN"/>
              </w:rPr>
            </w:pPr>
          </w:p>
        </w:tc>
        <w:tc>
          <w:tcPr>
            <w:tcW w:w="2110" w:type="dxa"/>
          </w:tcPr>
          <w:p w:rsidR="003205E7" w:rsidRPr="000D28E6" w:rsidP="009F4E3E" w14:paraId="602E8E8F" w14:textId="77777777">
            <w:pPr>
              <w:keepNext/>
              <w:keepLines/>
              <w:autoSpaceDE w:val="0"/>
              <w:autoSpaceDN w:val="0"/>
              <w:adjustRightInd w:val="0"/>
              <w:rPr>
                <w:rFonts w:eastAsia="SimSun"/>
                <w:noProof/>
                <w:color w:val="000000"/>
                <w:sz w:val="20"/>
                <w:lang w:val="en-GB" w:eastAsia="zh-CN"/>
              </w:rPr>
            </w:pPr>
          </w:p>
        </w:tc>
      </w:tr>
    </w:tbl>
    <w:p w:rsidR="006F3F1A" w:rsidRPr="001F5859" w:rsidP="009F4E3E" w14:paraId="63FC4F80" w14:textId="77777777">
      <w:pPr>
        <w:keepNext/>
        <w:keepLines/>
        <w:autoSpaceDE w:val="0"/>
        <w:autoSpaceDN w:val="0"/>
        <w:adjustRightInd w:val="0"/>
        <w:rPr>
          <w:noProof/>
          <w:sz w:val="20"/>
          <w:vertAlign w:val="superscript"/>
          <w:lang w:val="en-GB"/>
        </w:rPr>
      </w:pPr>
      <w:r w:rsidRPr="00BF2495">
        <w:rPr>
          <w:b/>
          <w:noProof/>
          <w:sz w:val="20"/>
          <w:vertAlign w:val="superscript"/>
          <w:lang w:val="en-GB"/>
        </w:rPr>
        <w:t xml:space="preserve">^  </w:t>
      </w:r>
      <w:r w:rsidRPr="00BF2495">
        <w:rPr>
          <w:noProof/>
          <w:sz w:val="20"/>
          <w:lang w:val="en-GB"/>
        </w:rPr>
        <w:t>Tab</w:t>
      </w:r>
      <w:r w:rsidRPr="001F5859">
        <w:rPr>
          <w:noProof/>
          <w:sz w:val="20"/>
          <w:lang w:val="en-GB"/>
        </w:rPr>
        <w:t xml:space="preserve">le </w:t>
      </w:r>
      <w:r w:rsidRPr="001F5859" w:rsidR="009C6A38">
        <w:rPr>
          <w:noProof/>
          <w:sz w:val="20"/>
          <w:lang w:val="en-GB"/>
        </w:rPr>
        <w:t>2</w:t>
      </w:r>
      <w:r w:rsidRPr="001F5859">
        <w:rPr>
          <w:noProof/>
          <w:sz w:val="20"/>
          <w:lang w:val="en-GB"/>
        </w:rPr>
        <w:t xml:space="preserve"> shows pooled data from the overall treatment period in CLEOPATRA (data cutoff</w:t>
      </w:r>
      <w:r w:rsidRPr="001F5859" w:rsidR="00AB390A">
        <w:rPr>
          <w:noProof/>
          <w:sz w:val="20"/>
          <w:lang w:val="en-GB"/>
        </w:rPr>
        <w:t xml:space="preserve"> 11 February 2014</w:t>
      </w:r>
      <w:r w:rsidRPr="001F5859">
        <w:rPr>
          <w:noProof/>
          <w:sz w:val="20"/>
          <w:lang w:val="en-GB"/>
        </w:rPr>
        <w:t>; median number of cycles of Perjeta was 24); and from the neoadjuvant  treatment period in NEOSPHERE (median number of cycles of Perjeta was 4, across all treatment arms) and TRYPHAENA (median number of cycles of Perjeta was 3 – 6 across treatment arms)</w:t>
      </w:r>
      <w:r w:rsidRPr="001F5859" w:rsidR="009C6A38">
        <w:rPr>
          <w:noProof/>
          <w:sz w:val="20"/>
          <w:lang w:val="en-GB"/>
        </w:rPr>
        <w:t xml:space="preserve"> </w:t>
      </w:r>
      <w:r w:rsidRPr="001F5859" w:rsidR="009C6A38">
        <w:rPr>
          <w:noProof/>
          <w:sz w:val="20"/>
        </w:rPr>
        <w:t xml:space="preserve">and from the treatment period of APHINITY (median number of cycles of Perjeta was 18). </w:t>
      </w:r>
      <w:r w:rsidRPr="001F5859" w:rsidR="009C6A38">
        <w:rPr>
          <w:noProof/>
          <w:sz w:val="20"/>
          <w:vertAlign w:val="superscript"/>
        </w:rPr>
        <w:t xml:space="preserve"> </w:t>
      </w:r>
      <w:r w:rsidRPr="001F5859" w:rsidR="009C6A38">
        <w:rPr>
          <w:noProof/>
          <w:sz w:val="20"/>
          <w:lang w:val="en-GB"/>
        </w:rPr>
        <w:t xml:space="preserve"> </w:t>
      </w:r>
      <w:r w:rsidRPr="001F5859" w:rsidR="009C6A38">
        <w:rPr>
          <w:noProof/>
          <w:sz w:val="20"/>
          <w:vertAlign w:val="superscript"/>
          <w:lang w:val="en-GB"/>
        </w:rPr>
        <w:t xml:space="preserve"> </w:t>
      </w:r>
      <w:r w:rsidRPr="001F5859">
        <w:rPr>
          <w:noProof/>
          <w:sz w:val="20"/>
          <w:vertAlign w:val="superscript"/>
          <w:lang w:val="en-GB"/>
        </w:rPr>
        <w:t xml:space="preserve"> </w:t>
      </w:r>
    </w:p>
    <w:p w:rsidR="006F3F1A" w:rsidRPr="001F5859" w:rsidP="009F4E3E" w14:paraId="6182C47B" w14:textId="77777777">
      <w:pPr>
        <w:keepNext/>
        <w:keepLines/>
        <w:autoSpaceDE w:val="0"/>
        <w:autoSpaceDN w:val="0"/>
        <w:adjustRightInd w:val="0"/>
        <w:rPr>
          <w:noProof/>
          <w:sz w:val="20"/>
          <w:lang w:val="en-GB"/>
        </w:rPr>
      </w:pPr>
    </w:p>
    <w:p w:rsidR="006F3F1A" w:rsidRPr="001F5859" w:rsidP="009F4E3E" w14:paraId="70B87A7F" w14:textId="77777777">
      <w:pPr>
        <w:keepNext/>
        <w:keepLines/>
        <w:autoSpaceDE w:val="0"/>
        <w:autoSpaceDN w:val="0"/>
        <w:adjustRightInd w:val="0"/>
        <w:rPr>
          <w:sz w:val="20"/>
          <w:lang w:val="en-GB" w:eastAsia="en-US"/>
        </w:rPr>
      </w:pPr>
      <w:r w:rsidRPr="001F5859">
        <w:rPr>
          <w:noProof/>
          <w:sz w:val="20"/>
          <w:lang w:val="en-GB"/>
        </w:rPr>
        <w:t xml:space="preserve">* </w:t>
      </w:r>
      <w:r w:rsidRPr="001F5859" w:rsidR="009C6A38">
        <w:rPr>
          <w:noProof/>
          <w:sz w:val="20"/>
          <w:lang w:val="en-GB"/>
        </w:rPr>
        <w:t>ADRs</w:t>
      </w:r>
      <w:r w:rsidRPr="001F5859" w:rsidR="003F2746">
        <w:rPr>
          <w:noProof/>
          <w:sz w:val="20"/>
          <w:lang w:val="en-GB"/>
        </w:rPr>
        <w:t xml:space="preserve"> </w:t>
      </w:r>
      <w:r w:rsidRPr="001F5859">
        <w:rPr>
          <w:noProof/>
          <w:sz w:val="20"/>
          <w:lang w:val="en-GB"/>
        </w:rPr>
        <w:t>with a fatal outcome</w:t>
      </w:r>
      <w:r w:rsidR="00BD7B38">
        <w:rPr>
          <w:noProof/>
          <w:sz w:val="20"/>
          <w:lang w:val="en-GB"/>
        </w:rPr>
        <w:t xml:space="preserve"> h</w:t>
      </w:r>
      <w:r w:rsidRPr="003C7BE9" w:rsidR="00BD7B38">
        <w:rPr>
          <w:noProof/>
          <w:sz w:val="20"/>
          <w:lang w:val="en-GB"/>
        </w:rPr>
        <w:t>ave been reported</w:t>
      </w:r>
      <w:r w:rsidRPr="001F5859">
        <w:rPr>
          <w:sz w:val="20"/>
          <w:lang w:val="en-GB" w:eastAsia="en-US"/>
        </w:rPr>
        <w:t xml:space="preserve">.  </w:t>
      </w:r>
    </w:p>
    <w:p w:rsidR="00405FC9" w:rsidRPr="001F5859" w:rsidP="009F4E3E" w14:paraId="704055D7" w14:textId="77777777">
      <w:pPr>
        <w:keepNext/>
        <w:keepLines/>
        <w:autoSpaceDE w:val="0"/>
        <w:autoSpaceDN w:val="0"/>
        <w:adjustRightInd w:val="0"/>
        <w:ind w:left="180" w:hanging="180"/>
        <w:rPr>
          <w:noProof/>
          <w:sz w:val="20"/>
          <w:lang w:val="en-GB"/>
        </w:rPr>
      </w:pPr>
      <w:r w:rsidRPr="001F5859">
        <w:rPr>
          <w:sz w:val="20"/>
          <w:lang w:val="en-GB" w:eastAsia="en-US"/>
        </w:rPr>
        <w:t xml:space="preserve">** For the overall treatment period across the </w:t>
      </w:r>
      <w:r w:rsidRPr="001F5859" w:rsidR="009C6A38">
        <w:rPr>
          <w:sz w:val="20"/>
          <w:lang w:val="en-GB" w:eastAsia="en-US"/>
        </w:rPr>
        <w:t xml:space="preserve">4 </w:t>
      </w:r>
      <w:r w:rsidRPr="001F5859">
        <w:rPr>
          <w:sz w:val="20"/>
          <w:lang w:val="en-GB" w:eastAsia="en-US"/>
        </w:rPr>
        <w:t>studies.</w:t>
      </w:r>
      <w:r w:rsidRPr="001F5859" w:rsidR="008E474D">
        <w:rPr>
          <w:sz w:val="20"/>
          <w:lang w:val="en-GB" w:eastAsia="en-US"/>
        </w:rPr>
        <w:t xml:space="preserve"> </w:t>
      </w:r>
      <w:r w:rsidRPr="001F5859" w:rsidR="009C6A38">
        <w:rPr>
          <w:sz w:val="20"/>
          <w:lang w:val="en-GB" w:eastAsia="en-US"/>
        </w:rPr>
        <w:t>The incidence of left ventricular dysfunction and cardiac failure congestive reflect the MedDRA Preferred Terms reported in the individual studies.</w:t>
      </w:r>
    </w:p>
    <w:p w:rsidR="00376700" w:rsidRPr="001F5859" w:rsidP="00DE0D84" w14:paraId="6F2A151C" w14:textId="77777777">
      <w:pPr>
        <w:autoSpaceDE w:val="0"/>
        <w:autoSpaceDN w:val="0"/>
        <w:adjustRightInd w:val="0"/>
        <w:rPr>
          <w:sz w:val="20"/>
          <w:lang w:val="en-GB" w:eastAsia="en-US"/>
        </w:rPr>
      </w:pPr>
      <w:r w:rsidRPr="001F5859">
        <w:rPr>
          <w:sz w:val="20"/>
          <w:lang w:val="en-GB" w:eastAsia="en-US"/>
        </w:rPr>
        <w:t xml:space="preserve">° </w:t>
      </w:r>
      <w:r w:rsidRPr="001F5859">
        <w:rPr>
          <w:rFonts w:eastAsia="SimSun"/>
          <w:sz w:val="20"/>
          <w:lang w:val="en-GB"/>
        </w:rPr>
        <w:t>Hypersensitivity/anaphylactic reaction is based on a group of terms.</w:t>
      </w:r>
    </w:p>
    <w:p w:rsidR="00376700" w:rsidRPr="001F5859" w:rsidP="006D287F" w14:paraId="3C78C4B0" w14:textId="77777777">
      <w:pPr>
        <w:keepNext/>
        <w:keepLines/>
        <w:ind w:left="180" w:hanging="180"/>
        <w:rPr>
          <w:rFonts w:eastAsia="SimSun"/>
          <w:sz w:val="20"/>
          <w:lang w:val="en-GB"/>
        </w:rPr>
      </w:pPr>
      <w:r w:rsidRPr="001F5859">
        <w:rPr>
          <w:rFonts w:eastAsia="SimSun"/>
          <w:sz w:val="20"/>
          <w:lang w:val="en-GB"/>
        </w:rPr>
        <w:t>°°</w:t>
      </w:r>
      <w:r w:rsidRPr="001F5859" w:rsidR="008924B6">
        <w:rPr>
          <w:rFonts w:eastAsia="SimSun"/>
          <w:sz w:val="20"/>
          <w:lang w:val="en-GB"/>
        </w:rPr>
        <w:t xml:space="preserve"> </w:t>
      </w:r>
      <w:r w:rsidRPr="001F5859">
        <w:rPr>
          <w:rFonts w:eastAsia="SimSun"/>
          <w:sz w:val="20"/>
          <w:lang w:val="en-GB"/>
        </w:rPr>
        <w:t>I</w:t>
      </w:r>
      <w:r w:rsidRPr="001F5859" w:rsidR="008924B6">
        <w:rPr>
          <w:rFonts w:eastAsia="SimSun"/>
          <w:sz w:val="20"/>
          <w:lang w:val="en-GB"/>
        </w:rPr>
        <w:t>nfusion</w:t>
      </w:r>
      <w:r w:rsidRPr="001F5859" w:rsidR="006E2700">
        <w:rPr>
          <w:rFonts w:eastAsia="SimSun"/>
          <w:sz w:val="20"/>
          <w:lang w:val="en-GB"/>
        </w:rPr>
        <w:t xml:space="preserve"> </w:t>
      </w:r>
      <w:r w:rsidRPr="001F5859" w:rsidR="008924B6">
        <w:rPr>
          <w:rFonts w:eastAsia="SimSun"/>
          <w:sz w:val="20"/>
          <w:lang w:val="en-GB"/>
        </w:rPr>
        <w:t>reaction</w:t>
      </w:r>
      <w:r w:rsidRPr="001F5859">
        <w:rPr>
          <w:rFonts w:eastAsia="SimSun"/>
          <w:sz w:val="20"/>
          <w:lang w:val="en-GB"/>
        </w:rPr>
        <w:t xml:space="preserve"> includes a range of different terms within a time window, see “Description of selected adverse reactions” below. </w:t>
      </w:r>
    </w:p>
    <w:p w:rsidR="00F76F21" w:rsidP="00B82876" w14:paraId="001E74F9" w14:textId="77777777">
      <w:pPr>
        <w:keepNext/>
        <w:keepLines/>
        <w:rPr>
          <w:u w:val="single"/>
          <w:lang w:val="en-GB"/>
        </w:rPr>
      </w:pPr>
      <w:r w:rsidRPr="000D28E6">
        <w:rPr>
          <w:sz w:val="20"/>
          <w:lang w:val="en-GB" w:eastAsia="en-US"/>
        </w:rPr>
        <w:t>†</w:t>
      </w:r>
      <w:r>
        <w:rPr>
          <w:sz w:val="20"/>
          <w:lang w:val="en-GB" w:eastAsia="en-US"/>
        </w:rPr>
        <w:t xml:space="preserve"> ADRs reported in the post marketing setting</w:t>
      </w:r>
      <w:r>
        <w:rPr>
          <w:u w:val="single"/>
          <w:lang w:val="en-GB"/>
        </w:rPr>
        <w:t>-</w:t>
      </w:r>
    </w:p>
    <w:p w:rsidR="004D2263" w:rsidRPr="001F5859" w:rsidP="00B82876" w14:paraId="2B7A308D" w14:textId="77777777">
      <w:pPr>
        <w:keepNext/>
        <w:keepLines/>
        <w:rPr>
          <w:u w:val="single"/>
          <w:lang w:val="en-GB"/>
        </w:rPr>
      </w:pPr>
    </w:p>
    <w:p w:rsidR="00863CEA" w:rsidRPr="001F5859" w:rsidP="00AC418E" w14:paraId="09A55EA1" w14:textId="77777777">
      <w:pPr>
        <w:keepNext/>
        <w:keepLines/>
        <w:rPr>
          <w:rFonts w:eastAsia="SimSun"/>
          <w:u w:val="single"/>
          <w:lang w:val="en-GB"/>
        </w:rPr>
      </w:pPr>
      <w:r w:rsidRPr="001F5859">
        <w:rPr>
          <w:rFonts w:eastAsia="SimSun"/>
          <w:u w:val="single"/>
          <w:lang w:val="en-GB"/>
        </w:rPr>
        <w:t>Description of selected adverse reactions</w:t>
      </w:r>
    </w:p>
    <w:p w:rsidR="006A67D0" w:rsidRPr="001F5859" w:rsidP="00A311EA" w14:paraId="282BFA57" w14:textId="77777777">
      <w:pPr>
        <w:rPr>
          <w:rFonts w:eastAsia="SimSun"/>
          <w:u w:val="single"/>
          <w:lang w:val="en-GB"/>
        </w:rPr>
      </w:pPr>
    </w:p>
    <w:p w:rsidR="004D74B5" w:rsidRPr="001F5859" w:rsidP="006C0BB3" w14:paraId="3A2FA9C2" w14:textId="77777777">
      <w:pPr>
        <w:jc w:val="both"/>
        <w:rPr>
          <w:rFonts w:eastAsia="SimSun"/>
          <w:i/>
          <w:lang w:val="en-GB"/>
        </w:rPr>
      </w:pPr>
      <w:r w:rsidRPr="001F5859">
        <w:rPr>
          <w:rFonts w:eastAsia="SimSun"/>
          <w:i/>
          <w:lang w:val="en-GB"/>
        </w:rPr>
        <w:t>Left ventricular dysfunction</w:t>
      </w:r>
      <w:r w:rsidRPr="001F5859" w:rsidR="00DA5E78">
        <w:rPr>
          <w:rFonts w:eastAsia="SimSun"/>
          <w:i/>
          <w:lang w:val="en-GB"/>
        </w:rPr>
        <w:t xml:space="preserve"> (LVD)</w:t>
      </w:r>
    </w:p>
    <w:p w:rsidR="004D74B5" w:rsidP="006C0BB3" w14:paraId="51903C43" w14:textId="77777777">
      <w:pPr>
        <w:jc w:val="both"/>
        <w:rPr>
          <w:rFonts w:eastAsia="SimSun"/>
          <w:lang w:val="en-GB"/>
        </w:rPr>
      </w:pPr>
      <w:r w:rsidRPr="001F5859">
        <w:rPr>
          <w:rFonts w:eastAsia="SimSun"/>
          <w:lang w:val="en-GB"/>
        </w:rPr>
        <w:t>In the pivotal trial CLEOPATRA</w:t>
      </w:r>
      <w:r w:rsidRPr="001F5859" w:rsidR="006F3F1A">
        <w:rPr>
          <w:rFonts w:eastAsia="SimSun"/>
          <w:lang w:val="en-GB"/>
        </w:rPr>
        <w:t xml:space="preserve"> in met</w:t>
      </w:r>
      <w:r w:rsidRPr="001B42A2" w:rsidR="006F3F1A">
        <w:rPr>
          <w:rFonts w:eastAsia="SimSun"/>
          <w:lang w:val="en-GB"/>
        </w:rPr>
        <w:t>astatic breast cancer</w:t>
      </w:r>
      <w:r w:rsidRPr="000D28E6">
        <w:rPr>
          <w:rFonts w:eastAsia="SimSun"/>
          <w:lang w:val="en-GB"/>
        </w:rPr>
        <w:t>, the incidence of LVD during study treatment was higher in the placebo-treated group than in the Perjeta-treated group (8.6% and 6.6%, respectively). The incidence of symptomatic LVD was also lower in the Perjeta</w:t>
      </w:r>
      <w:r w:rsidRPr="001B42A2" w:rsidR="00D570EF">
        <w:rPr>
          <w:rFonts w:eastAsia="SimSun"/>
          <w:lang w:val="en-GB"/>
        </w:rPr>
        <w:t>-</w:t>
      </w:r>
      <w:r w:rsidRPr="000D28E6">
        <w:rPr>
          <w:rFonts w:eastAsia="SimSun"/>
          <w:lang w:val="en-GB"/>
        </w:rPr>
        <w:t>treated group (1.8% in the placebo-treated group vs. 1.5% in the Perjeta-treated group) (see section 4.4</w:t>
      </w:r>
      <w:r w:rsidRPr="001B42A2">
        <w:rPr>
          <w:rFonts w:eastAsia="SimSun"/>
          <w:lang w:val="en-GB"/>
        </w:rPr>
        <w:t>)</w:t>
      </w:r>
      <w:r w:rsidRPr="000D28E6">
        <w:rPr>
          <w:rFonts w:eastAsia="SimSun"/>
          <w:lang w:val="en-GB"/>
        </w:rPr>
        <w:t>.</w:t>
      </w:r>
      <w:r w:rsidRPr="001B42A2" w:rsidR="006F3F1A">
        <w:rPr>
          <w:rFonts w:eastAsia="SimSun"/>
          <w:lang w:val="en-GB"/>
        </w:rPr>
        <w:t xml:space="preserve"> </w:t>
      </w:r>
    </w:p>
    <w:p w:rsidR="00265C2D" w:rsidRPr="000D28E6" w:rsidP="006C0BB3" w14:paraId="2564A671" w14:textId="77777777">
      <w:pPr>
        <w:jc w:val="both"/>
        <w:rPr>
          <w:rFonts w:eastAsia="SimSun"/>
          <w:lang w:val="en-GB"/>
        </w:rPr>
      </w:pPr>
    </w:p>
    <w:p w:rsidR="006F3F1A" w:rsidRPr="001F5859" w:rsidP="006C0BB3" w14:paraId="2151F733" w14:textId="77777777">
      <w:pPr>
        <w:jc w:val="both"/>
        <w:rPr>
          <w:rFonts w:eastAsia="SimSun"/>
          <w:lang w:val="en-GB"/>
        </w:rPr>
      </w:pPr>
      <w:r w:rsidRPr="001B42A2">
        <w:rPr>
          <w:rFonts w:eastAsia="SimSun"/>
          <w:lang w:val="en-GB"/>
        </w:rPr>
        <w:t>In th</w:t>
      </w:r>
      <w:r w:rsidRPr="001F5859">
        <w:rPr>
          <w:rFonts w:eastAsia="SimSun"/>
          <w:lang w:val="en-GB"/>
        </w:rPr>
        <w:t xml:space="preserve">e neoadjuvant trial NEOSPHERE, in which patients received 4 cycles of Perjeta as neoadjuvant treatment, the incidence of LVD (during the overall treatment period) was higher in the Perjeta, trastuzumab and docetaxel-treated group (7.5%) compared to the trastuzumab and docetaxel-treated group (1.9%). There was one case of symptomatic LVD in the Perjeta and trastuzumab-treated group. </w:t>
      </w:r>
    </w:p>
    <w:p w:rsidR="00265C2D" w:rsidRPr="001F5859" w:rsidP="001B42A2" w14:paraId="60851134" w14:textId="77777777">
      <w:pPr>
        <w:jc w:val="both"/>
        <w:rPr>
          <w:rFonts w:eastAsia="SimSun"/>
          <w:lang w:val="en-GB"/>
        </w:rPr>
      </w:pPr>
      <w:r w:rsidRPr="001F5859">
        <w:rPr>
          <w:rFonts w:eastAsia="SimSun"/>
          <w:lang w:val="en-GB"/>
        </w:rPr>
        <w:t>In the neoadjuvant trial TRYPHAENA, the incidence of LVD (during the overall treatment period) was 8.3% in the group treated with Perjeta plus trastuzumab and FEC</w:t>
      </w:r>
      <w:r w:rsidRPr="001F5859" w:rsidR="00FE7855">
        <w:rPr>
          <w:rFonts w:eastAsia="SimSun"/>
          <w:lang w:val="en-GB"/>
        </w:rPr>
        <w:t xml:space="preserve"> </w:t>
      </w:r>
      <w:r w:rsidRPr="001F5859" w:rsidR="00FE7855">
        <w:t>(5-fluorouracil, epirubicin, cyclophosphamide)</w:t>
      </w:r>
      <w:r w:rsidRPr="001F5859">
        <w:rPr>
          <w:rFonts w:eastAsia="SimSun"/>
          <w:lang w:val="en-GB"/>
        </w:rPr>
        <w:t xml:space="preserve"> followed by Perjeta plus trastuzumab and docetaxel; 9.3% in the group treated with Perjeta plus trastuzumab and docetaxel following FEC; and 6.6% in the group treated with Perjeta in combination with TCH</w:t>
      </w:r>
      <w:r w:rsidRPr="001F5859" w:rsidR="00FE7855">
        <w:rPr>
          <w:rFonts w:eastAsia="SimSun"/>
          <w:lang w:val="en-GB"/>
        </w:rPr>
        <w:t xml:space="preserve"> </w:t>
      </w:r>
      <w:r w:rsidRPr="001F5859" w:rsidR="00FE7855">
        <w:t>(docetaxel, carboplatin and trastuzumab)</w:t>
      </w:r>
      <w:r w:rsidRPr="001F5859">
        <w:rPr>
          <w:rFonts w:eastAsia="SimSun"/>
          <w:lang w:val="en-GB"/>
        </w:rPr>
        <w:t>. The incidence of symptomatic LVD (congestive heart failure) was 1.3% in the group treated with Perjeta plus trastuzumab and docetaxel following FEC (this excludes a patient who experienced symptomatic LVD during FEC treatment prior to receiving Perjeta plus trastuzumab and docetaxel) and also 1.3% in the group treated with Perjeta in combination with TCH. No patients in the group treated with Perjeta plus trastuzumab and FEC followed by Perjeta plus trastuzumab and docetaxel experienced symptomatic LVD.</w:t>
      </w:r>
    </w:p>
    <w:p w:rsidR="00FC6DA3" w:rsidRPr="001F5859" w:rsidP="001B42A2" w14:paraId="6BF1E223" w14:textId="77777777">
      <w:pPr>
        <w:jc w:val="both"/>
        <w:rPr>
          <w:rFonts w:eastAsia="SimSun"/>
          <w:lang w:val="en-GB"/>
        </w:rPr>
      </w:pPr>
    </w:p>
    <w:p w:rsidR="00C477D1" w:rsidRPr="001F5859" w:rsidP="00B067F3" w14:paraId="397D4849" w14:textId="77777777">
      <w:pPr>
        <w:rPr>
          <w:lang w:val="en-GB"/>
        </w:rPr>
      </w:pPr>
      <w:r w:rsidRPr="001F5859">
        <w:rPr>
          <w:rFonts w:eastAsia="SimSun"/>
          <w:lang w:val="en-GB"/>
        </w:rPr>
        <w:t>In the neoadjuvant period of the BERENICE trial, t</w:t>
      </w:r>
      <w:r w:rsidRPr="001F5859" w:rsidR="001B42A2">
        <w:rPr>
          <w:rFonts w:eastAsia="SimSun"/>
          <w:lang w:val="en-GB"/>
        </w:rPr>
        <w:t xml:space="preserve">he incidence of </w:t>
      </w:r>
      <w:r w:rsidRPr="001F5859" w:rsidR="001E2940">
        <w:rPr>
          <w:rFonts w:eastAsia="SimSun"/>
          <w:lang w:val="en-GB"/>
        </w:rPr>
        <w:t>NYHA Class III/IV</w:t>
      </w:r>
      <w:r w:rsidRPr="001F5859" w:rsidR="00A86C1E">
        <w:rPr>
          <w:rFonts w:eastAsia="SimSun"/>
          <w:lang w:val="en-GB"/>
        </w:rPr>
        <w:t xml:space="preserve"> symptomatic LVD (</w:t>
      </w:r>
      <w:r w:rsidRPr="001F5859" w:rsidR="001E2940">
        <w:rPr>
          <w:rFonts w:eastAsia="SimSun"/>
          <w:lang w:val="en-GB"/>
        </w:rPr>
        <w:t xml:space="preserve">congestive </w:t>
      </w:r>
      <w:r w:rsidRPr="001F5859" w:rsidR="00EB2F92">
        <w:rPr>
          <w:rFonts w:eastAsia="SimSun"/>
          <w:lang w:val="en-GB"/>
        </w:rPr>
        <w:t>heart failure</w:t>
      </w:r>
      <w:r w:rsidRPr="001F5859">
        <w:rPr>
          <w:rFonts w:eastAsia="SimSun"/>
          <w:lang w:val="en-029"/>
        </w:rPr>
        <w:t xml:space="preserve"> according to </w:t>
      </w:r>
      <w:r w:rsidRPr="001F5859">
        <w:rPr>
          <w:rFonts w:cs="Arial"/>
        </w:rPr>
        <w:t>NCI-CTCAE v.4</w:t>
      </w:r>
      <w:r w:rsidRPr="001F5859" w:rsidR="00EB2F92">
        <w:rPr>
          <w:rFonts w:eastAsia="SimSun"/>
          <w:lang w:val="en-GB"/>
        </w:rPr>
        <w:t>)</w:t>
      </w:r>
      <w:r w:rsidRPr="001F5859" w:rsidR="009D02D5">
        <w:rPr>
          <w:rFonts w:eastAsia="SimSun"/>
          <w:lang w:val="en-GB"/>
        </w:rPr>
        <w:t xml:space="preserve"> </w:t>
      </w:r>
      <w:r w:rsidRPr="001F5859" w:rsidR="001B42A2">
        <w:rPr>
          <w:rFonts w:eastAsia="SimSun"/>
          <w:lang w:val="en-GB"/>
        </w:rPr>
        <w:t xml:space="preserve">was 1.5% in the group treated with dose dense </w:t>
      </w:r>
      <w:r w:rsidRPr="001F5859" w:rsidR="00931C5D">
        <w:rPr>
          <w:rFonts w:eastAsia="SimSun"/>
          <w:lang w:val="en-GB"/>
        </w:rPr>
        <w:t>doxorubi</w:t>
      </w:r>
      <w:r w:rsidRPr="001F5859" w:rsidR="00FE7855">
        <w:rPr>
          <w:rFonts w:eastAsia="SimSun"/>
          <w:lang w:val="en-GB"/>
        </w:rPr>
        <w:t>ci</w:t>
      </w:r>
      <w:r w:rsidRPr="001F5859" w:rsidR="00931C5D">
        <w:rPr>
          <w:rFonts w:eastAsia="SimSun"/>
          <w:lang w:val="en-GB"/>
        </w:rPr>
        <w:t>n and cyclophosphamide (</w:t>
      </w:r>
      <w:r w:rsidRPr="001F5859" w:rsidR="001B42A2">
        <w:rPr>
          <w:rFonts w:eastAsia="SimSun"/>
          <w:lang w:val="en-GB"/>
        </w:rPr>
        <w:t>AC</w:t>
      </w:r>
      <w:r w:rsidRPr="001F5859" w:rsidR="00931C5D">
        <w:rPr>
          <w:rFonts w:eastAsia="SimSun"/>
          <w:lang w:val="en-GB"/>
        </w:rPr>
        <w:t>)</w:t>
      </w:r>
      <w:r w:rsidRPr="001F5859" w:rsidR="001B42A2">
        <w:rPr>
          <w:rFonts w:eastAsia="SimSun"/>
          <w:lang w:val="en-GB"/>
        </w:rPr>
        <w:t xml:space="preserve"> followed by Perjeta plus </w:t>
      </w:r>
      <w:r w:rsidRPr="001F5859" w:rsidR="0059470B">
        <w:rPr>
          <w:rFonts w:eastAsia="SimSun"/>
          <w:lang w:val="en-GB"/>
        </w:rPr>
        <w:t>trastuzumab</w:t>
      </w:r>
      <w:r w:rsidRPr="001F5859" w:rsidR="001B42A2">
        <w:rPr>
          <w:rFonts w:eastAsia="SimSun"/>
          <w:lang w:val="en-GB"/>
        </w:rPr>
        <w:t xml:space="preserve"> and paclitaxel and </w:t>
      </w:r>
      <w:r w:rsidRPr="001F5859" w:rsidR="00D307B5">
        <w:rPr>
          <w:rFonts w:eastAsia="SimSun"/>
          <w:lang w:val="en-GB"/>
        </w:rPr>
        <w:t>none of the patients (</w:t>
      </w:r>
      <w:r w:rsidRPr="001F5859" w:rsidR="001B42A2">
        <w:rPr>
          <w:rFonts w:eastAsia="SimSun"/>
          <w:lang w:val="en-GB"/>
        </w:rPr>
        <w:t>0%</w:t>
      </w:r>
      <w:r w:rsidRPr="001F5859" w:rsidR="00D307B5">
        <w:rPr>
          <w:rFonts w:eastAsia="SimSun"/>
          <w:lang w:val="en-GB"/>
        </w:rPr>
        <w:t>)</w:t>
      </w:r>
      <w:r w:rsidRPr="001F5859" w:rsidR="001B42A2">
        <w:rPr>
          <w:rFonts w:eastAsia="SimSun"/>
          <w:lang w:val="en-GB"/>
        </w:rPr>
        <w:t xml:space="preserve"> </w:t>
      </w:r>
      <w:r w:rsidRPr="001F5859" w:rsidR="00A77077">
        <w:rPr>
          <w:rFonts w:eastAsia="SimSun"/>
          <w:lang w:val="en-GB"/>
        </w:rPr>
        <w:t xml:space="preserve">experienced </w:t>
      </w:r>
      <w:r w:rsidRPr="001F5859" w:rsidR="006C7B5E">
        <w:rPr>
          <w:rFonts w:eastAsia="SimSun"/>
          <w:lang w:val="en-GB"/>
        </w:rPr>
        <w:t xml:space="preserve">symptomatic </w:t>
      </w:r>
      <w:r w:rsidRPr="001F5859" w:rsidR="00A77077">
        <w:rPr>
          <w:rFonts w:eastAsia="SimSun"/>
          <w:lang w:val="en-GB"/>
        </w:rPr>
        <w:t xml:space="preserve">LVD </w:t>
      </w:r>
      <w:r w:rsidRPr="001F5859" w:rsidR="001B42A2">
        <w:rPr>
          <w:rFonts w:eastAsia="SimSun"/>
          <w:lang w:val="en-GB"/>
        </w:rPr>
        <w:t xml:space="preserve">in the group treated with FEC followed by Perjeta in combination with </w:t>
      </w:r>
      <w:r w:rsidRPr="001F5859" w:rsidR="0059470B">
        <w:rPr>
          <w:rFonts w:eastAsia="SimSun"/>
          <w:lang w:val="en-GB"/>
        </w:rPr>
        <w:t>trastuzumab</w:t>
      </w:r>
      <w:r w:rsidRPr="001F5859" w:rsidR="001B42A2">
        <w:rPr>
          <w:rFonts w:eastAsia="SimSun"/>
          <w:lang w:val="en-GB"/>
        </w:rPr>
        <w:t xml:space="preserve"> and docetaxel. </w:t>
      </w:r>
      <w:r w:rsidRPr="001F5859">
        <w:rPr>
          <w:rFonts w:eastAsia="SimSun"/>
          <w:lang w:val="en-GB"/>
        </w:rPr>
        <w:t>The incidence of asymptomatic LVD</w:t>
      </w:r>
      <w:r w:rsidRPr="001F5859" w:rsidR="001A50FE">
        <w:rPr>
          <w:rFonts w:eastAsia="SimSun"/>
          <w:lang w:val="en-GB"/>
        </w:rPr>
        <w:t xml:space="preserve"> </w:t>
      </w:r>
      <w:r w:rsidRPr="001F5859" w:rsidR="001A50FE">
        <w:rPr>
          <w:rFonts w:eastAsia="SimSun"/>
          <w:lang w:val="en-GB"/>
        </w:rPr>
        <w:t xml:space="preserve">(ejection fraction decrease </w:t>
      </w:r>
      <w:r w:rsidRPr="001F5859" w:rsidR="001A50FE">
        <w:rPr>
          <w:rFonts w:eastAsia="SimSun"/>
          <w:lang w:val="en-029"/>
        </w:rPr>
        <w:t xml:space="preserve">according to </w:t>
      </w:r>
      <w:r w:rsidRPr="001F5859" w:rsidR="001A50FE">
        <w:rPr>
          <w:rFonts w:cs="Arial"/>
        </w:rPr>
        <w:t>NCI-CTCAE v.4)</w:t>
      </w:r>
      <w:r w:rsidRPr="001F5859">
        <w:rPr>
          <w:rFonts w:eastAsia="SimSun"/>
          <w:lang w:val="en-GB"/>
        </w:rPr>
        <w:t xml:space="preserve"> was 7% in the group treated with dose dense AC followed by Perjeta plus trastuzumab and paclitaxel and 3.5% in the group treated with FEC followed by Perjeta plus trastuzumab and docetaxel.</w:t>
      </w:r>
    </w:p>
    <w:p w:rsidR="00FE7855" w:rsidRPr="001F5859" w:rsidP="00FE7855" w14:paraId="164ADDD5" w14:textId="77777777">
      <w:pPr>
        <w:jc w:val="both"/>
        <w:rPr>
          <w:rFonts w:eastAsia="SimSun"/>
        </w:rPr>
      </w:pPr>
    </w:p>
    <w:p w:rsidR="00240D34" w:rsidRPr="001F5859" w:rsidP="00357C12" w14:paraId="512CE887" w14:textId="77777777">
      <w:pPr>
        <w:jc w:val="both"/>
        <w:rPr>
          <w:rFonts w:eastAsia="SimSun"/>
          <w:lang w:val="en-GB"/>
        </w:rPr>
      </w:pPr>
      <w:r w:rsidRPr="001F5859">
        <w:t>In APHINITY, the incidence of symptomatic heart failure (NYHA class III or IV) with a LVEF decline of at least 10% points from baseline and to &lt;50% was &lt;1% (0.6% of Perjeta-treated patients vs 0.</w:t>
      </w:r>
      <w:r w:rsidRPr="001F5859" w:rsidR="002F5006">
        <w:t>3</w:t>
      </w:r>
      <w:r w:rsidRPr="001F5859">
        <w:t xml:space="preserve">% of placebo-treated patients). Of the patients who experienced symptomatic heart failure, 46.7% of Perjeta-treated patients and </w:t>
      </w:r>
      <w:r w:rsidRPr="001F5859" w:rsidR="002F5006">
        <w:t>57.1</w:t>
      </w:r>
      <w:r w:rsidRPr="001F5859">
        <w:t xml:space="preserve">% of placebo-treated patients had recovered (defined as 2 consecutive LVEF measurements above 50%) at the data cutoff. The majority of the events were reported in anthracycline-treated patients. Asymptomatic or mildly symptomatic (NYHA class II) declines in LVEF of at least 10% points from baseline and to &lt;50% were reported in 2.7% of Perjeta-treated patients and 2.8% of placebo-treated patients, of whom 79.7% of Perjeta-treated patients and 80.6% of placebo-treated patients had recovered at the data cutoff. </w:t>
      </w:r>
    </w:p>
    <w:p w:rsidR="00265C2D" w:rsidRPr="001F5859" w:rsidP="00A311EA" w14:paraId="42E16D11" w14:textId="77777777">
      <w:pPr>
        <w:rPr>
          <w:rFonts w:eastAsia="SimSun"/>
          <w:i/>
          <w:lang w:val="en-GB"/>
        </w:rPr>
      </w:pPr>
    </w:p>
    <w:p w:rsidR="00523E73" w:rsidRPr="001F5859" w:rsidP="00A311EA" w14:paraId="5D21FFD6" w14:textId="77777777">
      <w:pPr>
        <w:rPr>
          <w:rFonts w:eastAsia="SimSun"/>
          <w:i/>
          <w:lang w:val="en-GB"/>
        </w:rPr>
      </w:pPr>
      <w:r w:rsidRPr="001F5859">
        <w:rPr>
          <w:rFonts w:eastAsia="SimSun"/>
          <w:i/>
          <w:lang w:val="en-GB"/>
        </w:rPr>
        <w:t>Infusion reactions</w:t>
      </w:r>
    </w:p>
    <w:p w:rsidR="00523E73" w:rsidRPr="001F5859" w:rsidP="00A311EA" w14:paraId="7C60ACB3" w14:textId="77777777">
      <w:pPr>
        <w:rPr>
          <w:rFonts w:eastAsia="SimSun"/>
          <w:lang w:val="en-GB"/>
        </w:rPr>
      </w:pPr>
      <w:r w:rsidRPr="001F5859">
        <w:rPr>
          <w:rFonts w:eastAsia="SimSun"/>
          <w:lang w:val="en-GB"/>
        </w:rPr>
        <w:t>An infusion reaction was defined in the pivotal trial</w:t>
      </w:r>
      <w:r w:rsidRPr="001F5859" w:rsidR="00FE7855">
        <w:rPr>
          <w:rFonts w:eastAsia="SimSun"/>
          <w:lang w:val="en-GB"/>
        </w:rPr>
        <w:t>s</w:t>
      </w:r>
      <w:r w:rsidRPr="001F5859">
        <w:rPr>
          <w:rFonts w:eastAsia="SimSun"/>
          <w:lang w:val="en-GB"/>
        </w:rPr>
        <w:t xml:space="preserve"> as any event </w:t>
      </w:r>
      <w:r w:rsidRPr="001F5859" w:rsidR="00A704E1">
        <w:rPr>
          <w:rFonts w:eastAsia="SimSun"/>
          <w:lang w:val="en-GB"/>
        </w:rPr>
        <w:t xml:space="preserve">reported </w:t>
      </w:r>
      <w:r w:rsidRPr="001F5859">
        <w:rPr>
          <w:rFonts w:eastAsia="SimSun"/>
          <w:lang w:val="en-GB"/>
        </w:rPr>
        <w:t xml:space="preserve">as hypersensitivity, anaphylactic reaction, acute infusion reaction or cytokine release syndrome occurring during an infusion or on the same day as the infusion. In the pivotal trial CLEOPATRA, the initial dose of </w:t>
      </w:r>
      <w:r w:rsidRPr="001F5859" w:rsidR="002C3FA8">
        <w:rPr>
          <w:rFonts w:eastAsia="SimSun"/>
          <w:lang w:val="en-GB"/>
        </w:rPr>
        <w:t>Perjeta</w:t>
      </w:r>
      <w:r w:rsidRPr="001F5859">
        <w:rPr>
          <w:rFonts w:eastAsia="SimSun"/>
          <w:lang w:val="en-GB"/>
        </w:rPr>
        <w:t xml:space="preserve"> was given the day before trastuzumab and docetaxel to allow for the examination of </w:t>
      </w:r>
      <w:r w:rsidRPr="001F5859" w:rsidR="002C3FA8">
        <w:rPr>
          <w:rFonts w:eastAsia="SimSun"/>
          <w:lang w:val="en-GB"/>
        </w:rPr>
        <w:t>Perjeta</w:t>
      </w:r>
      <w:r w:rsidRPr="001F5859">
        <w:rPr>
          <w:rFonts w:eastAsia="SimSun"/>
          <w:lang w:val="en-GB"/>
        </w:rPr>
        <w:t xml:space="preserve">-associated reactions. On the first day when only </w:t>
      </w:r>
      <w:r w:rsidRPr="001F5859" w:rsidR="002C3FA8">
        <w:rPr>
          <w:rFonts w:eastAsia="SimSun"/>
          <w:lang w:val="en-GB"/>
        </w:rPr>
        <w:t>Perjeta</w:t>
      </w:r>
      <w:r w:rsidRPr="001F5859">
        <w:rPr>
          <w:rFonts w:eastAsia="SimSun"/>
          <w:lang w:val="en-GB"/>
        </w:rPr>
        <w:t xml:space="preserve"> was administered, the overall frequency of infusion reactions was 9.8% in the placebo-treated group and </w:t>
      </w:r>
      <w:r w:rsidRPr="001F5859" w:rsidR="001F0B20">
        <w:rPr>
          <w:rFonts w:eastAsia="SimSun"/>
          <w:lang w:val="en-GB"/>
        </w:rPr>
        <w:t>13.2</w:t>
      </w:r>
      <w:r w:rsidRPr="001F5859">
        <w:rPr>
          <w:rFonts w:eastAsia="SimSun"/>
          <w:lang w:val="en-GB"/>
        </w:rPr>
        <w:t xml:space="preserve">% in the </w:t>
      </w:r>
      <w:r w:rsidRPr="001F5859" w:rsidR="002C3FA8">
        <w:rPr>
          <w:rFonts w:eastAsia="SimSun"/>
          <w:lang w:val="en-GB"/>
        </w:rPr>
        <w:t>Perjeta</w:t>
      </w:r>
      <w:r w:rsidRPr="001F5859" w:rsidR="00162E30">
        <w:rPr>
          <w:rFonts w:eastAsia="SimSun"/>
          <w:lang w:val="en-GB"/>
        </w:rPr>
        <w:t>-</w:t>
      </w:r>
      <w:r w:rsidRPr="001F5859">
        <w:rPr>
          <w:rFonts w:eastAsia="SimSun"/>
          <w:lang w:val="en-GB"/>
        </w:rPr>
        <w:t>treated group, with the majority of infusion reactions being mild or mod</w:t>
      </w:r>
      <w:r w:rsidRPr="001F5859" w:rsidR="00110E72">
        <w:rPr>
          <w:rFonts w:eastAsia="SimSun"/>
          <w:lang w:val="en-GB"/>
        </w:rPr>
        <w:t>erate. The most common infusion</w:t>
      </w:r>
      <w:r w:rsidRPr="001F5859">
        <w:rPr>
          <w:rFonts w:eastAsia="SimSun"/>
          <w:lang w:val="en-GB"/>
        </w:rPr>
        <w:t xml:space="preserve"> reactions (</w:t>
      </w:r>
      <w:r w:rsidRPr="001F5859" w:rsidR="007F58B0">
        <w:rPr>
          <w:lang w:val="en-GB"/>
        </w:rPr>
        <w:t>≥</w:t>
      </w:r>
      <w:r w:rsidRPr="001F5859" w:rsidR="00386116">
        <w:rPr>
          <w:rFonts w:eastAsia="SimSun"/>
          <w:lang w:val="en-GB"/>
        </w:rPr>
        <w:t> </w:t>
      </w:r>
      <w:r w:rsidRPr="001F5859">
        <w:rPr>
          <w:rFonts w:eastAsia="SimSun"/>
          <w:lang w:val="en-GB"/>
        </w:rPr>
        <w:t xml:space="preserve">1.0%) in the </w:t>
      </w:r>
      <w:r w:rsidRPr="001F5859" w:rsidR="002C3FA8">
        <w:rPr>
          <w:rFonts w:eastAsia="SimSun"/>
          <w:lang w:val="en-GB"/>
        </w:rPr>
        <w:t>Perjeta</w:t>
      </w:r>
      <w:r w:rsidRPr="001F5859" w:rsidR="0093716C">
        <w:rPr>
          <w:rFonts w:eastAsia="SimSun"/>
          <w:lang w:val="en-GB"/>
        </w:rPr>
        <w:t>-</w:t>
      </w:r>
      <w:r w:rsidRPr="001F5859">
        <w:rPr>
          <w:rFonts w:eastAsia="SimSun"/>
          <w:lang w:val="en-GB"/>
        </w:rPr>
        <w:t xml:space="preserve">treated group were pyrexia, </w:t>
      </w:r>
      <w:r w:rsidRPr="001F5859" w:rsidR="00110E72">
        <w:rPr>
          <w:rFonts w:eastAsia="SimSun"/>
          <w:lang w:val="en-GB"/>
        </w:rPr>
        <w:t>chills, fatigue,</w:t>
      </w:r>
      <w:r w:rsidRPr="001F5859">
        <w:rPr>
          <w:rFonts w:eastAsia="SimSun"/>
          <w:lang w:val="en-GB"/>
        </w:rPr>
        <w:t xml:space="preserve"> headache, asthenia, hypersensitivity and vomiting.</w:t>
      </w:r>
    </w:p>
    <w:p w:rsidR="006A67D0" w:rsidRPr="001F5859" w:rsidP="00A311EA" w14:paraId="23CE47D0" w14:textId="77777777">
      <w:pPr>
        <w:rPr>
          <w:rFonts w:eastAsia="SimSun"/>
          <w:lang w:val="en-GB"/>
        </w:rPr>
      </w:pPr>
    </w:p>
    <w:p w:rsidR="00523E73" w:rsidRPr="001F5859" w:rsidP="00A311EA" w14:paraId="3BA5C8E9" w14:textId="77777777">
      <w:pPr>
        <w:rPr>
          <w:rFonts w:eastAsia="SimSun"/>
          <w:lang w:val="en-GB"/>
        </w:rPr>
      </w:pPr>
      <w:r w:rsidRPr="001F5859">
        <w:rPr>
          <w:rFonts w:eastAsia="SimSun"/>
          <w:lang w:val="en-GB"/>
        </w:rPr>
        <w:t xml:space="preserve">During the second cycle when all </w:t>
      </w:r>
      <w:r w:rsidRPr="001F5859" w:rsidR="00FD538B">
        <w:rPr>
          <w:rFonts w:eastAsia="SimSun"/>
          <w:lang w:val="en-GB"/>
        </w:rPr>
        <w:t xml:space="preserve">medicinal products </w:t>
      </w:r>
      <w:r w:rsidRPr="001F5859">
        <w:rPr>
          <w:rFonts w:eastAsia="SimSun"/>
          <w:lang w:val="en-GB"/>
        </w:rPr>
        <w:t>were administered on the same day, the most common infusion reactions</w:t>
      </w:r>
      <w:r w:rsidRPr="001F5859" w:rsidR="00162E30">
        <w:rPr>
          <w:rFonts w:eastAsia="SimSun"/>
          <w:lang w:val="en-GB"/>
        </w:rPr>
        <w:t xml:space="preserve"> in</w:t>
      </w:r>
      <w:r w:rsidRPr="001F5859">
        <w:rPr>
          <w:rFonts w:eastAsia="SimSun"/>
          <w:lang w:val="en-GB"/>
        </w:rPr>
        <w:t xml:space="preserve"> the </w:t>
      </w:r>
      <w:r w:rsidRPr="001F5859" w:rsidR="002C3FA8">
        <w:rPr>
          <w:rFonts w:eastAsia="SimSun"/>
          <w:lang w:val="en-GB"/>
        </w:rPr>
        <w:t>Perjeta</w:t>
      </w:r>
      <w:r w:rsidRPr="001F5859" w:rsidR="0093716C">
        <w:rPr>
          <w:rFonts w:eastAsia="SimSun"/>
          <w:lang w:val="en-GB"/>
        </w:rPr>
        <w:t>-</w:t>
      </w:r>
      <w:r w:rsidRPr="001F5859">
        <w:rPr>
          <w:rFonts w:eastAsia="SimSun"/>
          <w:lang w:val="en-GB"/>
        </w:rPr>
        <w:t>treated group (</w:t>
      </w:r>
      <w:r w:rsidRPr="001F5859" w:rsidR="007F58B0">
        <w:rPr>
          <w:lang w:val="en-GB"/>
        </w:rPr>
        <w:t>≥</w:t>
      </w:r>
      <w:r w:rsidRPr="001F5859" w:rsidR="00386116">
        <w:rPr>
          <w:rFonts w:eastAsia="SimSun"/>
          <w:lang w:val="en-GB"/>
        </w:rPr>
        <w:t> </w:t>
      </w:r>
      <w:r w:rsidRPr="001F5859">
        <w:rPr>
          <w:rFonts w:eastAsia="SimSun"/>
          <w:lang w:val="en-GB"/>
        </w:rPr>
        <w:t xml:space="preserve">1.0%) were fatigue, dysgeusia, </w:t>
      </w:r>
      <w:r w:rsidRPr="001F5859" w:rsidR="006F3F1A">
        <w:rPr>
          <w:lang w:val="en-GB"/>
        </w:rPr>
        <w:t xml:space="preserve">drug </w:t>
      </w:r>
      <w:r w:rsidRPr="001F5859">
        <w:rPr>
          <w:rFonts w:eastAsia="SimSun"/>
          <w:lang w:val="en-GB"/>
        </w:rPr>
        <w:t>hypersensitivity, myalgia and vomiting</w:t>
      </w:r>
      <w:r w:rsidRPr="001F5859" w:rsidR="00A704E1">
        <w:rPr>
          <w:rFonts w:eastAsia="SimSun"/>
          <w:lang w:val="en-GB"/>
        </w:rPr>
        <w:t xml:space="preserve"> (see section 4.4</w:t>
      </w:r>
      <w:r w:rsidRPr="001F5859" w:rsidR="00D570EF">
        <w:rPr>
          <w:rFonts w:eastAsia="SimSun"/>
          <w:lang w:val="en-GB"/>
        </w:rPr>
        <w:t>).</w:t>
      </w:r>
    </w:p>
    <w:p w:rsidR="006F3F1A" w:rsidRPr="001F5859" w:rsidP="00A311EA" w14:paraId="62195E05" w14:textId="77777777">
      <w:pPr>
        <w:rPr>
          <w:lang w:val="en-GB"/>
        </w:rPr>
      </w:pPr>
    </w:p>
    <w:p w:rsidR="006F3F1A" w:rsidRPr="001F5859" w:rsidP="00A311EA" w14:paraId="0238DBAF" w14:textId="77777777">
      <w:pPr>
        <w:rPr>
          <w:lang w:val="en-GB"/>
        </w:rPr>
      </w:pPr>
      <w:r w:rsidRPr="001F5859">
        <w:rPr>
          <w:lang w:val="en-GB"/>
        </w:rPr>
        <w:t xml:space="preserve">In neoadjuvant </w:t>
      </w:r>
      <w:r w:rsidRPr="001F5859" w:rsidR="00FE7855">
        <w:rPr>
          <w:lang w:val="en-GB"/>
        </w:rPr>
        <w:t>and adjuvant trials</w:t>
      </w:r>
      <w:r w:rsidRPr="001F5859">
        <w:rPr>
          <w:lang w:val="en-GB"/>
        </w:rPr>
        <w:t>, Perjeta was administered on the same day as other study treatment</w:t>
      </w:r>
      <w:r w:rsidRPr="001F5859" w:rsidR="00074FE7">
        <w:rPr>
          <w:lang w:val="en-GB"/>
        </w:rPr>
        <w:t>s</w:t>
      </w:r>
      <w:r w:rsidRPr="001F5859">
        <w:rPr>
          <w:lang w:val="en-GB"/>
        </w:rPr>
        <w:t xml:space="preserve"> in all cycles. Infusion reactions </w:t>
      </w:r>
      <w:r w:rsidRPr="001F5859" w:rsidR="00FE7855">
        <w:rPr>
          <w:lang w:val="en-GB"/>
        </w:rPr>
        <w:t xml:space="preserve">occurred in 18.6% - 25.0% of patients on the first day of Perjeta administration (in combination with trastuzumab and chemotherapy). The type and severity of events </w:t>
      </w:r>
      <w:r w:rsidRPr="001F5859">
        <w:rPr>
          <w:lang w:val="en-GB"/>
        </w:rPr>
        <w:t xml:space="preserve">were consistent with those observed in CLEOPATRA at the cycles when Perjeta was given on the same day as trastuzumab and docetaxel, with </w:t>
      </w:r>
      <w:r w:rsidRPr="001F5859" w:rsidR="00FE7855">
        <w:rPr>
          <w:lang w:val="en-GB"/>
        </w:rPr>
        <w:t>the</w:t>
      </w:r>
      <w:r w:rsidRPr="001F5859">
        <w:rPr>
          <w:lang w:val="en-GB"/>
        </w:rPr>
        <w:t xml:space="preserve"> majority of reactions being mild or moderate</w:t>
      </w:r>
      <w:r w:rsidRPr="001F5859" w:rsidR="00FE7855">
        <w:rPr>
          <w:lang w:val="en-GB"/>
        </w:rPr>
        <w:t xml:space="preserve"> in severity</w:t>
      </w:r>
      <w:r w:rsidRPr="001F5859">
        <w:rPr>
          <w:lang w:val="en-GB"/>
        </w:rPr>
        <w:t>.</w:t>
      </w:r>
    </w:p>
    <w:p w:rsidR="007F58B0" w:rsidRPr="001F5859" w:rsidP="00A311EA" w14:paraId="5A507155" w14:textId="77777777">
      <w:pPr>
        <w:rPr>
          <w:i/>
          <w:lang w:val="en-GB"/>
        </w:rPr>
      </w:pPr>
    </w:p>
    <w:p w:rsidR="00A704E1" w:rsidRPr="001F5859" w:rsidP="00A311EA" w14:paraId="5B18C2E4" w14:textId="77777777">
      <w:pPr>
        <w:rPr>
          <w:i/>
          <w:lang w:val="en-GB"/>
        </w:rPr>
      </w:pPr>
      <w:r w:rsidRPr="001F5859">
        <w:rPr>
          <w:rFonts w:eastAsia="SimSun"/>
          <w:i/>
          <w:lang w:val="en-GB"/>
        </w:rPr>
        <w:t>Hypersensitivity reactions/anaphylaxis</w:t>
      </w:r>
    </w:p>
    <w:p w:rsidR="00863CEA" w:rsidRPr="001F5859" w:rsidP="00A311EA" w14:paraId="5FF97CB8" w14:textId="77777777">
      <w:pPr>
        <w:rPr>
          <w:rFonts w:eastAsia="SimSun"/>
          <w:lang w:val="en-GB"/>
        </w:rPr>
      </w:pPr>
      <w:r w:rsidRPr="001F5859">
        <w:rPr>
          <w:rFonts w:eastAsia="SimSun"/>
          <w:lang w:val="en-GB"/>
        </w:rPr>
        <w:t>In the pivotal trial CLEOPATRA</w:t>
      </w:r>
      <w:r w:rsidRPr="001F5859" w:rsidR="006F3F1A">
        <w:rPr>
          <w:lang w:val="en-GB"/>
        </w:rPr>
        <w:t xml:space="preserve"> in metastatic breast cancer</w:t>
      </w:r>
      <w:r w:rsidRPr="001F5859">
        <w:rPr>
          <w:rFonts w:eastAsia="SimSun"/>
          <w:lang w:val="en-GB"/>
        </w:rPr>
        <w:t xml:space="preserve">, the overall frequency of </w:t>
      </w:r>
      <w:r w:rsidRPr="001F5859" w:rsidR="00A704E1">
        <w:rPr>
          <w:rFonts w:eastAsia="SimSun"/>
          <w:lang w:val="en-GB"/>
        </w:rPr>
        <w:t xml:space="preserve">investigator reported </w:t>
      </w:r>
      <w:r w:rsidRPr="001F5859">
        <w:rPr>
          <w:rFonts w:eastAsia="SimSun"/>
          <w:lang w:val="en-GB"/>
        </w:rPr>
        <w:t>hypersensitivity/anaphylaxis events</w:t>
      </w:r>
      <w:r w:rsidRPr="001F5859" w:rsidR="00C83A5C">
        <w:rPr>
          <w:rFonts w:eastAsia="SimSun"/>
          <w:lang w:val="en-GB"/>
        </w:rPr>
        <w:t xml:space="preserve"> during the entire treatment period</w:t>
      </w:r>
      <w:r w:rsidRPr="001F5859">
        <w:rPr>
          <w:rFonts w:eastAsia="SimSun"/>
          <w:lang w:val="en-GB"/>
        </w:rPr>
        <w:t xml:space="preserve"> was </w:t>
      </w:r>
      <w:r w:rsidRPr="001F5859" w:rsidR="001F0B20">
        <w:rPr>
          <w:rFonts w:eastAsia="SimSun"/>
          <w:lang w:val="en-GB"/>
        </w:rPr>
        <w:t>9.3</w:t>
      </w:r>
      <w:r w:rsidRPr="001F5859">
        <w:rPr>
          <w:rFonts w:eastAsia="SimSun"/>
          <w:lang w:val="en-GB"/>
        </w:rPr>
        <w:t>% in the placebo</w:t>
      </w:r>
      <w:r w:rsidRPr="001F5859" w:rsidR="0093716C">
        <w:rPr>
          <w:rFonts w:eastAsia="SimSun"/>
          <w:lang w:val="en-GB"/>
        </w:rPr>
        <w:t>-</w:t>
      </w:r>
      <w:r w:rsidRPr="001F5859">
        <w:rPr>
          <w:rFonts w:eastAsia="SimSun"/>
          <w:lang w:val="en-GB"/>
        </w:rPr>
        <w:t xml:space="preserve">treated </w:t>
      </w:r>
      <w:r w:rsidRPr="001F5859" w:rsidR="0093716C">
        <w:rPr>
          <w:rFonts w:eastAsia="SimSun"/>
          <w:lang w:val="en-GB"/>
        </w:rPr>
        <w:t>group</w:t>
      </w:r>
      <w:r w:rsidRPr="001F5859">
        <w:rPr>
          <w:rFonts w:eastAsia="SimSun"/>
          <w:lang w:val="en-GB"/>
        </w:rPr>
        <w:t xml:space="preserve"> and </w:t>
      </w:r>
      <w:r w:rsidRPr="001F5859" w:rsidR="001F0B20">
        <w:rPr>
          <w:rFonts w:eastAsia="SimSun"/>
          <w:lang w:val="en-GB"/>
        </w:rPr>
        <w:t>11.3</w:t>
      </w:r>
      <w:r w:rsidRPr="001F5859">
        <w:rPr>
          <w:rFonts w:eastAsia="SimSun"/>
          <w:lang w:val="en-GB"/>
        </w:rPr>
        <w:t xml:space="preserve">% in the </w:t>
      </w:r>
      <w:r w:rsidRPr="001F5859" w:rsidR="002C3FA8">
        <w:rPr>
          <w:rFonts w:eastAsia="SimSun"/>
          <w:lang w:val="en-GB"/>
        </w:rPr>
        <w:t>Perjeta</w:t>
      </w:r>
      <w:r w:rsidRPr="001F5859" w:rsidR="0093716C">
        <w:rPr>
          <w:rFonts w:eastAsia="SimSun"/>
          <w:lang w:val="en-GB"/>
        </w:rPr>
        <w:t>-</w:t>
      </w:r>
      <w:r w:rsidRPr="001F5859">
        <w:rPr>
          <w:rFonts w:eastAsia="SimSun"/>
          <w:lang w:val="en-GB"/>
        </w:rPr>
        <w:t xml:space="preserve">treated </w:t>
      </w:r>
      <w:r w:rsidRPr="001F5859" w:rsidR="0093716C">
        <w:rPr>
          <w:rFonts w:eastAsia="SimSun"/>
          <w:lang w:val="en-GB"/>
        </w:rPr>
        <w:t>group</w:t>
      </w:r>
      <w:r w:rsidRPr="001F5859">
        <w:rPr>
          <w:rFonts w:eastAsia="SimSun"/>
          <w:lang w:val="en-GB"/>
        </w:rPr>
        <w:t>, of which 2.5% and 2</w:t>
      </w:r>
      <w:r w:rsidRPr="001F5859" w:rsidR="00F51DC6">
        <w:rPr>
          <w:rFonts w:eastAsia="SimSun"/>
          <w:lang w:val="en-GB"/>
        </w:rPr>
        <w:t>.0</w:t>
      </w:r>
      <w:r w:rsidRPr="001F5859">
        <w:rPr>
          <w:rFonts w:eastAsia="SimSun"/>
          <w:lang w:val="en-GB"/>
        </w:rPr>
        <w:t xml:space="preserve">% were </w:t>
      </w:r>
      <w:r w:rsidRPr="001F5859" w:rsidR="00203CE6">
        <w:rPr>
          <w:rFonts w:eastAsia="SimSun"/>
          <w:lang w:val="en-GB"/>
        </w:rPr>
        <w:br/>
      </w:r>
      <w:r w:rsidRPr="001F5859">
        <w:rPr>
          <w:rFonts w:eastAsia="SimSun"/>
          <w:lang w:val="en-GB"/>
        </w:rPr>
        <w:t xml:space="preserve">NCI-CTCAE </w:t>
      </w:r>
      <w:r w:rsidRPr="001F5859" w:rsidR="00C83A5C">
        <w:rPr>
          <w:rFonts w:eastAsia="SimSun"/>
          <w:lang w:val="en-GB"/>
        </w:rPr>
        <w:t>G</w:t>
      </w:r>
      <w:r w:rsidRPr="001F5859">
        <w:rPr>
          <w:rFonts w:eastAsia="SimSun"/>
          <w:lang w:val="en-GB"/>
        </w:rPr>
        <w:t>rade 3-4, respectively. Overall, 2 patients in the placebo</w:t>
      </w:r>
      <w:r w:rsidRPr="001F5859" w:rsidR="0093716C">
        <w:rPr>
          <w:rFonts w:eastAsia="SimSun"/>
          <w:lang w:val="en-GB"/>
        </w:rPr>
        <w:t>-</w:t>
      </w:r>
      <w:r w:rsidRPr="001F5859">
        <w:rPr>
          <w:rFonts w:eastAsia="SimSun"/>
          <w:lang w:val="en-GB"/>
        </w:rPr>
        <w:t xml:space="preserve">treated group and 4 patients in the </w:t>
      </w:r>
      <w:r w:rsidRPr="001F5859" w:rsidR="002C3FA8">
        <w:rPr>
          <w:rFonts w:eastAsia="SimSun"/>
          <w:lang w:val="en-GB"/>
        </w:rPr>
        <w:t>Perjeta</w:t>
      </w:r>
      <w:r w:rsidRPr="001F5859" w:rsidR="0093716C">
        <w:rPr>
          <w:rFonts w:eastAsia="SimSun"/>
          <w:lang w:val="en-GB"/>
        </w:rPr>
        <w:t>-</w:t>
      </w:r>
      <w:r w:rsidRPr="001F5859">
        <w:rPr>
          <w:rFonts w:eastAsia="SimSun"/>
          <w:lang w:val="en-GB"/>
        </w:rPr>
        <w:t>treated group experienced</w:t>
      </w:r>
      <w:r w:rsidRPr="001F5859" w:rsidR="00887C2B">
        <w:rPr>
          <w:rFonts w:eastAsia="SimSun"/>
          <w:lang w:val="en-GB"/>
        </w:rPr>
        <w:t xml:space="preserve"> </w:t>
      </w:r>
      <w:r w:rsidRPr="001F5859" w:rsidR="00887C2B">
        <w:rPr>
          <w:lang w:val="en-GB"/>
        </w:rPr>
        <w:t xml:space="preserve">events described as </w:t>
      </w:r>
      <w:r w:rsidRPr="001F5859">
        <w:rPr>
          <w:rFonts w:eastAsia="SimSun"/>
          <w:lang w:val="en-GB"/>
        </w:rPr>
        <w:t xml:space="preserve">anaphylaxis </w:t>
      </w:r>
      <w:r w:rsidRPr="001F5859" w:rsidR="00887C2B">
        <w:rPr>
          <w:lang w:val="en-GB"/>
        </w:rPr>
        <w:t xml:space="preserve">by the investigator </w:t>
      </w:r>
      <w:r w:rsidRPr="001F5859">
        <w:rPr>
          <w:rFonts w:eastAsia="SimSun"/>
          <w:lang w:val="en-GB"/>
        </w:rPr>
        <w:t xml:space="preserve">(see section 4.4). </w:t>
      </w:r>
    </w:p>
    <w:p w:rsidR="00FE7855" w:rsidRPr="001F5859" w:rsidP="00A311EA" w14:paraId="01327B29" w14:textId="77777777">
      <w:pPr>
        <w:rPr>
          <w:rFonts w:eastAsia="SimSun"/>
          <w:lang w:val="en-GB"/>
        </w:rPr>
      </w:pPr>
    </w:p>
    <w:p w:rsidR="00863CEA" w:rsidRPr="001F5859" w:rsidP="00A311EA" w14:paraId="08AB7EFB" w14:textId="77777777">
      <w:pPr>
        <w:rPr>
          <w:rFonts w:eastAsia="SimSun"/>
          <w:lang w:val="en-GB"/>
        </w:rPr>
      </w:pPr>
      <w:r w:rsidRPr="001F5859">
        <w:rPr>
          <w:rFonts w:eastAsia="SimSun"/>
          <w:lang w:val="en-GB"/>
        </w:rPr>
        <w:t xml:space="preserve">Overall, the </w:t>
      </w:r>
      <w:r w:rsidRPr="001F5859" w:rsidR="00F87BBE">
        <w:rPr>
          <w:rFonts w:eastAsia="SimSun"/>
          <w:lang w:val="en-GB"/>
        </w:rPr>
        <w:t xml:space="preserve">majority of hypersensitivity reactions </w:t>
      </w:r>
      <w:r w:rsidRPr="001F5859" w:rsidR="00386116">
        <w:rPr>
          <w:rFonts w:eastAsia="SimSun"/>
          <w:lang w:val="en-GB"/>
        </w:rPr>
        <w:t xml:space="preserve">were </w:t>
      </w:r>
      <w:r w:rsidRPr="001F5859">
        <w:rPr>
          <w:rFonts w:eastAsia="SimSun"/>
          <w:lang w:val="en-GB"/>
        </w:rPr>
        <w:t>mild or moderate in severity and resolved upon treatment. Based on modifications made to the study treatment, most reactions were assessed as secondary to docetaxel infusions.</w:t>
      </w:r>
    </w:p>
    <w:p w:rsidR="00C83A5C" w:rsidRPr="001F5859" w:rsidP="00A311EA" w14:paraId="363327AC" w14:textId="77777777">
      <w:pPr>
        <w:rPr>
          <w:rFonts w:eastAsia="SimSun"/>
          <w:lang w:val="en-GB"/>
        </w:rPr>
      </w:pPr>
    </w:p>
    <w:p w:rsidR="006F3F1A" w:rsidRPr="001F5859" w:rsidP="002135C5" w14:paraId="6385B136" w14:textId="77777777">
      <w:pPr>
        <w:rPr>
          <w:lang w:val="en-GB"/>
        </w:rPr>
      </w:pPr>
      <w:r w:rsidRPr="001F5859">
        <w:rPr>
          <w:lang w:val="en-GB"/>
        </w:rPr>
        <w:t xml:space="preserve">In the neoadjuvant </w:t>
      </w:r>
      <w:r w:rsidRPr="001F5859" w:rsidR="00FE7855">
        <w:rPr>
          <w:lang w:val="en-GB"/>
        </w:rPr>
        <w:t>and adjuvant trials</w:t>
      </w:r>
      <w:r w:rsidRPr="001F5859">
        <w:rPr>
          <w:lang w:val="en-GB"/>
        </w:rPr>
        <w:t xml:space="preserve">, hypersensitivity/anaphylaxis events were consistent with those observed in CLEOPATRA. In NEOSPHERE, two patients in the Perjeta and docetaxel-treated group experienced anaphylaxis. In </w:t>
      </w:r>
      <w:r w:rsidRPr="001F5859" w:rsidR="00FE7855">
        <w:rPr>
          <w:lang w:val="en-GB"/>
        </w:rPr>
        <w:t xml:space="preserve">both the </w:t>
      </w:r>
      <w:r w:rsidRPr="001F5859">
        <w:rPr>
          <w:lang w:val="en-GB"/>
        </w:rPr>
        <w:t>TRYPHAENA</w:t>
      </w:r>
      <w:r w:rsidRPr="001F5859" w:rsidR="00FE7855">
        <w:rPr>
          <w:lang w:val="en-GB"/>
        </w:rPr>
        <w:t xml:space="preserve"> and APHINITY trials</w:t>
      </w:r>
      <w:r w:rsidRPr="001F5859">
        <w:rPr>
          <w:lang w:val="en-GB"/>
        </w:rPr>
        <w:t>, the overall frequency of hypersensitivity/anaphylaxis was highest in the Perjeta and TCH treated group (13.2%</w:t>
      </w:r>
      <w:r w:rsidRPr="001F5859" w:rsidR="00FE7855">
        <w:rPr>
          <w:lang w:val="en-GB"/>
        </w:rPr>
        <w:t xml:space="preserve"> and 7.6%, respectively</w:t>
      </w:r>
      <w:r w:rsidRPr="001F5859">
        <w:rPr>
          <w:lang w:val="en-GB"/>
        </w:rPr>
        <w:t xml:space="preserve">), of which 2.6% </w:t>
      </w:r>
      <w:r w:rsidRPr="001F5859" w:rsidR="00203CE6">
        <w:rPr>
          <w:lang w:val="en-GB"/>
        </w:rPr>
        <w:t xml:space="preserve">and 1.3% of events, respectively, </w:t>
      </w:r>
      <w:r w:rsidRPr="001F5859">
        <w:rPr>
          <w:lang w:val="en-GB"/>
        </w:rPr>
        <w:t>were NCI-CTCAE Grade 3-4.</w:t>
      </w:r>
    </w:p>
    <w:p w:rsidR="006F3F1A" w:rsidRPr="001F5859" w:rsidP="00987F77" w14:paraId="1AEC3DEF" w14:textId="77777777">
      <w:pPr>
        <w:keepNext/>
        <w:keepLines/>
        <w:rPr>
          <w:i/>
          <w:lang w:val="en-GB"/>
        </w:rPr>
      </w:pPr>
    </w:p>
    <w:p w:rsidR="00C83A5C" w:rsidRPr="001F5859" w:rsidP="009528AE" w14:paraId="7410C114" w14:textId="77777777">
      <w:pPr>
        <w:keepNext/>
        <w:keepLines/>
        <w:rPr>
          <w:rFonts w:eastAsia="SimSun"/>
          <w:i/>
          <w:lang w:val="en-GB"/>
        </w:rPr>
      </w:pPr>
      <w:r w:rsidRPr="001F5859">
        <w:rPr>
          <w:rFonts w:eastAsia="SimSun"/>
          <w:i/>
          <w:lang w:val="en-GB"/>
        </w:rPr>
        <w:t>Febrile neutropenia</w:t>
      </w:r>
    </w:p>
    <w:p w:rsidR="00707A10" w:rsidRPr="001F5859" w:rsidP="00A311EA" w14:paraId="41CC1281" w14:textId="77777777">
      <w:pPr>
        <w:rPr>
          <w:rFonts w:eastAsia="SimSun"/>
          <w:lang w:val="en-GB"/>
        </w:rPr>
      </w:pPr>
      <w:r w:rsidRPr="001F5859">
        <w:rPr>
          <w:rFonts w:eastAsia="SimSun"/>
          <w:lang w:val="en-GB"/>
        </w:rPr>
        <w:t>In the pivotal trial CLEOPATRA, the majority of patients in both treatment groups experienced at least one leucopenic event (</w:t>
      </w:r>
      <w:r w:rsidRPr="001F5859" w:rsidR="001F0B20">
        <w:rPr>
          <w:rFonts w:eastAsia="SimSun"/>
          <w:lang w:val="en-GB"/>
        </w:rPr>
        <w:t>63.0</w:t>
      </w:r>
      <w:r w:rsidRPr="001F5859">
        <w:rPr>
          <w:rFonts w:eastAsia="SimSun"/>
          <w:lang w:val="en-GB"/>
        </w:rPr>
        <w:t xml:space="preserve">% of patients in the </w:t>
      </w:r>
      <w:r w:rsidRPr="001F5859" w:rsidR="00850317">
        <w:rPr>
          <w:rFonts w:eastAsia="SimSun"/>
          <w:lang w:val="en-GB"/>
        </w:rPr>
        <w:t>Perjeta</w:t>
      </w:r>
      <w:r w:rsidRPr="001F5859">
        <w:rPr>
          <w:rFonts w:eastAsia="SimSun"/>
          <w:lang w:val="en-GB"/>
        </w:rPr>
        <w:t xml:space="preserve">-treated group and </w:t>
      </w:r>
      <w:r w:rsidRPr="001F5859" w:rsidR="001F0B20">
        <w:rPr>
          <w:rFonts w:eastAsia="SimSun"/>
          <w:lang w:val="en-GB"/>
        </w:rPr>
        <w:t>58.3</w:t>
      </w:r>
      <w:r w:rsidRPr="001F5859">
        <w:rPr>
          <w:rFonts w:eastAsia="SimSun"/>
          <w:lang w:val="en-GB"/>
        </w:rPr>
        <w:t xml:space="preserve">% of patients in the </w:t>
      </w:r>
      <w:r w:rsidRPr="001F5859">
        <w:rPr>
          <w:rFonts w:eastAsia="SimSun"/>
          <w:lang w:val="en-GB"/>
        </w:rPr>
        <w:t>placebo-treated group), of which the majority were neutropenic events</w:t>
      </w:r>
      <w:r w:rsidRPr="001F5859" w:rsidR="00074FE7">
        <w:rPr>
          <w:rFonts w:eastAsia="SimSun"/>
          <w:lang w:val="en-GB"/>
        </w:rPr>
        <w:t xml:space="preserve"> (see section 4.4)</w:t>
      </w:r>
      <w:r w:rsidRPr="001F5859">
        <w:rPr>
          <w:rFonts w:eastAsia="SimSun"/>
          <w:lang w:val="en-GB"/>
        </w:rPr>
        <w:t xml:space="preserve">. Febrile neutropenia occurred in </w:t>
      </w:r>
      <w:r w:rsidRPr="001F5859" w:rsidR="001F0B20">
        <w:rPr>
          <w:rFonts w:eastAsia="SimSun"/>
          <w:lang w:val="en-GB"/>
        </w:rPr>
        <w:t>13.7</w:t>
      </w:r>
      <w:r w:rsidRPr="001F5859">
        <w:rPr>
          <w:rFonts w:eastAsia="SimSun"/>
          <w:lang w:val="en-GB"/>
        </w:rPr>
        <w:t xml:space="preserve">% of </w:t>
      </w:r>
      <w:r w:rsidRPr="001F5859" w:rsidR="00850317">
        <w:rPr>
          <w:rFonts w:eastAsia="SimSun"/>
          <w:lang w:val="en-GB"/>
        </w:rPr>
        <w:t>Perjeta</w:t>
      </w:r>
      <w:r w:rsidRPr="001F5859">
        <w:rPr>
          <w:rFonts w:eastAsia="SimSun"/>
          <w:lang w:val="en-GB"/>
        </w:rPr>
        <w:t>-treated patients and 7.6% of placebo-treated patients</w:t>
      </w:r>
      <w:r w:rsidRPr="001F5859" w:rsidR="0037271C">
        <w:rPr>
          <w:rFonts w:eastAsia="SimSun"/>
          <w:lang w:val="en-GB"/>
        </w:rPr>
        <w:t xml:space="preserve">. </w:t>
      </w:r>
      <w:r w:rsidRPr="001F5859">
        <w:rPr>
          <w:rFonts w:eastAsia="SimSun"/>
          <w:lang w:val="en-GB"/>
        </w:rPr>
        <w:t xml:space="preserve">In both treatment groups, the proportion of patients experiencing febrile neutropenia was highest in the first cycle of therapy and declined steadily thereafter. An increased incidence of febrile neutropenia was observed </w:t>
      </w:r>
      <w:r w:rsidRPr="001F5859" w:rsidR="006F3F1A">
        <w:rPr>
          <w:lang w:val="en-GB"/>
        </w:rPr>
        <w:t>among</w:t>
      </w:r>
      <w:r w:rsidRPr="001F5859">
        <w:rPr>
          <w:rFonts w:eastAsia="SimSun"/>
          <w:lang w:val="en-GB"/>
        </w:rPr>
        <w:t xml:space="preserve"> Asian patients in both treatment groups compared with patients of other races and from other geographic regions. Among Asian patients, the incidence of febrile neutropenia was higher in the </w:t>
      </w:r>
      <w:r w:rsidRPr="001F5859" w:rsidR="00850317">
        <w:rPr>
          <w:rFonts w:eastAsia="SimSun"/>
          <w:lang w:val="en-GB"/>
        </w:rPr>
        <w:t>Perjeta</w:t>
      </w:r>
      <w:r w:rsidRPr="001F5859">
        <w:rPr>
          <w:rFonts w:eastAsia="SimSun"/>
          <w:lang w:val="en-GB"/>
        </w:rPr>
        <w:t>-treated group (</w:t>
      </w:r>
      <w:r w:rsidRPr="001F5859" w:rsidR="001F0B20">
        <w:rPr>
          <w:rFonts w:eastAsia="SimSun"/>
          <w:lang w:val="en-GB"/>
        </w:rPr>
        <w:t>25.8</w:t>
      </w:r>
      <w:r w:rsidRPr="001F5859">
        <w:rPr>
          <w:rFonts w:eastAsia="SimSun"/>
          <w:lang w:val="en-GB"/>
        </w:rPr>
        <w:t>%) compared with the placebo-treated group (</w:t>
      </w:r>
      <w:r w:rsidRPr="001F5859" w:rsidR="001F0B20">
        <w:rPr>
          <w:rFonts w:eastAsia="SimSun"/>
          <w:lang w:val="en-GB"/>
        </w:rPr>
        <w:t>11.3</w:t>
      </w:r>
      <w:r w:rsidRPr="001F5859">
        <w:rPr>
          <w:rFonts w:eastAsia="SimSun"/>
          <w:lang w:val="en-GB"/>
        </w:rPr>
        <w:t>%).</w:t>
      </w:r>
    </w:p>
    <w:p w:rsidR="006F3F1A" w:rsidRPr="001F5859" w:rsidP="00A311EA" w14:paraId="4CEEAA77" w14:textId="77777777">
      <w:pPr>
        <w:rPr>
          <w:lang w:val="en-GB"/>
        </w:rPr>
      </w:pPr>
    </w:p>
    <w:p w:rsidR="006F3F1A" w:rsidRPr="001F5859" w:rsidP="00A311EA" w14:paraId="7B0E7BA2" w14:textId="77777777">
      <w:pPr>
        <w:rPr>
          <w:lang w:val="en-GB"/>
        </w:rPr>
      </w:pPr>
      <w:r w:rsidRPr="001F5859">
        <w:rPr>
          <w:lang w:val="en-GB"/>
        </w:rPr>
        <w:t>In the NEOSPHERE trial, 8.4% of patients treated with neoadjuvant Perjeta, trastuzumab and docetaxel experienced febrile neutropenia compared with 7.5% of patients treated with trastuzumab and docetaxel. In the TRYPHAENA trial, febrile neutropenia occurred in 17.1% of patients treated with neoadjuvant Perjeta + TCH, and 9.3% of patients treated with neoadjuvant Perjeta, trastuzumab and docetaxel following FEC. In TRYPHAENA, the incidence of febrile neutropenia was higher in patients who received six cycles of Perjeta compared with patients who received three cycles of Perjeta, independent of the chemotherapy given. As in the CLEOPATRA trial, a higher incidence of neutropenia and febrile neutropenia was observed among Asian patients compared with other patients in both neoadjuvant trials. In NEOSPHERE, 8.3% of Asian patients treated with neoadjuvant Perjeta, trastuzumab and docetaxel experienced febrile neutropenia compared with 4.0% of Asian patients treated with neoadjuvant trastuzumab and docetaxel.</w:t>
      </w:r>
    </w:p>
    <w:p w:rsidR="00203CE6" w:rsidRPr="001F5859" w:rsidP="00203CE6" w14:paraId="75A9DEF9" w14:textId="77777777">
      <w:pPr>
        <w:rPr>
          <w:lang w:val="en-GB"/>
        </w:rPr>
      </w:pPr>
    </w:p>
    <w:p w:rsidR="00203CE6" w:rsidRPr="001F5859" w:rsidP="00203CE6" w14:paraId="10DBF0AB" w14:textId="77777777">
      <w:pPr>
        <w:rPr>
          <w:lang w:val="en-GB"/>
        </w:rPr>
      </w:pPr>
      <w:r w:rsidRPr="001F5859">
        <w:rPr>
          <w:lang w:val="en-GB"/>
        </w:rPr>
        <w:t>In the APHINITY trial, febrile neutropenia occurred in 12.1% of Perjeta-treated patients and 11.1% of placebo-treated patients. As in the CLEOPATRA, TRYPHAENA, and NEOSPHERE trials, a higher incidence of febrile neutropenia was observed among Perjeta-treated Asian patients compared with other races in the APHINITY trial (15.9% of Perjeta-treated patients and 9.9% of placebo-treated patients).</w:t>
      </w:r>
    </w:p>
    <w:p w:rsidR="00F624BC" w:rsidRPr="001F5859" w:rsidP="00A311EA" w14:paraId="60AC8D7C" w14:textId="77777777">
      <w:pPr>
        <w:rPr>
          <w:rFonts w:eastAsia="SimSun"/>
          <w:lang w:val="en-GB"/>
        </w:rPr>
      </w:pPr>
    </w:p>
    <w:p w:rsidR="00C83A5C" w:rsidRPr="001F5859" w:rsidP="00A311EA" w14:paraId="56BCC52F" w14:textId="77777777">
      <w:pPr>
        <w:rPr>
          <w:rFonts w:eastAsia="SimSun"/>
          <w:i/>
          <w:lang w:val="en-GB"/>
        </w:rPr>
      </w:pPr>
      <w:r w:rsidRPr="001F5859">
        <w:rPr>
          <w:rFonts w:eastAsia="SimSun"/>
          <w:i/>
          <w:lang w:val="en-GB"/>
        </w:rPr>
        <w:t>Diarrhoea</w:t>
      </w:r>
    </w:p>
    <w:p w:rsidR="00C83A5C" w:rsidRPr="001F5859" w:rsidP="00A311EA" w14:paraId="22E56E93" w14:textId="77777777">
      <w:pPr>
        <w:rPr>
          <w:rFonts w:eastAsia="SimSun"/>
          <w:lang w:val="en-GB"/>
        </w:rPr>
      </w:pPr>
      <w:r w:rsidRPr="001F5859">
        <w:rPr>
          <w:rFonts w:eastAsia="SimSun"/>
          <w:lang w:val="en-GB"/>
        </w:rPr>
        <w:t>In the pivotal trial CLEOPATRA</w:t>
      </w:r>
      <w:r w:rsidRPr="001F5859" w:rsidR="006F3F1A">
        <w:rPr>
          <w:lang w:val="en-GB"/>
        </w:rPr>
        <w:t xml:space="preserve"> in metastatic breast cancer</w:t>
      </w:r>
      <w:r w:rsidRPr="001F5859">
        <w:rPr>
          <w:rFonts w:eastAsia="SimSun"/>
          <w:lang w:val="en-GB"/>
        </w:rPr>
        <w:t xml:space="preserve">, diarrhoea occurred in </w:t>
      </w:r>
      <w:r w:rsidRPr="001F5859" w:rsidR="001F0B20">
        <w:rPr>
          <w:rFonts w:eastAsia="SimSun"/>
          <w:lang w:val="en-GB"/>
        </w:rPr>
        <w:t>68.4</w:t>
      </w:r>
      <w:r w:rsidRPr="001F5859">
        <w:rPr>
          <w:rFonts w:eastAsia="SimSun"/>
          <w:lang w:val="en-GB"/>
        </w:rPr>
        <w:t xml:space="preserve">% of </w:t>
      </w:r>
      <w:r w:rsidRPr="001F5859" w:rsidR="000A2F4E">
        <w:rPr>
          <w:rFonts w:eastAsia="SimSun"/>
          <w:lang w:val="en-GB"/>
        </w:rPr>
        <w:t>Perjeta</w:t>
      </w:r>
      <w:r w:rsidRPr="001F5859">
        <w:rPr>
          <w:rFonts w:eastAsia="SimSun"/>
          <w:lang w:val="en-GB"/>
        </w:rPr>
        <w:t>-treated patients and 4</w:t>
      </w:r>
      <w:r w:rsidRPr="001F5859" w:rsidR="00FA429B">
        <w:rPr>
          <w:rFonts w:eastAsia="SimSun"/>
          <w:lang w:val="en-GB"/>
        </w:rPr>
        <w:t>8.7</w:t>
      </w:r>
      <w:r w:rsidRPr="001F5859">
        <w:rPr>
          <w:rFonts w:eastAsia="SimSun"/>
          <w:lang w:val="en-GB"/>
        </w:rPr>
        <w:t>% of placebo-treated patients</w:t>
      </w:r>
      <w:r w:rsidRPr="001F5859" w:rsidR="00074FE7">
        <w:rPr>
          <w:rFonts w:eastAsia="SimSun"/>
          <w:lang w:val="en-GB"/>
        </w:rPr>
        <w:t xml:space="preserve"> (see section 4.4)</w:t>
      </w:r>
      <w:r w:rsidRPr="001F5859">
        <w:rPr>
          <w:rFonts w:eastAsia="SimSun"/>
          <w:lang w:val="en-GB"/>
        </w:rPr>
        <w:t>. Most events were mild</w:t>
      </w:r>
      <w:r w:rsidRPr="001F5859" w:rsidR="006F3F1A">
        <w:rPr>
          <w:lang w:val="en-GB"/>
        </w:rPr>
        <w:t xml:space="preserve"> to </w:t>
      </w:r>
      <w:r w:rsidRPr="001F5859">
        <w:rPr>
          <w:rFonts w:eastAsia="SimSun"/>
          <w:lang w:val="en-GB"/>
        </w:rPr>
        <w:t xml:space="preserve">moderate in severity and occurred in the first few cycles of treatment. The incidence of NCI-CTCAE Grade 3-4 diarrhoea was </w:t>
      </w:r>
      <w:r w:rsidRPr="001F5859" w:rsidR="002503B8">
        <w:rPr>
          <w:rFonts w:eastAsia="SimSun"/>
          <w:lang w:val="en-GB"/>
        </w:rPr>
        <w:t>9.3</w:t>
      </w:r>
      <w:r w:rsidRPr="001F5859">
        <w:rPr>
          <w:rFonts w:eastAsia="SimSun"/>
          <w:lang w:val="en-GB"/>
        </w:rPr>
        <w:t xml:space="preserve">% in </w:t>
      </w:r>
      <w:r w:rsidRPr="001F5859" w:rsidR="000A2F4E">
        <w:rPr>
          <w:rFonts w:eastAsia="SimSun"/>
          <w:lang w:val="en-GB"/>
        </w:rPr>
        <w:t>Perjeta</w:t>
      </w:r>
      <w:r w:rsidRPr="001F5859">
        <w:rPr>
          <w:rFonts w:eastAsia="SimSun"/>
          <w:lang w:val="en-GB"/>
        </w:rPr>
        <w:t xml:space="preserve">-treated patients vs </w:t>
      </w:r>
      <w:r w:rsidRPr="001F5859" w:rsidR="00DF284B">
        <w:rPr>
          <w:rFonts w:eastAsia="SimSun"/>
          <w:lang w:val="en-GB"/>
        </w:rPr>
        <w:t>5.1</w:t>
      </w:r>
      <w:r w:rsidRPr="001F5859">
        <w:rPr>
          <w:rFonts w:eastAsia="SimSun"/>
          <w:lang w:val="en-GB"/>
        </w:rPr>
        <w:t xml:space="preserve">% in placebo-treated patients. The median duration of the </w:t>
      </w:r>
      <w:r w:rsidRPr="001F5859" w:rsidR="00E625F5">
        <w:rPr>
          <w:rFonts w:eastAsia="SimSun"/>
          <w:lang w:val="en-GB"/>
        </w:rPr>
        <w:t xml:space="preserve">longest episode was </w:t>
      </w:r>
      <w:r w:rsidRPr="001F5859" w:rsidR="000F23F0">
        <w:rPr>
          <w:rFonts w:eastAsia="SimSun"/>
          <w:lang w:val="en-GB"/>
        </w:rPr>
        <w:t>18</w:t>
      </w:r>
      <w:r w:rsidRPr="001F5859" w:rsidR="00E625F5">
        <w:rPr>
          <w:rFonts w:eastAsia="SimSun"/>
          <w:lang w:val="en-GB"/>
        </w:rPr>
        <w:t xml:space="preserve"> days in </w:t>
      </w:r>
      <w:r w:rsidRPr="001F5859" w:rsidR="000A2F4E">
        <w:rPr>
          <w:rFonts w:eastAsia="SimSun"/>
          <w:lang w:val="en-GB"/>
        </w:rPr>
        <w:t>Perjeta</w:t>
      </w:r>
      <w:r w:rsidRPr="001F5859">
        <w:rPr>
          <w:rFonts w:eastAsia="SimSun"/>
          <w:lang w:val="en-GB"/>
        </w:rPr>
        <w:t xml:space="preserve">-treated patients and 8 days in placebo-treated patients. </w:t>
      </w:r>
      <w:r w:rsidRPr="001F5859" w:rsidR="00E625F5">
        <w:rPr>
          <w:rFonts w:eastAsia="SimSun"/>
          <w:lang w:val="en-GB"/>
        </w:rPr>
        <w:t>Diarrh</w:t>
      </w:r>
      <w:r w:rsidRPr="001F5859" w:rsidR="00011C4B">
        <w:rPr>
          <w:rFonts w:eastAsia="SimSun"/>
          <w:lang w:val="en-GB"/>
        </w:rPr>
        <w:t>o</w:t>
      </w:r>
      <w:r w:rsidRPr="001F5859" w:rsidR="00E625F5">
        <w:rPr>
          <w:rFonts w:eastAsia="SimSun"/>
          <w:lang w:val="en-GB"/>
        </w:rPr>
        <w:t xml:space="preserve">eal events responded well to proactive </w:t>
      </w:r>
      <w:r w:rsidRPr="001F5859">
        <w:rPr>
          <w:rFonts w:eastAsia="SimSun"/>
          <w:lang w:val="en-GB"/>
        </w:rPr>
        <w:t>management with anti-diarrhoeal agents.</w:t>
      </w:r>
    </w:p>
    <w:p w:rsidR="00C83A5C" w:rsidRPr="001F5859" w:rsidP="00A311EA" w14:paraId="56CFB05A" w14:textId="77777777">
      <w:pPr>
        <w:rPr>
          <w:rFonts w:eastAsia="SimSun"/>
          <w:lang w:val="en-GB"/>
        </w:rPr>
      </w:pPr>
    </w:p>
    <w:p w:rsidR="006F3F1A" w:rsidRPr="001F5859" w:rsidP="00A311EA" w14:paraId="78AD5A50" w14:textId="77777777">
      <w:pPr>
        <w:rPr>
          <w:lang w:val="en-GB"/>
        </w:rPr>
      </w:pPr>
      <w:r w:rsidRPr="001F5859">
        <w:rPr>
          <w:lang w:val="en-GB"/>
        </w:rPr>
        <w:t xml:space="preserve">In the NEOSPHERE trial, diarrhoea occurred in 45.8% of patients treated with neoadjuvant Perjeta, trastuzumab and docetaxel compared with 33.6% of patients treated with trastuzumab and docetaxel. In the TRYPHAENA trial, diarrhoea occurred in 72.3% of patients treated with neoadjuvant Perjeta+TCH and 61.4% of patients treated with neoadjuvant Perjeta, trastuzumab and docetaxel following FEC. In both studies most events were mild to moderate in severity. </w:t>
      </w:r>
    </w:p>
    <w:p w:rsidR="00203CE6" w:rsidRPr="001F5859" w:rsidP="00203CE6" w14:paraId="2D6EA54D" w14:textId="77777777">
      <w:pPr>
        <w:rPr>
          <w:lang w:val="en-GB"/>
        </w:rPr>
      </w:pPr>
    </w:p>
    <w:p w:rsidR="00203CE6" w:rsidRPr="001F5859" w:rsidP="00203CE6" w14:paraId="08C84694" w14:textId="77777777">
      <w:pPr>
        <w:rPr>
          <w:lang w:val="en-GB"/>
        </w:rPr>
      </w:pPr>
      <w:r w:rsidRPr="001F5859">
        <w:rPr>
          <w:lang w:val="en-GB"/>
        </w:rPr>
        <w:t>In the APHINITY trial, a higher incidence of diarrhoea was reported in the Perjeta-treated arm (71.2%) compared to the placebo arm (45.2%).  Grade ≥ 3 diarrhoea was reported in 9.8% of patients in the Perjeta arm vs. 3.7% in the placebo arm. The majority of the reported events were Grade 1 or 2 in severity. The highest incidence of diarrhoea (all Grades) was reported during the targeted therapy+taxane chemotherapy period (61.4% of patients in the Perjeta arm vs. 33.8% of patients in the placebo arm).The incidence of diarrhoea was much lower after chemotherapy cessation, affecting 18.1% of patients in the Perjeta arm vs. 9.2% of patients in the placebo arm in the post-chemotherapy targeted therapy period.</w:t>
      </w:r>
    </w:p>
    <w:p w:rsidR="006F3F1A" w:rsidRPr="001F5859" w:rsidP="00A311EA" w14:paraId="064859CF" w14:textId="77777777">
      <w:pPr>
        <w:rPr>
          <w:lang w:val="en-GB"/>
        </w:rPr>
      </w:pPr>
    </w:p>
    <w:p w:rsidR="006F3F1A" w:rsidRPr="001F5859" w:rsidP="00A311EA" w14:paraId="20AA1CF6" w14:textId="77777777">
      <w:pPr>
        <w:rPr>
          <w:i/>
          <w:lang w:val="en-GB"/>
        </w:rPr>
      </w:pPr>
      <w:r w:rsidRPr="001F5859">
        <w:rPr>
          <w:i/>
          <w:lang w:val="en-GB"/>
        </w:rPr>
        <w:t>Rash</w:t>
      </w:r>
    </w:p>
    <w:p w:rsidR="00342329" w:rsidRPr="001F5859" w:rsidP="00A311EA" w14:paraId="3925DD23" w14:textId="77777777">
      <w:pPr>
        <w:rPr>
          <w:rFonts w:eastAsia="SimSun"/>
          <w:lang w:val="en-GB"/>
        </w:rPr>
      </w:pPr>
      <w:r w:rsidRPr="001F5859">
        <w:rPr>
          <w:lang w:val="en-GB"/>
        </w:rPr>
        <w:t>In the pivotal trial CLEOPATRA in metastatic breast cancer, r</w:t>
      </w:r>
      <w:r w:rsidRPr="001F5859" w:rsidR="00C83A5C">
        <w:rPr>
          <w:rFonts w:eastAsia="SimSun"/>
          <w:lang w:val="en-GB"/>
        </w:rPr>
        <w:t xml:space="preserve">ash occurred in </w:t>
      </w:r>
      <w:r w:rsidRPr="001F5859" w:rsidR="008B4D0B">
        <w:rPr>
          <w:rFonts w:eastAsia="SimSun"/>
          <w:lang w:val="en-GB"/>
        </w:rPr>
        <w:t>51.7</w:t>
      </w:r>
      <w:r w:rsidRPr="001F5859" w:rsidR="00C83A5C">
        <w:rPr>
          <w:rFonts w:eastAsia="SimSun"/>
          <w:lang w:val="en-GB"/>
        </w:rPr>
        <w:t xml:space="preserve">% of </w:t>
      </w:r>
      <w:r w:rsidRPr="001F5859" w:rsidR="00850317">
        <w:rPr>
          <w:rFonts w:eastAsia="SimSun"/>
          <w:lang w:val="en-GB"/>
        </w:rPr>
        <w:t>Perjeta</w:t>
      </w:r>
      <w:r w:rsidRPr="001F5859" w:rsidR="00E625F5">
        <w:rPr>
          <w:rFonts w:eastAsia="SimSun"/>
          <w:lang w:val="en-GB"/>
        </w:rPr>
        <w:t>-</w:t>
      </w:r>
      <w:r w:rsidRPr="001F5859" w:rsidR="00C83A5C">
        <w:rPr>
          <w:rFonts w:eastAsia="SimSun"/>
          <w:lang w:val="en-GB"/>
        </w:rPr>
        <w:t>treated</w:t>
      </w:r>
      <w:r w:rsidRPr="001F5859" w:rsidR="00E625F5">
        <w:rPr>
          <w:rFonts w:eastAsia="SimSun"/>
          <w:lang w:val="en-GB"/>
        </w:rPr>
        <w:t xml:space="preserve"> patients,</w:t>
      </w:r>
      <w:r w:rsidRPr="001F5859" w:rsidR="00C83A5C">
        <w:rPr>
          <w:rFonts w:eastAsia="SimSun"/>
          <w:lang w:val="en-GB"/>
        </w:rPr>
        <w:t xml:space="preserve"> compared with </w:t>
      </w:r>
      <w:r w:rsidRPr="001F5859" w:rsidR="000F23F0">
        <w:rPr>
          <w:rFonts w:eastAsia="SimSun"/>
          <w:lang w:val="en-GB"/>
        </w:rPr>
        <w:t>38.9</w:t>
      </w:r>
      <w:r w:rsidRPr="001F5859" w:rsidR="00C83A5C">
        <w:rPr>
          <w:rFonts w:eastAsia="SimSun"/>
          <w:lang w:val="en-GB"/>
        </w:rPr>
        <w:t xml:space="preserve">% of </w:t>
      </w:r>
      <w:r w:rsidRPr="001F5859" w:rsidR="00E625F5">
        <w:rPr>
          <w:rFonts w:eastAsia="SimSun"/>
          <w:lang w:val="en-GB"/>
        </w:rPr>
        <w:t xml:space="preserve">placebo-treated </w:t>
      </w:r>
      <w:r w:rsidRPr="001F5859" w:rsidR="00C83A5C">
        <w:rPr>
          <w:rFonts w:eastAsia="SimSun"/>
          <w:lang w:val="en-GB"/>
        </w:rPr>
        <w:t>patients. Most events were Grade 1 or 2 in severity, occurred in the first two cycles, and responded to standard therapies, such as topical or oral treatment for acne</w:t>
      </w:r>
      <w:r w:rsidRPr="001F5859" w:rsidR="0015457A">
        <w:rPr>
          <w:rFonts w:eastAsia="SimSun"/>
          <w:lang w:val="en-GB"/>
        </w:rPr>
        <w:t>.</w:t>
      </w:r>
    </w:p>
    <w:p w:rsidR="00342329" w:rsidRPr="001F5859" w:rsidP="00A311EA" w14:paraId="7CA16466" w14:textId="77777777">
      <w:pPr>
        <w:rPr>
          <w:rFonts w:eastAsia="SimSun"/>
          <w:lang w:val="en-GB"/>
        </w:rPr>
      </w:pPr>
    </w:p>
    <w:p w:rsidR="00C83A5C" w:rsidRPr="001F5859" w:rsidP="00A311EA" w14:paraId="56959158" w14:textId="77777777">
      <w:pPr>
        <w:rPr>
          <w:rFonts w:eastAsia="SimSun"/>
          <w:lang w:val="en-GB"/>
        </w:rPr>
      </w:pPr>
      <w:r w:rsidRPr="001F5859">
        <w:rPr>
          <w:lang w:val="en-GB"/>
        </w:rPr>
        <w:t>In the NEOSPHERE trial, rash occurred in 40.2% of patients treated with neoadjuvant Perjeta, trastuzumab and docetaxel compared with 29.0% of patients treated with trastuzumab and docetaxel. In the TRYPHAENA trial, rash occurred in 36.8% of patients treated with neoadjuvant Perjeta + TCH and 20.0% of patients treated with neoadjuvant Perjeta, trastuzumab and docetaxel following FEC. The incidence of rash was higher in patients who received six cycles of Perjeta compared with patients who received three cycles of Perjeta, independent of the chemotherapy given.</w:t>
      </w:r>
    </w:p>
    <w:p w:rsidR="00203CE6" w:rsidRPr="001F5859" w:rsidP="00203CE6" w14:paraId="42F5B336" w14:textId="77777777">
      <w:pPr>
        <w:rPr>
          <w:lang w:val="en-GB"/>
        </w:rPr>
      </w:pPr>
    </w:p>
    <w:p w:rsidR="00203CE6" w:rsidRPr="001F5859" w:rsidP="00203CE6" w14:paraId="66E8FB14" w14:textId="77777777">
      <w:pPr>
        <w:rPr>
          <w:rFonts w:eastAsia="SimSun"/>
        </w:rPr>
      </w:pPr>
      <w:r w:rsidRPr="001F5859">
        <w:rPr>
          <w:rFonts w:eastAsia="SimSun"/>
          <w:lang w:val="en-GB"/>
        </w:rPr>
        <w:t>In the APHINITY trial, the adverse event of rash occurred in 25.8% of patients in Perjeta arm vs.  20.3% of patients in placebo arm. The majority of rash events were Grade 1 or 2.</w:t>
      </w:r>
    </w:p>
    <w:p w:rsidR="00C83A5C" w:rsidRPr="001F5859" w:rsidP="00A311EA" w14:paraId="12F50DA7" w14:textId="77777777">
      <w:pPr>
        <w:rPr>
          <w:rFonts w:eastAsia="SimSun"/>
          <w:lang w:val="en-GB"/>
        </w:rPr>
      </w:pPr>
    </w:p>
    <w:p w:rsidR="00863CEA" w:rsidRPr="001F5859" w:rsidP="00A311EA" w14:paraId="5E197BE9" w14:textId="77777777">
      <w:pPr>
        <w:rPr>
          <w:i/>
          <w:lang w:val="en-GB"/>
        </w:rPr>
      </w:pPr>
      <w:r w:rsidRPr="001F5859">
        <w:rPr>
          <w:rFonts w:eastAsia="SimSun"/>
          <w:i/>
          <w:lang w:val="en-GB"/>
        </w:rPr>
        <w:t xml:space="preserve">Laboratory </w:t>
      </w:r>
      <w:r w:rsidRPr="001F5859" w:rsidR="002D4985">
        <w:rPr>
          <w:rFonts w:eastAsia="SimSun"/>
          <w:i/>
          <w:lang w:val="en-GB"/>
        </w:rPr>
        <w:t>a</w:t>
      </w:r>
      <w:r w:rsidRPr="001F5859">
        <w:rPr>
          <w:rFonts w:eastAsia="SimSun"/>
          <w:i/>
          <w:lang w:val="en-GB"/>
        </w:rPr>
        <w:t>bnormalities</w:t>
      </w:r>
    </w:p>
    <w:p w:rsidR="00342329" w:rsidRPr="001F5859" w:rsidP="00A311EA" w14:paraId="12B374FC" w14:textId="77777777">
      <w:pPr>
        <w:rPr>
          <w:rFonts w:eastAsia="SimSun"/>
          <w:lang w:val="en-GB"/>
        </w:rPr>
      </w:pPr>
      <w:r w:rsidRPr="001F5859">
        <w:rPr>
          <w:lang w:val="en-GB"/>
        </w:rPr>
        <w:t>In the pivotal trial CLEOPATRA in metastatic breast cancer, the</w:t>
      </w:r>
      <w:r w:rsidRPr="001F5859" w:rsidR="00863CEA">
        <w:rPr>
          <w:rFonts w:eastAsia="SimSun"/>
          <w:lang w:val="en-GB"/>
        </w:rPr>
        <w:t xml:space="preserve"> incidence of NCI-CTCAE </w:t>
      </w:r>
      <w:r w:rsidRPr="001F5859">
        <w:rPr>
          <w:lang w:val="en-GB"/>
        </w:rPr>
        <w:t>v.</w:t>
      </w:r>
      <w:r w:rsidRPr="001F5859" w:rsidR="00863CEA">
        <w:rPr>
          <w:rFonts w:eastAsia="SimSun"/>
          <w:lang w:val="en-GB"/>
        </w:rPr>
        <w:t xml:space="preserve">3 </w:t>
      </w:r>
      <w:r w:rsidRPr="001F5859" w:rsidR="00C83A5C">
        <w:rPr>
          <w:rFonts w:eastAsia="SimSun"/>
          <w:lang w:val="en-GB"/>
        </w:rPr>
        <w:t>G</w:t>
      </w:r>
      <w:r w:rsidRPr="001F5859" w:rsidR="00863CEA">
        <w:rPr>
          <w:rFonts w:eastAsia="SimSun"/>
          <w:lang w:val="en-GB"/>
        </w:rPr>
        <w:t xml:space="preserve">rade 3-4 </w:t>
      </w:r>
      <w:r w:rsidRPr="001F5859" w:rsidR="00C83A5C">
        <w:rPr>
          <w:rFonts w:eastAsia="SimSun"/>
          <w:lang w:val="en-GB"/>
        </w:rPr>
        <w:t xml:space="preserve">neutropenia was </w:t>
      </w:r>
      <w:r w:rsidRPr="001F5859" w:rsidR="00863CEA">
        <w:rPr>
          <w:rFonts w:eastAsia="SimSun"/>
          <w:lang w:val="en-GB"/>
        </w:rPr>
        <w:t>balanced in the two treat</w:t>
      </w:r>
      <w:r w:rsidRPr="001F5859" w:rsidR="004D569A">
        <w:rPr>
          <w:rFonts w:eastAsia="SimSun"/>
          <w:lang w:val="en-GB"/>
        </w:rPr>
        <w:t xml:space="preserve">ment </w:t>
      </w:r>
      <w:r w:rsidRPr="001F5859" w:rsidR="00863CEA">
        <w:rPr>
          <w:rFonts w:eastAsia="SimSun"/>
          <w:lang w:val="en-GB"/>
        </w:rPr>
        <w:t>groups</w:t>
      </w:r>
      <w:r w:rsidRPr="001F5859" w:rsidR="00C83A5C">
        <w:rPr>
          <w:rFonts w:eastAsia="SimSun"/>
          <w:lang w:val="en-GB"/>
        </w:rPr>
        <w:t xml:space="preserve"> (</w:t>
      </w:r>
      <w:r w:rsidRPr="001F5859" w:rsidR="000F23F0">
        <w:rPr>
          <w:rFonts w:eastAsia="SimSun"/>
          <w:lang w:val="en-GB"/>
        </w:rPr>
        <w:t>86.</w:t>
      </w:r>
      <w:r w:rsidRPr="001F5859" w:rsidR="001B3F0F">
        <w:rPr>
          <w:rFonts w:eastAsia="SimSun"/>
          <w:lang w:val="en-GB"/>
        </w:rPr>
        <w:t>3</w:t>
      </w:r>
      <w:r w:rsidRPr="001F5859" w:rsidR="00C83A5C">
        <w:rPr>
          <w:rFonts w:eastAsia="SimSun"/>
          <w:lang w:val="en-GB"/>
        </w:rPr>
        <w:t xml:space="preserve">% of </w:t>
      </w:r>
      <w:r w:rsidRPr="001F5859" w:rsidR="00850317">
        <w:rPr>
          <w:rFonts w:eastAsia="SimSun"/>
          <w:lang w:val="en-GB"/>
        </w:rPr>
        <w:t>Perjeta</w:t>
      </w:r>
      <w:r w:rsidRPr="001F5859" w:rsidR="00C83A5C">
        <w:rPr>
          <w:rFonts w:eastAsia="SimSun"/>
          <w:lang w:val="en-GB"/>
        </w:rPr>
        <w:t xml:space="preserve">-treated patients and 86.6% of placebo-treated patients, including </w:t>
      </w:r>
      <w:r w:rsidRPr="001F5859" w:rsidR="000F23F0">
        <w:rPr>
          <w:rFonts w:eastAsia="SimSun"/>
          <w:lang w:val="en-GB"/>
        </w:rPr>
        <w:t>60.7</w:t>
      </w:r>
      <w:r w:rsidRPr="001F5859" w:rsidR="00C83A5C">
        <w:rPr>
          <w:rFonts w:eastAsia="SimSun"/>
          <w:lang w:val="en-GB"/>
        </w:rPr>
        <w:t xml:space="preserve">% and </w:t>
      </w:r>
      <w:r w:rsidRPr="001F5859" w:rsidR="000F23F0">
        <w:rPr>
          <w:rFonts w:eastAsia="SimSun"/>
          <w:lang w:val="en-GB"/>
        </w:rPr>
        <w:t>64.8</w:t>
      </w:r>
      <w:r w:rsidRPr="001F5859" w:rsidR="00C83A5C">
        <w:rPr>
          <w:rFonts w:eastAsia="SimSun"/>
          <w:lang w:val="en-GB"/>
        </w:rPr>
        <w:t>% Grade 4 neutropenia</w:t>
      </w:r>
      <w:r w:rsidRPr="001F5859" w:rsidR="0015457A">
        <w:rPr>
          <w:rFonts w:eastAsia="SimSun"/>
          <w:lang w:val="en-GB"/>
        </w:rPr>
        <w:t>,</w:t>
      </w:r>
      <w:r w:rsidRPr="001F5859" w:rsidR="00C83A5C">
        <w:rPr>
          <w:rFonts w:eastAsia="SimSun"/>
          <w:lang w:val="en-GB"/>
        </w:rPr>
        <w:t xml:space="preserve"> respectively).</w:t>
      </w:r>
    </w:p>
    <w:p w:rsidR="00342329" w:rsidRPr="001F5859" w:rsidP="00A311EA" w14:paraId="099BAB23" w14:textId="77777777">
      <w:pPr>
        <w:rPr>
          <w:rFonts w:eastAsia="SimSun"/>
          <w:lang w:val="en-GB"/>
        </w:rPr>
      </w:pPr>
    </w:p>
    <w:p w:rsidR="00C83A5C" w:rsidRPr="001F5859" w:rsidP="00A311EA" w14:paraId="34010B0C" w14:textId="77777777">
      <w:pPr>
        <w:rPr>
          <w:rFonts w:eastAsia="SimSun"/>
          <w:lang w:val="en-GB"/>
        </w:rPr>
      </w:pPr>
      <w:r w:rsidRPr="001F5859">
        <w:rPr>
          <w:lang w:val="en-GB"/>
        </w:rPr>
        <w:t>In the NEOSPHERE trial, the incidence of NCI-CTCAE v.3 Grade 3-4 neutropenia was 74.5% in patients treated with neoadjuvant Perjeta, trastuzumab and docetaxel compared with 84.5% in patients treated with trastuzumab and docetaxel, including 50.9% and 60.2% Grade 4 neutropenia, respectively. In the TRYPHAENA trial, the incidence of NCI-CTCAE v.3 Grade 3-4 neutropenia was 85.3% in patients treated with neoadjuvant</w:t>
      </w:r>
      <w:r w:rsidRPr="001F5859" w:rsidR="00074FE7">
        <w:rPr>
          <w:lang w:val="en-GB"/>
        </w:rPr>
        <w:t xml:space="preserve"> </w:t>
      </w:r>
      <w:r w:rsidRPr="001F5859">
        <w:rPr>
          <w:lang w:val="en-GB"/>
        </w:rPr>
        <w:t xml:space="preserve">Perjeta + TCH and 77.0% in patients treated with neoadjuvant Perjeta, trastuzumab and docetaxel following FEC, including 66.7% and 59.5% Grade 4 neutropenia, respectively. </w:t>
      </w:r>
    </w:p>
    <w:p w:rsidR="00203CE6" w:rsidRPr="001F5859" w:rsidP="00203CE6" w14:paraId="2711A114" w14:textId="77777777">
      <w:pPr>
        <w:rPr>
          <w:lang w:val="en-GB"/>
        </w:rPr>
      </w:pPr>
    </w:p>
    <w:p w:rsidR="00203CE6" w:rsidP="00203CE6" w14:paraId="6A5D4E4F" w14:textId="77777777">
      <w:pPr>
        <w:rPr>
          <w:lang w:val="en-GB"/>
        </w:rPr>
      </w:pPr>
      <w:r w:rsidRPr="001F5859">
        <w:rPr>
          <w:lang w:val="en-GB"/>
        </w:rPr>
        <w:t>In the APHINITY trial, the incidence of NCI-CTCAE v.4 Grade 3-4 neutropenia was 40.6% in patients treated with Perjeta, trastuzumab and chemotherapy compared with 39.1% in patients treated with placebo, trastuzumab and chemotherapy, including 28.3% and 26.5% Grade 4 neutropenia, respectively.</w:t>
      </w:r>
    </w:p>
    <w:p w:rsidR="0028477C" w:rsidP="00203CE6" w14:paraId="0FD6D758" w14:textId="04B6210C">
      <w:pPr>
        <w:rPr>
          <w:rFonts w:eastAsia="SimSun"/>
          <w:lang w:val="en-GB"/>
        </w:rPr>
      </w:pPr>
    </w:p>
    <w:p w:rsidR="0028477C" w:rsidRPr="008F5D8F" w:rsidP="0028477C" w14:paraId="686CDC9B" w14:textId="77777777">
      <w:pPr>
        <w:rPr>
          <w:rFonts w:eastAsia="SimSun"/>
          <w:u w:val="single"/>
          <w:lang w:val="en-GB"/>
        </w:rPr>
      </w:pPr>
      <w:r w:rsidRPr="008F5D8F">
        <w:rPr>
          <w:rFonts w:eastAsia="SimSun"/>
          <w:u w:val="single"/>
          <w:lang w:val="en-GB"/>
        </w:rPr>
        <w:t>Elderly Patients</w:t>
      </w:r>
    </w:p>
    <w:p w:rsidR="0028477C" w:rsidP="0028477C" w14:paraId="33582709" w14:textId="77777777">
      <w:pPr>
        <w:rPr>
          <w:rFonts w:eastAsia="SimSun"/>
          <w:lang w:val="en-GB"/>
        </w:rPr>
      </w:pPr>
    </w:p>
    <w:p w:rsidR="0028477C" w:rsidRPr="001F5859" w:rsidP="00203CE6" w14:paraId="11A1BC01" w14:textId="092365F8">
      <w:pPr>
        <w:rPr>
          <w:rFonts w:eastAsia="SimSun"/>
          <w:lang w:val="en-GB"/>
        </w:rPr>
      </w:pPr>
      <w:r w:rsidRPr="00E22DB1">
        <w:t>The incidence of the following all grade adverse events was at least 5% higher in patients ≥ 65 years of age, compared to patients &lt; 65 years of age: decreased appetite, anaemia, weight decreased, asthenia, dysgeusia, peripheral</w:t>
      </w:r>
      <w:r>
        <w:t xml:space="preserve"> </w:t>
      </w:r>
      <w:r w:rsidRPr="00E22DB1">
        <w:t>neuropathy, hypomagnesemia and diarrhoea</w:t>
      </w:r>
      <w:r>
        <w:t xml:space="preserve">. </w:t>
      </w:r>
      <w:r w:rsidRPr="007B7070">
        <w:t>Limited data are available in patients &gt; 75 years of age</w:t>
      </w:r>
      <w:r>
        <w:t xml:space="preserve">. </w:t>
      </w:r>
    </w:p>
    <w:p w:rsidR="00A2440E" w:rsidRPr="001F5859" w:rsidP="00A311EA" w14:paraId="189228EF" w14:textId="77777777">
      <w:pPr>
        <w:rPr>
          <w:rFonts w:eastAsia="SimSun"/>
          <w:lang w:val="en-GB"/>
        </w:rPr>
      </w:pPr>
    </w:p>
    <w:p w:rsidR="00A2440E" w:rsidRPr="000D28E6" w:rsidP="00A2440E" w14:paraId="3A391272" w14:textId="77777777">
      <w:pPr>
        <w:rPr>
          <w:rFonts w:eastAsia="SimSun"/>
          <w:u w:val="single"/>
          <w:lang w:val="en-GB"/>
        </w:rPr>
      </w:pPr>
      <w:r w:rsidRPr="001F5859">
        <w:rPr>
          <w:rFonts w:eastAsia="SimSun"/>
          <w:u w:val="single"/>
          <w:lang w:val="en-GB"/>
        </w:rPr>
        <w:t>Reporting of suspected adverse reactions</w:t>
      </w:r>
    </w:p>
    <w:p w:rsidR="00A2440E" w:rsidRPr="000D28E6" w:rsidP="00A2440E" w14:paraId="3A856D0A" w14:textId="77777777">
      <w:pPr>
        <w:rPr>
          <w:rFonts w:eastAsia="SimSun"/>
          <w:lang w:val="en-GB"/>
        </w:rPr>
      </w:pPr>
    </w:p>
    <w:p w:rsidR="00E901F1" w:rsidRPr="00FD3EC2" w:rsidP="00E901F1" w14:paraId="2BB4F95E" w14:textId="77777777">
      <w:pPr>
        <w:tabs>
          <w:tab w:val="left" w:pos="567"/>
        </w:tabs>
        <w:autoSpaceDE w:val="0"/>
        <w:autoSpaceDN w:val="0"/>
        <w:adjustRightInd w:val="0"/>
        <w:spacing w:line="260" w:lineRule="exact"/>
        <w:rPr>
          <w:highlight w:val="lightGray"/>
          <w:lang w:val="en-GB"/>
        </w:rPr>
      </w:pPr>
      <w:r w:rsidRPr="000D28E6">
        <w:rPr>
          <w:szCs w:val="22"/>
          <w:lang w:val="en-GB" w:eastAsia="en-US"/>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FD3EC2">
        <w:rPr>
          <w:highlight w:val="lightGray"/>
          <w:lang w:val="en-GB"/>
        </w:rPr>
        <w:t xml:space="preserve">the national reporting system listed in </w:t>
      </w:r>
      <w:r>
        <w:fldChar w:fldCharType="begin"/>
      </w:r>
      <w:r>
        <w:instrText xml:space="preserve"> HYPERLINK "https://www.ema.europa.eu/documents/template-form/appendix-v-adverse-drug-reaction-reporting-details_en.doc" </w:instrText>
      </w:r>
      <w:r>
        <w:fldChar w:fldCharType="separate"/>
      </w:r>
      <w:r w:rsidRPr="00B6268D">
        <w:rPr>
          <w:rStyle w:val="Hyperlink"/>
          <w:highlight w:val="lightGray"/>
          <w:lang w:val="en-GB"/>
        </w:rPr>
        <w:t>Appendix V.</w:t>
      </w:r>
      <w:r>
        <w:fldChar w:fldCharType="end"/>
      </w:r>
    </w:p>
    <w:p w:rsidR="004C6AFF" w:rsidRPr="000D28E6" w:rsidP="00A311EA" w14:paraId="58CF51BB" w14:textId="77777777">
      <w:pPr>
        <w:rPr>
          <w:rFonts w:eastAsia="SimSun"/>
          <w:noProof/>
          <w:lang w:val="en-GB"/>
        </w:rPr>
      </w:pPr>
    </w:p>
    <w:p w:rsidR="00863CEA" w:rsidRPr="000D28E6" w:rsidP="00A311EA" w14:paraId="247F50D2" w14:textId="77777777">
      <w:pPr>
        <w:rPr>
          <w:rFonts w:eastAsia="SimSun"/>
          <w:b/>
          <w:noProof/>
          <w:lang w:val="en-GB"/>
        </w:rPr>
      </w:pPr>
      <w:r w:rsidRPr="000D28E6">
        <w:rPr>
          <w:rFonts w:eastAsia="SimSun"/>
          <w:b/>
          <w:noProof/>
          <w:lang w:val="en-GB"/>
        </w:rPr>
        <w:t>4.9</w:t>
      </w:r>
      <w:r w:rsidRPr="000D28E6">
        <w:rPr>
          <w:rFonts w:eastAsia="SimSun"/>
          <w:b/>
          <w:noProof/>
          <w:lang w:val="en-GB"/>
        </w:rPr>
        <w:tab/>
        <w:t>Overdose</w:t>
      </w:r>
    </w:p>
    <w:p w:rsidR="00863CEA" w:rsidRPr="000D28E6" w:rsidP="00A311EA" w14:paraId="434C529E" w14:textId="77777777">
      <w:pPr>
        <w:rPr>
          <w:rFonts w:eastAsia="SimSun"/>
          <w:noProof/>
          <w:lang w:val="en-GB"/>
        </w:rPr>
      </w:pPr>
    </w:p>
    <w:p w:rsidR="00863CEA" w:rsidRPr="000D28E6" w:rsidP="00A311EA" w14:paraId="620A586E" w14:textId="77777777">
      <w:pPr>
        <w:rPr>
          <w:rFonts w:eastAsia="SimSun"/>
          <w:noProof/>
          <w:lang w:val="en-GB"/>
        </w:rPr>
      </w:pPr>
      <w:r w:rsidRPr="000D28E6">
        <w:rPr>
          <w:rFonts w:eastAsia="SimSun"/>
          <w:noProof/>
          <w:lang w:val="en-GB"/>
        </w:rPr>
        <w:t xml:space="preserve">The maximum tolerated dose of </w:t>
      </w:r>
      <w:r w:rsidRPr="00F5579C" w:rsidR="00074FE7">
        <w:rPr>
          <w:rFonts w:eastAsia="SimSun"/>
          <w:lang w:val="en-GB"/>
        </w:rPr>
        <w:t>pertuzumab</w:t>
      </w:r>
      <w:r w:rsidRPr="000D28E6">
        <w:rPr>
          <w:rFonts w:eastAsia="SimSun"/>
          <w:noProof/>
          <w:lang w:val="en-GB"/>
        </w:rPr>
        <w:t xml:space="preserve"> has not been determined. In clinical trials, single doses higher than 25 mg/kg (1727 mg) have not been tested.</w:t>
      </w:r>
    </w:p>
    <w:p w:rsidR="00863CEA" w:rsidRPr="000D28E6" w:rsidP="00A311EA" w14:paraId="41EF566B" w14:textId="77777777">
      <w:pPr>
        <w:rPr>
          <w:rFonts w:eastAsia="SimSun"/>
          <w:noProof/>
          <w:lang w:val="en-GB"/>
        </w:rPr>
      </w:pPr>
    </w:p>
    <w:p w:rsidR="00863CEA" w:rsidP="00A311EA" w14:paraId="15D31446" w14:textId="77777777">
      <w:pPr>
        <w:rPr>
          <w:rFonts w:eastAsia="SimSun"/>
          <w:noProof/>
          <w:lang w:val="en-GB"/>
        </w:rPr>
      </w:pPr>
      <w:r w:rsidRPr="000D28E6">
        <w:rPr>
          <w:rFonts w:eastAsia="SimSun"/>
          <w:noProof/>
          <w:lang w:val="en-GB"/>
        </w:rPr>
        <w:t>In case of overdose, patients must be closely monitored for signs or symptoms of adverse reactions and appropriate symptomatic treatment instituted.</w:t>
      </w:r>
    </w:p>
    <w:p w:rsidR="0070285B" w:rsidP="00A311EA" w14:paraId="5DBD8D41" w14:textId="77777777">
      <w:pPr>
        <w:rPr>
          <w:rFonts w:eastAsia="SimSun"/>
          <w:noProof/>
          <w:lang w:val="en-GB"/>
        </w:rPr>
      </w:pPr>
    </w:p>
    <w:p w:rsidR="0070285B" w:rsidP="00A311EA" w14:paraId="4BE0EFEC" w14:textId="77777777">
      <w:pPr>
        <w:rPr>
          <w:rFonts w:eastAsia="SimSun"/>
          <w:noProof/>
          <w:lang w:val="en-GB"/>
        </w:rPr>
      </w:pPr>
    </w:p>
    <w:p w:rsidR="00863CEA" w:rsidRPr="000D28E6" w:rsidP="009F4E3E" w14:paraId="0F610D80" w14:textId="77777777">
      <w:pPr>
        <w:keepNext/>
        <w:keepLines/>
        <w:rPr>
          <w:rFonts w:eastAsia="SimSun"/>
          <w:b/>
          <w:noProof/>
          <w:lang w:val="en-GB"/>
        </w:rPr>
      </w:pPr>
      <w:r w:rsidRPr="000D28E6">
        <w:rPr>
          <w:rFonts w:eastAsia="SimSun"/>
          <w:b/>
          <w:noProof/>
          <w:lang w:val="en-GB"/>
        </w:rPr>
        <w:t>5.</w:t>
      </w:r>
      <w:r w:rsidRPr="000D28E6">
        <w:rPr>
          <w:rFonts w:eastAsia="SimSun"/>
          <w:b/>
          <w:noProof/>
          <w:lang w:val="en-GB"/>
        </w:rPr>
        <w:tab/>
        <w:t>PHARMACOLOGICAL PROPERTIES</w:t>
      </w:r>
    </w:p>
    <w:p w:rsidR="00863CEA" w:rsidRPr="000D28E6" w:rsidP="009F4E3E" w14:paraId="194F9608" w14:textId="77777777">
      <w:pPr>
        <w:keepNext/>
        <w:keepLines/>
        <w:rPr>
          <w:rFonts w:eastAsia="SimSun"/>
          <w:b/>
          <w:noProof/>
          <w:lang w:val="en-GB"/>
        </w:rPr>
      </w:pPr>
    </w:p>
    <w:p w:rsidR="00863CEA" w:rsidRPr="000D28E6" w:rsidP="009F4E3E" w14:paraId="1D3B8308" w14:textId="77777777">
      <w:pPr>
        <w:keepNext/>
        <w:keepLines/>
        <w:rPr>
          <w:rFonts w:eastAsia="SimSun"/>
          <w:b/>
          <w:noProof/>
          <w:lang w:val="en-GB"/>
        </w:rPr>
      </w:pPr>
      <w:r w:rsidRPr="000D28E6">
        <w:rPr>
          <w:rFonts w:eastAsia="SimSun"/>
          <w:b/>
          <w:noProof/>
          <w:lang w:val="en-GB"/>
        </w:rPr>
        <w:t>5.1</w:t>
      </w:r>
      <w:r w:rsidRPr="000D28E6">
        <w:rPr>
          <w:rFonts w:eastAsia="SimSun"/>
          <w:b/>
          <w:noProof/>
          <w:lang w:val="en-GB"/>
        </w:rPr>
        <w:tab/>
        <w:t>Pharmacodynamic properties</w:t>
      </w:r>
    </w:p>
    <w:p w:rsidR="00863CEA" w:rsidRPr="000D28E6" w:rsidP="009F4E3E" w14:paraId="0F1E8062" w14:textId="77777777">
      <w:pPr>
        <w:keepNext/>
        <w:keepLines/>
        <w:rPr>
          <w:rFonts w:eastAsia="SimSun"/>
          <w:noProof/>
          <w:lang w:val="en-GB"/>
        </w:rPr>
      </w:pPr>
    </w:p>
    <w:p w:rsidR="00863CEA" w:rsidRPr="000D28E6" w:rsidP="009F4E3E" w14:paraId="202FE51A" w14:textId="77777777">
      <w:pPr>
        <w:keepNext/>
        <w:keepLines/>
        <w:rPr>
          <w:rFonts w:eastAsia="SimSun"/>
          <w:noProof/>
          <w:lang w:val="en-GB"/>
        </w:rPr>
      </w:pPr>
      <w:r w:rsidRPr="000D28E6">
        <w:rPr>
          <w:rFonts w:eastAsia="SimSun"/>
          <w:noProof/>
          <w:lang w:val="en-GB"/>
        </w:rPr>
        <w:t>Pharmacotherapeutic group: Antineoplas</w:t>
      </w:r>
      <w:r w:rsidRPr="000D28E6" w:rsidR="00110E72">
        <w:rPr>
          <w:rFonts w:eastAsia="SimSun"/>
          <w:noProof/>
          <w:lang w:val="en-GB"/>
        </w:rPr>
        <w:t>tic agent</w:t>
      </w:r>
      <w:r w:rsidRPr="000D28E6" w:rsidR="002D4985">
        <w:rPr>
          <w:rFonts w:eastAsia="SimSun"/>
          <w:noProof/>
          <w:lang w:val="en-GB"/>
        </w:rPr>
        <w:t>s</w:t>
      </w:r>
      <w:r w:rsidRPr="000D28E6" w:rsidR="00110E72">
        <w:rPr>
          <w:rFonts w:eastAsia="SimSun"/>
          <w:noProof/>
          <w:lang w:val="en-GB"/>
        </w:rPr>
        <w:t>, monoclonal antibod</w:t>
      </w:r>
      <w:r w:rsidRPr="000D28E6" w:rsidR="002D4985">
        <w:rPr>
          <w:rFonts w:eastAsia="SimSun"/>
          <w:noProof/>
          <w:lang w:val="en-GB"/>
        </w:rPr>
        <w:t>ies</w:t>
      </w:r>
      <w:r w:rsidRPr="000D28E6" w:rsidR="00F558B3">
        <w:rPr>
          <w:rFonts w:eastAsia="SimSun"/>
          <w:noProof/>
          <w:lang w:val="en-GB"/>
        </w:rPr>
        <w:t>, ATC code: L01XC13</w:t>
      </w:r>
    </w:p>
    <w:p w:rsidR="004F16BD" w:rsidRPr="000D28E6" w:rsidP="009F4E3E" w14:paraId="6874E472" w14:textId="77777777">
      <w:pPr>
        <w:keepNext/>
        <w:keepLines/>
        <w:rPr>
          <w:rFonts w:eastAsia="SimSun"/>
          <w:noProof/>
          <w:lang w:val="en-GB"/>
        </w:rPr>
      </w:pPr>
    </w:p>
    <w:p w:rsidR="00863CEA" w:rsidRPr="000D28E6" w:rsidP="009F4E3E" w14:paraId="676CC69F" w14:textId="77777777">
      <w:pPr>
        <w:keepNext/>
        <w:keepLines/>
        <w:rPr>
          <w:rFonts w:eastAsia="SimSun"/>
          <w:noProof/>
          <w:u w:val="single"/>
          <w:lang w:val="en-GB"/>
        </w:rPr>
      </w:pPr>
      <w:r w:rsidRPr="000D28E6">
        <w:rPr>
          <w:rFonts w:eastAsia="SimSun"/>
          <w:noProof/>
          <w:u w:val="single"/>
          <w:lang w:val="en-GB"/>
        </w:rPr>
        <w:t xml:space="preserve">Mechanism of </w:t>
      </w:r>
      <w:r w:rsidRPr="000D28E6" w:rsidR="00F558B3">
        <w:rPr>
          <w:rFonts w:eastAsia="SimSun"/>
          <w:noProof/>
          <w:u w:val="single"/>
          <w:lang w:val="en-GB"/>
        </w:rPr>
        <w:t>a</w:t>
      </w:r>
      <w:r w:rsidRPr="000D28E6">
        <w:rPr>
          <w:rFonts w:eastAsia="SimSun"/>
          <w:noProof/>
          <w:u w:val="single"/>
          <w:lang w:val="en-GB"/>
        </w:rPr>
        <w:t>ction</w:t>
      </w:r>
    </w:p>
    <w:p w:rsidR="00863CEA" w:rsidRPr="000D28E6" w:rsidP="009F4E3E" w14:paraId="530CC077" w14:textId="77777777">
      <w:pPr>
        <w:keepNext/>
        <w:keepLines/>
        <w:rPr>
          <w:rFonts w:eastAsia="SimSun"/>
          <w:noProof/>
          <w:lang w:val="en-GB"/>
        </w:rPr>
      </w:pPr>
    </w:p>
    <w:p w:rsidR="00863CEA" w:rsidRPr="000D28E6" w:rsidP="00A311EA" w14:paraId="2B4074FE" w14:textId="77777777">
      <w:pPr>
        <w:rPr>
          <w:rFonts w:eastAsia="SimSun"/>
          <w:lang w:val="en-GB"/>
        </w:rPr>
      </w:pPr>
      <w:r>
        <w:rPr>
          <w:rFonts w:eastAsia="SimSun"/>
          <w:lang w:val="en-GB" w:eastAsia="zh-CN"/>
        </w:rPr>
        <w:t>Pertuzumab</w:t>
      </w:r>
      <w:r w:rsidRPr="000D28E6">
        <w:rPr>
          <w:rFonts w:eastAsia="SimSun"/>
          <w:lang w:val="en-GB"/>
        </w:rPr>
        <w:t xml:space="preserve"> is a recombinant humanised monoclonal antibody that specifically targets the extracellular dimerization domain (subdomain II) of the human epidermal growth factor receptor 2 protein (HER2), and thereby, blocks ligand-dependent heterodimerisation of HER2 with other HER family members, including EGFR, HER3 and HER4. As a result, </w:t>
      </w:r>
      <w:r>
        <w:rPr>
          <w:rFonts w:eastAsia="SimSun"/>
          <w:lang w:val="en-GB"/>
        </w:rPr>
        <w:t>pertuzumab</w:t>
      </w:r>
      <w:r w:rsidRPr="000D28E6">
        <w:rPr>
          <w:rFonts w:eastAsia="SimSun"/>
          <w:lang w:val="en-GB"/>
        </w:rPr>
        <w:t xml:space="preserve"> inhibits ligand</w:t>
      </w:r>
      <w:r w:rsidRPr="000D28E6">
        <w:rPr>
          <w:rFonts w:eastAsia="SimSun"/>
          <w:lang w:val="en-GB"/>
        </w:rPr>
        <w:noBreakHyphen/>
        <w:t>initiated intracellular signalling through two major signal pathways, mitogen</w:t>
      </w:r>
      <w:r w:rsidRPr="000D28E6">
        <w:rPr>
          <w:rFonts w:eastAsia="SimSun"/>
          <w:lang w:val="en-GB"/>
        </w:rPr>
        <w:noBreakHyphen/>
        <w:t>activated protein (MAP) kinase and phosphoinositide 3</w:t>
      </w:r>
      <w:r w:rsidRPr="000D28E6">
        <w:rPr>
          <w:rFonts w:eastAsia="SimSun"/>
          <w:lang w:val="en-GB"/>
        </w:rPr>
        <w:noBreakHyphen/>
        <w:t xml:space="preserve">kinase (PI3K). Inhibition of these signalling pathways can result in cell growth arrest and apoptosis, respectively. In addition, </w:t>
      </w:r>
      <w:r>
        <w:rPr>
          <w:rFonts w:eastAsia="SimSun"/>
          <w:lang w:val="en-GB"/>
        </w:rPr>
        <w:t>pertuzumab</w:t>
      </w:r>
      <w:r w:rsidRPr="000D28E6">
        <w:rPr>
          <w:rFonts w:eastAsia="SimSun"/>
          <w:lang w:val="en-GB"/>
        </w:rPr>
        <w:t xml:space="preserve"> mediates antibody-dependent cell-mediated cytotoxicity (ADCC).</w:t>
      </w:r>
    </w:p>
    <w:p w:rsidR="00863CEA" w:rsidRPr="000D28E6" w:rsidP="00A311EA" w14:paraId="62D4ECFE" w14:textId="77777777">
      <w:pPr>
        <w:rPr>
          <w:rFonts w:eastAsia="SimSun"/>
          <w:lang w:val="en-GB"/>
        </w:rPr>
      </w:pPr>
    </w:p>
    <w:p w:rsidR="001F5C82" w:rsidRPr="000D28E6" w:rsidP="00A311EA" w14:paraId="1D94B95F" w14:textId="77777777">
      <w:pPr>
        <w:rPr>
          <w:rFonts w:eastAsia="SimSun"/>
          <w:lang w:val="en-GB"/>
        </w:rPr>
      </w:pPr>
      <w:r w:rsidRPr="000D28E6">
        <w:rPr>
          <w:rFonts w:eastAsia="SimSun"/>
          <w:lang w:val="en-GB"/>
        </w:rPr>
        <w:t xml:space="preserve">While </w:t>
      </w:r>
      <w:r w:rsidR="00203CE6">
        <w:rPr>
          <w:rFonts w:eastAsia="SimSun"/>
          <w:lang w:val="en-GB"/>
        </w:rPr>
        <w:t>pertuzumab</w:t>
      </w:r>
      <w:r w:rsidRPr="000D28E6">
        <w:rPr>
          <w:rFonts w:eastAsia="SimSun"/>
          <w:lang w:val="en-GB"/>
        </w:rPr>
        <w:t xml:space="preserve"> alone inhibited the proliferation of human tumour cells, the combination of </w:t>
      </w:r>
      <w:r w:rsidR="00203CE6">
        <w:rPr>
          <w:rFonts w:eastAsia="SimSun"/>
          <w:lang w:val="en-GB"/>
        </w:rPr>
        <w:t>pertuzumab</w:t>
      </w:r>
      <w:r w:rsidRPr="000D28E6">
        <w:rPr>
          <w:rFonts w:eastAsia="SimSun"/>
          <w:lang w:val="en-GB"/>
        </w:rPr>
        <w:t xml:space="preserve"> and trastuzumab significantly augmented antitumour activity in HER2-overexpressing xenograft models.</w:t>
      </w:r>
    </w:p>
    <w:p w:rsidR="00863CEA" w:rsidRPr="000D28E6" w:rsidP="00A311EA" w14:paraId="6D9836F8" w14:textId="77777777">
      <w:pPr>
        <w:rPr>
          <w:rFonts w:eastAsia="SimSun"/>
          <w:lang w:val="en-GB"/>
        </w:rPr>
      </w:pPr>
    </w:p>
    <w:p w:rsidR="00863CEA" w:rsidRPr="000D28E6" w:rsidP="00F62767" w14:paraId="0381B08C" w14:textId="77777777">
      <w:pPr>
        <w:keepNext/>
        <w:keepLines/>
        <w:rPr>
          <w:rFonts w:eastAsia="SimSun"/>
          <w:u w:val="single"/>
          <w:lang w:val="en-GB"/>
        </w:rPr>
      </w:pPr>
      <w:r w:rsidRPr="000D28E6">
        <w:rPr>
          <w:rFonts w:eastAsia="SimSun"/>
          <w:u w:val="single"/>
          <w:lang w:val="en-GB"/>
        </w:rPr>
        <w:t>Clinical efficacy and safety</w:t>
      </w:r>
    </w:p>
    <w:p w:rsidR="00863CEA" w:rsidRPr="000D28E6" w:rsidP="004F3C1B" w14:paraId="215EA648" w14:textId="77777777">
      <w:pPr>
        <w:keepNext/>
        <w:keepLines/>
        <w:rPr>
          <w:rFonts w:eastAsia="SimSun"/>
          <w:u w:val="single"/>
          <w:lang w:val="en-GB"/>
        </w:rPr>
      </w:pPr>
    </w:p>
    <w:p w:rsidR="00863CEA" w:rsidRPr="000D28E6" w:rsidP="00A311EA" w14:paraId="471DCD35" w14:textId="77777777">
      <w:pPr>
        <w:rPr>
          <w:rFonts w:eastAsia="SimSun"/>
          <w:lang w:val="en-GB"/>
        </w:rPr>
      </w:pPr>
      <w:r w:rsidRPr="000D28E6">
        <w:rPr>
          <w:rFonts w:eastAsia="SimSun"/>
          <w:lang w:val="en-GB"/>
        </w:rPr>
        <w:t xml:space="preserve">The efficacy of </w:t>
      </w:r>
      <w:r w:rsidRPr="000D28E6" w:rsidR="002C3FA8">
        <w:rPr>
          <w:rFonts w:eastAsia="SimSun"/>
          <w:lang w:val="en-GB"/>
        </w:rPr>
        <w:t>Perjeta</w:t>
      </w:r>
      <w:r w:rsidRPr="000D28E6">
        <w:rPr>
          <w:rFonts w:eastAsia="SimSun"/>
          <w:lang w:val="en-GB"/>
        </w:rPr>
        <w:t xml:space="preserve"> in HER2-positive breast cancer is supported by a randomised phase III </w:t>
      </w:r>
      <w:r w:rsidR="00203CE6">
        <w:rPr>
          <w:rFonts w:eastAsia="SimSun"/>
          <w:lang w:val="en-GB"/>
        </w:rPr>
        <w:t xml:space="preserve">trial and a single-arm phase II </w:t>
      </w:r>
      <w:r w:rsidRPr="000D28E6">
        <w:rPr>
          <w:rFonts w:eastAsia="SimSun"/>
          <w:lang w:val="en-GB"/>
        </w:rPr>
        <w:t>trial in metastatic breast cancer</w:t>
      </w:r>
      <w:r w:rsidR="00203CE6">
        <w:rPr>
          <w:rFonts w:eastAsia="SimSun"/>
          <w:lang w:val="en-GB"/>
        </w:rPr>
        <w:t>,</w:t>
      </w:r>
      <w:r w:rsidRPr="000D28E6">
        <w:rPr>
          <w:rFonts w:eastAsia="SimSun"/>
          <w:lang w:val="en-GB"/>
        </w:rPr>
        <w:t xml:space="preserve"> two </w:t>
      </w:r>
      <w:r w:rsidR="00203CE6">
        <w:rPr>
          <w:rFonts w:eastAsia="SimSun"/>
          <w:lang w:val="en-GB"/>
        </w:rPr>
        <w:t xml:space="preserve">randomised neoadjuvant </w:t>
      </w:r>
      <w:r w:rsidRPr="000D28E6">
        <w:rPr>
          <w:rFonts w:eastAsia="SimSun"/>
          <w:lang w:val="en-GB"/>
        </w:rPr>
        <w:t xml:space="preserve">phase II </w:t>
      </w:r>
      <w:r w:rsidR="00203CE6">
        <w:rPr>
          <w:rFonts w:eastAsia="SimSun"/>
          <w:lang w:val="en-GB"/>
        </w:rPr>
        <w:t xml:space="preserve"> trials in early breast cancer</w:t>
      </w:r>
      <w:r w:rsidRPr="000D28E6" w:rsidR="00203CE6">
        <w:rPr>
          <w:rFonts w:eastAsia="SimSun"/>
          <w:lang w:val="en-GB"/>
        </w:rPr>
        <w:t xml:space="preserve"> </w:t>
      </w:r>
      <w:r w:rsidR="00203CE6">
        <w:rPr>
          <w:rFonts w:eastAsia="SimSun"/>
          <w:lang w:val="en-GB"/>
        </w:rPr>
        <w:t>(one controlled), a non-randomised neoadjuvant phase II trial, and a randomised phase III trial in the adjuvant setting</w:t>
      </w:r>
      <w:r w:rsidRPr="000D28E6">
        <w:rPr>
          <w:rFonts w:eastAsia="SimSun"/>
          <w:lang w:val="en-GB"/>
        </w:rPr>
        <w:t>.</w:t>
      </w:r>
    </w:p>
    <w:p w:rsidR="00203CE6" w:rsidP="00203CE6" w14:paraId="5D5634CE" w14:textId="77777777"/>
    <w:p w:rsidR="00203CE6" w:rsidRPr="000D28E6" w:rsidP="00203CE6" w14:paraId="4F34B8C6" w14:textId="77777777">
      <w:pPr>
        <w:rPr>
          <w:rFonts w:eastAsia="SimSun"/>
          <w:lang w:val="en-GB"/>
        </w:rPr>
      </w:pPr>
      <w:r w:rsidRPr="002D16D7">
        <w:rPr>
          <w:rFonts w:eastAsia="SimSun"/>
          <w:lang w:val="en-GB"/>
        </w:rPr>
        <w:t>HER2 overexpression was determined at a central laboratory and defined as a score of 3+ by IHC or an ISH amplification ratio ≥2.0 in the trials outlined below.</w:t>
      </w:r>
    </w:p>
    <w:p w:rsidR="00863CEA" w:rsidRPr="000D28E6" w:rsidP="00A311EA" w14:paraId="34A15A06" w14:textId="77777777">
      <w:pPr>
        <w:rPr>
          <w:rFonts w:eastAsia="SimSun"/>
          <w:lang w:val="en-GB"/>
        </w:rPr>
      </w:pPr>
    </w:p>
    <w:p w:rsidR="00136814" w:rsidRPr="000D28E6" w:rsidP="00B77D6D" w14:paraId="2D0766B5" w14:textId="77777777">
      <w:pPr>
        <w:keepNext/>
        <w:keepLines/>
        <w:rPr>
          <w:rFonts w:eastAsia="SimSun"/>
          <w:i/>
          <w:noProof/>
          <w:u w:val="single"/>
          <w:lang w:val="en-GB"/>
        </w:rPr>
      </w:pPr>
      <w:r w:rsidRPr="000D28E6">
        <w:rPr>
          <w:rFonts w:eastAsia="SimSun"/>
          <w:i/>
          <w:noProof/>
          <w:u w:val="single"/>
          <w:lang w:val="en-GB"/>
        </w:rPr>
        <w:t xml:space="preserve">Metastatic </w:t>
      </w:r>
      <w:r w:rsidRPr="000D28E6">
        <w:rPr>
          <w:rFonts w:eastAsia="SimSun"/>
          <w:i/>
          <w:u w:val="single"/>
          <w:lang w:val="en-GB"/>
        </w:rPr>
        <w:t>breast cancer</w:t>
      </w:r>
      <w:r w:rsidRPr="000D28E6">
        <w:rPr>
          <w:rFonts w:eastAsia="SimSun"/>
          <w:i/>
          <w:noProof/>
          <w:u w:val="single"/>
          <w:lang w:val="en-GB"/>
        </w:rPr>
        <w:t xml:space="preserve"> </w:t>
      </w:r>
    </w:p>
    <w:p w:rsidR="00136814" w:rsidRPr="000D28E6" w:rsidP="00136814" w14:paraId="0FFBEF05" w14:textId="77777777">
      <w:pPr>
        <w:rPr>
          <w:rFonts w:eastAsia="SimSun"/>
          <w:lang w:val="en-GB"/>
        </w:rPr>
      </w:pPr>
    </w:p>
    <w:p w:rsidR="00136814" w:rsidRPr="000D28E6" w:rsidP="00136814" w14:paraId="4F0D4E4F" w14:textId="77777777">
      <w:pPr>
        <w:rPr>
          <w:rFonts w:eastAsia="SimSun"/>
          <w:i/>
          <w:lang w:val="en-GB" w:eastAsia="zh-CN"/>
        </w:rPr>
      </w:pPr>
      <w:r w:rsidRPr="000D28E6">
        <w:rPr>
          <w:rFonts w:eastAsia="SimSun"/>
          <w:i/>
          <w:lang w:val="en-GB" w:eastAsia="zh-CN"/>
        </w:rPr>
        <w:t>Perjeta in combination with trastuzumab and docetaxel</w:t>
      </w:r>
    </w:p>
    <w:p w:rsidR="004C6AFF" w:rsidRPr="001F5859" w:rsidP="00A311EA" w14:paraId="4C820F14" w14:textId="77777777">
      <w:pPr>
        <w:rPr>
          <w:lang w:val="en-GB" w:eastAsia="it-IT"/>
        </w:rPr>
      </w:pPr>
      <w:r w:rsidRPr="000D28E6">
        <w:rPr>
          <w:rFonts w:eastAsia="SimSun"/>
          <w:lang w:val="en-GB"/>
        </w:rPr>
        <w:t>CLE</w:t>
      </w:r>
      <w:r w:rsidRPr="001F5859">
        <w:rPr>
          <w:rFonts w:eastAsia="SimSun"/>
          <w:lang w:val="en-GB"/>
        </w:rPr>
        <w:t>OPATRA</w:t>
      </w:r>
      <w:r w:rsidRPr="001F5859" w:rsidR="006F3F1A">
        <w:rPr>
          <w:lang w:val="en-GB"/>
        </w:rPr>
        <w:t xml:space="preserve"> (WO20698)</w:t>
      </w:r>
      <w:r w:rsidRPr="001F5859">
        <w:rPr>
          <w:rFonts w:eastAsia="SimSun"/>
          <w:lang w:val="en-GB"/>
        </w:rPr>
        <w:t xml:space="preserve"> is a multicent</w:t>
      </w:r>
      <w:r w:rsidRPr="001F5859" w:rsidR="006108A5">
        <w:rPr>
          <w:rFonts w:eastAsia="SimSun"/>
          <w:lang w:val="en-GB"/>
        </w:rPr>
        <w:t>re</w:t>
      </w:r>
      <w:r w:rsidRPr="001F5859">
        <w:rPr>
          <w:rFonts w:eastAsia="SimSun"/>
          <w:lang w:val="en-GB"/>
        </w:rPr>
        <w:t>, randomi</w:t>
      </w:r>
      <w:r w:rsidRPr="001F5859" w:rsidR="006108A5">
        <w:rPr>
          <w:rFonts w:eastAsia="SimSun"/>
          <w:lang w:val="en-GB"/>
        </w:rPr>
        <w:t>s</w:t>
      </w:r>
      <w:r w:rsidRPr="001F5859">
        <w:rPr>
          <w:rFonts w:eastAsia="SimSun"/>
          <w:lang w:val="en-GB"/>
        </w:rPr>
        <w:t xml:space="preserve">ed, double-blind, placebo-controlled phase III clinical trial conducted in 808 patients with HER2-positive metastatic or locally recurrent unresectable breast cancer. </w:t>
      </w:r>
      <w:r w:rsidRPr="001F5859" w:rsidR="00773952">
        <w:rPr>
          <w:rFonts w:eastAsia="SimSun"/>
          <w:lang w:val="en-GB"/>
        </w:rPr>
        <w:t xml:space="preserve">Patients with </w:t>
      </w:r>
      <w:r w:rsidRPr="001F5859" w:rsidR="00241C10">
        <w:rPr>
          <w:rFonts w:eastAsia="SimSun"/>
          <w:lang w:val="en-GB"/>
        </w:rPr>
        <w:t>clinically important</w:t>
      </w:r>
      <w:r w:rsidRPr="001F5859" w:rsidR="00773952">
        <w:rPr>
          <w:rFonts w:eastAsia="SimSun"/>
          <w:lang w:val="en-GB"/>
        </w:rPr>
        <w:t xml:space="preserve"> cardiac risk factors were not included (see section 4.4). </w:t>
      </w:r>
      <w:r w:rsidRPr="001F5859" w:rsidR="004B7716">
        <w:rPr>
          <w:rFonts w:eastAsia="SimSun"/>
          <w:lang w:val="en-GB"/>
        </w:rPr>
        <w:t xml:space="preserve">Due to the exclusion of patients with brain metastases no data are available on Perjeta activity on brain metastases. There is very limited data available in patients with unresectable locally recurrent disease. </w:t>
      </w:r>
      <w:r w:rsidRPr="001F5859">
        <w:rPr>
          <w:rFonts w:eastAsia="SimSun"/>
          <w:lang w:val="en-GB"/>
        </w:rPr>
        <w:t>Patients were randomi</w:t>
      </w:r>
      <w:r w:rsidRPr="001F5859" w:rsidR="004E7886">
        <w:rPr>
          <w:rFonts w:eastAsia="SimSun"/>
          <w:lang w:val="en-GB"/>
        </w:rPr>
        <w:t>s</w:t>
      </w:r>
      <w:r w:rsidRPr="001F5859">
        <w:rPr>
          <w:rFonts w:eastAsia="SimSun"/>
          <w:lang w:val="en-GB"/>
        </w:rPr>
        <w:t xml:space="preserve">ed 1:1 to receive placebo + </w:t>
      </w:r>
      <w:r w:rsidRPr="001F5859" w:rsidR="00B53814">
        <w:rPr>
          <w:rFonts w:eastAsia="SimSun"/>
          <w:lang w:val="en-GB"/>
        </w:rPr>
        <w:t xml:space="preserve">trastuzumab </w:t>
      </w:r>
      <w:r w:rsidRPr="001F5859">
        <w:rPr>
          <w:rFonts w:eastAsia="SimSun"/>
          <w:lang w:val="en-GB"/>
        </w:rPr>
        <w:t xml:space="preserve">+ docetaxel or </w:t>
      </w:r>
      <w:r w:rsidRPr="001F5859" w:rsidR="002C3FA8">
        <w:rPr>
          <w:rFonts w:eastAsia="SimSun"/>
          <w:lang w:val="en-GB"/>
        </w:rPr>
        <w:t>Perjeta</w:t>
      </w:r>
      <w:r w:rsidRPr="001F5859">
        <w:rPr>
          <w:rFonts w:eastAsia="SimSun"/>
          <w:lang w:val="en-GB"/>
        </w:rPr>
        <w:t xml:space="preserve"> + </w:t>
      </w:r>
      <w:r w:rsidRPr="001F5859" w:rsidR="00B53814">
        <w:rPr>
          <w:rFonts w:eastAsia="SimSun"/>
          <w:lang w:val="en-GB"/>
        </w:rPr>
        <w:t xml:space="preserve">trastuzumab </w:t>
      </w:r>
      <w:r w:rsidRPr="001F5859" w:rsidR="004148A2">
        <w:rPr>
          <w:rFonts w:eastAsia="SimSun"/>
          <w:lang w:val="en-GB"/>
        </w:rPr>
        <w:t xml:space="preserve">+ docetaxel. </w:t>
      </w:r>
    </w:p>
    <w:p w:rsidR="00863CEA" w:rsidRPr="001F5859" w:rsidP="00A311EA" w14:paraId="34895F10" w14:textId="77777777">
      <w:pPr>
        <w:rPr>
          <w:rFonts w:eastAsia="SimSun"/>
          <w:lang w:val="en-GB"/>
        </w:rPr>
      </w:pPr>
    </w:p>
    <w:p w:rsidR="00863CEA" w:rsidRPr="001F5859" w:rsidP="00A311EA" w14:paraId="1510B8C4" w14:textId="77777777">
      <w:pPr>
        <w:rPr>
          <w:rFonts w:eastAsia="SimSun"/>
          <w:lang w:val="en-GB"/>
        </w:rPr>
      </w:pPr>
      <w:r w:rsidRPr="001F5859">
        <w:rPr>
          <w:rFonts w:eastAsia="SimSun"/>
          <w:lang w:val="en-GB"/>
        </w:rPr>
        <w:t xml:space="preserve">Perjeta </w:t>
      </w:r>
      <w:r w:rsidRPr="001F5859" w:rsidR="00050EE8">
        <w:rPr>
          <w:rFonts w:eastAsia="SimSun"/>
          <w:lang w:val="en-GB"/>
        </w:rPr>
        <w:t>and trastuzumab were given at standard doses in</w:t>
      </w:r>
      <w:r w:rsidRPr="001F5859" w:rsidR="00144CC5">
        <w:rPr>
          <w:rFonts w:eastAsia="SimSun"/>
          <w:lang w:val="en-GB"/>
        </w:rPr>
        <w:t xml:space="preserve"> a</w:t>
      </w:r>
      <w:r w:rsidRPr="001F5859" w:rsidR="00050EE8">
        <w:rPr>
          <w:rFonts w:eastAsia="SimSun"/>
          <w:lang w:val="en-GB"/>
        </w:rPr>
        <w:t xml:space="preserve"> 3-weekly regimen. </w:t>
      </w:r>
      <w:r w:rsidRPr="001F5859">
        <w:rPr>
          <w:rFonts w:eastAsia="SimSun"/>
          <w:lang w:val="en-GB"/>
        </w:rPr>
        <w:t xml:space="preserve">Patients were treated with Perjeta and </w:t>
      </w:r>
      <w:r w:rsidRPr="001F5859" w:rsidR="00B53814">
        <w:rPr>
          <w:rFonts w:eastAsia="SimSun"/>
          <w:lang w:val="en-GB"/>
        </w:rPr>
        <w:t xml:space="preserve">trastuzumab </w:t>
      </w:r>
      <w:r w:rsidRPr="001F5859">
        <w:rPr>
          <w:rFonts w:eastAsia="SimSun"/>
          <w:lang w:val="en-GB"/>
        </w:rPr>
        <w:t>until disease progression, withdrawal of consent or unmanageable toxicity. Docetaxel was given as an initial dose of 75 mg/m</w:t>
      </w:r>
      <w:r w:rsidRPr="001F5859">
        <w:rPr>
          <w:rFonts w:eastAsia="SimSun"/>
          <w:vertAlign w:val="superscript"/>
          <w:lang w:val="en-GB"/>
        </w:rPr>
        <w:t>2</w:t>
      </w:r>
      <w:r w:rsidRPr="001F5859">
        <w:rPr>
          <w:rFonts w:eastAsia="SimSun"/>
          <w:lang w:val="en-GB"/>
        </w:rPr>
        <w:t xml:space="preserve"> </w:t>
      </w:r>
      <w:r w:rsidRPr="001F5859" w:rsidR="006108A5">
        <w:rPr>
          <w:rFonts w:eastAsia="SimSun"/>
          <w:lang w:val="en-GB"/>
        </w:rPr>
        <w:t xml:space="preserve">as an intravenous </w:t>
      </w:r>
      <w:r w:rsidRPr="001F5859">
        <w:rPr>
          <w:rFonts w:eastAsia="SimSun"/>
          <w:lang w:val="en-GB"/>
        </w:rPr>
        <w:t xml:space="preserve">infusion every </w:t>
      </w:r>
      <w:r w:rsidRPr="001F5859" w:rsidR="00397DB2">
        <w:rPr>
          <w:rFonts w:eastAsia="SimSun"/>
          <w:lang w:val="en-GB"/>
        </w:rPr>
        <w:t>three</w:t>
      </w:r>
      <w:r w:rsidRPr="001F5859">
        <w:rPr>
          <w:rFonts w:eastAsia="SimSun"/>
          <w:lang w:val="en-GB"/>
        </w:rPr>
        <w:t xml:space="preserve"> weeks for at least 6 cycles. The dose of docetaxel could be escalated to 100 mg/m</w:t>
      </w:r>
      <w:r w:rsidRPr="001F5859">
        <w:rPr>
          <w:rFonts w:eastAsia="SimSun"/>
          <w:vertAlign w:val="superscript"/>
          <w:lang w:val="en-GB"/>
        </w:rPr>
        <w:t>2</w:t>
      </w:r>
      <w:r w:rsidRPr="001F5859">
        <w:rPr>
          <w:rFonts w:eastAsia="SimSun"/>
          <w:lang w:val="en-GB"/>
        </w:rPr>
        <w:t xml:space="preserve"> at the investigator’s discretion if the initial dose was well tolerated. </w:t>
      </w:r>
    </w:p>
    <w:p w:rsidR="00863CEA" w:rsidRPr="001F5859" w:rsidP="00A311EA" w14:paraId="3D8CE369" w14:textId="77777777">
      <w:pPr>
        <w:rPr>
          <w:rFonts w:eastAsia="SimSun"/>
          <w:lang w:val="en-GB"/>
        </w:rPr>
      </w:pPr>
    </w:p>
    <w:p w:rsidR="00863CEA" w:rsidRPr="001F5859" w:rsidP="00A311EA" w14:paraId="60FD136D" w14:textId="77777777">
      <w:pPr>
        <w:rPr>
          <w:rFonts w:eastAsia="SimSun"/>
          <w:lang w:val="en-GB"/>
        </w:rPr>
      </w:pPr>
      <w:r w:rsidRPr="001F5859">
        <w:rPr>
          <w:rFonts w:eastAsia="SimSun"/>
          <w:lang w:val="en-GB"/>
        </w:rPr>
        <w:t>The primary endpoint of the study was progression-free survival (PFS) as assessed by an independent review facility (IRF) and defined as the time from the date of randomi</w:t>
      </w:r>
      <w:r w:rsidRPr="001F5859" w:rsidR="004E7886">
        <w:rPr>
          <w:rFonts w:eastAsia="SimSun"/>
          <w:lang w:val="en-GB"/>
        </w:rPr>
        <w:t>s</w:t>
      </w:r>
      <w:r w:rsidRPr="001F5859">
        <w:rPr>
          <w:rFonts w:eastAsia="SimSun"/>
          <w:lang w:val="en-GB"/>
        </w:rPr>
        <w:t xml:space="preserve">ation to the date of disease progression or death (from any cause) if the death occurred within 18 weeks of the last tumour assessment. </w:t>
      </w:r>
      <w:r w:rsidRPr="001F5859" w:rsidR="00F51DC6">
        <w:rPr>
          <w:lang w:val="en-GB"/>
        </w:rPr>
        <w:t>Secondary efficacy endpoints were overall survival (OS), PFS (investigator-assessed), objective response rate (ORR), duration of response, and time to symptom progression according to the FACT B Q</w:t>
      </w:r>
      <w:r w:rsidRPr="001F5859" w:rsidR="007257D0">
        <w:rPr>
          <w:lang w:val="en-GB"/>
        </w:rPr>
        <w:t xml:space="preserve">uality </w:t>
      </w:r>
      <w:r w:rsidRPr="001F5859" w:rsidR="00F51DC6">
        <w:rPr>
          <w:lang w:val="en-GB"/>
        </w:rPr>
        <w:t>o</w:t>
      </w:r>
      <w:r w:rsidRPr="001F5859" w:rsidR="007257D0">
        <w:rPr>
          <w:lang w:val="en-GB"/>
        </w:rPr>
        <w:t xml:space="preserve">f </w:t>
      </w:r>
      <w:r w:rsidRPr="001F5859" w:rsidR="00F51DC6">
        <w:rPr>
          <w:lang w:val="en-GB"/>
        </w:rPr>
        <w:t>L</w:t>
      </w:r>
      <w:r w:rsidRPr="001F5859" w:rsidR="007257D0">
        <w:rPr>
          <w:lang w:val="en-GB"/>
        </w:rPr>
        <w:t>ife</w:t>
      </w:r>
      <w:r w:rsidRPr="001F5859" w:rsidR="00F51DC6">
        <w:rPr>
          <w:lang w:val="en-GB"/>
        </w:rPr>
        <w:t xml:space="preserve"> questionnaire</w:t>
      </w:r>
      <w:r w:rsidRPr="001F5859" w:rsidR="00326AC6">
        <w:rPr>
          <w:lang w:val="en-GB"/>
        </w:rPr>
        <w:t>.</w:t>
      </w:r>
    </w:p>
    <w:p w:rsidR="00606F1B" w:rsidRPr="001F5859" w:rsidP="00A311EA" w14:paraId="67DF2618" w14:textId="77777777">
      <w:pPr>
        <w:rPr>
          <w:rFonts w:eastAsia="SimSun"/>
          <w:lang w:val="en-GB"/>
        </w:rPr>
      </w:pPr>
    </w:p>
    <w:p w:rsidR="00863CEA" w:rsidRPr="000D28E6" w:rsidP="00A311EA" w14:paraId="76C55D54" w14:textId="77777777">
      <w:pPr>
        <w:rPr>
          <w:rFonts w:eastAsia="SimSun"/>
          <w:lang w:val="en-GB"/>
        </w:rPr>
      </w:pPr>
      <w:r w:rsidRPr="001F5859">
        <w:rPr>
          <w:rFonts w:eastAsia="SimSun"/>
          <w:lang w:val="en-GB"/>
        </w:rPr>
        <w:t xml:space="preserve">Approximately half the patients in each treatment group had hormone receptor-positive disease (defined as </w:t>
      </w:r>
      <w:r w:rsidRPr="001F5859" w:rsidR="004E7886">
        <w:rPr>
          <w:rFonts w:eastAsia="SimSun"/>
          <w:lang w:val="en-GB"/>
        </w:rPr>
        <w:t>o</w:t>
      </w:r>
      <w:r w:rsidRPr="001F5859" w:rsidR="006F3F1A">
        <w:rPr>
          <w:lang w:val="en-GB"/>
        </w:rPr>
        <w:t>estrogen</w:t>
      </w:r>
      <w:r w:rsidRPr="001F5859">
        <w:rPr>
          <w:rFonts w:eastAsia="SimSun"/>
          <w:lang w:val="en-GB"/>
        </w:rPr>
        <w:t xml:space="preserve"> receptor</w:t>
      </w:r>
      <w:r w:rsidRPr="001F5859" w:rsidR="006F3F1A">
        <w:rPr>
          <w:lang w:val="en-GB"/>
        </w:rPr>
        <w:t xml:space="preserve"> (ER) </w:t>
      </w:r>
      <w:r w:rsidRPr="001F5859">
        <w:rPr>
          <w:rFonts w:eastAsia="SimSun"/>
          <w:lang w:val="en-GB"/>
        </w:rPr>
        <w:t>pos</w:t>
      </w:r>
      <w:r w:rsidRPr="000D28E6">
        <w:rPr>
          <w:rFonts w:eastAsia="SimSun"/>
          <w:lang w:val="en-GB"/>
        </w:rPr>
        <w:t>itive and/or progesterone receptor</w:t>
      </w:r>
      <w:r w:rsidRPr="00BF2495" w:rsidR="006F3F1A">
        <w:rPr>
          <w:lang w:val="en-GB"/>
        </w:rPr>
        <w:t xml:space="preserve"> (PgR) </w:t>
      </w:r>
      <w:r w:rsidRPr="000D28E6">
        <w:rPr>
          <w:rFonts w:eastAsia="SimSun"/>
          <w:lang w:val="en-GB"/>
        </w:rPr>
        <w:t xml:space="preserve">positive) and </w:t>
      </w:r>
      <w:r w:rsidRPr="000D28E6">
        <w:rPr>
          <w:rFonts w:eastAsia="SimSun"/>
          <w:lang w:val="en-GB"/>
        </w:rPr>
        <w:t>approximately half of the patients in each treatment group had received prior adjuvant or neoadjuvant therapy</w:t>
      </w:r>
      <w:r w:rsidRPr="000D28E6" w:rsidR="00DA0908">
        <w:rPr>
          <w:rFonts w:eastAsia="SimSun"/>
          <w:lang w:val="en-GB"/>
        </w:rPr>
        <w:t>.</w:t>
      </w:r>
      <w:r w:rsidRPr="000D28E6">
        <w:rPr>
          <w:rFonts w:eastAsia="SimSun"/>
          <w:lang w:val="en-GB"/>
        </w:rPr>
        <w:t xml:space="preserve"> </w:t>
      </w:r>
      <w:r w:rsidRPr="000D28E6" w:rsidR="00773952">
        <w:rPr>
          <w:rFonts w:eastAsia="SimSun"/>
          <w:lang w:val="en-GB"/>
        </w:rPr>
        <w:t xml:space="preserve">Most of these patients had received </w:t>
      </w:r>
      <w:r w:rsidRPr="000D28E6" w:rsidR="009C7744">
        <w:rPr>
          <w:rFonts w:eastAsia="SimSun"/>
          <w:lang w:val="en-GB"/>
        </w:rPr>
        <w:t xml:space="preserve">prior </w:t>
      </w:r>
      <w:r w:rsidRPr="000D28E6" w:rsidR="00773952">
        <w:rPr>
          <w:rFonts w:eastAsia="SimSun"/>
          <w:lang w:val="en-GB"/>
        </w:rPr>
        <w:t>anthracycline</w:t>
      </w:r>
      <w:r w:rsidRPr="000D28E6" w:rsidR="004B7716">
        <w:rPr>
          <w:rFonts w:eastAsia="SimSun"/>
          <w:lang w:val="en-GB"/>
        </w:rPr>
        <w:t xml:space="preserve"> therapy</w:t>
      </w:r>
      <w:r w:rsidRPr="000D28E6" w:rsidR="00773952">
        <w:rPr>
          <w:rFonts w:eastAsia="SimSun"/>
          <w:lang w:val="en-GB"/>
        </w:rPr>
        <w:t xml:space="preserve"> and 1</w:t>
      </w:r>
      <w:r w:rsidRPr="000D28E6" w:rsidR="00144CC5">
        <w:rPr>
          <w:rFonts w:eastAsia="SimSun"/>
          <w:lang w:val="en-GB"/>
        </w:rPr>
        <w:t>1</w:t>
      </w:r>
      <w:r w:rsidRPr="000D28E6" w:rsidR="00773952">
        <w:rPr>
          <w:rFonts w:eastAsia="SimSun"/>
          <w:lang w:val="en-GB"/>
        </w:rPr>
        <w:t xml:space="preserve">% of </w:t>
      </w:r>
      <w:r w:rsidRPr="000D28E6" w:rsidR="00AE0260">
        <w:rPr>
          <w:rFonts w:eastAsia="SimSun"/>
          <w:lang w:val="en-GB"/>
        </w:rPr>
        <w:t xml:space="preserve">all </w:t>
      </w:r>
      <w:r w:rsidRPr="000D28E6" w:rsidR="00773952">
        <w:rPr>
          <w:rFonts w:eastAsia="SimSun"/>
          <w:lang w:val="en-GB"/>
        </w:rPr>
        <w:t>patients had received prior trastuzumab</w:t>
      </w:r>
      <w:r w:rsidRPr="000D28E6" w:rsidR="00DA0908">
        <w:rPr>
          <w:rFonts w:eastAsia="SimSun"/>
          <w:lang w:val="en-GB"/>
        </w:rPr>
        <w:t>.</w:t>
      </w:r>
      <w:r w:rsidRPr="000D28E6" w:rsidR="00773952">
        <w:rPr>
          <w:rFonts w:eastAsia="SimSun"/>
          <w:lang w:val="en-GB"/>
        </w:rPr>
        <w:t xml:space="preserve"> </w:t>
      </w:r>
      <w:r w:rsidRPr="000D28E6" w:rsidR="00397DB2">
        <w:rPr>
          <w:rFonts w:eastAsia="SimSun"/>
          <w:lang w:val="en-GB"/>
        </w:rPr>
        <w:t xml:space="preserve">A total of </w:t>
      </w:r>
      <w:r w:rsidRPr="000D28E6" w:rsidR="00F624BC">
        <w:rPr>
          <w:rFonts w:eastAsia="SimSun"/>
          <w:lang w:val="en-GB"/>
        </w:rPr>
        <w:t xml:space="preserve">43% </w:t>
      </w:r>
      <w:r w:rsidRPr="000D28E6" w:rsidR="00773952">
        <w:rPr>
          <w:rFonts w:eastAsia="SimSun"/>
          <w:lang w:val="en-GB"/>
        </w:rPr>
        <w:t xml:space="preserve">of patients in both treatment </w:t>
      </w:r>
      <w:r w:rsidRPr="000D28E6" w:rsidR="002F778D">
        <w:rPr>
          <w:rFonts w:eastAsia="SimSun"/>
          <w:lang w:val="en-GB"/>
        </w:rPr>
        <w:t>groups</w:t>
      </w:r>
      <w:r w:rsidRPr="000D28E6" w:rsidR="00773952">
        <w:rPr>
          <w:rFonts w:eastAsia="SimSun"/>
          <w:lang w:val="en-GB"/>
        </w:rPr>
        <w:t xml:space="preserve"> had previously received radiotherapy. Patients’ </w:t>
      </w:r>
      <w:r w:rsidRPr="000D28E6" w:rsidR="00050EE8">
        <w:rPr>
          <w:rFonts w:eastAsia="SimSun"/>
          <w:lang w:val="en-GB"/>
        </w:rPr>
        <w:t xml:space="preserve">median </w:t>
      </w:r>
      <w:r w:rsidRPr="000D28E6" w:rsidR="00773952">
        <w:rPr>
          <w:rFonts w:eastAsia="SimSun"/>
          <w:lang w:val="en-GB"/>
        </w:rPr>
        <w:t>LVEF at baseline was</w:t>
      </w:r>
      <w:r w:rsidRPr="000D28E6" w:rsidR="00144CC5">
        <w:rPr>
          <w:rFonts w:eastAsia="SimSun"/>
          <w:lang w:val="en-GB"/>
        </w:rPr>
        <w:t xml:space="preserve"> 65.0%</w:t>
      </w:r>
      <w:r w:rsidRPr="000D28E6" w:rsidR="00050EE8">
        <w:rPr>
          <w:rFonts w:eastAsia="SimSun"/>
          <w:lang w:val="en-GB"/>
        </w:rPr>
        <w:t xml:space="preserve"> </w:t>
      </w:r>
      <w:r w:rsidRPr="000D28E6" w:rsidR="00144CC5">
        <w:rPr>
          <w:rFonts w:eastAsia="SimSun"/>
          <w:lang w:val="en-GB"/>
        </w:rPr>
        <w:t>(</w:t>
      </w:r>
      <w:r w:rsidRPr="000D28E6" w:rsidR="00050EE8">
        <w:rPr>
          <w:rFonts w:eastAsia="SimSun"/>
          <w:lang w:val="en-GB"/>
        </w:rPr>
        <w:t>range</w:t>
      </w:r>
      <w:r w:rsidRPr="000D28E6" w:rsidR="009B7706">
        <w:rPr>
          <w:rFonts w:eastAsia="SimSun"/>
          <w:lang w:val="en-GB"/>
        </w:rPr>
        <w:t xml:space="preserve"> 50% – 88%</w:t>
      </w:r>
      <w:r w:rsidRPr="000D28E6" w:rsidR="00144CC5">
        <w:rPr>
          <w:rFonts w:eastAsia="SimSun"/>
          <w:lang w:val="en-GB"/>
        </w:rPr>
        <w:t>)</w:t>
      </w:r>
      <w:r w:rsidRPr="000D28E6" w:rsidR="009B7706">
        <w:rPr>
          <w:rFonts w:eastAsia="SimSun"/>
          <w:lang w:val="en-GB"/>
        </w:rPr>
        <w:t xml:space="preserve"> </w:t>
      </w:r>
      <w:r w:rsidRPr="000D28E6" w:rsidR="00050EE8">
        <w:rPr>
          <w:rFonts w:eastAsia="SimSun"/>
          <w:lang w:val="en-GB"/>
        </w:rPr>
        <w:t>in both groups</w:t>
      </w:r>
      <w:r w:rsidRPr="000D28E6" w:rsidR="009B7706">
        <w:rPr>
          <w:rFonts w:eastAsia="SimSun"/>
          <w:lang w:val="en-GB"/>
        </w:rPr>
        <w:t>.</w:t>
      </w:r>
      <w:r w:rsidRPr="000D28E6" w:rsidR="00773952">
        <w:rPr>
          <w:rFonts w:eastAsia="SimSun"/>
          <w:lang w:val="en-GB"/>
        </w:rPr>
        <w:t xml:space="preserve"> </w:t>
      </w:r>
    </w:p>
    <w:p w:rsidR="004C6AFF" w:rsidRPr="000D28E6" w:rsidP="00A311EA" w14:paraId="0C9A4DF7" w14:textId="77777777">
      <w:pPr>
        <w:rPr>
          <w:rFonts w:eastAsia="SimSun"/>
          <w:lang w:val="en-GB"/>
        </w:rPr>
      </w:pPr>
    </w:p>
    <w:p w:rsidR="00AF403E" w:rsidRPr="000D28E6" w:rsidP="00BC183A" w14:paraId="16ADA62B" w14:textId="77777777">
      <w:pPr>
        <w:rPr>
          <w:rFonts w:eastAsia="SimSun"/>
          <w:lang w:val="en-GB"/>
        </w:rPr>
      </w:pPr>
      <w:r w:rsidRPr="000D28E6">
        <w:rPr>
          <w:bCs/>
          <w:szCs w:val="24"/>
          <w:lang w:val="en-GB" w:eastAsia="zh-TW"/>
        </w:rPr>
        <w:t xml:space="preserve">The efficacy results from </w:t>
      </w:r>
      <w:r w:rsidRPr="001F5859">
        <w:rPr>
          <w:bCs/>
          <w:szCs w:val="24"/>
          <w:lang w:val="en-GB" w:eastAsia="zh-TW"/>
        </w:rPr>
        <w:t>the CLEOPATRA study are summarised in Tab</w:t>
      </w:r>
      <w:r w:rsidRPr="001F5859" w:rsidR="00BC183A">
        <w:rPr>
          <w:bCs/>
          <w:szCs w:val="24"/>
          <w:lang w:val="en-GB" w:eastAsia="zh-TW"/>
        </w:rPr>
        <w:t xml:space="preserve">le </w:t>
      </w:r>
      <w:r w:rsidRPr="001F5859" w:rsidR="004E7886">
        <w:rPr>
          <w:bCs/>
          <w:szCs w:val="24"/>
          <w:lang w:val="en-GB" w:eastAsia="zh-TW"/>
        </w:rPr>
        <w:t>3</w:t>
      </w:r>
      <w:r w:rsidRPr="001F5859" w:rsidR="00BC183A">
        <w:rPr>
          <w:bCs/>
          <w:szCs w:val="24"/>
          <w:lang w:val="en-GB" w:eastAsia="zh-TW"/>
        </w:rPr>
        <w:t>.</w:t>
      </w:r>
      <w:r w:rsidRPr="001F5859">
        <w:rPr>
          <w:bCs/>
          <w:szCs w:val="24"/>
          <w:lang w:val="en-GB" w:eastAsia="zh-TW"/>
        </w:rPr>
        <w:t xml:space="preserve"> </w:t>
      </w:r>
      <w:r w:rsidRPr="001F5859">
        <w:rPr>
          <w:rFonts w:eastAsia="SimSun"/>
          <w:lang w:val="en-GB"/>
        </w:rPr>
        <w:t xml:space="preserve">A </w:t>
      </w:r>
      <w:r w:rsidRPr="001F5859" w:rsidR="00863CEA">
        <w:rPr>
          <w:rFonts w:eastAsia="SimSun"/>
          <w:lang w:val="en-GB"/>
        </w:rPr>
        <w:t xml:space="preserve">statistically significant improvement in IRF-assessed PFS </w:t>
      </w:r>
      <w:r w:rsidRPr="001F5859">
        <w:rPr>
          <w:rFonts w:eastAsia="SimSun"/>
          <w:lang w:val="en-GB"/>
        </w:rPr>
        <w:t xml:space="preserve">was demonstrated </w:t>
      </w:r>
      <w:r w:rsidRPr="001F5859" w:rsidR="00863CEA">
        <w:rPr>
          <w:rFonts w:eastAsia="SimSun"/>
          <w:lang w:val="en-GB"/>
        </w:rPr>
        <w:t xml:space="preserve">in the </w:t>
      </w:r>
      <w:r w:rsidRPr="001F5859" w:rsidR="002C3FA8">
        <w:rPr>
          <w:rFonts w:eastAsia="SimSun"/>
          <w:lang w:val="en-GB"/>
        </w:rPr>
        <w:t>Perjeta</w:t>
      </w:r>
      <w:r w:rsidRPr="001F5859" w:rsidR="00397DB2">
        <w:rPr>
          <w:rFonts w:eastAsia="SimSun"/>
          <w:lang w:val="en-GB"/>
        </w:rPr>
        <w:t>-</w:t>
      </w:r>
      <w:r w:rsidRPr="001F5859" w:rsidR="00863CEA">
        <w:rPr>
          <w:rFonts w:eastAsia="SimSun"/>
          <w:lang w:val="en-GB"/>
        </w:rPr>
        <w:t>treated group compared with the placebo</w:t>
      </w:r>
      <w:r w:rsidRPr="001F5859" w:rsidR="00397DB2">
        <w:rPr>
          <w:rFonts w:eastAsia="SimSun"/>
          <w:lang w:val="en-GB"/>
        </w:rPr>
        <w:t>-</w:t>
      </w:r>
      <w:r w:rsidRPr="001F5859" w:rsidR="00863CEA">
        <w:rPr>
          <w:rFonts w:eastAsia="SimSun"/>
          <w:lang w:val="en-GB"/>
        </w:rPr>
        <w:t>treated group. The results for investigator-assessed PFS were similar to those observed for IRF-assessed PFS</w:t>
      </w:r>
      <w:r w:rsidRPr="001F5859" w:rsidR="00BC183A">
        <w:rPr>
          <w:rFonts w:eastAsia="SimSun"/>
          <w:lang w:val="en-GB"/>
        </w:rPr>
        <w:t>.</w:t>
      </w:r>
      <w:r w:rsidRPr="000D28E6" w:rsidR="00863CEA">
        <w:rPr>
          <w:rFonts w:eastAsia="SimSun"/>
          <w:lang w:val="en-GB"/>
        </w:rPr>
        <w:t xml:space="preserve"> </w:t>
      </w:r>
    </w:p>
    <w:p w:rsidR="00AF403E" w:rsidRPr="000D28E6" w:rsidP="00BC183A" w14:paraId="1ECC8442" w14:textId="77777777">
      <w:pPr>
        <w:rPr>
          <w:rFonts w:eastAsia="SimSun"/>
          <w:noProof/>
          <w:lang w:val="en-GB"/>
        </w:rPr>
      </w:pPr>
    </w:p>
    <w:p w:rsidR="00863CEA" w:rsidRPr="000D28E6" w:rsidP="00234346" w14:paraId="26FA9A24" w14:textId="77777777">
      <w:pPr>
        <w:keepNext/>
        <w:keepLines/>
        <w:rPr>
          <w:rFonts w:eastAsia="SimSun"/>
          <w:b/>
          <w:bCs/>
          <w:lang w:val="en-GB" w:eastAsia="zh-CN"/>
        </w:rPr>
      </w:pPr>
      <w:r w:rsidRPr="000D28E6">
        <w:rPr>
          <w:rFonts w:eastAsia="SimSun"/>
          <w:b/>
          <w:bCs/>
          <w:lang w:val="en-GB" w:eastAsia="zh-CN"/>
        </w:rPr>
        <w:t>Ta</w:t>
      </w:r>
      <w:r w:rsidRPr="001F5859">
        <w:rPr>
          <w:rFonts w:eastAsia="SimSun"/>
          <w:b/>
          <w:bCs/>
          <w:lang w:val="en-GB" w:eastAsia="zh-CN"/>
        </w:rPr>
        <w:t xml:space="preserve">ble </w:t>
      </w:r>
      <w:r w:rsidRPr="001F5859" w:rsidR="004E7886">
        <w:rPr>
          <w:rFonts w:eastAsia="SimSun"/>
          <w:b/>
          <w:bCs/>
          <w:lang w:val="en-GB" w:eastAsia="zh-CN"/>
        </w:rPr>
        <w:t>3</w:t>
      </w:r>
      <w:r w:rsidRPr="001F5859">
        <w:rPr>
          <w:rFonts w:eastAsia="SimSun"/>
          <w:b/>
          <w:bCs/>
          <w:lang w:val="en-GB" w:eastAsia="zh-CN"/>
        </w:rPr>
        <w:tab/>
      </w:r>
      <w:r w:rsidRPr="001F5859" w:rsidR="007C13EE">
        <w:rPr>
          <w:rFonts w:eastAsia="SimSun"/>
          <w:b/>
          <w:bCs/>
          <w:lang w:val="en-GB" w:eastAsia="zh-CN"/>
        </w:rPr>
        <w:t xml:space="preserve"> </w:t>
      </w:r>
      <w:r w:rsidRPr="001F5859">
        <w:rPr>
          <w:rFonts w:eastAsia="SimSun"/>
          <w:b/>
          <w:bCs/>
          <w:lang w:val="en-GB" w:eastAsia="zh-CN"/>
        </w:rPr>
        <w:t>Su</w:t>
      </w:r>
      <w:r w:rsidRPr="000D28E6">
        <w:rPr>
          <w:rFonts w:eastAsia="SimSun"/>
          <w:b/>
          <w:bCs/>
          <w:lang w:val="en-GB" w:eastAsia="zh-CN"/>
        </w:rPr>
        <w:t>mmary of efficacy from CLEOPATRA study</w:t>
      </w:r>
    </w:p>
    <w:p w:rsidR="00863CEA" w:rsidRPr="000D28E6" w:rsidP="00234346" w14:paraId="76F81976" w14:textId="77777777">
      <w:pPr>
        <w:keepNext/>
        <w:keepLines/>
        <w:rPr>
          <w:color w:val="000000"/>
          <w:lang w:val="en-GB"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61"/>
        <w:gridCol w:w="1417"/>
        <w:gridCol w:w="1418"/>
        <w:gridCol w:w="1275"/>
        <w:gridCol w:w="1418"/>
      </w:tblGrid>
      <w:tr w14:paraId="5EF073CC" w14:textId="77777777" w:rsidTr="004F309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blHeader/>
        </w:trPr>
        <w:tc>
          <w:tcPr>
            <w:tcW w:w="3261" w:type="dxa"/>
          </w:tcPr>
          <w:p w:rsidR="00863CEA" w:rsidRPr="000D28E6" w:rsidP="00234346" w14:paraId="26F5C186" w14:textId="77777777">
            <w:pPr>
              <w:keepNext/>
              <w:keepLines/>
              <w:autoSpaceDE w:val="0"/>
              <w:autoSpaceDN w:val="0"/>
              <w:adjustRightInd w:val="0"/>
              <w:jc w:val="both"/>
              <w:rPr>
                <w:rFonts w:eastAsia="SimSun"/>
                <w:b/>
                <w:bCs/>
                <w:lang w:val="en-GB" w:eastAsia="zh-CN"/>
              </w:rPr>
            </w:pPr>
            <w:r w:rsidRPr="000D28E6">
              <w:rPr>
                <w:rFonts w:eastAsia="SimSun"/>
                <w:b/>
                <w:bCs/>
                <w:lang w:val="en-GB" w:eastAsia="zh-CN"/>
              </w:rPr>
              <w:t xml:space="preserve">Parameter </w:t>
            </w:r>
          </w:p>
        </w:tc>
        <w:tc>
          <w:tcPr>
            <w:tcW w:w="1417" w:type="dxa"/>
          </w:tcPr>
          <w:p w:rsidR="00863CEA" w:rsidRPr="000D28E6" w:rsidP="00234346" w14:paraId="3D0DFCAF"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 xml:space="preserve">Placebo+ </w:t>
            </w:r>
          </w:p>
          <w:p w:rsidR="00B53814" w:rsidRPr="000D28E6" w:rsidP="00234346" w14:paraId="5CA39898"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trastuzumab</w:t>
            </w:r>
          </w:p>
          <w:p w:rsidR="00863CEA" w:rsidRPr="000D28E6" w:rsidP="00234346" w14:paraId="0B21E2F4"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 docetaxel</w:t>
            </w:r>
          </w:p>
          <w:p w:rsidR="00863CEA" w:rsidRPr="000D28E6" w:rsidP="00234346" w14:paraId="2E0C550D"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n=406</w:t>
            </w:r>
          </w:p>
        </w:tc>
        <w:tc>
          <w:tcPr>
            <w:tcW w:w="1418" w:type="dxa"/>
          </w:tcPr>
          <w:p w:rsidR="00863CEA" w:rsidRPr="000D28E6" w:rsidP="00234346" w14:paraId="2A27A638"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 xml:space="preserve">Perjeta+ </w:t>
            </w:r>
          </w:p>
          <w:p w:rsidR="00B53814" w:rsidRPr="000D28E6" w:rsidP="00234346" w14:paraId="4E208BA8"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trastuzumab</w:t>
            </w:r>
          </w:p>
          <w:p w:rsidR="00863CEA" w:rsidRPr="000D28E6" w:rsidP="00234346" w14:paraId="519A99A7"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 docetaxel</w:t>
            </w:r>
          </w:p>
          <w:p w:rsidR="00863CEA" w:rsidRPr="000D28E6" w:rsidP="00234346" w14:paraId="33056B8B"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n=402</w:t>
            </w:r>
          </w:p>
        </w:tc>
        <w:tc>
          <w:tcPr>
            <w:tcW w:w="1275" w:type="dxa"/>
          </w:tcPr>
          <w:p w:rsidR="00863CEA" w:rsidRPr="000D28E6" w:rsidP="00234346" w14:paraId="71FB7F19"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HR</w:t>
            </w:r>
          </w:p>
          <w:p w:rsidR="00863CEA" w:rsidRPr="000D28E6" w:rsidP="00234346" w14:paraId="5847C67C"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(95% CI)</w:t>
            </w:r>
          </w:p>
          <w:p w:rsidR="00863CEA" w:rsidRPr="000D28E6" w:rsidP="00234346" w14:paraId="54966C2C" w14:textId="77777777">
            <w:pPr>
              <w:keepNext/>
              <w:keepLines/>
              <w:autoSpaceDE w:val="0"/>
              <w:autoSpaceDN w:val="0"/>
              <w:adjustRightInd w:val="0"/>
              <w:jc w:val="center"/>
              <w:rPr>
                <w:rFonts w:eastAsia="SimSun"/>
                <w:b/>
                <w:bCs/>
                <w:lang w:val="en-GB" w:eastAsia="zh-CN"/>
              </w:rPr>
            </w:pPr>
          </w:p>
        </w:tc>
        <w:tc>
          <w:tcPr>
            <w:tcW w:w="1418" w:type="dxa"/>
          </w:tcPr>
          <w:p w:rsidR="00863CEA" w:rsidRPr="000D28E6" w:rsidP="00234346" w14:paraId="29C0A7C2" w14:textId="77777777">
            <w:pPr>
              <w:keepNext/>
              <w:keepLines/>
              <w:autoSpaceDE w:val="0"/>
              <w:autoSpaceDN w:val="0"/>
              <w:adjustRightInd w:val="0"/>
              <w:jc w:val="center"/>
              <w:rPr>
                <w:rFonts w:eastAsia="SimSun"/>
                <w:b/>
                <w:bCs/>
                <w:lang w:val="en-GB" w:eastAsia="zh-CN"/>
              </w:rPr>
            </w:pPr>
            <w:r w:rsidRPr="000D28E6">
              <w:rPr>
                <w:rFonts w:eastAsia="SimSun"/>
                <w:b/>
                <w:bCs/>
                <w:lang w:val="en-GB" w:eastAsia="zh-CN"/>
              </w:rPr>
              <w:t>p-value</w:t>
            </w:r>
          </w:p>
        </w:tc>
      </w:tr>
      <w:tr w14:paraId="605AF661" w14:textId="77777777" w:rsidTr="004F3092">
        <w:tblPrEx>
          <w:tblW w:w="0" w:type="auto"/>
          <w:tblInd w:w="108" w:type="dxa"/>
          <w:tblLayout w:type="fixed"/>
          <w:tblLook w:val="01E0"/>
        </w:tblPrEx>
        <w:tc>
          <w:tcPr>
            <w:tcW w:w="3261" w:type="dxa"/>
          </w:tcPr>
          <w:p w:rsidR="00863CEA" w:rsidRPr="000D28E6" w:rsidP="00234346" w14:paraId="49974D66" w14:textId="77777777">
            <w:pPr>
              <w:keepNext/>
              <w:keepLines/>
              <w:autoSpaceDE w:val="0"/>
              <w:autoSpaceDN w:val="0"/>
              <w:adjustRightInd w:val="0"/>
              <w:jc w:val="both"/>
              <w:rPr>
                <w:rFonts w:eastAsia="SimSun"/>
                <w:b/>
                <w:bCs/>
                <w:lang w:val="en-GB" w:eastAsia="zh-CN"/>
              </w:rPr>
            </w:pPr>
            <w:r w:rsidRPr="000D28E6">
              <w:rPr>
                <w:rFonts w:eastAsia="SimSun"/>
                <w:b/>
                <w:bCs/>
                <w:lang w:val="en-GB" w:eastAsia="zh-CN"/>
              </w:rPr>
              <w:t xml:space="preserve">Progression-Free Survival </w:t>
            </w:r>
          </w:p>
          <w:p w:rsidR="00863CEA" w:rsidRPr="000D28E6" w:rsidP="00234346" w14:paraId="4C81184C" w14:textId="77777777">
            <w:pPr>
              <w:keepNext/>
              <w:keepLines/>
              <w:autoSpaceDE w:val="0"/>
              <w:autoSpaceDN w:val="0"/>
              <w:adjustRightInd w:val="0"/>
              <w:jc w:val="both"/>
              <w:rPr>
                <w:rFonts w:eastAsia="SimSun"/>
                <w:b/>
                <w:bCs/>
                <w:lang w:val="en-GB" w:eastAsia="zh-CN"/>
              </w:rPr>
            </w:pPr>
            <w:r w:rsidRPr="000D28E6">
              <w:rPr>
                <w:rFonts w:eastAsia="SimSun"/>
                <w:b/>
                <w:bCs/>
                <w:lang w:val="en-GB" w:eastAsia="zh-CN"/>
              </w:rPr>
              <w:t>(independent review</w:t>
            </w:r>
            <w:r w:rsidRPr="000D28E6" w:rsidR="009B7706">
              <w:rPr>
                <w:rFonts w:eastAsia="SimSun"/>
                <w:b/>
                <w:bCs/>
                <w:lang w:val="en-GB" w:eastAsia="zh-CN"/>
              </w:rPr>
              <w:t>) – primary endpoint</w:t>
            </w:r>
            <w:r w:rsidRPr="000D28E6" w:rsidR="00907FFA">
              <w:rPr>
                <w:rFonts w:eastAsia="SimSun"/>
                <w:b/>
                <w:bCs/>
                <w:lang w:val="en-GB" w:eastAsia="zh-CN"/>
              </w:rPr>
              <w:t>*</w:t>
            </w:r>
          </w:p>
          <w:p w:rsidR="00863CEA" w:rsidRPr="000D28E6" w:rsidP="00234346" w14:paraId="0F8DF813" w14:textId="77777777">
            <w:pPr>
              <w:keepNext/>
              <w:keepLines/>
              <w:autoSpaceDE w:val="0"/>
              <w:autoSpaceDN w:val="0"/>
              <w:adjustRightInd w:val="0"/>
              <w:jc w:val="both"/>
              <w:rPr>
                <w:rFonts w:eastAsia="SimSun"/>
                <w:b/>
                <w:bCs/>
                <w:lang w:val="en-GB" w:eastAsia="zh-CN"/>
              </w:rPr>
            </w:pPr>
          </w:p>
          <w:p w:rsidR="00863CEA" w:rsidRPr="000D28E6" w:rsidP="00234346" w14:paraId="5472A9EC" w14:textId="77777777">
            <w:pPr>
              <w:keepNext/>
              <w:keepLines/>
              <w:autoSpaceDE w:val="0"/>
              <w:autoSpaceDN w:val="0"/>
              <w:adjustRightInd w:val="0"/>
              <w:jc w:val="both"/>
              <w:rPr>
                <w:rFonts w:eastAsia="SimSun"/>
                <w:bCs/>
                <w:lang w:val="en-GB" w:eastAsia="zh-CN"/>
              </w:rPr>
            </w:pPr>
            <w:r w:rsidRPr="000D28E6">
              <w:rPr>
                <w:rFonts w:eastAsia="SimSun"/>
                <w:bCs/>
                <w:lang w:val="en-GB" w:eastAsia="zh-CN"/>
              </w:rPr>
              <w:t>no. of patients with an event</w:t>
            </w:r>
          </w:p>
          <w:p w:rsidR="00863CEA" w:rsidRPr="000D28E6" w:rsidP="00234346" w14:paraId="4DEDA557" w14:textId="77777777">
            <w:pPr>
              <w:keepNext/>
              <w:keepLines/>
              <w:autoSpaceDE w:val="0"/>
              <w:autoSpaceDN w:val="0"/>
              <w:adjustRightInd w:val="0"/>
              <w:jc w:val="both"/>
              <w:rPr>
                <w:rFonts w:eastAsia="SimSun"/>
                <w:b/>
                <w:bCs/>
                <w:lang w:val="en-GB" w:eastAsia="zh-CN"/>
              </w:rPr>
            </w:pPr>
            <w:r w:rsidRPr="000D28E6">
              <w:rPr>
                <w:rFonts w:eastAsia="SimSun"/>
                <w:bCs/>
                <w:lang w:val="en-GB" w:eastAsia="zh-CN"/>
              </w:rPr>
              <w:t>Median months</w:t>
            </w:r>
          </w:p>
        </w:tc>
        <w:tc>
          <w:tcPr>
            <w:tcW w:w="1417" w:type="dxa"/>
          </w:tcPr>
          <w:p w:rsidR="00863CEA" w:rsidRPr="000D28E6" w:rsidP="00234346" w14:paraId="30ECD5F2" w14:textId="77777777">
            <w:pPr>
              <w:keepNext/>
              <w:keepLines/>
              <w:autoSpaceDE w:val="0"/>
              <w:autoSpaceDN w:val="0"/>
              <w:adjustRightInd w:val="0"/>
              <w:jc w:val="center"/>
              <w:rPr>
                <w:rFonts w:eastAsia="SimSun"/>
                <w:bCs/>
                <w:lang w:val="en-GB" w:eastAsia="zh-CN"/>
              </w:rPr>
            </w:pPr>
          </w:p>
          <w:p w:rsidR="00863CEA" w:rsidRPr="000D28E6" w:rsidP="00234346" w14:paraId="08D86881" w14:textId="77777777">
            <w:pPr>
              <w:keepNext/>
              <w:keepLines/>
              <w:autoSpaceDE w:val="0"/>
              <w:autoSpaceDN w:val="0"/>
              <w:adjustRightInd w:val="0"/>
              <w:jc w:val="center"/>
              <w:rPr>
                <w:rFonts w:eastAsia="SimSun"/>
                <w:bCs/>
                <w:lang w:val="en-GB" w:eastAsia="zh-CN"/>
              </w:rPr>
            </w:pPr>
          </w:p>
          <w:p w:rsidR="00863CEA" w:rsidRPr="000D28E6" w:rsidP="00234346" w14:paraId="712DCA31" w14:textId="77777777">
            <w:pPr>
              <w:keepNext/>
              <w:keepLines/>
              <w:autoSpaceDE w:val="0"/>
              <w:autoSpaceDN w:val="0"/>
              <w:adjustRightInd w:val="0"/>
              <w:jc w:val="center"/>
              <w:rPr>
                <w:rFonts w:eastAsia="SimSun"/>
                <w:bCs/>
                <w:lang w:val="en-GB" w:eastAsia="zh-CN"/>
              </w:rPr>
            </w:pPr>
          </w:p>
          <w:p w:rsidR="009B7706" w:rsidRPr="000D28E6" w:rsidP="00234346" w14:paraId="04B2B5E3" w14:textId="77777777">
            <w:pPr>
              <w:keepNext/>
              <w:keepLines/>
              <w:autoSpaceDE w:val="0"/>
              <w:autoSpaceDN w:val="0"/>
              <w:adjustRightInd w:val="0"/>
              <w:jc w:val="center"/>
              <w:rPr>
                <w:rFonts w:eastAsia="SimSun"/>
                <w:bCs/>
                <w:lang w:val="en-GB" w:eastAsia="zh-CN"/>
              </w:rPr>
            </w:pPr>
          </w:p>
          <w:p w:rsidR="00863CEA" w:rsidRPr="000D28E6" w:rsidP="00234346" w14:paraId="56F87126"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242 (59%)</w:t>
            </w:r>
          </w:p>
          <w:p w:rsidR="00863CEA" w:rsidRPr="000D28E6" w:rsidP="00234346" w14:paraId="141994AD"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12.4</w:t>
            </w:r>
          </w:p>
        </w:tc>
        <w:tc>
          <w:tcPr>
            <w:tcW w:w="1418" w:type="dxa"/>
          </w:tcPr>
          <w:p w:rsidR="00863CEA" w:rsidRPr="000D28E6" w:rsidP="00234346" w14:paraId="34696A78" w14:textId="77777777">
            <w:pPr>
              <w:keepNext/>
              <w:keepLines/>
              <w:autoSpaceDE w:val="0"/>
              <w:autoSpaceDN w:val="0"/>
              <w:adjustRightInd w:val="0"/>
              <w:jc w:val="center"/>
              <w:rPr>
                <w:rFonts w:eastAsia="SimSun"/>
                <w:bCs/>
                <w:lang w:val="en-GB" w:eastAsia="zh-CN"/>
              </w:rPr>
            </w:pPr>
          </w:p>
          <w:p w:rsidR="00863CEA" w:rsidRPr="000D28E6" w:rsidP="00234346" w14:paraId="4B264B38" w14:textId="77777777">
            <w:pPr>
              <w:keepNext/>
              <w:keepLines/>
              <w:autoSpaceDE w:val="0"/>
              <w:autoSpaceDN w:val="0"/>
              <w:adjustRightInd w:val="0"/>
              <w:jc w:val="center"/>
              <w:rPr>
                <w:rFonts w:eastAsia="SimSun"/>
                <w:bCs/>
                <w:lang w:val="en-GB" w:eastAsia="zh-CN"/>
              </w:rPr>
            </w:pPr>
          </w:p>
          <w:p w:rsidR="00863CEA" w:rsidRPr="000D28E6" w:rsidP="00234346" w14:paraId="17208414" w14:textId="77777777">
            <w:pPr>
              <w:keepNext/>
              <w:keepLines/>
              <w:autoSpaceDE w:val="0"/>
              <w:autoSpaceDN w:val="0"/>
              <w:adjustRightInd w:val="0"/>
              <w:jc w:val="center"/>
              <w:rPr>
                <w:rFonts w:eastAsia="SimSun"/>
                <w:bCs/>
                <w:lang w:val="en-GB" w:eastAsia="zh-CN"/>
              </w:rPr>
            </w:pPr>
          </w:p>
          <w:p w:rsidR="009B7706" w:rsidRPr="000D28E6" w:rsidP="00234346" w14:paraId="5577B9D9" w14:textId="77777777">
            <w:pPr>
              <w:keepNext/>
              <w:keepLines/>
              <w:autoSpaceDE w:val="0"/>
              <w:autoSpaceDN w:val="0"/>
              <w:adjustRightInd w:val="0"/>
              <w:jc w:val="center"/>
              <w:rPr>
                <w:rFonts w:eastAsia="SimSun"/>
                <w:bCs/>
                <w:lang w:val="en-GB" w:eastAsia="zh-CN"/>
              </w:rPr>
            </w:pPr>
          </w:p>
          <w:p w:rsidR="00863CEA" w:rsidRPr="000D28E6" w:rsidP="00234346" w14:paraId="6D2197B7"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191 (47.5%)</w:t>
            </w:r>
          </w:p>
          <w:p w:rsidR="00863CEA" w:rsidRPr="000D28E6" w:rsidP="00234346" w14:paraId="3CC6382C"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18.5</w:t>
            </w:r>
          </w:p>
        </w:tc>
        <w:tc>
          <w:tcPr>
            <w:tcW w:w="1275" w:type="dxa"/>
          </w:tcPr>
          <w:p w:rsidR="00863CEA" w:rsidRPr="000D28E6" w:rsidP="00234346" w14:paraId="1B65D105" w14:textId="77777777">
            <w:pPr>
              <w:keepNext/>
              <w:keepLines/>
              <w:autoSpaceDE w:val="0"/>
              <w:autoSpaceDN w:val="0"/>
              <w:adjustRightInd w:val="0"/>
              <w:jc w:val="center"/>
              <w:rPr>
                <w:rFonts w:eastAsia="SimSun"/>
                <w:bCs/>
                <w:lang w:val="en-GB" w:eastAsia="zh-CN"/>
              </w:rPr>
            </w:pPr>
          </w:p>
          <w:p w:rsidR="00863CEA" w:rsidRPr="000D28E6" w:rsidP="00234346" w14:paraId="2C1068E9" w14:textId="77777777">
            <w:pPr>
              <w:keepNext/>
              <w:keepLines/>
              <w:autoSpaceDE w:val="0"/>
              <w:autoSpaceDN w:val="0"/>
              <w:adjustRightInd w:val="0"/>
              <w:jc w:val="center"/>
              <w:rPr>
                <w:rFonts w:eastAsia="SimSun"/>
                <w:bCs/>
                <w:lang w:val="en-GB" w:eastAsia="zh-CN"/>
              </w:rPr>
            </w:pPr>
          </w:p>
          <w:p w:rsidR="00863CEA" w:rsidRPr="000D28E6" w:rsidP="00234346" w14:paraId="0C95800D" w14:textId="77777777">
            <w:pPr>
              <w:keepNext/>
              <w:keepLines/>
              <w:autoSpaceDE w:val="0"/>
              <w:autoSpaceDN w:val="0"/>
              <w:adjustRightInd w:val="0"/>
              <w:jc w:val="center"/>
              <w:rPr>
                <w:rFonts w:eastAsia="SimSun"/>
                <w:bCs/>
                <w:lang w:val="en-GB" w:eastAsia="zh-CN"/>
              </w:rPr>
            </w:pPr>
          </w:p>
          <w:p w:rsidR="009B7706" w:rsidRPr="000D28E6" w:rsidP="00234346" w14:paraId="5E5E182F" w14:textId="77777777">
            <w:pPr>
              <w:keepNext/>
              <w:keepLines/>
              <w:autoSpaceDE w:val="0"/>
              <w:autoSpaceDN w:val="0"/>
              <w:adjustRightInd w:val="0"/>
              <w:jc w:val="center"/>
              <w:rPr>
                <w:rFonts w:eastAsia="SimSun"/>
                <w:bCs/>
                <w:lang w:val="en-GB" w:eastAsia="zh-CN"/>
              </w:rPr>
            </w:pPr>
          </w:p>
          <w:p w:rsidR="00863CEA" w:rsidRPr="000D28E6" w:rsidP="00234346" w14:paraId="5AD2BC62"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0.62</w:t>
            </w:r>
          </w:p>
          <w:p w:rsidR="00863CEA" w:rsidRPr="000D28E6" w:rsidP="00234346" w14:paraId="6191D85C"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[0.51;0.75]</w:t>
            </w:r>
          </w:p>
        </w:tc>
        <w:tc>
          <w:tcPr>
            <w:tcW w:w="1418" w:type="dxa"/>
          </w:tcPr>
          <w:p w:rsidR="00863CEA" w:rsidRPr="000D28E6" w:rsidP="00234346" w14:paraId="33263CAE" w14:textId="77777777">
            <w:pPr>
              <w:keepNext/>
              <w:keepLines/>
              <w:autoSpaceDE w:val="0"/>
              <w:autoSpaceDN w:val="0"/>
              <w:adjustRightInd w:val="0"/>
              <w:jc w:val="center"/>
              <w:rPr>
                <w:rFonts w:eastAsia="SimSun"/>
                <w:bCs/>
                <w:lang w:val="en-GB" w:eastAsia="zh-CN"/>
              </w:rPr>
            </w:pPr>
          </w:p>
          <w:p w:rsidR="00863CEA" w:rsidRPr="000D28E6" w:rsidP="00234346" w14:paraId="5CF2B155" w14:textId="77777777">
            <w:pPr>
              <w:keepNext/>
              <w:keepLines/>
              <w:autoSpaceDE w:val="0"/>
              <w:autoSpaceDN w:val="0"/>
              <w:adjustRightInd w:val="0"/>
              <w:jc w:val="center"/>
              <w:rPr>
                <w:rFonts w:eastAsia="SimSun"/>
                <w:bCs/>
                <w:lang w:val="en-GB" w:eastAsia="zh-CN"/>
              </w:rPr>
            </w:pPr>
          </w:p>
          <w:p w:rsidR="00863CEA" w:rsidRPr="000D28E6" w:rsidP="00234346" w14:paraId="6589E6B7" w14:textId="77777777">
            <w:pPr>
              <w:keepNext/>
              <w:keepLines/>
              <w:autoSpaceDE w:val="0"/>
              <w:autoSpaceDN w:val="0"/>
              <w:adjustRightInd w:val="0"/>
              <w:jc w:val="center"/>
              <w:rPr>
                <w:rFonts w:eastAsia="SimSun"/>
                <w:bCs/>
                <w:lang w:val="en-GB" w:eastAsia="zh-CN"/>
              </w:rPr>
            </w:pPr>
          </w:p>
          <w:p w:rsidR="00863CEA" w:rsidRPr="000D28E6" w:rsidP="00234346" w14:paraId="7664D657" w14:textId="77777777">
            <w:pPr>
              <w:keepNext/>
              <w:keepLines/>
              <w:autoSpaceDE w:val="0"/>
              <w:autoSpaceDN w:val="0"/>
              <w:adjustRightInd w:val="0"/>
              <w:jc w:val="center"/>
              <w:rPr>
                <w:rFonts w:eastAsia="SimSun"/>
                <w:bCs/>
                <w:lang w:val="en-GB" w:eastAsia="zh-CN"/>
              </w:rPr>
            </w:pPr>
          </w:p>
          <w:p w:rsidR="00863CEA" w:rsidRPr="000D28E6" w:rsidP="00234346" w14:paraId="157FBBF9"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&lt;0.0001</w:t>
            </w:r>
          </w:p>
        </w:tc>
      </w:tr>
      <w:tr w14:paraId="266F259B" w14:textId="77777777" w:rsidTr="004F3092">
        <w:tblPrEx>
          <w:tblW w:w="0" w:type="auto"/>
          <w:tblInd w:w="108" w:type="dxa"/>
          <w:tblLayout w:type="fixed"/>
          <w:tblLook w:val="01E0"/>
        </w:tblPrEx>
        <w:tc>
          <w:tcPr>
            <w:tcW w:w="3261" w:type="dxa"/>
          </w:tcPr>
          <w:p w:rsidR="00863CEA" w:rsidRPr="000D28E6" w:rsidP="00234346" w14:paraId="1CAAC68D" w14:textId="77777777">
            <w:pPr>
              <w:keepNext/>
              <w:keepLines/>
              <w:autoSpaceDE w:val="0"/>
              <w:autoSpaceDN w:val="0"/>
              <w:adjustRightInd w:val="0"/>
              <w:rPr>
                <w:rFonts w:eastAsia="SimSun"/>
                <w:b/>
                <w:bCs/>
                <w:lang w:val="en-GB" w:eastAsia="zh-CN"/>
              </w:rPr>
            </w:pPr>
            <w:r w:rsidRPr="000D28E6">
              <w:rPr>
                <w:rFonts w:eastAsia="SimSun"/>
                <w:b/>
                <w:bCs/>
                <w:lang w:val="en-GB" w:eastAsia="zh-CN"/>
              </w:rPr>
              <w:t>Overall Survival</w:t>
            </w:r>
            <w:r w:rsidRPr="000D28E6" w:rsidR="00A704E1">
              <w:rPr>
                <w:rFonts w:eastAsia="SimSun"/>
                <w:b/>
                <w:bCs/>
                <w:lang w:val="en-GB" w:eastAsia="zh-CN"/>
              </w:rPr>
              <w:t xml:space="preserve"> </w:t>
            </w:r>
            <w:r w:rsidRPr="000D28E6" w:rsidR="00D31B02">
              <w:rPr>
                <w:rFonts w:eastAsia="SimSun"/>
                <w:b/>
                <w:bCs/>
                <w:lang w:val="en-GB" w:eastAsia="zh-CN"/>
              </w:rPr>
              <w:t>-</w:t>
            </w:r>
            <w:r w:rsidRPr="000D28E6" w:rsidR="00A704E1">
              <w:rPr>
                <w:rFonts w:eastAsia="SimSun"/>
                <w:b/>
                <w:bCs/>
                <w:lang w:val="en-GB" w:eastAsia="zh-CN"/>
              </w:rPr>
              <w:t xml:space="preserve"> secondary endpoint*</w:t>
            </w:r>
            <w:r w:rsidRPr="000D28E6" w:rsidR="00907FFA">
              <w:rPr>
                <w:rFonts w:eastAsia="SimSun"/>
                <w:b/>
                <w:bCs/>
                <w:lang w:val="en-GB" w:eastAsia="zh-CN"/>
              </w:rPr>
              <w:t>*</w:t>
            </w:r>
          </w:p>
          <w:p w:rsidR="00863CEA" w:rsidRPr="000D28E6" w:rsidP="00234346" w14:paraId="5E8FC47F" w14:textId="77777777">
            <w:pPr>
              <w:keepNext/>
              <w:keepLines/>
              <w:autoSpaceDE w:val="0"/>
              <w:autoSpaceDN w:val="0"/>
              <w:adjustRightInd w:val="0"/>
              <w:rPr>
                <w:rFonts w:eastAsia="SimSun"/>
                <w:b/>
                <w:bCs/>
                <w:lang w:val="en-GB" w:eastAsia="zh-CN"/>
              </w:rPr>
            </w:pPr>
          </w:p>
          <w:p w:rsidR="00863CEA" w:rsidRPr="000D28E6" w:rsidP="00234346" w14:paraId="4C721B98" w14:textId="77777777">
            <w:pPr>
              <w:keepNext/>
              <w:keepLines/>
              <w:autoSpaceDE w:val="0"/>
              <w:autoSpaceDN w:val="0"/>
              <w:adjustRightInd w:val="0"/>
              <w:rPr>
                <w:rFonts w:eastAsia="SimSun"/>
                <w:bCs/>
                <w:lang w:val="en-GB" w:eastAsia="zh-CN"/>
              </w:rPr>
            </w:pPr>
            <w:r w:rsidRPr="000D28E6">
              <w:rPr>
                <w:rFonts w:eastAsia="SimSun"/>
                <w:bCs/>
                <w:lang w:val="en-GB" w:eastAsia="zh-CN"/>
              </w:rPr>
              <w:t>no. of patients with an event</w:t>
            </w:r>
          </w:p>
          <w:p w:rsidR="00152798" w:rsidRPr="000D28E6" w:rsidP="00234346" w14:paraId="50997FCB" w14:textId="77777777">
            <w:pPr>
              <w:keepNext/>
              <w:keepLines/>
              <w:autoSpaceDE w:val="0"/>
              <w:autoSpaceDN w:val="0"/>
              <w:adjustRightInd w:val="0"/>
              <w:rPr>
                <w:rFonts w:eastAsia="SimSun"/>
                <w:bCs/>
                <w:lang w:val="en-GB" w:eastAsia="zh-CN"/>
              </w:rPr>
            </w:pPr>
            <w:r w:rsidRPr="000D28E6">
              <w:rPr>
                <w:rFonts w:eastAsia="SimSun"/>
                <w:bCs/>
                <w:lang w:val="en-GB" w:eastAsia="zh-CN"/>
              </w:rPr>
              <w:t>Median months</w:t>
            </w:r>
          </w:p>
        </w:tc>
        <w:tc>
          <w:tcPr>
            <w:tcW w:w="1417" w:type="dxa"/>
          </w:tcPr>
          <w:p w:rsidR="00863CEA" w:rsidRPr="000D28E6" w:rsidP="00234346" w14:paraId="2BC865F7" w14:textId="77777777">
            <w:pPr>
              <w:keepNext/>
              <w:keepLines/>
              <w:autoSpaceDE w:val="0"/>
              <w:autoSpaceDN w:val="0"/>
              <w:adjustRightInd w:val="0"/>
              <w:jc w:val="center"/>
              <w:rPr>
                <w:rFonts w:eastAsia="SimSun"/>
                <w:strike/>
                <w:noProof/>
                <w:lang w:val="en-GB"/>
              </w:rPr>
            </w:pPr>
          </w:p>
          <w:p w:rsidR="001E6D40" w:rsidRPr="000D28E6" w:rsidP="00234346" w14:paraId="41FC78B1" w14:textId="77777777">
            <w:pPr>
              <w:keepNext/>
              <w:keepLines/>
              <w:autoSpaceDE w:val="0"/>
              <w:autoSpaceDN w:val="0"/>
              <w:adjustRightInd w:val="0"/>
              <w:jc w:val="center"/>
              <w:rPr>
                <w:rFonts w:eastAsia="SimSun"/>
                <w:strike/>
                <w:noProof/>
                <w:lang w:val="en-GB"/>
              </w:rPr>
            </w:pPr>
          </w:p>
          <w:p w:rsidR="001B3F0F" w:rsidRPr="000D28E6" w:rsidP="00234346" w14:paraId="0DAEEE7A" w14:textId="77777777">
            <w:pPr>
              <w:keepNext/>
              <w:keepLines/>
              <w:autoSpaceDE w:val="0"/>
              <w:autoSpaceDN w:val="0"/>
              <w:adjustRightInd w:val="0"/>
              <w:jc w:val="center"/>
              <w:rPr>
                <w:rFonts w:eastAsia="SimSun"/>
                <w:strike/>
                <w:noProof/>
                <w:lang w:val="en-GB"/>
              </w:rPr>
            </w:pPr>
          </w:p>
          <w:p w:rsidR="00A704E1" w:rsidRPr="000D28E6" w:rsidP="00A704E1" w14:paraId="0AFF7F70"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221 (54.4%)</w:t>
            </w:r>
          </w:p>
          <w:p w:rsidR="00863CEA" w:rsidRPr="000D28E6" w:rsidP="00234346" w14:paraId="06C8993F" w14:textId="77777777">
            <w:pPr>
              <w:keepNext/>
              <w:keepLines/>
              <w:autoSpaceDE w:val="0"/>
              <w:autoSpaceDN w:val="0"/>
              <w:adjustRightInd w:val="0"/>
              <w:jc w:val="center"/>
              <w:rPr>
                <w:rFonts w:eastAsia="SimSun"/>
                <w:strike/>
                <w:noProof/>
                <w:lang w:val="en-GB"/>
              </w:rPr>
            </w:pPr>
            <w:r w:rsidRPr="000D28E6">
              <w:rPr>
                <w:rFonts w:eastAsia="SimSun"/>
                <w:bCs/>
                <w:lang w:val="en-GB" w:eastAsia="zh-CN"/>
              </w:rPr>
              <w:t>40.8</w:t>
            </w:r>
          </w:p>
        </w:tc>
        <w:tc>
          <w:tcPr>
            <w:tcW w:w="1418" w:type="dxa"/>
          </w:tcPr>
          <w:p w:rsidR="00863CEA" w:rsidRPr="000D28E6" w:rsidP="00234346" w14:paraId="58ABCA25" w14:textId="77777777">
            <w:pPr>
              <w:keepNext/>
              <w:keepLines/>
              <w:autoSpaceDE w:val="0"/>
              <w:autoSpaceDN w:val="0"/>
              <w:adjustRightInd w:val="0"/>
              <w:jc w:val="center"/>
              <w:rPr>
                <w:rFonts w:eastAsia="SimSun"/>
                <w:strike/>
                <w:noProof/>
                <w:lang w:val="en-GB"/>
              </w:rPr>
            </w:pPr>
          </w:p>
          <w:p w:rsidR="001E6D40" w:rsidRPr="000D28E6" w:rsidP="00234346" w14:paraId="5176D97D" w14:textId="77777777">
            <w:pPr>
              <w:keepNext/>
              <w:keepLines/>
              <w:autoSpaceDE w:val="0"/>
              <w:autoSpaceDN w:val="0"/>
              <w:adjustRightInd w:val="0"/>
              <w:jc w:val="center"/>
              <w:rPr>
                <w:rFonts w:eastAsia="SimSun"/>
                <w:strike/>
                <w:noProof/>
                <w:lang w:val="en-GB"/>
              </w:rPr>
            </w:pPr>
          </w:p>
          <w:p w:rsidR="001B3F0F" w:rsidRPr="000D28E6" w:rsidP="00234346" w14:paraId="57826767" w14:textId="77777777">
            <w:pPr>
              <w:keepNext/>
              <w:keepLines/>
              <w:autoSpaceDE w:val="0"/>
              <w:autoSpaceDN w:val="0"/>
              <w:adjustRightInd w:val="0"/>
              <w:jc w:val="center"/>
              <w:rPr>
                <w:rFonts w:eastAsia="SimSun"/>
                <w:strike/>
                <w:noProof/>
                <w:lang w:val="en-GB"/>
              </w:rPr>
            </w:pPr>
          </w:p>
          <w:p w:rsidR="00A704E1" w:rsidRPr="000D28E6" w:rsidP="00A704E1" w14:paraId="40C5AFD6"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168 (41.8%)</w:t>
            </w:r>
          </w:p>
          <w:p w:rsidR="00863CEA" w:rsidRPr="000D28E6" w:rsidP="00234346" w14:paraId="7AF78146" w14:textId="77777777">
            <w:pPr>
              <w:keepNext/>
              <w:keepLines/>
              <w:autoSpaceDE w:val="0"/>
              <w:autoSpaceDN w:val="0"/>
              <w:adjustRightInd w:val="0"/>
              <w:jc w:val="center"/>
              <w:rPr>
                <w:rFonts w:eastAsia="SimSun"/>
                <w:strike/>
                <w:noProof/>
                <w:lang w:val="en-GB"/>
              </w:rPr>
            </w:pPr>
            <w:r w:rsidRPr="000D28E6">
              <w:rPr>
                <w:rFonts w:eastAsia="SimSun"/>
                <w:bCs/>
                <w:lang w:val="en-GB" w:eastAsia="zh-CN"/>
              </w:rPr>
              <w:t>56.5</w:t>
            </w:r>
          </w:p>
        </w:tc>
        <w:tc>
          <w:tcPr>
            <w:tcW w:w="1275" w:type="dxa"/>
          </w:tcPr>
          <w:p w:rsidR="00863CEA" w:rsidRPr="000D28E6" w:rsidP="00234346" w14:paraId="04276726" w14:textId="77777777">
            <w:pPr>
              <w:keepNext/>
              <w:keepLines/>
              <w:autoSpaceDE w:val="0"/>
              <w:autoSpaceDN w:val="0"/>
              <w:adjustRightInd w:val="0"/>
              <w:jc w:val="center"/>
              <w:rPr>
                <w:rFonts w:eastAsia="SimSun"/>
                <w:strike/>
                <w:noProof/>
                <w:lang w:val="en-GB"/>
              </w:rPr>
            </w:pPr>
          </w:p>
          <w:p w:rsidR="001E6D40" w:rsidRPr="000D28E6" w:rsidP="00234346" w14:paraId="76ACD4EC" w14:textId="77777777">
            <w:pPr>
              <w:keepNext/>
              <w:keepLines/>
              <w:autoSpaceDE w:val="0"/>
              <w:autoSpaceDN w:val="0"/>
              <w:adjustRightInd w:val="0"/>
              <w:jc w:val="center"/>
              <w:rPr>
                <w:rFonts w:eastAsia="SimSun"/>
                <w:bCs/>
                <w:lang w:val="en-GB" w:eastAsia="zh-CN"/>
              </w:rPr>
            </w:pPr>
          </w:p>
          <w:p w:rsidR="001B3F0F" w:rsidRPr="000D28E6" w:rsidP="00234346" w14:paraId="5F7163CF" w14:textId="77777777">
            <w:pPr>
              <w:keepNext/>
              <w:keepLines/>
              <w:autoSpaceDE w:val="0"/>
              <w:autoSpaceDN w:val="0"/>
              <w:adjustRightInd w:val="0"/>
              <w:jc w:val="center"/>
              <w:rPr>
                <w:rFonts w:eastAsia="SimSun"/>
                <w:bCs/>
                <w:lang w:val="en-GB" w:eastAsia="zh-CN"/>
              </w:rPr>
            </w:pPr>
          </w:p>
          <w:p w:rsidR="00A704E1" w:rsidRPr="000D28E6" w:rsidP="00A704E1" w14:paraId="1C0EE2A1"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0.68</w:t>
            </w:r>
          </w:p>
          <w:p w:rsidR="00152798" w:rsidRPr="000D28E6" w:rsidP="00234346" w14:paraId="0218F995" w14:textId="77777777">
            <w:pPr>
              <w:keepNext/>
              <w:keepLines/>
              <w:autoSpaceDE w:val="0"/>
              <w:autoSpaceDN w:val="0"/>
              <w:adjustRightInd w:val="0"/>
              <w:jc w:val="center"/>
              <w:rPr>
                <w:rFonts w:eastAsia="SimSun"/>
                <w:strike/>
                <w:noProof/>
                <w:lang w:val="en-GB"/>
              </w:rPr>
            </w:pPr>
            <w:r w:rsidRPr="000D28E6">
              <w:rPr>
                <w:rFonts w:eastAsia="SimSun"/>
                <w:bCs/>
                <w:lang w:val="en-GB" w:eastAsia="zh-CN"/>
              </w:rPr>
              <w:t>[0.56;0.84]</w:t>
            </w:r>
          </w:p>
        </w:tc>
        <w:tc>
          <w:tcPr>
            <w:tcW w:w="1418" w:type="dxa"/>
          </w:tcPr>
          <w:p w:rsidR="00863CEA" w:rsidRPr="000D28E6" w:rsidP="00234346" w14:paraId="132B7A5C" w14:textId="77777777">
            <w:pPr>
              <w:keepNext/>
              <w:keepLines/>
              <w:autoSpaceDE w:val="0"/>
              <w:autoSpaceDN w:val="0"/>
              <w:adjustRightInd w:val="0"/>
              <w:jc w:val="center"/>
              <w:rPr>
                <w:rFonts w:eastAsia="SimSun"/>
                <w:strike/>
                <w:noProof/>
                <w:lang w:val="en-GB"/>
              </w:rPr>
            </w:pPr>
          </w:p>
          <w:p w:rsidR="00863CEA" w:rsidRPr="000D28E6" w:rsidP="00234346" w14:paraId="0601DBDE" w14:textId="77777777">
            <w:pPr>
              <w:keepNext/>
              <w:keepLines/>
              <w:autoSpaceDE w:val="0"/>
              <w:autoSpaceDN w:val="0"/>
              <w:adjustRightInd w:val="0"/>
              <w:jc w:val="center"/>
              <w:rPr>
                <w:rFonts w:eastAsia="SimSun"/>
                <w:bCs/>
                <w:strike/>
                <w:lang w:val="en-GB" w:eastAsia="zh-CN"/>
              </w:rPr>
            </w:pPr>
          </w:p>
          <w:p w:rsidR="00152798" w:rsidRPr="000D28E6" w:rsidP="00234346" w14:paraId="105C7FDC" w14:textId="77777777">
            <w:pPr>
              <w:keepNext/>
              <w:keepLines/>
              <w:autoSpaceDE w:val="0"/>
              <w:autoSpaceDN w:val="0"/>
              <w:adjustRightInd w:val="0"/>
              <w:jc w:val="center"/>
              <w:rPr>
                <w:rFonts w:eastAsia="SimSun"/>
                <w:strike/>
                <w:noProof/>
                <w:lang w:val="en-GB"/>
              </w:rPr>
            </w:pPr>
          </w:p>
          <w:p w:rsidR="00152798" w:rsidRPr="000D28E6" w:rsidP="00234346" w14:paraId="47A1D4D7"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0.0002</w:t>
            </w:r>
          </w:p>
        </w:tc>
      </w:tr>
      <w:tr w14:paraId="5AA231B5" w14:textId="77777777" w:rsidTr="004F3092">
        <w:tblPrEx>
          <w:tblW w:w="0" w:type="auto"/>
          <w:tblInd w:w="108" w:type="dxa"/>
          <w:tblLayout w:type="fixed"/>
          <w:tblLook w:val="01E0"/>
        </w:tblPrEx>
        <w:trPr>
          <w:trHeight w:val="420"/>
        </w:trPr>
        <w:tc>
          <w:tcPr>
            <w:tcW w:w="3261" w:type="dxa"/>
          </w:tcPr>
          <w:p w:rsidR="00863CEA" w:rsidRPr="000D28E6" w:rsidP="00234346" w14:paraId="11027B8F" w14:textId="77777777">
            <w:pPr>
              <w:keepNext/>
              <w:keepLines/>
              <w:autoSpaceDE w:val="0"/>
              <w:autoSpaceDN w:val="0"/>
              <w:adjustRightInd w:val="0"/>
              <w:rPr>
                <w:rFonts w:eastAsia="SimSun"/>
                <w:b/>
                <w:bCs/>
                <w:lang w:val="en-GB" w:eastAsia="zh-CN"/>
              </w:rPr>
            </w:pPr>
            <w:r w:rsidRPr="000D28E6">
              <w:rPr>
                <w:rFonts w:eastAsia="SimSun"/>
                <w:b/>
                <w:bCs/>
                <w:lang w:val="en-GB" w:eastAsia="zh-CN"/>
              </w:rPr>
              <w:t>Objective Response Rate (ORR)^</w:t>
            </w:r>
            <w:r w:rsidRPr="000D28E6" w:rsidR="00D31B02">
              <w:rPr>
                <w:rFonts w:eastAsia="SimSun"/>
                <w:b/>
                <w:bCs/>
                <w:lang w:val="en-GB" w:eastAsia="zh-CN"/>
              </w:rPr>
              <w:t xml:space="preserve"> - secondary endpoint</w:t>
            </w:r>
          </w:p>
          <w:p w:rsidR="00863CEA" w:rsidRPr="000D28E6" w:rsidP="00234346" w14:paraId="274AE508" w14:textId="77777777">
            <w:pPr>
              <w:keepNext/>
              <w:keepLines/>
              <w:autoSpaceDE w:val="0"/>
              <w:autoSpaceDN w:val="0"/>
              <w:adjustRightInd w:val="0"/>
              <w:rPr>
                <w:rFonts w:eastAsia="SimSun"/>
                <w:bCs/>
                <w:lang w:val="en-GB" w:eastAsia="zh-CN"/>
              </w:rPr>
            </w:pPr>
            <w:r w:rsidRPr="000D28E6">
              <w:rPr>
                <w:rFonts w:eastAsia="SimSun"/>
                <w:bCs/>
                <w:lang w:val="en-GB" w:eastAsia="zh-CN"/>
              </w:rPr>
              <w:t xml:space="preserve">no. of patients with </w:t>
            </w:r>
            <w:r w:rsidRPr="000D28E6" w:rsidR="00144CC5">
              <w:rPr>
                <w:rFonts w:eastAsia="SimSun"/>
                <w:bCs/>
                <w:lang w:val="en-GB" w:eastAsia="zh-CN"/>
              </w:rPr>
              <w:t>measurable disease</w:t>
            </w:r>
          </w:p>
          <w:p w:rsidR="00863CEA" w:rsidRPr="000D28E6" w:rsidP="00234346" w14:paraId="7F4133B4" w14:textId="77777777">
            <w:pPr>
              <w:keepNext/>
              <w:keepLines/>
              <w:rPr>
                <w:rFonts w:eastAsia="SimSun"/>
                <w:lang w:val="en-GB" w:eastAsia="zh-CN"/>
              </w:rPr>
            </w:pPr>
            <w:r w:rsidRPr="000D28E6">
              <w:rPr>
                <w:rFonts w:eastAsia="SimSun"/>
                <w:lang w:val="en-GB" w:eastAsia="zh-CN"/>
              </w:rPr>
              <w:t>Responders**</w:t>
            </w:r>
            <w:r w:rsidRPr="000D28E6" w:rsidR="00562671">
              <w:rPr>
                <w:rFonts w:eastAsia="SimSun"/>
                <w:lang w:val="en-GB" w:eastAsia="zh-CN"/>
              </w:rPr>
              <w:t>*</w:t>
            </w:r>
            <w:r w:rsidRPr="000D28E6">
              <w:rPr>
                <w:rFonts w:eastAsia="SimSun"/>
                <w:lang w:val="en-GB" w:eastAsia="zh-CN"/>
              </w:rPr>
              <w:t xml:space="preserve">                                      </w:t>
            </w:r>
          </w:p>
          <w:p w:rsidR="00863CEA" w:rsidRPr="000D28E6" w:rsidP="00234346" w14:paraId="03696B64" w14:textId="77777777">
            <w:pPr>
              <w:keepNext/>
              <w:keepLines/>
              <w:rPr>
                <w:rFonts w:eastAsia="SimSun"/>
                <w:lang w:val="en-GB" w:eastAsia="zh-CN"/>
              </w:rPr>
            </w:pPr>
            <w:r w:rsidRPr="000D28E6">
              <w:rPr>
                <w:rFonts w:eastAsia="SimSun"/>
                <w:lang w:val="en-GB" w:eastAsia="zh-CN"/>
              </w:rPr>
              <w:t xml:space="preserve">95% CI for ORR           </w:t>
            </w:r>
          </w:p>
          <w:p w:rsidR="00863CEA" w:rsidRPr="000D28E6" w:rsidP="00234346" w14:paraId="7E499D7D" w14:textId="77777777">
            <w:pPr>
              <w:keepNext/>
              <w:keepLines/>
              <w:rPr>
                <w:rFonts w:eastAsia="SimSun"/>
                <w:lang w:val="en-GB" w:eastAsia="zh-CN"/>
              </w:rPr>
            </w:pPr>
            <w:r w:rsidRPr="000D28E6">
              <w:rPr>
                <w:rFonts w:eastAsia="SimSun"/>
                <w:lang w:val="en-GB" w:eastAsia="zh-CN"/>
              </w:rPr>
              <w:t xml:space="preserve">Complete response (CR)                            </w:t>
            </w:r>
          </w:p>
          <w:p w:rsidR="00863CEA" w:rsidRPr="000D28E6" w:rsidP="00234346" w14:paraId="692BAD28" w14:textId="77777777">
            <w:pPr>
              <w:keepNext/>
              <w:keepLines/>
              <w:rPr>
                <w:rFonts w:eastAsia="SimSun"/>
                <w:lang w:val="en-GB" w:eastAsia="zh-CN"/>
              </w:rPr>
            </w:pPr>
            <w:r w:rsidRPr="000D28E6">
              <w:rPr>
                <w:rFonts w:eastAsia="SimSun"/>
                <w:lang w:val="en-GB" w:eastAsia="zh-CN"/>
              </w:rPr>
              <w:t xml:space="preserve">Partial Response (PR)                            </w:t>
            </w:r>
          </w:p>
          <w:p w:rsidR="00863CEA" w:rsidRPr="000D28E6" w:rsidP="00234346" w14:paraId="4B9ED530" w14:textId="77777777">
            <w:pPr>
              <w:keepNext/>
              <w:keepLines/>
              <w:rPr>
                <w:rFonts w:eastAsia="SimSun"/>
                <w:lang w:val="en-GB" w:eastAsia="zh-CN"/>
              </w:rPr>
            </w:pPr>
            <w:r w:rsidRPr="000D28E6">
              <w:rPr>
                <w:rFonts w:eastAsia="SimSun"/>
                <w:lang w:val="en-GB" w:eastAsia="zh-CN"/>
              </w:rPr>
              <w:t xml:space="preserve">Stable disease (SD)                               </w:t>
            </w:r>
          </w:p>
          <w:p w:rsidR="00863CEA" w:rsidRPr="000D28E6" w:rsidP="00234346" w14:paraId="27655D5E" w14:textId="77777777">
            <w:pPr>
              <w:keepNext/>
              <w:keepLines/>
              <w:rPr>
                <w:rFonts w:eastAsia="SimSun"/>
                <w:lang w:val="en-GB" w:eastAsia="zh-CN"/>
              </w:rPr>
            </w:pPr>
            <w:r w:rsidRPr="000D28E6">
              <w:rPr>
                <w:rFonts w:eastAsia="SimSun"/>
                <w:lang w:val="en-GB" w:eastAsia="zh-CN"/>
              </w:rPr>
              <w:t xml:space="preserve">Progressive disease (PD)                          </w:t>
            </w:r>
          </w:p>
        </w:tc>
        <w:tc>
          <w:tcPr>
            <w:tcW w:w="1417" w:type="dxa"/>
          </w:tcPr>
          <w:p w:rsidR="00863CEA" w:rsidRPr="000D28E6" w:rsidP="00234346" w14:paraId="76BBAB33" w14:textId="77777777">
            <w:pPr>
              <w:keepNext/>
              <w:keepLines/>
              <w:autoSpaceDE w:val="0"/>
              <w:autoSpaceDN w:val="0"/>
              <w:adjustRightInd w:val="0"/>
              <w:jc w:val="center"/>
              <w:rPr>
                <w:rFonts w:eastAsia="SimSun"/>
                <w:bCs/>
                <w:lang w:val="en-GB" w:eastAsia="zh-CN"/>
              </w:rPr>
            </w:pPr>
          </w:p>
          <w:p w:rsidR="00863CEA" w:rsidRPr="000D28E6" w:rsidP="00234346" w14:paraId="18A3AB61" w14:textId="77777777">
            <w:pPr>
              <w:keepNext/>
              <w:keepLines/>
              <w:autoSpaceDE w:val="0"/>
              <w:autoSpaceDN w:val="0"/>
              <w:adjustRightInd w:val="0"/>
              <w:jc w:val="center"/>
              <w:rPr>
                <w:rFonts w:eastAsia="SimSun"/>
                <w:bCs/>
                <w:lang w:val="en-GB" w:eastAsia="zh-CN"/>
              </w:rPr>
            </w:pPr>
          </w:p>
          <w:p w:rsidR="00144CC5" w:rsidRPr="000D28E6" w:rsidP="00234346" w14:paraId="59F278A3" w14:textId="77777777">
            <w:pPr>
              <w:keepNext/>
              <w:keepLines/>
              <w:autoSpaceDE w:val="0"/>
              <w:autoSpaceDN w:val="0"/>
              <w:adjustRightInd w:val="0"/>
              <w:jc w:val="center"/>
              <w:rPr>
                <w:rFonts w:eastAsia="SimSun"/>
                <w:bCs/>
                <w:lang w:val="en-GB" w:eastAsia="zh-CN"/>
              </w:rPr>
            </w:pPr>
          </w:p>
          <w:p w:rsidR="00863CEA" w:rsidRPr="000D28E6" w:rsidP="00234346" w14:paraId="460ADB3C"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336</w:t>
            </w:r>
          </w:p>
          <w:p w:rsidR="00863CEA" w:rsidRPr="000D28E6" w:rsidP="00234346" w14:paraId="2989545B"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233 (69.3%)</w:t>
            </w:r>
          </w:p>
          <w:p w:rsidR="00863CEA" w:rsidRPr="000D28E6" w:rsidP="00234346" w14:paraId="1475EC72"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[64.1; 74.2]</w:t>
            </w:r>
          </w:p>
          <w:p w:rsidR="00863CEA" w:rsidRPr="000D28E6" w:rsidP="00234346" w14:paraId="0AFC8C89"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14 (4.2%)</w:t>
            </w:r>
          </w:p>
          <w:p w:rsidR="00863CEA" w:rsidRPr="000D28E6" w:rsidP="00234346" w14:paraId="15A82350"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219 (65.2%)</w:t>
            </w:r>
          </w:p>
          <w:p w:rsidR="00863CEA" w:rsidRPr="000D28E6" w:rsidP="00234346" w14:paraId="6E5F68BC"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70 (20.8%)</w:t>
            </w:r>
          </w:p>
          <w:p w:rsidR="00863CEA" w:rsidRPr="000D28E6" w:rsidP="00234346" w14:paraId="5D41E8BC"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28 (8.3%)</w:t>
            </w:r>
          </w:p>
        </w:tc>
        <w:tc>
          <w:tcPr>
            <w:tcW w:w="1418" w:type="dxa"/>
          </w:tcPr>
          <w:p w:rsidR="00863CEA" w:rsidRPr="000D28E6" w:rsidP="00234346" w14:paraId="448A587A" w14:textId="77777777">
            <w:pPr>
              <w:keepNext/>
              <w:keepLines/>
              <w:autoSpaceDE w:val="0"/>
              <w:autoSpaceDN w:val="0"/>
              <w:adjustRightInd w:val="0"/>
              <w:jc w:val="center"/>
              <w:rPr>
                <w:rFonts w:eastAsia="SimSun"/>
                <w:bCs/>
                <w:lang w:val="en-GB" w:eastAsia="zh-CN"/>
              </w:rPr>
            </w:pPr>
          </w:p>
          <w:p w:rsidR="00863CEA" w:rsidRPr="000D28E6" w:rsidP="00234346" w14:paraId="0A71148B" w14:textId="77777777">
            <w:pPr>
              <w:keepNext/>
              <w:keepLines/>
              <w:autoSpaceDE w:val="0"/>
              <w:autoSpaceDN w:val="0"/>
              <w:adjustRightInd w:val="0"/>
              <w:jc w:val="center"/>
              <w:rPr>
                <w:rFonts w:eastAsia="SimSun"/>
                <w:bCs/>
                <w:lang w:val="en-GB" w:eastAsia="zh-CN"/>
              </w:rPr>
            </w:pPr>
          </w:p>
          <w:p w:rsidR="00144CC5" w:rsidRPr="000D28E6" w:rsidP="00234346" w14:paraId="2F2DD244" w14:textId="77777777">
            <w:pPr>
              <w:keepNext/>
              <w:keepLines/>
              <w:autoSpaceDE w:val="0"/>
              <w:autoSpaceDN w:val="0"/>
              <w:adjustRightInd w:val="0"/>
              <w:jc w:val="center"/>
              <w:rPr>
                <w:rFonts w:eastAsia="SimSun"/>
                <w:bCs/>
                <w:lang w:val="en-GB" w:eastAsia="zh-CN"/>
              </w:rPr>
            </w:pPr>
          </w:p>
          <w:p w:rsidR="00863CEA" w:rsidRPr="000D28E6" w:rsidP="00234346" w14:paraId="0BE85645"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343</w:t>
            </w:r>
          </w:p>
          <w:p w:rsidR="00863CEA" w:rsidRPr="000D28E6" w:rsidP="00234346" w14:paraId="6B424731"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275 (80.2%)</w:t>
            </w:r>
          </w:p>
          <w:p w:rsidR="00863CEA" w:rsidRPr="000D28E6" w:rsidP="00234346" w14:paraId="68B2107E"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[75.6; 84.3]</w:t>
            </w:r>
          </w:p>
          <w:p w:rsidR="00863CEA" w:rsidRPr="000D28E6" w:rsidP="00234346" w14:paraId="122FAEFB"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19 (5.5%)</w:t>
            </w:r>
          </w:p>
          <w:p w:rsidR="00863CEA" w:rsidRPr="000D28E6" w:rsidP="00234346" w14:paraId="4A589AAA"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256 (74.6%)</w:t>
            </w:r>
          </w:p>
          <w:p w:rsidR="00863CEA" w:rsidRPr="000D28E6" w:rsidP="00234346" w14:paraId="44325089"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50 (14.6%)</w:t>
            </w:r>
          </w:p>
          <w:p w:rsidR="00863CEA" w:rsidRPr="000D28E6" w:rsidP="00234346" w14:paraId="59487D5F"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13 (3.8 %)</w:t>
            </w:r>
          </w:p>
        </w:tc>
        <w:tc>
          <w:tcPr>
            <w:tcW w:w="1275" w:type="dxa"/>
          </w:tcPr>
          <w:p w:rsidR="00152798" w:rsidRPr="000D28E6" w:rsidP="00234346" w14:paraId="4CFE8B0A" w14:textId="77777777">
            <w:pPr>
              <w:keepNext/>
              <w:keepLines/>
              <w:autoSpaceDE w:val="0"/>
              <w:autoSpaceDN w:val="0"/>
              <w:adjustRightInd w:val="0"/>
              <w:jc w:val="center"/>
              <w:rPr>
                <w:rFonts w:eastAsia="SimSun"/>
                <w:bCs/>
                <w:lang w:val="en-GB" w:eastAsia="zh-CN"/>
              </w:rPr>
            </w:pPr>
          </w:p>
          <w:p w:rsidR="00152798" w:rsidRPr="000D28E6" w:rsidP="00234346" w14:paraId="5C28DD31" w14:textId="77777777">
            <w:pPr>
              <w:keepNext/>
              <w:keepLines/>
              <w:autoSpaceDE w:val="0"/>
              <w:autoSpaceDN w:val="0"/>
              <w:adjustRightInd w:val="0"/>
              <w:jc w:val="center"/>
              <w:rPr>
                <w:rFonts w:eastAsia="SimSun"/>
                <w:bCs/>
                <w:lang w:val="en-GB" w:eastAsia="zh-CN"/>
              </w:rPr>
            </w:pPr>
          </w:p>
          <w:p w:rsidR="00144CC5" w:rsidRPr="000D28E6" w:rsidP="00234346" w14:paraId="26BA837C" w14:textId="77777777">
            <w:pPr>
              <w:keepNext/>
              <w:keepLines/>
              <w:autoSpaceDE w:val="0"/>
              <w:autoSpaceDN w:val="0"/>
              <w:adjustRightInd w:val="0"/>
              <w:jc w:val="center"/>
              <w:rPr>
                <w:rFonts w:eastAsia="SimSun"/>
                <w:bCs/>
                <w:lang w:val="en-GB" w:eastAsia="zh-CN"/>
              </w:rPr>
            </w:pPr>
          </w:p>
          <w:p w:rsidR="00152798" w:rsidRPr="000D28E6" w:rsidP="00234346" w14:paraId="5C52E7FD"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Difference in ORR:</w:t>
            </w:r>
          </w:p>
          <w:p w:rsidR="00152798" w:rsidRPr="000D28E6" w:rsidP="00234346" w14:paraId="739ABABC"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10.8%</w:t>
            </w:r>
          </w:p>
          <w:p w:rsidR="00152798" w:rsidRPr="000D28E6" w:rsidP="00234346" w14:paraId="11FAB8BC"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[4.2,17.5]</w:t>
            </w:r>
          </w:p>
        </w:tc>
        <w:tc>
          <w:tcPr>
            <w:tcW w:w="1418" w:type="dxa"/>
          </w:tcPr>
          <w:p w:rsidR="00152798" w:rsidRPr="000D28E6" w:rsidP="00234346" w14:paraId="5A8DB021" w14:textId="77777777">
            <w:pPr>
              <w:keepNext/>
              <w:keepLines/>
              <w:autoSpaceDE w:val="0"/>
              <w:autoSpaceDN w:val="0"/>
              <w:adjustRightInd w:val="0"/>
              <w:jc w:val="center"/>
              <w:rPr>
                <w:rFonts w:eastAsia="SimSun"/>
                <w:bCs/>
                <w:lang w:val="en-GB" w:eastAsia="zh-CN"/>
              </w:rPr>
            </w:pPr>
          </w:p>
          <w:p w:rsidR="00152798" w:rsidRPr="000D28E6" w:rsidP="00234346" w14:paraId="08AAC5CC" w14:textId="77777777">
            <w:pPr>
              <w:keepNext/>
              <w:keepLines/>
              <w:autoSpaceDE w:val="0"/>
              <w:autoSpaceDN w:val="0"/>
              <w:adjustRightInd w:val="0"/>
              <w:jc w:val="center"/>
              <w:rPr>
                <w:rFonts w:eastAsia="SimSun"/>
                <w:bCs/>
                <w:lang w:val="en-GB" w:eastAsia="zh-CN"/>
              </w:rPr>
            </w:pPr>
          </w:p>
          <w:p w:rsidR="00144CC5" w:rsidRPr="000D28E6" w:rsidP="00234346" w14:paraId="1A72D47D" w14:textId="77777777">
            <w:pPr>
              <w:keepNext/>
              <w:keepLines/>
              <w:autoSpaceDE w:val="0"/>
              <w:autoSpaceDN w:val="0"/>
              <w:adjustRightInd w:val="0"/>
              <w:jc w:val="center"/>
              <w:rPr>
                <w:rFonts w:eastAsia="SimSun"/>
                <w:bCs/>
                <w:lang w:val="en-GB" w:eastAsia="zh-CN"/>
              </w:rPr>
            </w:pPr>
          </w:p>
          <w:p w:rsidR="00152798" w:rsidRPr="000D28E6" w:rsidP="00234346" w14:paraId="424E8DC9" w14:textId="77777777">
            <w:pPr>
              <w:keepNext/>
              <w:keepLines/>
              <w:autoSpaceDE w:val="0"/>
              <w:autoSpaceDN w:val="0"/>
              <w:adjustRightInd w:val="0"/>
              <w:jc w:val="center"/>
              <w:rPr>
                <w:rFonts w:eastAsia="SimSun"/>
                <w:bCs/>
                <w:lang w:val="en-GB" w:eastAsia="zh-CN"/>
              </w:rPr>
            </w:pPr>
            <w:r w:rsidRPr="000D28E6">
              <w:rPr>
                <w:rFonts w:eastAsia="SimSun"/>
                <w:bCs/>
                <w:lang w:val="en-GB" w:eastAsia="zh-CN"/>
              </w:rPr>
              <w:t>0.0011</w:t>
            </w:r>
          </w:p>
        </w:tc>
      </w:tr>
      <w:tr w14:paraId="4F657796" w14:textId="77777777" w:rsidTr="004F3092">
        <w:tblPrEx>
          <w:tblW w:w="0" w:type="auto"/>
          <w:tblInd w:w="108" w:type="dxa"/>
          <w:tblLayout w:type="fixed"/>
          <w:tblLook w:val="01E0"/>
        </w:tblPrEx>
        <w:tc>
          <w:tcPr>
            <w:tcW w:w="3261" w:type="dxa"/>
          </w:tcPr>
          <w:p w:rsidR="00863CEA" w:rsidRPr="000D28E6" w:rsidP="00863CEA" w14:paraId="1B59D6DB" w14:textId="77777777">
            <w:pPr>
              <w:autoSpaceDE w:val="0"/>
              <w:autoSpaceDN w:val="0"/>
              <w:adjustRightInd w:val="0"/>
              <w:rPr>
                <w:rFonts w:eastAsia="SimSun"/>
                <w:b/>
                <w:bCs/>
                <w:lang w:val="en-GB" w:eastAsia="zh-CN"/>
              </w:rPr>
            </w:pPr>
            <w:r w:rsidRPr="000D28E6">
              <w:rPr>
                <w:rFonts w:eastAsia="SimSun"/>
                <w:b/>
                <w:bCs/>
                <w:lang w:val="en-GB" w:eastAsia="zh-CN"/>
              </w:rPr>
              <w:t xml:space="preserve">Duration of Response </w:t>
            </w:r>
            <w:r w:rsidRPr="000D28E6">
              <w:rPr>
                <w:rFonts w:eastAsia="SimSun"/>
                <w:lang w:val="en-GB" w:eastAsia="zh-CN"/>
              </w:rPr>
              <w:t>†</w:t>
            </w:r>
            <w:r w:rsidRPr="000D28E6">
              <w:rPr>
                <w:rFonts w:eastAsia="SimSun"/>
                <w:b/>
                <w:bCs/>
                <w:lang w:val="en-GB" w:eastAsia="zh-CN"/>
              </w:rPr>
              <w:t>^</w:t>
            </w:r>
          </w:p>
          <w:p w:rsidR="00863CEA" w:rsidRPr="000D28E6" w:rsidP="00863CEA" w14:paraId="60944AD3" w14:textId="77777777">
            <w:pPr>
              <w:autoSpaceDE w:val="0"/>
              <w:autoSpaceDN w:val="0"/>
              <w:adjustRightInd w:val="0"/>
              <w:rPr>
                <w:rFonts w:eastAsia="SimSun"/>
                <w:bCs/>
                <w:lang w:val="en-GB" w:eastAsia="zh-CN"/>
              </w:rPr>
            </w:pPr>
            <w:r w:rsidRPr="000D28E6">
              <w:rPr>
                <w:rFonts w:eastAsia="SimSun"/>
                <w:bCs/>
                <w:lang w:val="en-GB" w:eastAsia="zh-CN"/>
              </w:rPr>
              <w:t>n=</w:t>
            </w:r>
          </w:p>
          <w:p w:rsidR="00863CEA" w:rsidRPr="000D28E6" w:rsidP="00863CEA" w14:paraId="3407747E" w14:textId="77777777">
            <w:pPr>
              <w:autoSpaceDE w:val="0"/>
              <w:autoSpaceDN w:val="0"/>
              <w:adjustRightInd w:val="0"/>
              <w:rPr>
                <w:rFonts w:eastAsia="SimSun"/>
                <w:bCs/>
                <w:lang w:val="en-GB" w:eastAsia="zh-CN"/>
              </w:rPr>
            </w:pPr>
            <w:r w:rsidRPr="000D28E6">
              <w:rPr>
                <w:rFonts w:eastAsia="SimSun"/>
                <w:bCs/>
                <w:lang w:val="en-GB" w:eastAsia="zh-CN"/>
              </w:rPr>
              <w:t xml:space="preserve">Median weeks </w:t>
            </w:r>
          </w:p>
          <w:p w:rsidR="00863CEA" w:rsidRPr="000D28E6" w:rsidP="00863CEA" w14:paraId="1D0CD892" w14:textId="77777777">
            <w:pPr>
              <w:autoSpaceDE w:val="0"/>
              <w:autoSpaceDN w:val="0"/>
              <w:adjustRightInd w:val="0"/>
              <w:rPr>
                <w:rFonts w:eastAsia="SimSun"/>
                <w:b/>
                <w:bCs/>
                <w:lang w:val="en-GB" w:eastAsia="zh-CN"/>
              </w:rPr>
            </w:pPr>
            <w:r w:rsidRPr="000D28E6">
              <w:rPr>
                <w:rFonts w:eastAsia="SimSun"/>
                <w:bCs/>
                <w:lang w:val="en-GB" w:eastAsia="zh-CN"/>
              </w:rPr>
              <w:t>95% CI for Median</w:t>
            </w:r>
          </w:p>
        </w:tc>
        <w:tc>
          <w:tcPr>
            <w:tcW w:w="1417" w:type="dxa"/>
          </w:tcPr>
          <w:p w:rsidR="00863CEA" w:rsidRPr="000D28E6" w:rsidP="00863CEA" w14:paraId="10DD27DE" w14:textId="77777777">
            <w:pPr>
              <w:autoSpaceDE w:val="0"/>
              <w:autoSpaceDN w:val="0"/>
              <w:adjustRightInd w:val="0"/>
              <w:jc w:val="center"/>
              <w:rPr>
                <w:rFonts w:eastAsia="SimSun"/>
                <w:bCs/>
                <w:lang w:val="en-GB" w:eastAsia="zh-CN"/>
              </w:rPr>
            </w:pPr>
          </w:p>
          <w:p w:rsidR="00863CEA" w:rsidRPr="000D28E6" w:rsidP="00863CEA" w14:paraId="0F4F266D" w14:textId="77777777">
            <w:pPr>
              <w:autoSpaceDE w:val="0"/>
              <w:autoSpaceDN w:val="0"/>
              <w:adjustRightInd w:val="0"/>
              <w:jc w:val="center"/>
              <w:rPr>
                <w:rFonts w:eastAsia="SimSun"/>
                <w:bCs/>
                <w:lang w:val="en-GB" w:eastAsia="zh-CN"/>
              </w:rPr>
            </w:pPr>
            <w:r w:rsidRPr="000D28E6">
              <w:rPr>
                <w:rFonts w:eastAsia="SimSun"/>
                <w:bCs/>
                <w:lang w:val="en-GB" w:eastAsia="zh-CN"/>
              </w:rPr>
              <w:t>233</w:t>
            </w:r>
          </w:p>
          <w:p w:rsidR="00863CEA" w:rsidRPr="000D28E6" w:rsidP="00863CEA" w14:paraId="6A81CE9B" w14:textId="77777777">
            <w:pPr>
              <w:autoSpaceDE w:val="0"/>
              <w:autoSpaceDN w:val="0"/>
              <w:adjustRightInd w:val="0"/>
              <w:jc w:val="center"/>
              <w:rPr>
                <w:rFonts w:eastAsia="SimSun"/>
                <w:bCs/>
                <w:lang w:val="en-GB" w:eastAsia="zh-CN"/>
              </w:rPr>
            </w:pPr>
            <w:r w:rsidRPr="000D28E6">
              <w:rPr>
                <w:rFonts w:eastAsia="SimSun"/>
                <w:bCs/>
                <w:lang w:val="en-GB" w:eastAsia="zh-CN"/>
              </w:rPr>
              <w:t>54.1</w:t>
            </w:r>
          </w:p>
          <w:p w:rsidR="00863CEA" w:rsidRPr="000D28E6" w:rsidP="00863CEA" w14:paraId="10DFF431" w14:textId="77777777">
            <w:pPr>
              <w:autoSpaceDE w:val="0"/>
              <w:autoSpaceDN w:val="0"/>
              <w:adjustRightInd w:val="0"/>
              <w:jc w:val="center"/>
              <w:rPr>
                <w:rFonts w:eastAsia="SimSun"/>
                <w:bCs/>
                <w:lang w:val="en-GB" w:eastAsia="zh-CN"/>
              </w:rPr>
            </w:pPr>
            <w:r>
              <w:rPr>
                <w:rFonts w:eastAsia="SimSun"/>
                <w:bCs/>
                <w:lang w:val="en-GB" w:eastAsia="zh-CN"/>
              </w:rPr>
              <w:t>[46;6</w:t>
            </w:r>
            <w:r w:rsidRPr="000D28E6">
              <w:rPr>
                <w:rFonts w:eastAsia="SimSun"/>
                <w:bCs/>
                <w:lang w:val="en-GB" w:eastAsia="zh-CN"/>
              </w:rPr>
              <w:t>4]</w:t>
            </w:r>
          </w:p>
        </w:tc>
        <w:tc>
          <w:tcPr>
            <w:tcW w:w="1418" w:type="dxa"/>
          </w:tcPr>
          <w:p w:rsidR="00863CEA" w:rsidRPr="000D28E6" w:rsidP="00863CEA" w14:paraId="7AA7B425" w14:textId="77777777">
            <w:pPr>
              <w:autoSpaceDE w:val="0"/>
              <w:autoSpaceDN w:val="0"/>
              <w:adjustRightInd w:val="0"/>
              <w:jc w:val="center"/>
              <w:rPr>
                <w:rFonts w:eastAsia="SimSun"/>
                <w:bCs/>
                <w:lang w:val="en-GB" w:eastAsia="zh-CN"/>
              </w:rPr>
            </w:pPr>
          </w:p>
          <w:p w:rsidR="00863CEA" w:rsidRPr="000D28E6" w:rsidP="00863CEA" w14:paraId="0EB6E010" w14:textId="77777777">
            <w:pPr>
              <w:autoSpaceDE w:val="0"/>
              <w:autoSpaceDN w:val="0"/>
              <w:adjustRightInd w:val="0"/>
              <w:jc w:val="center"/>
              <w:rPr>
                <w:rFonts w:eastAsia="SimSun"/>
                <w:bCs/>
                <w:lang w:val="en-GB" w:eastAsia="zh-CN"/>
              </w:rPr>
            </w:pPr>
            <w:r w:rsidRPr="000D28E6">
              <w:rPr>
                <w:rFonts w:eastAsia="SimSun"/>
                <w:bCs/>
                <w:lang w:val="en-GB" w:eastAsia="zh-CN"/>
              </w:rPr>
              <w:t>275</w:t>
            </w:r>
          </w:p>
          <w:p w:rsidR="00863CEA" w:rsidRPr="000D28E6" w:rsidP="00863CEA" w14:paraId="18BE7997" w14:textId="77777777">
            <w:pPr>
              <w:autoSpaceDE w:val="0"/>
              <w:autoSpaceDN w:val="0"/>
              <w:adjustRightInd w:val="0"/>
              <w:jc w:val="center"/>
              <w:rPr>
                <w:rFonts w:eastAsia="SimSun"/>
                <w:bCs/>
                <w:lang w:val="en-GB" w:eastAsia="zh-CN"/>
              </w:rPr>
            </w:pPr>
            <w:r w:rsidRPr="000D28E6">
              <w:rPr>
                <w:rFonts w:eastAsia="SimSun"/>
                <w:bCs/>
                <w:lang w:val="en-GB" w:eastAsia="zh-CN"/>
              </w:rPr>
              <w:t>87.6</w:t>
            </w:r>
          </w:p>
          <w:p w:rsidR="00863CEA" w:rsidRPr="000D28E6" w:rsidP="00863CEA" w14:paraId="5E4B5D09" w14:textId="77777777">
            <w:pPr>
              <w:autoSpaceDE w:val="0"/>
              <w:autoSpaceDN w:val="0"/>
              <w:adjustRightInd w:val="0"/>
              <w:jc w:val="center"/>
              <w:rPr>
                <w:rFonts w:eastAsia="SimSun"/>
                <w:bCs/>
                <w:lang w:val="en-GB" w:eastAsia="zh-CN"/>
              </w:rPr>
            </w:pPr>
            <w:r w:rsidRPr="000D28E6">
              <w:rPr>
                <w:rFonts w:eastAsia="SimSun"/>
                <w:bCs/>
                <w:lang w:val="en-GB" w:eastAsia="zh-CN"/>
              </w:rPr>
              <w:t>[71;106]</w:t>
            </w:r>
          </w:p>
        </w:tc>
        <w:tc>
          <w:tcPr>
            <w:tcW w:w="1275" w:type="dxa"/>
          </w:tcPr>
          <w:p w:rsidR="00863CEA" w:rsidRPr="000D28E6" w:rsidP="00863CEA" w14:paraId="0C3D118B" w14:textId="77777777">
            <w:pPr>
              <w:autoSpaceDE w:val="0"/>
              <w:autoSpaceDN w:val="0"/>
              <w:adjustRightInd w:val="0"/>
              <w:jc w:val="center"/>
              <w:rPr>
                <w:rFonts w:eastAsia="SimSun"/>
                <w:bCs/>
                <w:lang w:val="en-GB" w:eastAsia="zh-CN"/>
              </w:rPr>
            </w:pPr>
          </w:p>
        </w:tc>
        <w:tc>
          <w:tcPr>
            <w:tcW w:w="1418" w:type="dxa"/>
          </w:tcPr>
          <w:p w:rsidR="00863CEA" w:rsidRPr="000D28E6" w:rsidP="00863CEA" w14:paraId="1DD6AADC" w14:textId="77777777">
            <w:pPr>
              <w:autoSpaceDE w:val="0"/>
              <w:autoSpaceDN w:val="0"/>
              <w:adjustRightInd w:val="0"/>
              <w:jc w:val="center"/>
              <w:rPr>
                <w:rFonts w:eastAsia="SimSun"/>
                <w:bCs/>
                <w:lang w:val="en-GB" w:eastAsia="zh-CN"/>
              </w:rPr>
            </w:pPr>
          </w:p>
        </w:tc>
      </w:tr>
    </w:tbl>
    <w:p w:rsidR="00907FFA" w:rsidRPr="000D28E6" w:rsidP="00B1798C" w14:paraId="02A9A224" w14:textId="77777777">
      <w:pPr>
        <w:ind w:left="180" w:hanging="180"/>
        <w:rPr>
          <w:sz w:val="20"/>
          <w:lang w:val="en-GB"/>
        </w:rPr>
      </w:pPr>
      <w:r w:rsidRPr="000D28E6">
        <w:rPr>
          <w:sz w:val="20"/>
          <w:lang w:val="en-GB"/>
        </w:rPr>
        <w:t>* Primary progression-free survival analysis, cutoff date 13</w:t>
      </w:r>
      <w:r w:rsidRPr="000D28E6">
        <w:rPr>
          <w:sz w:val="20"/>
          <w:vertAlign w:val="superscript"/>
          <w:lang w:val="en-GB"/>
        </w:rPr>
        <w:t>th</w:t>
      </w:r>
      <w:r w:rsidRPr="000D28E6">
        <w:rPr>
          <w:sz w:val="20"/>
          <w:lang w:val="en-GB"/>
        </w:rPr>
        <w:t xml:space="preserve"> May 2011</w:t>
      </w:r>
      <w:r w:rsidRPr="000D28E6" w:rsidR="00562671">
        <w:rPr>
          <w:sz w:val="20"/>
          <w:lang w:val="en-GB"/>
        </w:rPr>
        <w:t>.</w:t>
      </w:r>
    </w:p>
    <w:p w:rsidR="001E6D40" w:rsidRPr="004F3092" w:rsidP="00B1798C" w14:paraId="40BE0117" w14:textId="6E8F7030">
      <w:pPr>
        <w:ind w:left="180" w:hanging="180"/>
        <w:rPr>
          <w:sz w:val="20"/>
          <w:lang w:val="en-GB"/>
        </w:rPr>
      </w:pPr>
      <w:r w:rsidRPr="000D28E6">
        <w:rPr>
          <w:noProof/>
          <w:sz w:val="20"/>
          <w:lang w:val="en-GB"/>
        </w:rPr>
        <w:t>*</w:t>
      </w:r>
      <w:r w:rsidRPr="000D28E6" w:rsidR="009A7DA9">
        <w:rPr>
          <w:noProof/>
          <w:sz w:val="20"/>
          <w:lang w:val="en-GB"/>
        </w:rPr>
        <w:t>*</w:t>
      </w:r>
      <w:r w:rsidRPr="000D28E6">
        <w:rPr>
          <w:sz w:val="20"/>
          <w:lang w:val="en-GB"/>
        </w:rPr>
        <w:t xml:space="preserve"> </w:t>
      </w:r>
      <w:r w:rsidR="00612D16">
        <w:rPr>
          <w:sz w:val="20"/>
          <w:lang w:val="en-GB"/>
        </w:rPr>
        <w:t>Event-driven final overall survival analysis</w:t>
      </w:r>
      <w:r w:rsidRPr="000D28E6">
        <w:rPr>
          <w:sz w:val="20"/>
          <w:lang w:val="en-GB"/>
        </w:rPr>
        <w:t xml:space="preserve">, cutoff date </w:t>
      </w:r>
      <w:r w:rsidRPr="000D28E6" w:rsidR="0014126A">
        <w:rPr>
          <w:sz w:val="20"/>
          <w:lang w:val="en-GB"/>
        </w:rPr>
        <w:t>11</w:t>
      </w:r>
      <w:r w:rsidRPr="000D28E6" w:rsidR="0014126A">
        <w:rPr>
          <w:sz w:val="20"/>
          <w:vertAlign w:val="superscript"/>
          <w:lang w:val="en-GB"/>
        </w:rPr>
        <w:t>th</w:t>
      </w:r>
      <w:r w:rsidRPr="000D28E6" w:rsidR="0014126A">
        <w:rPr>
          <w:sz w:val="20"/>
          <w:lang w:val="en-GB"/>
        </w:rPr>
        <w:t xml:space="preserve"> </w:t>
      </w:r>
      <w:r w:rsidRPr="000D28E6">
        <w:rPr>
          <w:sz w:val="20"/>
          <w:lang w:val="en-GB"/>
        </w:rPr>
        <w:t>Feb</w:t>
      </w:r>
      <w:r w:rsidRPr="000D28E6" w:rsidR="009A7DA9">
        <w:rPr>
          <w:sz w:val="20"/>
          <w:lang w:val="en-GB"/>
        </w:rPr>
        <w:t>ruary</w:t>
      </w:r>
      <w:r w:rsidRPr="000D28E6">
        <w:rPr>
          <w:sz w:val="20"/>
          <w:lang w:val="en-GB"/>
        </w:rPr>
        <w:t xml:space="preserve"> 2014</w:t>
      </w:r>
      <w:r w:rsidRPr="000D28E6" w:rsidR="009A7DA9">
        <w:rPr>
          <w:sz w:val="20"/>
          <w:lang w:val="en-GB"/>
        </w:rPr>
        <w:t>.</w:t>
      </w:r>
    </w:p>
    <w:p w:rsidR="00863CEA" w:rsidRPr="000D28E6" w:rsidP="00863CEA" w14:paraId="543CAA2C" w14:textId="77777777">
      <w:pPr>
        <w:rPr>
          <w:rFonts w:eastAsia="SimSun"/>
          <w:noProof/>
          <w:sz w:val="20"/>
          <w:lang w:val="en-GB"/>
        </w:rPr>
      </w:pPr>
      <w:r w:rsidRPr="000D28E6">
        <w:rPr>
          <w:rFonts w:eastAsia="SimSun"/>
          <w:noProof/>
          <w:sz w:val="20"/>
          <w:lang w:val="en-GB"/>
        </w:rPr>
        <w:t>**</w:t>
      </w:r>
      <w:r w:rsidRPr="000D28E6" w:rsidR="00907FFA">
        <w:rPr>
          <w:rFonts w:eastAsia="SimSun"/>
          <w:noProof/>
          <w:sz w:val="20"/>
          <w:lang w:val="en-GB"/>
        </w:rPr>
        <w:t>*</w:t>
      </w:r>
      <w:r w:rsidRPr="000D28E6">
        <w:rPr>
          <w:rFonts w:eastAsia="SimSun"/>
          <w:noProof/>
          <w:sz w:val="20"/>
          <w:lang w:val="en-GB"/>
        </w:rPr>
        <w:t xml:space="preserve"> Patients with best overall response of confirmed CR or PR by RECIST.</w:t>
      </w:r>
    </w:p>
    <w:p w:rsidR="00863CEA" w:rsidRPr="000D28E6" w:rsidP="00863CEA" w14:paraId="36592A29" w14:textId="77777777">
      <w:pPr>
        <w:rPr>
          <w:rFonts w:eastAsia="SimSun"/>
          <w:noProof/>
          <w:sz w:val="20"/>
          <w:lang w:val="en-GB"/>
        </w:rPr>
      </w:pPr>
      <w:r w:rsidRPr="000D28E6">
        <w:rPr>
          <w:rFonts w:eastAsia="SimSun"/>
          <w:noProof/>
          <w:sz w:val="20"/>
          <w:lang w:val="en-GB"/>
        </w:rPr>
        <w:t>† Evaluated in patients with Best Overall Response of CR or PR</w:t>
      </w:r>
      <w:r w:rsidRPr="000D28E6" w:rsidR="00694D8D">
        <w:rPr>
          <w:rFonts w:eastAsia="SimSun"/>
          <w:sz w:val="20"/>
          <w:lang w:val="en-GB" w:eastAsia="zh-CN"/>
        </w:rPr>
        <w:t>.</w:t>
      </w:r>
    </w:p>
    <w:p w:rsidR="00863CEA" w:rsidRPr="000D28E6" w:rsidP="00863CEA" w14:paraId="15B32803" w14:textId="77777777">
      <w:pPr>
        <w:rPr>
          <w:rFonts w:eastAsia="SimSun"/>
          <w:noProof/>
          <w:sz w:val="20"/>
          <w:lang w:val="en-GB"/>
        </w:rPr>
      </w:pPr>
      <w:r w:rsidRPr="000D28E6">
        <w:rPr>
          <w:rFonts w:eastAsia="SimSun"/>
          <w:noProof/>
          <w:sz w:val="20"/>
          <w:lang w:val="en-GB"/>
        </w:rPr>
        <w:t>^ Objective response rate and duration of response are based on IRF-assessed tumour assessments</w:t>
      </w:r>
      <w:r w:rsidRPr="000D28E6" w:rsidR="00694D8D">
        <w:rPr>
          <w:rFonts w:eastAsia="SimSun"/>
          <w:sz w:val="20"/>
          <w:lang w:val="en-GB" w:eastAsia="zh-CN"/>
        </w:rPr>
        <w:t>.</w:t>
      </w:r>
    </w:p>
    <w:p w:rsidR="00D26BCD" w:rsidRPr="000D28E6" w:rsidP="00203CE0" w14:paraId="1512A8A6" w14:textId="77777777">
      <w:pPr>
        <w:rPr>
          <w:rFonts w:eastAsia="SimSun"/>
          <w:noProof/>
          <w:lang w:val="en-GB"/>
        </w:rPr>
      </w:pPr>
    </w:p>
    <w:p w:rsidR="007C13EE" w:rsidRPr="000D28E6" w:rsidP="007C13EE" w14:paraId="07DCAC91" w14:textId="77777777">
      <w:pPr>
        <w:rPr>
          <w:rFonts w:eastAsia="SimSun"/>
          <w:lang w:val="en-GB" w:eastAsia="zh-CN"/>
        </w:rPr>
      </w:pPr>
      <w:r w:rsidRPr="000D28E6">
        <w:rPr>
          <w:rFonts w:eastAsia="SimSun"/>
          <w:lang w:val="en-GB" w:eastAsia="zh-CN"/>
        </w:rPr>
        <w:t>Consistent results were observed across pre-specified patient subgroups including the subgroups based on stratification factors of geographic region and prior adjuvant/neoadjuvant therapy or de novo metastatic breast cancer (see Figure 1). A post hoc exploratory analysis revealed that for patients who had received prior trastuzumab (n = 88), the hazard ratio for IRF-assessed PFS was 0.62 (95% CI 0.35, 1.07), compared with 0.60 (95% CI 0.43, 0.83) for patients who had received prior therapy which did not include trastuzumab (n = 288).</w:t>
      </w:r>
    </w:p>
    <w:p w:rsidR="007C13EE" w:rsidRPr="000D28E6" w:rsidP="00203CE0" w14:paraId="37D4FC5C" w14:textId="77777777">
      <w:pPr>
        <w:rPr>
          <w:rFonts w:eastAsia="SimSun"/>
          <w:lang w:val="en-GB" w:eastAsia="zh-CN"/>
        </w:rPr>
      </w:pPr>
    </w:p>
    <w:p w:rsidR="00863CEA" w:rsidRPr="000D28E6" w:rsidP="00203CE0" w14:paraId="00E22C6B" w14:textId="77777777">
      <w:pPr>
        <w:keepNext/>
        <w:keepLines/>
        <w:ind w:left="1080" w:hanging="1080"/>
        <w:rPr>
          <w:b/>
          <w:bCs/>
          <w:lang w:val="en-GB" w:eastAsia="zh-CN"/>
        </w:rPr>
      </w:pPr>
      <w:r w:rsidRPr="000D28E6">
        <w:rPr>
          <w:b/>
          <w:bCs/>
          <w:lang w:val="en-GB" w:eastAsia="zh-CN"/>
        </w:rPr>
        <w:t xml:space="preserve">Figure </w:t>
      </w:r>
      <w:r w:rsidRPr="000D28E6" w:rsidR="007F4A3D">
        <w:rPr>
          <w:b/>
          <w:bCs/>
          <w:lang w:val="en-GB" w:eastAsia="zh-CN"/>
        </w:rPr>
        <w:t>1</w:t>
      </w:r>
      <w:r w:rsidRPr="000D28E6" w:rsidR="00203CE0">
        <w:rPr>
          <w:b/>
          <w:bCs/>
          <w:lang w:val="en-GB" w:eastAsia="zh-CN"/>
        </w:rPr>
        <w:tab/>
      </w:r>
      <w:r w:rsidRPr="000D28E6">
        <w:rPr>
          <w:b/>
          <w:bCs/>
          <w:lang w:val="en-GB" w:eastAsia="zh-CN"/>
        </w:rPr>
        <w:t>IRF-assessed PFS by patient subgroup</w:t>
      </w:r>
    </w:p>
    <w:p w:rsidR="00863CEA" w:rsidRPr="000D28E6" w:rsidP="00203CE0" w14:paraId="7FCEB3EC" w14:textId="77777777">
      <w:pPr>
        <w:keepNext/>
        <w:keepLines/>
        <w:rPr>
          <w:lang w:val="en-GB" w:eastAsia="zh-CN"/>
        </w:rPr>
      </w:pPr>
    </w:p>
    <w:p w:rsidR="00F72FF6" w:rsidP="00CC37C2" w14:paraId="37D967A3" w14:textId="77777777">
      <w:pPr>
        <w:keepNext/>
        <w:keepLines/>
        <w:spacing w:after="120" w:line="240" w:lineRule="atLeast"/>
        <w:rPr>
          <w:rFonts w:eastAsia="SimSun"/>
          <w:noProof/>
          <w:lang w:val="en-GB" w:eastAsia="zh-CN"/>
        </w:rPr>
      </w:pPr>
      <w:r w:rsidRPr="00FD3EC2">
        <w:rPr>
          <w:rFonts w:eastAsia="SimSun"/>
          <w:noProof/>
          <w:lang w:eastAsia="zh-CN"/>
        </w:rPr>
        <w:drawing>
          <wp:inline distT="0" distB="0" distL="0" distR="0">
            <wp:extent cx="6197600" cy="3670300"/>
            <wp:effectExtent l="0" t="0" r="0" b="0"/>
            <wp:docPr id="1" name="Picture 2" descr="picut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23122" name="Picture 2" descr="picutre-01"/>
                    <pic:cNvPicPr>
                      <a:picLocks noChangeAspect="1" noChangeArrowheads="1"/>
                    </pic:cNvPicPr>
                  </pic:nvPicPr>
                  <pic:blipFill>
                    <a:blip xmlns:r="http://schemas.openxmlformats.org/officeDocument/2006/relationships" r:embed="rId9">
                      <a:grayscl/>
                      <a:extLst>
                        <a:ext xmlns:a="http://schemas.openxmlformats.org/drawingml/2006/main" uri="{28A0092B-C50C-407E-A947-70E740481C1C}">
                          <a14:useLocalDpi xmlns:a14="http://schemas.microsoft.com/office/drawing/2010/main" val="0"/>
                        </a:ext>
                      </a:extLst>
                    </a:blip>
                    <a:stretch>
                      <a:fillRect/>
                    </a:stretch>
                  </pic:blipFill>
                  <pic:spPr bwMode="auto">
                    <a:xfrm>
                      <a:off x="0" y="0"/>
                      <a:ext cx="6197600" cy="3670300"/>
                    </a:xfrm>
                    <a:prstGeom prst="rect">
                      <a:avLst/>
                    </a:prstGeom>
                    <a:noFill/>
                    <a:ln>
                      <a:noFill/>
                    </a:ln>
                  </pic:spPr>
                </pic:pic>
              </a:graphicData>
            </a:graphic>
          </wp:inline>
        </w:drawing>
      </w:r>
    </w:p>
    <w:p w:rsidR="0062313C" w:rsidRPr="000D28E6" w:rsidP="00CC37C2" w14:paraId="2A69A3AB" w14:textId="77777777">
      <w:pPr>
        <w:keepNext/>
        <w:keepLines/>
        <w:spacing w:after="120" w:line="240" w:lineRule="atLeast"/>
        <w:rPr>
          <w:rFonts w:eastAsia="SimSun"/>
          <w:noProof/>
          <w:lang w:val="en-GB" w:eastAsia="zh-CN"/>
        </w:rPr>
      </w:pPr>
    </w:p>
    <w:p w:rsidR="00203CE0" w:rsidRPr="000D28E6" w:rsidP="009F4E3E" w14:paraId="31B8AD97" w14:textId="77777777">
      <w:pPr>
        <w:rPr>
          <w:rFonts w:eastAsia="SimSun"/>
          <w:lang w:val="en-GB" w:eastAsia="zh-CN"/>
        </w:rPr>
      </w:pPr>
      <w:r w:rsidRPr="000D28E6">
        <w:rPr>
          <w:lang w:val="en-GB"/>
        </w:rPr>
        <w:t xml:space="preserve">The </w:t>
      </w:r>
      <w:r w:rsidR="00612D16">
        <w:rPr>
          <w:lang w:val="en-GB"/>
        </w:rPr>
        <w:t xml:space="preserve">event-driven </w:t>
      </w:r>
      <w:r w:rsidRPr="000D28E6">
        <w:rPr>
          <w:lang w:val="en-GB"/>
        </w:rPr>
        <w:t xml:space="preserve">final </w:t>
      </w:r>
      <w:r w:rsidRPr="000D28E6" w:rsidR="0014126A">
        <w:rPr>
          <w:lang w:val="en-GB"/>
        </w:rPr>
        <w:t xml:space="preserve">analysis of </w:t>
      </w:r>
      <w:r w:rsidRPr="000D28E6">
        <w:rPr>
          <w:lang w:val="en-GB"/>
        </w:rPr>
        <w:t>OS was performed when 389 patients had died (</w:t>
      </w:r>
      <w:r w:rsidRPr="0070285B">
        <w:rPr>
          <w:lang w:val="en-GB"/>
        </w:rPr>
        <w:t xml:space="preserve">221 in the </w:t>
      </w:r>
      <w:r w:rsidRPr="0070285B" w:rsidR="00F9694A">
        <w:rPr>
          <w:lang w:val="en-GB"/>
        </w:rPr>
        <w:t>p</w:t>
      </w:r>
      <w:r w:rsidRPr="0070285B">
        <w:rPr>
          <w:lang w:val="en-GB"/>
        </w:rPr>
        <w:t>lacebo-treated group and 168 in the Perjeta-treated group). The statistically significant OS benefit in favo</w:t>
      </w:r>
      <w:r w:rsidRPr="0070285B" w:rsidR="00D31B02">
        <w:rPr>
          <w:lang w:val="en-GB"/>
        </w:rPr>
        <w:t>u</w:t>
      </w:r>
      <w:r w:rsidRPr="0070285B">
        <w:rPr>
          <w:lang w:val="en-GB"/>
        </w:rPr>
        <w:t>r of the Perjeta-treated group</w:t>
      </w:r>
      <w:r w:rsidRPr="0070285B" w:rsidR="00246DB0">
        <w:rPr>
          <w:lang w:val="en-GB"/>
        </w:rPr>
        <w:t>,</w:t>
      </w:r>
      <w:r w:rsidRPr="0070285B">
        <w:rPr>
          <w:lang w:val="en-GB"/>
        </w:rPr>
        <w:t xml:space="preserve"> </w:t>
      </w:r>
      <w:r w:rsidRPr="0070285B" w:rsidR="00AE5F57">
        <w:rPr>
          <w:color w:val="222222"/>
          <w:szCs w:val="22"/>
          <w:shd w:val="clear" w:color="auto" w:fill="FFFFFF"/>
        </w:rPr>
        <w:t xml:space="preserve">previously observed </w:t>
      </w:r>
      <w:r w:rsidRPr="0070285B" w:rsidR="00EC6375">
        <w:rPr>
          <w:color w:val="222222"/>
          <w:szCs w:val="22"/>
          <w:shd w:val="clear" w:color="auto" w:fill="FFFFFF"/>
        </w:rPr>
        <w:t xml:space="preserve">at </w:t>
      </w:r>
      <w:r w:rsidRPr="0070285B" w:rsidR="00246DB0">
        <w:rPr>
          <w:color w:val="222222"/>
          <w:szCs w:val="22"/>
          <w:shd w:val="clear" w:color="auto" w:fill="FFFFFF"/>
        </w:rPr>
        <w:t>an</w:t>
      </w:r>
      <w:r w:rsidRPr="0070285B" w:rsidR="00AE5F57">
        <w:rPr>
          <w:color w:val="222222"/>
          <w:szCs w:val="22"/>
          <w:shd w:val="clear" w:color="auto" w:fill="FFFFFF"/>
        </w:rPr>
        <w:t xml:space="preserve"> interim analysis</w:t>
      </w:r>
      <w:r w:rsidRPr="0070285B" w:rsidR="00246DB0">
        <w:rPr>
          <w:color w:val="222222"/>
          <w:szCs w:val="22"/>
          <w:shd w:val="clear" w:color="auto" w:fill="FFFFFF"/>
        </w:rPr>
        <w:t xml:space="preserve"> of OS (performed one year after the primary analysis),</w:t>
      </w:r>
      <w:r w:rsidRPr="0070285B" w:rsidR="00AE5F57">
        <w:rPr>
          <w:noProof/>
          <w:color w:val="222222"/>
          <w:szCs w:val="22"/>
          <w:shd w:val="clear" w:color="auto" w:fill="FFFFFF"/>
        </w:rPr>
        <w:t> </w:t>
      </w:r>
      <w:r w:rsidRPr="0070285B">
        <w:rPr>
          <w:lang w:val="en-GB"/>
        </w:rPr>
        <w:t xml:space="preserve">was maintained (HR 0.68, p = 0.0002 log-rank test). The median time to death was 40.8 months in the placebo-treated group and 56.5 </w:t>
      </w:r>
      <w:r w:rsidRPr="0070285B" w:rsidR="00AD12F0">
        <w:rPr>
          <w:lang w:val="en-GB"/>
        </w:rPr>
        <w:t xml:space="preserve">months </w:t>
      </w:r>
      <w:r w:rsidRPr="0070285B">
        <w:rPr>
          <w:lang w:val="en-GB"/>
        </w:rPr>
        <w:t xml:space="preserve">in the Perjeta-treated group </w:t>
      </w:r>
      <w:r w:rsidRPr="0070285B">
        <w:rPr>
          <w:rFonts w:eastAsia="SimSun"/>
          <w:lang w:val="en-GB" w:eastAsia="zh-CN"/>
        </w:rPr>
        <w:t>(see T</w:t>
      </w:r>
      <w:r w:rsidRPr="001F5859">
        <w:rPr>
          <w:rFonts w:eastAsia="SimSun"/>
          <w:lang w:val="en-GB" w:eastAsia="zh-CN"/>
        </w:rPr>
        <w:t xml:space="preserve">able </w:t>
      </w:r>
      <w:r w:rsidRPr="001F5859" w:rsidR="004E7886">
        <w:rPr>
          <w:rFonts w:eastAsia="SimSun"/>
          <w:lang w:val="en-GB" w:eastAsia="zh-CN"/>
        </w:rPr>
        <w:t>3</w:t>
      </w:r>
      <w:r w:rsidRPr="001F5859">
        <w:rPr>
          <w:rFonts w:eastAsia="SimSun"/>
          <w:lang w:val="en-GB" w:eastAsia="zh-CN"/>
        </w:rPr>
        <w:t>,</w:t>
      </w:r>
      <w:r w:rsidRPr="0070285B">
        <w:rPr>
          <w:rFonts w:eastAsia="SimSun"/>
          <w:lang w:val="en-GB" w:eastAsia="zh-CN"/>
        </w:rPr>
        <w:t xml:space="preserve"> Figure</w:t>
      </w:r>
      <w:r w:rsidR="004E7886">
        <w:rPr>
          <w:rFonts w:eastAsia="SimSun"/>
          <w:lang w:val="en-GB" w:eastAsia="zh-CN"/>
        </w:rPr>
        <w:t> </w:t>
      </w:r>
      <w:r w:rsidRPr="0070285B" w:rsidR="007F4A3D">
        <w:rPr>
          <w:rFonts w:eastAsia="SimSun"/>
          <w:lang w:val="en-GB" w:eastAsia="zh-CN"/>
        </w:rPr>
        <w:t>2</w:t>
      </w:r>
      <w:r w:rsidRPr="0070285B">
        <w:rPr>
          <w:rFonts w:eastAsia="SimSun"/>
          <w:lang w:val="en-GB" w:eastAsia="zh-CN"/>
        </w:rPr>
        <w:t>).</w:t>
      </w:r>
    </w:p>
    <w:p w:rsidR="00D570EF" w:rsidP="009F4E3E" w14:paraId="14E844DD" w14:textId="77777777">
      <w:pPr>
        <w:rPr>
          <w:lang w:val="en-GB"/>
        </w:rPr>
      </w:pPr>
    </w:p>
    <w:p w:rsidR="00612D16" w:rsidP="009F4E3E" w14:paraId="2DA67EF2" w14:textId="068AACE9">
      <w:pPr>
        <w:rPr>
          <w:lang w:val="en-GB"/>
        </w:rPr>
      </w:pPr>
      <w:r>
        <w:rPr>
          <w:lang w:val="en-GB"/>
        </w:rPr>
        <w:t xml:space="preserve">A </w:t>
      </w:r>
      <w:r w:rsidR="00403F3A">
        <w:rPr>
          <w:lang w:val="en-GB"/>
        </w:rPr>
        <w:t>descriptive</w:t>
      </w:r>
      <w:r>
        <w:rPr>
          <w:lang w:val="en-GB"/>
        </w:rPr>
        <w:t xml:space="preserve"> analysis of OS performed at the end of the study when 515 patients had died (</w:t>
      </w:r>
      <w:r w:rsidR="00403F3A">
        <w:rPr>
          <w:lang w:val="en-GB"/>
        </w:rPr>
        <w:t xml:space="preserve">280 in the placebo-treated group and 235 in the Perjeta-treated group) </w:t>
      </w:r>
      <w:r w:rsidR="00EB4A42">
        <w:rPr>
          <w:lang w:val="en-GB"/>
        </w:rPr>
        <w:t>showed</w:t>
      </w:r>
      <w:r w:rsidR="00403F3A">
        <w:rPr>
          <w:lang w:val="en-GB"/>
        </w:rPr>
        <w:t xml:space="preserve"> that the</w:t>
      </w:r>
      <w:r w:rsidR="00EB4A42">
        <w:rPr>
          <w:lang w:val="en-GB"/>
        </w:rPr>
        <w:t xml:space="preserve"> statistically</w:t>
      </w:r>
      <w:r w:rsidR="00403F3A">
        <w:rPr>
          <w:lang w:val="en-GB"/>
        </w:rPr>
        <w:t xml:space="preserve"> significant OS benefit in favour of the Perjeta-treated group was maintained </w:t>
      </w:r>
      <w:r w:rsidR="00E86822">
        <w:rPr>
          <w:lang w:val="en-GB"/>
        </w:rPr>
        <w:t xml:space="preserve">over time after a </w:t>
      </w:r>
      <w:r w:rsidR="00F9137C">
        <w:rPr>
          <w:lang w:val="en-GB"/>
        </w:rPr>
        <w:t xml:space="preserve">median </w:t>
      </w:r>
      <w:r w:rsidR="00403F3A">
        <w:rPr>
          <w:lang w:val="en-GB"/>
        </w:rPr>
        <w:t>follow-up</w:t>
      </w:r>
      <w:r w:rsidR="00F9137C">
        <w:rPr>
          <w:lang w:val="en-GB"/>
        </w:rPr>
        <w:t xml:space="preserve"> of 99 months</w:t>
      </w:r>
      <w:r w:rsidR="00403F3A">
        <w:rPr>
          <w:lang w:val="en-GB"/>
        </w:rPr>
        <w:t xml:space="preserve"> (HR 0.69, p &lt; 0.0001 log-rank test; median time to death 40.8 months [placebo-treated group] </w:t>
      </w:r>
      <w:r w:rsidR="00A212C3">
        <w:rPr>
          <w:lang w:val="en-GB"/>
        </w:rPr>
        <w:t>versus 57.1 months [</w:t>
      </w:r>
      <w:r w:rsidR="00403F3A">
        <w:rPr>
          <w:lang w:val="en-GB"/>
        </w:rPr>
        <w:t>Perjeta-treated group</w:t>
      </w:r>
      <w:r w:rsidR="00A212C3">
        <w:rPr>
          <w:lang w:val="en-GB"/>
        </w:rPr>
        <w:t>]</w:t>
      </w:r>
      <w:r w:rsidR="00403F3A">
        <w:rPr>
          <w:lang w:val="en-GB"/>
        </w:rPr>
        <w:t>).</w:t>
      </w:r>
      <w:r w:rsidR="00BB0935">
        <w:rPr>
          <w:lang w:val="en-GB"/>
        </w:rPr>
        <w:t xml:space="preserve"> Landmark survival estimates at 8 years were 37% in the Perjeta-treated group and 23% in the placebo-treated group.</w:t>
      </w:r>
    </w:p>
    <w:p w:rsidR="00612D16" w:rsidRPr="00BF2495" w:rsidP="009F4E3E" w14:paraId="6760C747" w14:textId="77777777">
      <w:pPr>
        <w:rPr>
          <w:lang w:val="en-GB"/>
        </w:rPr>
      </w:pPr>
    </w:p>
    <w:p w:rsidR="00C61875" w:rsidP="0062313C" w14:paraId="06C9E5EF" w14:textId="77777777">
      <w:pPr>
        <w:keepNext/>
        <w:keepLines/>
        <w:ind w:left="1259" w:hanging="1259"/>
        <w:rPr>
          <w:rFonts w:eastAsia="SimSun"/>
          <w:b/>
          <w:lang w:val="en-GB"/>
        </w:rPr>
      </w:pPr>
      <w:r w:rsidRPr="000D28E6">
        <w:rPr>
          <w:rFonts w:eastAsia="SimSun"/>
          <w:b/>
          <w:lang w:val="en-GB"/>
        </w:rPr>
        <w:t xml:space="preserve">Figure </w:t>
      </w:r>
      <w:r w:rsidRPr="000D28E6" w:rsidR="007F4A3D">
        <w:rPr>
          <w:rFonts w:eastAsia="SimSun"/>
          <w:b/>
          <w:lang w:val="en-GB"/>
        </w:rPr>
        <w:t>2</w:t>
      </w:r>
      <w:r w:rsidRPr="000D28E6">
        <w:rPr>
          <w:rFonts w:eastAsia="SimSun"/>
          <w:b/>
          <w:lang w:val="en-GB"/>
        </w:rPr>
        <w:tab/>
        <w:t xml:space="preserve">Kaplan-Meier Curve of </w:t>
      </w:r>
      <w:r w:rsidR="009D1A2A">
        <w:rPr>
          <w:rFonts w:eastAsia="SimSun"/>
          <w:b/>
          <w:lang w:val="en-GB"/>
        </w:rPr>
        <w:t>Event</w:t>
      </w:r>
      <w:r w:rsidR="009D1A2A">
        <w:rPr>
          <w:rFonts w:eastAsia="SimSun"/>
          <w:b/>
          <w:lang w:val="en-GB"/>
        </w:rPr>
        <w:noBreakHyphen/>
        <w:t xml:space="preserve">Driven </w:t>
      </w:r>
      <w:r w:rsidRPr="000D28E6">
        <w:rPr>
          <w:rFonts w:eastAsia="SimSun"/>
          <w:b/>
          <w:lang w:val="en-GB"/>
        </w:rPr>
        <w:t>Overall Survival</w:t>
      </w:r>
    </w:p>
    <w:p w:rsidR="00D06A09" w:rsidRPr="000D28E6" w:rsidP="0062313C" w14:paraId="0A86ADF6" w14:textId="77777777">
      <w:pPr>
        <w:keepNext/>
        <w:keepLines/>
        <w:rPr>
          <w:rFonts w:eastAsia="SimSun"/>
          <w:b/>
          <w:lang w:val="en-GB"/>
        </w:rPr>
      </w:pPr>
    </w:p>
    <w:p w:rsidR="00D570EF" w:rsidP="0062313C" w14:paraId="6BCC6951" w14:textId="77777777">
      <w:pPr>
        <w:keepNext/>
        <w:keepLines/>
        <w:spacing w:after="200" w:line="276" w:lineRule="auto"/>
        <w:jc w:val="center"/>
        <w:rPr>
          <w:noProof/>
          <w:lang w:val="en-GB" w:eastAsia="en-US"/>
        </w:rPr>
      </w:pPr>
      <w:r w:rsidRPr="00D82957">
        <w:rPr>
          <w:noProof/>
          <w:lang w:eastAsia="zh-CN"/>
        </w:rPr>
        <w:drawing>
          <wp:inline distT="0" distB="0" distL="0" distR="0">
            <wp:extent cx="5524500" cy="3365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01480" name="Picture 1"/>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524500" cy="3365500"/>
                    </a:xfrm>
                    <a:prstGeom prst="rect">
                      <a:avLst/>
                    </a:prstGeom>
                    <a:noFill/>
                    <a:ln>
                      <a:noFill/>
                    </a:ln>
                  </pic:spPr>
                </pic:pic>
              </a:graphicData>
            </a:graphic>
          </wp:inline>
        </w:drawing>
      </w:r>
    </w:p>
    <w:p w:rsidR="00FC4186" w:rsidRPr="00EB4A42" w:rsidP="00562671" w14:paraId="1BF1360C" w14:textId="77777777">
      <w:pPr>
        <w:spacing w:after="200" w:line="276" w:lineRule="auto"/>
        <w:jc w:val="center"/>
        <w:rPr>
          <w:rFonts w:cs="Arial"/>
          <w:sz w:val="16"/>
          <w:szCs w:val="16"/>
          <w:lang w:val="en-GB" w:eastAsia="zh-TW"/>
        </w:rPr>
      </w:pPr>
      <w:r w:rsidRPr="00EB4A42">
        <w:rPr>
          <w:rFonts w:cs="Arial"/>
          <w:noProof/>
          <w:sz w:val="16"/>
          <w:szCs w:val="16"/>
          <w:lang w:val="en-GB" w:eastAsia="zh-TW"/>
        </w:rPr>
        <w:t xml:space="preserve">HR= hazard ratio; </w:t>
      </w:r>
      <w:r w:rsidRPr="00EB4A42" w:rsidR="00562671">
        <w:rPr>
          <w:rFonts w:cs="Arial"/>
          <w:noProof/>
          <w:sz w:val="16"/>
          <w:szCs w:val="16"/>
          <w:lang w:val="en-GB" w:eastAsia="zh-TW"/>
        </w:rPr>
        <w:t xml:space="preserve">CI= confidence interval; Pla= placebo; </w:t>
      </w:r>
      <w:r w:rsidRPr="00EB4A42">
        <w:rPr>
          <w:rFonts w:cs="Arial"/>
          <w:noProof/>
          <w:sz w:val="16"/>
          <w:szCs w:val="16"/>
          <w:lang w:val="en-GB" w:eastAsia="zh-TW"/>
        </w:rPr>
        <w:t>Ptz= pertuzumab (Perjeta); T=</w:t>
      </w:r>
      <w:r w:rsidRPr="00EB4A42" w:rsidR="00562671">
        <w:rPr>
          <w:rFonts w:cs="Arial"/>
          <w:noProof/>
          <w:sz w:val="16"/>
          <w:szCs w:val="16"/>
          <w:lang w:val="en-GB" w:eastAsia="zh-TW"/>
        </w:rPr>
        <w:t xml:space="preserve"> </w:t>
      </w:r>
      <w:r w:rsidRPr="00EB4A42">
        <w:rPr>
          <w:rFonts w:cs="Arial"/>
          <w:noProof/>
          <w:sz w:val="16"/>
          <w:szCs w:val="16"/>
          <w:lang w:val="en-GB" w:eastAsia="zh-TW"/>
        </w:rPr>
        <w:t xml:space="preserve">trastuzumab (Herceptin); </w:t>
      </w:r>
      <w:r w:rsidRPr="00EB4A42" w:rsidR="00562671">
        <w:rPr>
          <w:rFonts w:cs="Arial"/>
          <w:noProof/>
          <w:sz w:val="16"/>
          <w:szCs w:val="16"/>
          <w:lang w:val="en-GB" w:eastAsia="zh-TW"/>
        </w:rPr>
        <w:t>D= docetaxel</w:t>
      </w:r>
      <w:r w:rsidRPr="00EB4A42" w:rsidR="00562671">
        <w:rPr>
          <w:rFonts w:cs="Arial"/>
          <w:sz w:val="16"/>
          <w:szCs w:val="16"/>
          <w:lang w:val="en-GB" w:eastAsia="zh-TW"/>
        </w:rPr>
        <w:t>.</w:t>
      </w:r>
    </w:p>
    <w:p w:rsidR="002E5989" w:rsidRPr="00EB4A42" w:rsidP="004F3092" w14:paraId="0FB33A50" w14:textId="77777777">
      <w:pPr>
        <w:rPr>
          <w:rFonts w:eastAsia="SimSun"/>
          <w:lang w:val="en-GB" w:eastAsia="zh-CN"/>
        </w:rPr>
      </w:pPr>
    </w:p>
    <w:p w:rsidR="007C13EE" w:rsidRPr="000D28E6" w:rsidP="004F3092" w14:paraId="69D0BB45" w14:textId="77777777">
      <w:pPr>
        <w:rPr>
          <w:rFonts w:eastAsia="SimSun"/>
          <w:lang w:val="en-GB" w:eastAsia="zh-CN"/>
        </w:rPr>
      </w:pPr>
      <w:r w:rsidRPr="000D28E6">
        <w:rPr>
          <w:rFonts w:eastAsia="SimSun"/>
          <w:lang w:val="en-GB" w:eastAsia="zh-CN"/>
        </w:rPr>
        <w:t xml:space="preserve">No statistically significant differences were found between the two treatment groups in Health Related Quality of Life as assessed by FACT-B TOI-PFB scores. </w:t>
      </w:r>
    </w:p>
    <w:p w:rsidR="00BE6436" w:rsidRPr="000D28E6" w:rsidP="004F3092" w14:paraId="07AD265A" w14:textId="77777777">
      <w:pPr>
        <w:rPr>
          <w:rFonts w:eastAsia="SimSun"/>
          <w:i/>
          <w:noProof/>
          <w:lang w:val="en-GB"/>
        </w:rPr>
      </w:pPr>
    </w:p>
    <w:p w:rsidR="00863CEA" w:rsidRPr="000D28E6" w:rsidP="00203CE0" w14:paraId="18A50DD5" w14:textId="77777777">
      <w:pPr>
        <w:rPr>
          <w:rFonts w:eastAsia="SimSun"/>
          <w:i/>
          <w:noProof/>
          <w:lang w:val="en-GB"/>
        </w:rPr>
      </w:pPr>
      <w:r w:rsidRPr="000D28E6">
        <w:rPr>
          <w:rFonts w:eastAsia="SimSun"/>
          <w:i/>
          <w:noProof/>
          <w:lang w:val="en-GB"/>
        </w:rPr>
        <w:t xml:space="preserve">Additional </w:t>
      </w:r>
      <w:r w:rsidRPr="000D28E6" w:rsidR="001E4B76">
        <w:rPr>
          <w:rFonts w:eastAsia="SimSun"/>
          <w:i/>
          <w:lang w:val="en-GB" w:eastAsia="zh-CN"/>
        </w:rPr>
        <w:t>s</w:t>
      </w:r>
      <w:r w:rsidRPr="000D28E6">
        <w:rPr>
          <w:rFonts w:eastAsia="SimSun"/>
          <w:i/>
          <w:lang w:val="en-GB" w:eastAsia="zh-CN"/>
        </w:rPr>
        <w:t xml:space="preserve">upportive </w:t>
      </w:r>
      <w:r w:rsidRPr="000D28E6" w:rsidR="001E4B76">
        <w:rPr>
          <w:rFonts w:eastAsia="SimSun"/>
          <w:i/>
          <w:lang w:val="en-GB" w:eastAsia="zh-CN"/>
        </w:rPr>
        <w:t>c</w:t>
      </w:r>
      <w:r w:rsidRPr="000D28E6">
        <w:rPr>
          <w:rFonts w:eastAsia="SimSun"/>
          <w:i/>
          <w:lang w:val="en-GB" w:eastAsia="zh-CN"/>
        </w:rPr>
        <w:t xml:space="preserve">linical </w:t>
      </w:r>
      <w:r w:rsidRPr="000D28E6" w:rsidR="001E4B76">
        <w:rPr>
          <w:rFonts w:eastAsia="SimSun"/>
          <w:i/>
          <w:lang w:val="en-GB" w:eastAsia="zh-CN"/>
        </w:rPr>
        <w:t>t</w:t>
      </w:r>
      <w:r w:rsidRPr="000D28E6">
        <w:rPr>
          <w:rFonts w:eastAsia="SimSun"/>
          <w:i/>
          <w:lang w:val="en-GB" w:eastAsia="zh-CN"/>
        </w:rPr>
        <w:t>rial</w:t>
      </w:r>
      <w:r w:rsidRPr="000D28E6">
        <w:rPr>
          <w:rFonts w:eastAsia="SimSun"/>
          <w:i/>
          <w:noProof/>
          <w:lang w:val="en-GB"/>
        </w:rPr>
        <w:t xml:space="preserve"> information</w:t>
      </w:r>
    </w:p>
    <w:p w:rsidR="00203CE0" w:rsidRPr="000D28E6" w:rsidP="00203CE0" w14:paraId="0F1074A1" w14:textId="77777777">
      <w:pPr>
        <w:rPr>
          <w:rFonts w:eastAsia="SimSun"/>
          <w:i/>
          <w:lang w:val="en-GB" w:eastAsia="zh-CN"/>
        </w:rPr>
      </w:pPr>
    </w:p>
    <w:p w:rsidR="00863CEA" w:rsidRPr="000D28E6" w:rsidP="00203CE0" w14:paraId="05570C93" w14:textId="77777777">
      <w:pPr>
        <w:rPr>
          <w:rFonts w:eastAsia="SimSun"/>
          <w:b/>
          <w:lang w:val="en-GB"/>
        </w:rPr>
      </w:pPr>
      <w:r w:rsidRPr="000D28E6">
        <w:rPr>
          <w:rFonts w:eastAsia="SimSun"/>
          <w:b/>
          <w:lang w:val="en-GB"/>
        </w:rPr>
        <w:t>BO17929</w:t>
      </w:r>
      <w:r w:rsidRPr="000D28E6">
        <w:rPr>
          <w:rFonts w:eastAsia="SimSun"/>
          <w:lang w:val="en-GB"/>
        </w:rPr>
        <w:t xml:space="preserve"> -</w:t>
      </w:r>
      <w:r w:rsidRPr="000D28E6">
        <w:rPr>
          <w:rFonts w:eastAsia="SimSun"/>
          <w:b/>
          <w:lang w:val="en-GB"/>
        </w:rPr>
        <w:t xml:space="preserve"> </w:t>
      </w:r>
      <w:r w:rsidRPr="000D28E6">
        <w:rPr>
          <w:rFonts w:eastAsia="SimSun"/>
          <w:lang w:val="en-GB"/>
        </w:rPr>
        <w:t>single-arm trial in metastatic breast cancer</w:t>
      </w:r>
    </w:p>
    <w:p w:rsidR="009B7706" w:rsidRPr="000D28E6" w:rsidP="00203CE0" w14:paraId="778A0CD6" w14:textId="77777777">
      <w:pPr>
        <w:rPr>
          <w:rFonts w:eastAsia="SimSun"/>
          <w:noProof/>
          <w:lang w:val="en-GB"/>
        </w:rPr>
      </w:pPr>
    </w:p>
    <w:p w:rsidR="006176BE" w:rsidRPr="009F4E3E" w:rsidP="006176BE" w14:paraId="061B58BE" w14:textId="77777777">
      <w:pPr>
        <w:rPr>
          <w:noProof/>
        </w:rPr>
      </w:pPr>
      <w:r w:rsidRPr="000D28E6">
        <w:rPr>
          <w:rFonts w:eastAsia="SimSun"/>
          <w:lang w:val="en-GB"/>
        </w:rPr>
        <w:t>BO17929 was a phase II</w:t>
      </w:r>
      <w:r w:rsidRPr="000D28E6" w:rsidR="00144CC5">
        <w:rPr>
          <w:rFonts w:eastAsia="SimSun"/>
          <w:lang w:val="en-GB"/>
        </w:rPr>
        <w:t>,</w:t>
      </w:r>
      <w:r w:rsidRPr="000D28E6" w:rsidR="009B7706">
        <w:rPr>
          <w:rFonts w:eastAsia="SimSun"/>
          <w:lang w:val="en-GB"/>
        </w:rPr>
        <w:t xml:space="preserve"> </w:t>
      </w:r>
      <w:r w:rsidRPr="000D28E6" w:rsidR="00144CC5">
        <w:rPr>
          <w:rFonts w:eastAsia="SimSun"/>
          <w:lang w:val="en-GB"/>
        </w:rPr>
        <w:t xml:space="preserve">non-randomised </w:t>
      </w:r>
      <w:r w:rsidRPr="000D28E6" w:rsidR="009B7706">
        <w:rPr>
          <w:rFonts w:eastAsia="SimSun"/>
          <w:lang w:val="en-GB"/>
        </w:rPr>
        <w:t>study in patients wit</w:t>
      </w:r>
      <w:r w:rsidRPr="000D28E6" w:rsidR="00305380">
        <w:rPr>
          <w:rFonts w:eastAsia="SimSun"/>
          <w:lang w:val="en-GB"/>
        </w:rPr>
        <w:t>h metastatic breast cancer whose tumours</w:t>
      </w:r>
      <w:r w:rsidRPr="000D28E6" w:rsidR="009B7706">
        <w:rPr>
          <w:rFonts w:eastAsia="SimSun"/>
          <w:lang w:val="en-GB"/>
        </w:rPr>
        <w:t xml:space="preserve"> had progressed during treatment with trastuzumab. </w:t>
      </w:r>
      <w:r w:rsidRPr="000D28E6" w:rsidR="00305380">
        <w:rPr>
          <w:rFonts w:eastAsia="SimSun"/>
          <w:lang w:val="en-GB"/>
        </w:rPr>
        <w:t xml:space="preserve">Treatment with </w:t>
      </w:r>
      <w:r w:rsidRPr="000D28E6" w:rsidR="009B7706">
        <w:rPr>
          <w:rFonts w:eastAsia="SimSun"/>
          <w:lang w:val="en-GB"/>
        </w:rPr>
        <w:t>Perjeta</w:t>
      </w:r>
      <w:r w:rsidRPr="000D28E6" w:rsidR="00305380">
        <w:rPr>
          <w:rFonts w:eastAsia="SimSun"/>
          <w:noProof/>
          <w:lang w:val="en-GB"/>
        </w:rPr>
        <w:t xml:space="preserve"> and </w:t>
      </w:r>
      <w:r w:rsidRPr="000D28E6" w:rsidR="00305380">
        <w:rPr>
          <w:rFonts w:eastAsia="SimSun"/>
          <w:lang w:val="en-GB"/>
        </w:rPr>
        <w:t>trastuzumab resulted in a response rate of</w:t>
      </w:r>
      <w:r w:rsidRPr="000D28E6" w:rsidR="009B7706">
        <w:rPr>
          <w:rFonts w:eastAsia="SimSun"/>
          <w:lang w:val="en-GB"/>
        </w:rPr>
        <w:t xml:space="preserve"> 24.</w:t>
      </w:r>
      <w:r w:rsidRPr="000D28E6" w:rsidR="009B7706">
        <w:rPr>
          <w:rFonts w:eastAsia="SimSun"/>
          <w:noProof/>
          <w:lang w:val="en-GB"/>
        </w:rPr>
        <w:t>2</w:t>
      </w:r>
      <w:r w:rsidRPr="000D28E6" w:rsidR="009B7706">
        <w:rPr>
          <w:rFonts w:eastAsia="SimSun"/>
          <w:lang w:val="en-GB"/>
        </w:rPr>
        <w:t>%</w:t>
      </w:r>
      <w:r w:rsidRPr="000D28E6">
        <w:rPr>
          <w:rFonts w:eastAsia="SimSun"/>
          <w:lang w:val="en-GB"/>
        </w:rPr>
        <w:t>,</w:t>
      </w:r>
      <w:r w:rsidRPr="000D28E6" w:rsidR="009B7706">
        <w:rPr>
          <w:rFonts w:eastAsia="SimSun"/>
          <w:lang w:val="en-GB"/>
        </w:rPr>
        <w:t xml:space="preserve"> with a further 25.8%</w:t>
      </w:r>
      <w:r w:rsidRPr="000D28E6" w:rsidR="00305380">
        <w:rPr>
          <w:rFonts w:eastAsia="SimSun"/>
          <w:lang w:val="en-GB"/>
        </w:rPr>
        <w:t xml:space="preserve"> of patients</w:t>
      </w:r>
      <w:r w:rsidRPr="000D28E6" w:rsidR="009B7706">
        <w:rPr>
          <w:rFonts w:eastAsia="SimSun"/>
          <w:lang w:val="en-GB"/>
        </w:rPr>
        <w:t xml:space="preserve"> experiencing stabilisation of disease lasting</w:t>
      </w:r>
      <w:r w:rsidRPr="000D28E6" w:rsidR="00305380">
        <w:rPr>
          <w:rFonts w:eastAsia="SimSun"/>
          <w:lang w:val="en-GB"/>
        </w:rPr>
        <w:t xml:space="preserve"> at least</w:t>
      </w:r>
      <w:r w:rsidRPr="000D28E6" w:rsidR="009B7706">
        <w:rPr>
          <w:rFonts w:eastAsia="SimSun"/>
          <w:lang w:val="en-GB"/>
        </w:rPr>
        <w:t xml:space="preserve"> 6 months</w:t>
      </w:r>
      <w:r w:rsidRPr="000D28E6">
        <w:rPr>
          <w:rFonts w:eastAsia="SimSun"/>
          <w:lang w:val="en-GB"/>
        </w:rPr>
        <w:t>,</w:t>
      </w:r>
      <w:r w:rsidRPr="000D28E6" w:rsidR="00C75F4A">
        <w:rPr>
          <w:rFonts w:eastAsia="SimSun"/>
          <w:lang w:val="en-GB"/>
        </w:rPr>
        <w:t xml:space="preserve"> indicating that Perjeta is active</w:t>
      </w:r>
      <w:r w:rsidRPr="000D28E6">
        <w:rPr>
          <w:rFonts w:eastAsia="SimSun"/>
          <w:lang w:val="en-GB"/>
        </w:rPr>
        <w:t xml:space="preserve"> </w:t>
      </w:r>
      <w:r w:rsidRPr="000D28E6">
        <w:rPr>
          <w:szCs w:val="22"/>
          <w:lang w:val="en-GB"/>
        </w:rPr>
        <w:t>following</w:t>
      </w:r>
      <w:r w:rsidRPr="000D28E6">
        <w:rPr>
          <w:noProof/>
          <w:lang w:val="en-GB"/>
        </w:rPr>
        <w:t xml:space="preserve"> progression on </w:t>
      </w:r>
      <w:r w:rsidRPr="000D28E6">
        <w:rPr>
          <w:szCs w:val="22"/>
          <w:lang w:val="en-GB"/>
        </w:rPr>
        <w:t>trastuzumab.</w:t>
      </w:r>
      <w:r w:rsidRPr="009F4E3E">
        <w:rPr>
          <w:noProof/>
        </w:rPr>
        <w:t xml:space="preserve">  </w:t>
      </w:r>
    </w:p>
    <w:p w:rsidR="00305380" w:rsidRPr="004F3092" w:rsidP="006176BE" w14:paraId="6228332F" w14:textId="77777777">
      <w:pPr>
        <w:rPr>
          <w:i/>
          <w:lang w:val="en-GB"/>
        </w:rPr>
      </w:pPr>
    </w:p>
    <w:p w:rsidR="006F3F1A" w:rsidP="00B1293F" w14:paraId="3B407AD3" w14:textId="77777777">
      <w:pPr>
        <w:rPr>
          <w:i/>
          <w:color w:val="000000"/>
          <w:lang w:val="en-GB"/>
        </w:rPr>
      </w:pPr>
      <w:r>
        <w:rPr>
          <w:i/>
          <w:color w:val="000000"/>
          <w:lang w:val="en-GB"/>
        </w:rPr>
        <w:t>Early</w:t>
      </w:r>
      <w:r w:rsidRPr="00BF2495">
        <w:rPr>
          <w:i/>
          <w:color w:val="000000"/>
          <w:lang w:val="en-GB"/>
        </w:rPr>
        <w:t xml:space="preserve"> Breast Cancer</w:t>
      </w:r>
    </w:p>
    <w:p w:rsidR="004E7886" w:rsidP="00B1293F" w14:paraId="33B4C7F2" w14:textId="77777777">
      <w:pPr>
        <w:rPr>
          <w:i/>
          <w:color w:val="000000"/>
          <w:lang w:val="en-GB"/>
        </w:rPr>
      </w:pPr>
    </w:p>
    <w:p w:rsidR="004E7886" w:rsidP="00B1293F" w14:paraId="396759D8" w14:textId="77777777">
      <w:pPr>
        <w:rPr>
          <w:i/>
          <w:color w:val="000000"/>
          <w:lang w:val="en-GB"/>
        </w:rPr>
      </w:pPr>
      <w:r w:rsidRPr="001F5859">
        <w:rPr>
          <w:i/>
          <w:color w:val="000000"/>
          <w:lang w:val="en-GB"/>
        </w:rPr>
        <w:t>Neoadjuvant Treatment</w:t>
      </w:r>
    </w:p>
    <w:p w:rsidR="004E7886" w:rsidP="00B1293F" w14:paraId="4CEE7F85" w14:textId="77777777">
      <w:pPr>
        <w:rPr>
          <w:i/>
          <w:color w:val="000000"/>
          <w:lang w:val="en-GB"/>
        </w:rPr>
      </w:pPr>
    </w:p>
    <w:p w:rsidR="000B6DE5" w:rsidRPr="00AB390A" w:rsidP="006176BE" w14:paraId="749EF92A" w14:textId="77777777">
      <w:pPr>
        <w:rPr>
          <w:color w:val="000000"/>
          <w:lang w:val="en-GB"/>
        </w:rPr>
      </w:pPr>
      <w:r w:rsidRPr="00AB390A">
        <w:rPr>
          <w:color w:val="000000"/>
          <w:lang w:val="en-GB"/>
        </w:rPr>
        <w:t>In the neoadjuvant setting, locally advanced and inflammatory breast cancers are considered as high-risk irrespective of hormone receptor status. In early stage breast cancer</w:t>
      </w:r>
      <w:r w:rsidRPr="00AB390A" w:rsidR="00AC34E8">
        <w:rPr>
          <w:color w:val="000000"/>
          <w:lang w:val="en-GB"/>
        </w:rPr>
        <w:t>,</w:t>
      </w:r>
      <w:r w:rsidRPr="00AB390A">
        <w:rPr>
          <w:color w:val="000000"/>
          <w:lang w:val="en-GB"/>
        </w:rPr>
        <w:t xml:space="preserve"> tumor size, grade, hormone receptor status and lymph node metastases should be taken into account in the risk assessment.</w:t>
      </w:r>
    </w:p>
    <w:p w:rsidR="000B6DE5" w:rsidRPr="00AB390A" w:rsidP="006176BE" w14:paraId="11C9B706" w14:textId="77777777">
      <w:pPr>
        <w:rPr>
          <w:color w:val="000000"/>
          <w:lang w:val="en-GB"/>
        </w:rPr>
      </w:pPr>
    </w:p>
    <w:p w:rsidR="009B37E8" w:rsidP="006176BE" w14:paraId="027F10EA" w14:textId="77777777">
      <w:pPr>
        <w:rPr>
          <w:color w:val="000000"/>
          <w:lang w:val="en-GB"/>
        </w:rPr>
      </w:pPr>
      <w:r w:rsidRPr="00AB390A">
        <w:rPr>
          <w:color w:val="000000"/>
          <w:lang w:val="en-GB"/>
        </w:rPr>
        <w:t>The indication in the neoadjuvant treatment of breast cancer is based on demonstration of an improvement in pathological complete response rate</w:t>
      </w:r>
      <w:r w:rsidRPr="00AB390A" w:rsidR="00427694">
        <w:rPr>
          <w:color w:val="000000"/>
          <w:lang w:val="en-GB"/>
        </w:rPr>
        <w:t>,</w:t>
      </w:r>
      <w:r w:rsidRPr="00AB390A" w:rsidR="00427694">
        <w:t xml:space="preserve"> </w:t>
      </w:r>
      <w:r w:rsidRPr="00AB390A" w:rsidR="00427694">
        <w:rPr>
          <w:color w:val="000000"/>
          <w:lang w:val="en-GB"/>
        </w:rPr>
        <w:t>and trends to improvement in disease-free survival that nevertheless do not establish or precisely measure a benefit with regard to long-term outcomes, such as overall survival or disease-free survival.</w:t>
      </w:r>
      <w:r w:rsidRPr="00AB390A">
        <w:rPr>
          <w:color w:val="000000"/>
          <w:lang w:val="en-GB"/>
        </w:rPr>
        <w:t xml:space="preserve"> </w:t>
      </w:r>
    </w:p>
    <w:p w:rsidR="001648F7" w:rsidRPr="00BF2495" w:rsidP="006176BE" w14:paraId="5FB8892B" w14:textId="77777777">
      <w:pPr>
        <w:rPr>
          <w:color w:val="000000"/>
          <w:lang w:val="en-GB"/>
        </w:rPr>
      </w:pPr>
    </w:p>
    <w:p w:rsidR="006F3F1A" w:rsidRPr="00BF2495" w:rsidP="00203CE0" w14:paraId="45731E40" w14:textId="77777777">
      <w:pPr>
        <w:rPr>
          <w:noProof/>
          <w:color w:val="000000"/>
          <w:lang w:val="en-GB"/>
        </w:rPr>
      </w:pPr>
      <w:r w:rsidRPr="00BF2495">
        <w:rPr>
          <w:b/>
          <w:color w:val="000000"/>
          <w:lang w:val="en-GB"/>
        </w:rPr>
        <w:t>NEOSPHERE (WO20697)</w:t>
      </w:r>
      <w:r w:rsidRPr="00BF2495">
        <w:rPr>
          <w:color w:val="000000"/>
          <w:lang w:val="en-GB"/>
        </w:rPr>
        <w:t xml:space="preserve"> </w:t>
      </w:r>
    </w:p>
    <w:p w:rsidR="006F3F1A" w:rsidRPr="00BF2495" w:rsidP="00203CE0" w14:paraId="6C5C4FBE" w14:textId="77777777">
      <w:pPr>
        <w:rPr>
          <w:b/>
          <w:color w:val="000000"/>
          <w:lang w:val="en-GB"/>
        </w:rPr>
      </w:pPr>
    </w:p>
    <w:p w:rsidR="006F3F1A" w:rsidRPr="00BF2495" w:rsidP="00203CE0" w14:paraId="2C6C2BB4" w14:textId="77777777">
      <w:pPr>
        <w:rPr>
          <w:color w:val="000000"/>
          <w:lang w:val="en-GB"/>
        </w:rPr>
      </w:pPr>
      <w:r w:rsidRPr="00BF2495">
        <w:rPr>
          <w:color w:val="000000"/>
          <w:lang w:val="en-GB"/>
        </w:rPr>
        <w:t xml:space="preserve">NEOSPHERE </w:t>
      </w:r>
      <w:r w:rsidRPr="004F3092" w:rsidR="00863CEA">
        <w:rPr>
          <w:color w:val="000000"/>
          <w:lang w:val="en-GB"/>
        </w:rPr>
        <w:t xml:space="preserve">is a phase II, multicentre, multinational </w:t>
      </w:r>
      <w:r w:rsidRPr="00BF2495">
        <w:rPr>
          <w:color w:val="000000"/>
          <w:lang w:val="en-GB"/>
        </w:rPr>
        <w:t>rando</w:t>
      </w:r>
      <w:r w:rsidRPr="001F5859">
        <w:rPr>
          <w:color w:val="000000"/>
          <w:lang w:val="en-GB"/>
        </w:rPr>
        <w:t>mi</w:t>
      </w:r>
      <w:r w:rsidRPr="001F5859" w:rsidR="004E7886">
        <w:rPr>
          <w:color w:val="000000"/>
          <w:lang w:val="en-GB"/>
        </w:rPr>
        <w:t>s</w:t>
      </w:r>
      <w:r w:rsidRPr="001F5859">
        <w:rPr>
          <w:color w:val="000000"/>
          <w:lang w:val="en-GB"/>
        </w:rPr>
        <w:t>ed</w:t>
      </w:r>
      <w:r w:rsidRPr="00BF2495">
        <w:rPr>
          <w:color w:val="000000"/>
          <w:lang w:val="en-GB"/>
        </w:rPr>
        <w:t xml:space="preserve"> controlled trial </w:t>
      </w:r>
      <w:r w:rsidRPr="004F3092" w:rsidR="00863CEA">
        <w:rPr>
          <w:color w:val="000000"/>
          <w:lang w:val="en-GB"/>
        </w:rPr>
        <w:t xml:space="preserve">with </w:t>
      </w:r>
      <w:r w:rsidRPr="004F3092" w:rsidR="00E76E38">
        <w:rPr>
          <w:color w:val="000000"/>
          <w:lang w:val="en-GB"/>
        </w:rPr>
        <w:t>Perjeta</w:t>
      </w:r>
      <w:r w:rsidRPr="004F3092" w:rsidR="00863CEA">
        <w:rPr>
          <w:color w:val="000000"/>
          <w:lang w:val="en-GB"/>
        </w:rPr>
        <w:t xml:space="preserve"> and was conducted in 417 </w:t>
      </w:r>
      <w:r w:rsidRPr="00BF2495">
        <w:rPr>
          <w:color w:val="000000"/>
          <w:lang w:val="en-GB"/>
        </w:rPr>
        <w:t xml:space="preserve">adult female </w:t>
      </w:r>
      <w:r w:rsidRPr="004F3092" w:rsidR="00863CEA">
        <w:rPr>
          <w:color w:val="000000"/>
          <w:lang w:val="en-GB"/>
        </w:rPr>
        <w:t>patients</w:t>
      </w:r>
      <w:r w:rsidRPr="004F3092" w:rsidR="00863CEA">
        <w:t xml:space="preserve"> </w:t>
      </w:r>
      <w:r w:rsidRPr="004F3092" w:rsidR="00863CEA">
        <w:rPr>
          <w:color w:val="000000"/>
          <w:lang w:val="en-GB"/>
        </w:rPr>
        <w:t>with newly diagnosed, early, inflammatory</w:t>
      </w:r>
      <w:r w:rsidRPr="00BF2495">
        <w:rPr>
          <w:color w:val="000000"/>
          <w:lang w:val="en-GB"/>
        </w:rPr>
        <w:t xml:space="preserve"> or</w:t>
      </w:r>
      <w:r w:rsidRPr="004F3092" w:rsidR="00863CEA">
        <w:rPr>
          <w:color w:val="000000"/>
          <w:lang w:val="en-GB"/>
        </w:rPr>
        <w:t xml:space="preserve"> locally advanced HER2-positive breast ca</w:t>
      </w:r>
      <w:r w:rsidRPr="004F3092" w:rsidR="0026728F">
        <w:rPr>
          <w:color w:val="000000"/>
          <w:lang w:val="en-GB"/>
        </w:rPr>
        <w:t xml:space="preserve">ncer </w:t>
      </w:r>
      <w:r w:rsidRPr="00BF2495">
        <w:rPr>
          <w:color w:val="000000"/>
          <w:lang w:val="en-GB"/>
        </w:rPr>
        <w:t>(T2-4d</w:t>
      </w:r>
      <w:r w:rsidRPr="00BF2495">
        <w:t xml:space="preserve">; </w:t>
      </w:r>
      <w:r w:rsidRPr="00BF2495">
        <w:rPr>
          <w:color w:val="000000"/>
          <w:lang w:val="en-GB"/>
        </w:rPr>
        <w:t xml:space="preserve">primary tumour &gt; 2cm in diameter) </w:t>
      </w:r>
      <w:r w:rsidRPr="004F3092" w:rsidR="0026728F">
        <w:rPr>
          <w:color w:val="000000"/>
          <w:lang w:val="en-GB"/>
        </w:rPr>
        <w:t xml:space="preserve">who had not </w:t>
      </w:r>
      <w:r w:rsidRPr="004F3092" w:rsidR="0026728F">
        <w:rPr>
          <w:color w:val="000000"/>
          <w:lang w:val="en-GB"/>
        </w:rPr>
        <w:t>received prior</w:t>
      </w:r>
      <w:r w:rsidRPr="004F3092" w:rsidR="00863CEA">
        <w:rPr>
          <w:color w:val="000000"/>
          <w:lang w:val="en-GB"/>
        </w:rPr>
        <w:t xml:space="preserve"> </w:t>
      </w:r>
      <w:r w:rsidRPr="004F3092" w:rsidR="00B53814">
        <w:rPr>
          <w:color w:val="000000"/>
          <w:lang w:val="en-GB"/>
        </w:rPr>
        <w:t>trastuzumab</w:t>
      </w:r>
      <w:r w:rsidRPr="00BF2495">
        <w:rPr>
          <w:color w:val="000000"/>
          <w:lang w:val="en-GB"/>
        </w:rPr>
        <w:t>, chemotherapy or radiotherapy. Patients with metastases, bilateral breast cancer, clinically important cardiac risk factors (see section 4.4) or LVEF &lt; 55% were not included.</w:t>
      </w:r>
      <w:r w:rsidR="004E7886">
        <w:rPr>
          <w:color w:val="000000"/>
          <w:lang w:val="en-GB"/>
        </w:rPr>
        <w:t xml:space="preserve"> </w:t>
      </w:r>
      <w:r w:rsidRPr="00BF2495">
        <w:rPr>
          <w:color w:val="000000"/>
          <w:lang w:val="en-GB"/>
        </w:rPr>
        <w:t>The majority of</w:t>
      </w:r>
      <w:r w:rsidRPr="000D28E6" w:rsidR="00863CEA">
        <w:rPr>
          <w:color w:val="000000"/>
          <w:lang w:val="en-GB" w:eastAsia="zh-CN"/>
        </w:rPr>
        <w:t xml:space="preserve"> patients were </w:t>
      </w:r>
      <w:r w:rsidRPr="00BF2495">
        <w:rPr>
          <w:color w:val="000000"/>
          <w:lang w:val="en-GB"/>
        </w:rPr>
        <w:t xml:space="preserve">less than 65 years old. </w:t>
      </w:r>
    </w:p>
    <w:p w:rsidR="006F3F1A" w:rsidRPr="00BF2495" w:rsidP="00203CE0" w14:paraId="4CD55FA6" w14:textId="77777777">
      <w:pPr>
        <w:rPr>
          <w:color w:val="000000"/>
          <w:lang w:val="en-GB"/>
        </w:rPr>
      </w:pPr>
    </w:p>
    <w:p w:rsidR="006F3F1A" w:rsidRPr="00BF2495" w:rsidP="000F72A6" w14:paraId="30C3332E" w14:textId="77777777">
      <w:pPr>
        <w:keepNext/>
        <w:keepLines/>
        <w:rPr>
          <w:color w:val="000000"/>
          <w:lang w:val="en-GB"/>
        </w:rPr>
      </w:pPr>
      <w:r w:rsidRPr="00BF2495">
        <w:rPr>
          <w:color w:val="000000"/>
          <w:lang w:val="en-GB"/>
        </w:rPr>
        <w:t xml:space="preserve">Patients were </w:t>
      </w:r>
      <w:r w:rsidRPr="000D28E6" w:rsidR="00863CEA">
        <w:rPr>
          <w:color w:val="000000"/>
          <w:lang w:val="en-GB" w:eastAsia="zh-CN"/>
        </w:rPr>
        <w:t>randomi</w:t>
      </w:r>
      <w:r w:rsidRPr="000D28E6" w:rsidR="00397DB2">
        <w:rPr>
          <w:color w:val="000000"/>
          <w:lang w:val="en-GB" w:eastAsia="zh-CN"/>
        </w:rPr>
        <w:t>s</w:t>
      </w:r>
      <w:r w:rsidRPr="000D28E6" w:rsidR="00863CEA">
        <w:rPr>
          <w:color w:val="000000"/>
          <w:lang w:val="en-GB" w:eastAsia="zh-CN"/>
        </w:rPr>
        <w:t xml:space="preserve">ed </w:t>
      </w:r>
      <w:r w:rsidRPr="00BF2495">
        <w:rPr>
          <w:color w:val="000000"/>
          <w:lang w:val="en-GB"/>
        </w:rPr>
        <w:t>to receive</w:t>
      </w:r>
      <w:r w:rsidRPr="000D28E6" w:rsidR="00863CEA">
        <w:rPr>
          <w:color w:val="000000"/>
          <w:lang w:val="en-GB" w:eastAsia="zh-CN"/>
        </w:rPr>
        <w:t xml:space="preserve"> one of </w:t>
      </w:r>
      <w:r w:rsidRPr="00BF2495">
        <w:rPr>
          <w:color w:val="000000"/>
          <w:lang w:val="en-GB"/>
        </w:rPr>
        <w:t xml:space="preserve">the following neoadjuvant regimens for 4 cycles prior to surgery: </w:t>
      </w:r>
    </w:p>
    <w:p w:rsidR="006F3F1A" w:rsidRPr="00BF2495" w:rsidP="000F72A6" w14:paraId="4B8F3750" w14:textId="77777777">
      <w:pPr>
        <w:keepNext/>
        <w:keepLines/>
        <w:rPr>
          <w:color w:val="000000"/>
          <w:lang w:val="en-GB"/>
        </w:rPr>
      </w:pPr>
    </w:p>
    <w:p w:rsidR="006F3F1A" w:rsidRPr="00EB4A42" w:rsidP="000F72A6" w14:paraId="5049DC77" w14:textId="77777777">
      <w:pPr>
        <w:keepNext/>
        <w:keepLines/>
        <w:ind w:left="360"/>
        <w:rPr>
          <w:color w:val="000000"/>
          <w:lang w:val="en-GB"/>
        </w:rPr>
      </w:pPr>
      <w:r w:rsidRPr="00BF2495">
        <w:rPr>
          <w:rFonts w:ascii="Symbol" w:hAnsi="Symbol"/>
          <w:szCs w:val="22"/>
        </w:rPr>
        <w:sym w:font="Symbol" w:char="F0B7"/>
      </w:r>
      <w:r w:rsidRPr="00EB4A42">
        <w:rPr>
          <w:lang w:val="en-GB"/>
        </w:rPr>
        <w:tab/>
      </w:r>
      <w:r w:rsidRPr="00EB4A42">
        <w:rPr>
          <w:color w:val="000000"/>
          <w:lang w:val="en-GB"/>
        </w:rPr>
        <w:t xml:space="preserve">Trastuzumab plus docetaxel </w:t>
      </w:r>
    </w:p>
    <w:p w:rsidR="006F3F1A" w:rsidRPr="00EB4A42" w:rsidP="000F72A6" w14:paraId="3C9BAA5B" w14:textId="77777777">
      <w:pPr>
        <w:keepNext/>
        <w:keepLines/>
        <w:ind w:left="360"/>
        <w:rPr>
          <w:color w:val="000000"/>
          <w:lang w:val="en-GB"/>
        </w:rPr>
      </w:pPr>
      <w:r w:rsidRPr="00BF2495">
        <w:rPr>
          <w:rFonts w:ascii="Symbol" w:hAnsi="Symbol"/>
          <w:szCs w:val="22"/>
        </w:rPr>
        <w:sym w:font="Symbol" w:char="F0B7"/>
      </w:r>
      <w:r w:rsidRPr="00EB4A42">
        <w:rPr>
          <w:lang w:val="en-GB"/>
        </w:rPr>
        <w:tab/>
      </w:r>
      <w:r w:rsidRPr="00EB4A42">
        <w:rPr>
          <w:color w:val="000000"/>
          <w:lang w:val="en-GB"/>
        </w:rPr>
        <w:t>Perjeta plus trastuzumab and docetaxel</w:t>
      </w:r>
    </w:p>
    <w:p w:rsidR="006F3F1A" w:rsidRPr="00EB4A42" w:rsidP="00B1293F" w14:paraId="3AE338D4" w14:textId="77777777">
      <w:pPr>
        <w:ind w:left="360"/>
        <w:rPr>
          <w:color w:val="000000"/>
        </w:rPr>
      </w:pPr>
      <w:r w:rsidRPr="00BF2495">
        <w:rPr>
          <w:rFonts w:ascii="Symbol" w:hAnsi="Symbol"/>
          <w:szCs w:val="22"/>
        </w:rPr>
        <w:sym w:font="Symbol" w:char="F0B7"/>
      </w:r>
      <w:r w:rsidRPr="00EB4A42">
        <w:tab/>
      </w:r>
      <w:r w:rsidRPr="00EB4A42">
        <w:rPr>
          <w:color w:val="000000"/>
        </w:rPr>
        <w:t>Perjeta plus trastuzumab</w:t>
      </w:r>
    </w:p>
    <w:p w:rsidR="006F3F1A" w:rsidRPr="00EB4A42" w:rsidP="00B1293F" w14:paraId="3A07F9B4" w14:textId="77777777">
      <w:pPr>
        <w:ind w:left="360"/>
        <w:rPr>
          <w:color w:val="000000"/>
        </w:rPr>
      </w:pPr>
      <w:r w:rsidRPr="00BF2495">
        <w:rPr>
          <w:rFonts w:ascii="Symbol" w:hAnsi="Symbol"/>
          <w:szCs w:val="22"/>
        </w:rPr>
        <w:sym w:font="Symbol" w:char="F0B7"/>
      </w:r>
      <w:r w:rsidRPr="00EB4A42">
        <w:tab/>
      </w:r>
      <w:r w:rsidRPr="00EB4A42">
        <w:rPr>
          <w:color w:val="000000"/>
        </w:rPr>
        <w:t xml:space="preserve">Perjeta plus docetaxel. </w:t>
      </w:r>
    </w:p>
    <w:p w:rsidR="006F3F1A" w:rsidRPr="00EB4A42" w:rsidP="00B1293F" w14:paraId="5F033C51" w14:textId="77777777">
      <w:pPr>
        <w:ind w:left="720"/>
        <w:rPr>
          <w:color w:val="000000"/>
        </w:rPr>
      </w:pPr>
    </w:p>
    <w:p w:rsidR="00265C2D" w:rsidP="00B1293F" w14:paraId="1A2DC5AC" w14:textId="77777777">
      <w:pPr>
        <w:rPr>
          <w:color w:val="000000"/>
          <w:lang w:val="en-GB"/>
        </w:rPr>
      </w:pPr>
      <w:r w:rsidRPr="00BF2495">
        <w:rPr>
          <w:color w:val="000000"/>
          <w:lang w:val="en-GB"/>
        </w:rPr>
        <w:t>Randomisation was stratified by breast cancer type (operable, locally advanced, or inflammatory) and ER or PgR positivity.</w:t>
      </w:r>
    </w:p>
    <w:p w:rsidR="006F3F1A" w:rsidRPr="00BF2495" w:rsidP="00B1293F" w14:paraId="69050D95" w14:textId="77777777">
      <w:pPr>
        <w:rPr>
          <w:color w:val="000000"/>
          <w:lang w:val="en-GB"/>
        </w:rPr>
      </w:pPr>
      <w:r w:rsidRPr="00BF2495">
        <w:rPr>
          <w:color w:val="000000"/>
          <w:lang w:val="en-GB"/>
        </w:rPr>
        <w:t xml:space="preserve">  </w:t>
      </w:r>
    </w:p>
    <w:p w:rsidR="006F3F1A" w:rsidRPr="00BF2495" w:rsidP="00B1293F" w14:paraId="01E6EC84" w14:textId="77777777">
      <w:pPr>
        <w:rPr>
          <w:color w:val="000000"/>
          <w:u w:val="single"/>
          <w:lang w:val="en-GB"/>
        </w:rPr>
      </w:pPr>
      <w:r>
        <w:rPr>
          <w:color w:val="000000"/>
          <w:lang w:val="en-GB"/>
        </w:rPr>
        <w:t>Pertuzumab</w:t>
      </w:r>
      <w:r w:rsidRPr="00BF2495">
        <w:rPr>
          <w:color w:val="000000"/>
          <w:lang w:val="en-GB"/>
        </w:rPr>
        <w:t xml:space="preserve"> was given intravenously at an initial dose of 840 mg, followed by 420 mg every three weeks. Trastuzumab was given intravenously at an initial dose of 8 mg/kg, followed by 6 mg/kg </w:t>
      </w:r>
      <w:r w:rsidRPr="00AB390A">
        <w:rPr>
          <w:color w:val="000000"/>
          <w:lang w:val="en-GB"/>
        </w:rPr>
        <w:t>every three weeks. Docetaxel was given intravenously at an initial dose of 75 mg/ m</w:t>
      </w:r>
      <w:r w:rsidRPr="00AB390A">
        <w:rPr>
          <w:color w:val="000000"/>
          <w:vertAlign w:val="superscript"/>
          <w:lang w:val="en-GB"/>
        </w:rPr>
        <w:t>2</w:t>
      </w:r>
      <w:r w:rsidRPr="00AB390A">
        <w:rPr>
          <w:color w:val="000000"/>
          <w:lang w:val="en-GB"/>
        </w:rPr>
        <w:t xml:space="preserve"> followed by 75 mg</w:t>
      </w:r>
      <w:r w:rsidRPr="00AB390A" w:rsidR="00C64C10">
        <w:rPr>
          <w:color w:val="000000"/>
          <w:lang w:val="en-GB"/>
        </w:rPr>
        <w:t>/ m</w:t>
      </w:r>
      <w:r w:rsidRPr="00AB390A" w:rsidR="00C64C10">
        <w:rPr>
          <w:color w:val="000000"/>
          <w:vertAlign w:val="superscript"/>
          <w:lang w:val="en-GB"/>
        </w:rPr>
        <w:t>2</w:t>
      </w:r>
      <w:r w:rsidRPr="00AB390A">
        <w:rPr>
          <w:color w:val="000000"/>
          <w:lang w:val="en-GB"/>
        </w:rPr>
        <w:t xml:space="preserve"> or 100 mg/ m</w:t>
      </w:r>
      <w:r w:rsidRPr="00AB390A">
        <w:rPr>
          <w:color w:val="000000"/>
          <w:vertAlign w:val="superscript"/>
          <w:lang w:val="en-GB"/>
        </w:rPr>
        <w:t>2</w:t>
      </w:r>
      <w:r w:rsidRPr="00AB390A">
        <w:rPr>
          <w:color w:val="000000"/>
          <w:lang w:val="en-GB"/>
        </w:rPr>
        <w:t xml:space="preserve"> (if tolerated) every 3 weeks. Following surgery all patients received 3 cycles of 5-</w:t>
      </w:r>
      <w:r w:rsidRPr="00BF2495">
        <w:rPr>
          <w:color w:val="000000"/>
          <w:lang w:val="en-GB"/>
        </w:rPr>
        <w:t>fluorouracil (600 mg/m</w:t>
      </w:r>
      <w:r w:rsidRPr="00BF2495">
        <w:rPr>
          <w:color w:val="000000"/>
          <w:vertAlign w:val="superscript"/>
          <w:lang w:val="en-GB"/>
        </w:rPr>
        <w:t>2</w:t>
      </w:r>
      <w:r w:rsidRPr="00BF2495">
        <w:rPr>
          <w:color w:val="000000"/>
          <w:lang w:val="en-GB"/>
        </w:rPr>
        <w:t>), epirubicin (90 mg/m</w:t>
      </w:r>
      <w:r w:rsidRPr="00BF2495">
        <w:rPr>
          <w:color w:val="000000"/>
          <w:vertAlign w:val="superscript"/>
          <w:lang w:val="en-GB"/>
        </w:rPr>
        <w:t>2</w:t>
      </w:r>
      <w:r w:rsidRPr="00BF2495">
        <w:rPr>
          <w:color w:val="000000"/>
          <w:lang w:val="en-GB"/>
        </w:rPr>
        <w:t>), cyclophosphamide (600 mg/m</w:t>
      </w:r>
      <w:r w:rsidRPr="00BF2495">
        <w:rPr>
          <w:color w:val="000000"/>
          <w:vertAlign w:val="superscript"/>
          <w:lang w:val="en-GB"/>
        </w:rPr>
        <w:t>2</w:t>
      </w:r>
      <w:r w:rsidRPr="00BF2495">
        <w:rPr>
          <w:color w:val="000000"/>
          <w:lang w:val="en-GB"/>
        </w:rPr>
        <w:t>) (FEC) given intravenously every three weeks, and trastuzumab administered intravenously every three weeks to complete one year of therapy. Patients who only received Perjeta plus trastuzumab prior to surgery subsequently received both FEC and docetaxel post surgery.</w:t>
      </w:r>
    </w:p>
    <w:p w:rsidR="006F3F1A" w:rsidRPr="00BF2495" w:rsidP="00203CE0" w14:paraId="130C4033" w14:textId="77777777">
      <w:pPr>
        <w:rPr>
          <w:color w:val="000000"/>
          <w:lang w:val="en-GB"/>
        </w:rPr>
      </w:pPr>
    </w:p>
    <w:p w:rsidR="006F3F1A" w:rsidRPr="00BF2495" w:rsidP="007B4FDE" w14:paraId="58079981" w14:textId="77777777">
      <w:pPr>
        <w:rPr>
          <w:color w:val="000000"/>
          <w:u w:val="single"/>
          <w:lang w:val="en-GB"/>
        </w:rPr>
      </w:pPr>
      <w:r w:rsidRPr="004F3092">
        <w:rPr>
          <w:color w:val="000000"/>
          <w:lang w:val="en-GB"/>
        </w:rPr>
        <w:t xml:space="preserve">The primary endpoint of the study was pathological complete response (pCR) rate </w:t>
      </w:r>
      <w:r w:rsidRPr="00BF2495">
        <w:rPr>
          <w:color w:val="000000"/>
          <w:lang w:val="en-GB"/>
        </w:rPr>
        <w:t>in the breast (ypT0/is).  Secondary efficacy endpoints were clinical response rate, breast conserving surgery rate (T2-3 tumours only), disease-free survival (DFS), and PFS. Additional exploratory pCR rates included nodal status (ypT0/isN0 and ypT0N0).</w:t>
      </w:r>
    </w:p>
    <w:p w:rsidR="006F3F1A" w:rsidRPr="00BF2495" w:rsidP="007B4FDE" w14:paraId="3698C474" w14:textId="77777777">
      <w:pPr>
        <w:rPr>
          <w:color w:val="000000"/>
          <w:u w:val="single"/>
          <w:lang w:val="en-GB"/>
        </w:rPr>
      </w:pPr>
    </w:p>
    <w:p w:rsidR="006F3F1A" w:rsidRPr="00BF2495" w:rsidP="00203CE0" w14:paraId="1DB560C6" w14:textId="77777777">
      <w:pPr>
        <w:rPr>
          <w:color w:val="000000"/>
          <w:lang w:val="en-GB"/>
        </w:rPr>
      </w:pPr>
      <w:r w:rsidRPr="00BF2495">
        <w:rPr>
          <w:color w:val="000000"/>
          <w:lang w:val="en-GB"/>
        </w:rPr>
        <w:t xml:space="preserve">Demographics were well balanced (median age was 49-50 years, the majority were caucasian (71%)) and all patients were female. Overall 7% of patients had inflammatory breast cancer, 32% had locally advanced breast cancer and 61% had operable breast cancer.  Approximately half the patients in each treatment group had hormone receptor-positive disease (defined as ER positive and/or PgR positive). </w:t>
      </w:r>
    </w:p>
    <w:p w:rsidR="006F3F1A" w:rsidRPr="00BF2495" w:rsidP="00203CE0" w14:paraId="524E3C1C" w14:textId="77777777">
      <w:pPr>
        <w:rPr>
          <w:color w:val="000000"/>
          <w:u w:val="single"/>
          <w:lang w:val="en-GB"/>
        </w:rPr>
      </w:pPr>
    </w:p>
    <w:p w:rsidR="00863CEA" w:rsidP="00203CE0" w14:paraId="1E64D025" w14:textId="77777777">
      <w:pPr>
        <w:rPr>
          <w:u w:val="single"/>
          <w:lang w:val="en-GB"/>
        </w:rPr>
      </w:pPr>
      <w:r w:rsidRPr="00B26073">
        <w:rPr>
          <w:lang w:val="en-GB"/>
        </w:rPr>
        <w:t>The efficacy results are presented in Tab</w:t>
      </w:r>
      <w:r w:rsidRPr="001F5859">
        <w:rPr>
          <w:lang w:val="en-GB"/>
        </w:rPr>
        <w:t xml:space="preserve">le </w:t>
      </w:r>
      <w:r w:rsidRPr="001F5859" w:rsidR="004E7886">
        <w:rPr>
          <w:lang w:val="en-GB"/>
        </w:rPr>
        <w:t>4</w:t>
      </w:r>
      <w:r w:rsidRPr="001F5859">
        <w:rPr>
          <w:lang w:val="en-GB"/>
        </w:rPr>
        <w:t>.</w:t>
      </w:r>
      <w:r w:rsidRPr="00BF2495" w:rsidR="006F3F1A">
        <w:rPr>
          <w:lang w:val="en-GB"/>
        </w:rPr>
        <w:t xml:space="preserve"> A statistically significant  improvement in pCR rate (ypT0/is) was observed in patients receiving Perjeta plus trastuzumab and docetaxel compared to patients receiving trastuzumab and docetaxel (45.8% vs 29</w:t>
      </w:r>
      <w:r w:rsidRPr="00EF1023" w:rsidR="006F3F1A">
        <w:rPr>
          <w:lang w:val="en-GB"/>
        </w:rPr>
        <w:t xml:space="preserve">.0%, p value = </w:t>
      </w:r>
      <w:r w:rsidRPr="00EF1023">
        <w:rPr>
          <w:lang w:val="en-GB" w:eastAsia="zh-CN"/>
        </w:rPr>
        <w:t>0.0141</w:t>
      </w:r>
      <w:r w:rsidRPr="000F7FEC" w:rsidR="006F3F1A">
        <w:rPr>
          <w:lang w:val="en-GB"/>
        </w:rPr>
        <w:t xml:space="preserve">). A consistent pattern of results was observed regardless of pCR definition. </w:t>
      </w:r>
      <w:r w:rsidRPr="007F2D6E" w:rsidR="006F3F1A">
        <w:rPr>
          <w:lang w:val="en-GB"/>
        </w:rPr>
        <w:t>The difference in pCR rate is considered likely to translate into a clinically meaningful difference in lo</w:t>
      </w:r>
      <w:r w:rsidRPr="005422D2" w:rsidR="006F3F1A">
        <w:rPr>
          <w:lang w:val="en-GB"/>
        </w:rPr>
        <w:t>ng term outcomes and is supported</w:t>
      </w:r>
      <w:r w:rsidRPr="005422D2" w:rsidR="00CC6DAD">
        <w:rPr>
          <w:lang w:val="en-GB"/>
        </w:rPr>
        <w:t xml:space="preserve"> by positive trends in </w:t>
      </w:r>
      <w:r w:rsidRPr="005422D2" w:rsidR="006F3F1A">
        <w:rPr>
          <w:lang w:val="en-GB"/>
        </w:rPr>
        <w:t>PFS</w:t>
      </w:r>
      <w:r w:rsidRPr="005422D2" w:rsidR="00AB390A">
        <w:rPr>
          <w:lang w:val="en-GB"/>
        </w:rPr>
        <w:t xml:space="preserve"> </w:t>
      </w:r>
      <w:r w:rsidRPr="005422D2" w:rsidR="00A318C2">
        <w:rPr>
          <w:lang w:val="en-GB"/>
        </w:rPr>
        <w:t xml:space="preserve">(HR 0.69, </w:t>
      </w:r>
      <w:r w:rsidRPr="00C463D7" w:rsidR="009528AE">
        <w:rPr>
          <w:lang w:val="en-GB"/>
        </w:rPr>
        <w:t xml:space="preserve">95% </w:t>
      </w:r>
      <w:r w:rsidRPr="00C463D7" w:rsidR="00A318C2">
        <w:rPr>
          <w:lang w:val="en-GB"/>
        </w:rPr>
        <w:t>CI 0.34</w:t>
      </w:r>
      <w:r w:rsidRPr="00C463D7" w:rsidR="009528AE">
        <w:rPr>
          <w:lang w:val="en-GB"/>
        </w:rPr>
        <w:t xml:space="preserve">, </w:t>
      </w:r>
      <w:r w:rsidRPr="00527E72" w:rsidR="00A318C2">
        <w:rPr>
          <w:lang w:val="en-GB"/>
        </w:rPr>
        <w:t>1.40)</w:t>
      </w:r>
      <w:r w:rsidRPr="00527E72" w:rsidR="006F3F1A">
        <w:rPr>
          <w:lang w:val="en-GB"/>
        </w:rPr>
        <w:t xml:space="preserve"> and DFS</w:t>
      </w:r>
      <w:r w:rsidRPr="00527E72" w:rsidR="00AB390A">
        <w:rPr>
          <w:lang w:val="en-GB"/>
        </w:rPr>
        <w:t xml:space="preserve"> </w:t>
      </w:r>
      <w:r w:rsidRPr="00527E72" w:rsidR="00A318C2">
        <w:rPr>
          <w:lang w:val="en-GB"/>
        </w:rPr>
        <w:t xml:space="preserve">(HR 0.60, </w:t>
      </w:r>
      <w:r w:rsidRPr="00527E72" w:rsidR="009528AE">
        <w:rPr>
          <w:lang w:val="en-GB"/>
        </w:rPr>
        <w:t xml:space="preserve">95% </w:t>
      </w:r>
      <w:r w:rsidRPr="00527E72" w:rsidR="00A318C2">
        <w:rPr>
          <w:lang w:val="en-GB"/>
        </w:rPr>
        <w:t>CI 0.28</w:t>
      </w:r>
      <w:r w:rsidRPr="00527E72" w:rsidR="009528AE">
        <w:rPr>
          <w:lang w:val="en-GB"/>
        </w:rPr>
        <w:t>,</w:t>
      </w:r>
      <w:r w:rsidRPr="00527E72" w:rsidR="00A318C2">
        <w:rPr>
          <w:lang w:val="en-GB"/>
        </w:rPr>
        <w:t xml:space="preserve"> 1.27).</w:t>
      </w:r>
      <w:r w:rsidRPr="00527E72" w:rsidR="00A318C2">
        <w:rPr>
          <w:u w:val="single"/>
          <w:lang w:val="en-GB"/>
        </w:rPr>
        <w:t xml:space="preserve"> </w:t>
      </w:r>
    </w:p>
    <w:p w:rsidR="00265C2D" w:rsidRPr="00527E72" w:rsidP="00203CE0" w14:paraId="1C91EA58" w14:textId="77777777">
      <w:pPr>
        <w:rPr>
          <w:color w:val="000000"/>
          <w:u w:val="single"/>
          <w:lang w:val="en-GB"/>
        </w:rPr>
      </w:pPr>
    </w:p>
    <w:p w:rsidR="00786DC6" w:rsidRPr="001814C3" w:rsidP="00DA7B8E" w14:paraId="24D7EFB6" w14:textId="77777777">
      <w:r w:rsidRPr="00527E72">
        <w:rPr>
          <w:lang w:val="en-GB"/>
        </w:rPr>
        <w:t>The pCR rates as well as the magnitude of benefit with Perjeta (Perjeta plus trastuzumab and docetaxel compared to patients receiving trastuzumab and docetaxel) were lower</w:t>
      </w:r>
      <w:r w:rsidRPr="00AB390A">
        <w:rPr>
          <w:lang w:val="en-GB"/>
        </w:rPr>
        <w:t xml:space="preserve"> in the subgroup of patients with hormone receptor-positive tumours (</w:t>
      </w:r>
      <w:r>
        <w:rPr>
          <w:lang w:val="en-GB"/>
        </w:rPr>
        <w:t>difference of 6% in p</w:t>
      </w:r>
      <w:r w:rsidRPr="00AB390A">
        <w:rPr>
          <w:lang w:val="en-GB"/>
        </w:rPr>
        <w:t>CR in the breast</w:t>
      </w:r>
      <w:r>
        <w:rPr>
          <w:lang w:val="en-GB"/>
        </w:rPr>
        <w:t xml:space="preserve">) </w:t>
      </w:r>
      <w:r w:rsidRPr="00AB390A">
        <w:rPr>
          <w:lang w:val="en-GB"/>
        </w:rPr>
        <w:t>than in patients with hormone receptor-negative tumours (</w:t>
      </w:r>
      <w:r>
        <w:rPr>
          <w:lang w:val="en-GB"/>
        </w:rPr>
        <w:t>difference of 26.4% in pCR in the breast</w:t>
      </w:r>
      <w:r w:rsidRPr="00AB390A">
        <w:rPr>
          <w:lang w:val="en-GB"/>
        </w:rPr>
        <w:t>).</w:t>
      </w:r>
      <w:r w:rsidRPr="00BF2495">
        <w:t xml:space="preserve"> </w:t>
      </w:r>
    </w:p>
    <w:p w:rsidR="001814C3" w:rsidRPr="00BF2495" w:rsidP="001814C3" w14:paraId="0B13E65F" w14:textId="77777777">
      <w:pPr>
        <w:rPr>
          <w:lang w:val="en-GB"/>
        </w:rPr>
      </w:pPr>
      <w:r w:rsidRPr="00BF2495">
        <w:rPr>
          <w:lang w:val="en-GB"/>
        </w:rPr>
        <w:t>pCR rates were similar in patients with operable versus locally advanced disease. There were too few patients with inflammatory breast cancer to draw any firm conclusions but the pCR rate was higher in patients who received Perjeta plus trastuzumab and docetaxel.</w:t>
      </w:r>
    </w:p>
    <w:p w:rsidR="006F3F1A" w:rsidRPr="00BF2495" w:rsidP="00111CF7" w14:paraId="15798868" w14:textId="77777777">
      <w:pPr>
        <w:rPr>
          <w:lang w:val="en-GB"/>
        </w:rPr>
      </w:pPr>
    </w:p>
    <w:p w:rsidR="001814C3" w:rsidRPr="00BF2495" w:rsidP="001814C3" w14:paraId="7272B29A" w14:textId="77777777">
      <w:pPr>
        <w:keepNext/>
        <w:keepLines/>
        <w:rPr>
          <w:b/>
          <w:lang w:val="en-GB"/>
        </w:rPr>
      </w:pPr>
      <w:r w:rsidRPr="00BF2495">
        <w:rPr>
          <w:b/>
          <w:lang w:val="en-GB"/>
        </w:rPr>
        <w:t>TRYPHAENA (BO22280)</w:t>
      </w:r>
    </w:p>
    <w:p w:rsidR="001814C3" w:rsidRPr="00BF2495" w:rsidP="001814C3" w14:paraId="353AC052" w14:textId="77777777">
      <w:pPr>
        <w:keepNext/>
        <w:keepLines/>
        <w:rPr>
          <w:b/>
          <w:lang w:val="en-GB"/>
        </w:rPr>
      </w:pPr>
    </w:p>
    <w:p w:rsidR="001814C3" w:rsidP="001814C3" w14:paraId="29F0E5BA" w14:textId="77777777">
      <w:pPr>
        <w:keepNext/>
        <w:keepLines/>
        <w:rPr>
          <w:lang w:val="en-GB"/>
        </w:rPr>
      </w:pPr>
      <w:r w:rsidRPr="00BF2495">
        <w:rPr>
          <w:lang w:val="en-GB"/>
        </w:rPr>
        <w:t xml:space="preserve">TRYPHAENA is a multicentre, randomised phase II clinical trial conducted in 225 adult female patients with HER2-positive locally advanced, operable, or inflammatory breast cancer (T2-4d; primary tumour  &gt; 2cm in diameter) who had not received prior trastuzumab, chemotherapy or radiotherapy.  Patients with metastases, bilateral breast cancer, clinically important cardiac risk factors </w:t>
      </w:r>
      <w:r w:rsidRPr="001F5859">
        <w:rPr>
          <w:lang w:val="en-GB"/>
        </w:rPr>
        <w:t>(</w:t>
      </w:r>
      <w:r w:rsidRPr="001F5859" w:rsidR="004E7886">
        <w:rPr>
          <w:lang w:val="en-GB"/>
        </w:rPr>
        <w:t>s</w:t>
      </w:r>
      <w:r w:rsidRPr="001F5859">
        <w:rPr>
          <w:lang w:val="en-GB"/>
        </w:rPr>
        <w:t>ee s</w:t>
      </w:r>
      <w:r w:rsidRPr="00BF2495">
        <w:rPr>
          <w:lang w:val="en-GB"/>
        </w:rPr>
        <w:t xml:space="preserve">ection 4.4) or LVEF  &lt;  55% were not included. The majority of patients were less than 65 years old. Patients were randomised to receive one of three neoadjuvant regimens prior to surgery as follows: </w:t>
      </w:r>
    </w:p>
    <w:p w:rsidR="004E7886" w:rsidRPr="00BF2495" w:rsidP="001814C3" w14:paraId="19A9E58B" w14:textId="77777777">
      <w:pPr>
        <w:keepNext/>
        <w:keepLines/>
        <w:rPr>
          <w:lang w:val="en-GB"/>
        </w:rPr>
      </w:pPr>
    </w:p>
    <w:p w:rsidR="001814C3" w:rsidRPr="00BF2495" w:rsidP="001814C3" w14:paraId="25D7B839" w14:textId="77777777">
      <w:pPr>
        <w:ind w:left="714" w:hanging="357"/>
        <w:rPr>
          <w:color w:val="000000"/>
          <w:lang w:val="en-GB"/>
        </w:rPr>
      </w:pPr>
      <w:r w:rsidRPr="00BF2495">
        <w:rPr>
          <w:rFonts w:ascii="Symbol" w:hAnsi="Symbol"/>
          <w:szCs w:val="22"/>
        </w:rPr>
        <w:sym w:font="Symbol" w:char="F0B7"/>
      </w:r>
      <w:r w:rsidRPr="00BF2495">
        <w:rPr>
          <w:szCs w:val="22"/>
        </w:rPr>
        <w:tab/>
      </w:r>
      <w:r w:rsidRPr="00BF2495">
        <w:rPr>
          <w:color w:val="000000"/>
          <w:lang w:val="en-GB"/>
        </w:rPr>
        <w:t>3 cycles of FEC followed by 3 cycles of docetaxel, all given concurrently with Perjeta and trastuzumab</w:t>
      </w:r>
    </w:p>
    <w:p w:rsidR="001814C3" w:rsidRPr="00BF2495" w:rsidP="001814C3" w14:paraId="5FC33B6C" w14:textId="77777777">
      <w:pPr>
        <w:ind w:left="714" w:hanging="357"/>
        <w:rPr>
          <w:color w:val="000000"/>
          <w:lang w:val="en-GB"/>
        </w:rPr>
      </w:pPr>
      <w:r w:rsidRPr="00BF2495">
        <w:rPr>
          <w:rFonts w:ascii="Symbol" w:hAnsi="Symbol"/>
          <w:szCs w:val="22"/>
        </w:rPr>
        <w:sym w:font="Symbol" w:char="F0B7"/>
      </w:r>
      <w:r w:rsidRPr="00BF2495">
        <w:rPr>
          <w:szCs w:val="22"/>
        </w:rPr>
        <w:tab/>
      </w:r>
      <w:r w:rsidRPr="00BF2495">
        <w:rPr>
          <w:color w:val="000000"/>
          <w:lang w:val="en-GB"/>
        </w:rPr>
        <w:t>3 cycles of FEC alone followed by 3 cycles of docetaxel, with trastuzumab and Perjeta given concurrently</w:t>
      </w:r>
    </w:p>
    <w:p w:rsidR="001814C3" w:rsidRPr="00BF2495" w:rsidP="001814C3" w14:paraId="5FCB7A78" w14:textId="77777777">
      <w:pPr>
        <w:ind w:left="714" w:hanging="357"/>
        <w:rPr>
          <w:color w:val="000000"/>
          <w:lang w:val="en-GB"/>
        </w:rPr>
      </w:pPr>
      <w:r w:rsidRPr="00BF2495">
        <w:rPr>
          <w:rFonts w:ascii="Symbol" w:hAnsi="Symbol"/>
          <w:szCs w:val="22"/>
        </w:rPr>
        <w:sym w:font="Symbol" w:char="F0B7"/>
      </w:r>
      <w:r w:rsidRPr="00BF2495">
        <w:rPr>
          <w:szCs w:val="22"/>
        </w:rPr>
        <w:tab/>
      </w:r>
      <w:r w:rsidRPr="00BF2495">
        <w:rPr>
          <w:color w:val="000000"/>
          <w:lang w:val="en-GB"/>
        </w:rPr>
        <w:t xml:space="preserve">6 cycles of TCH in combination with Perjeta. </w:t>
      </w:r>
    </w:p>
    <w:p w:rsidR="001814C3" w:rsidRPr="00BF2495" w:rsidP="001814C3" w14:paraId="1C263E70" w14:textId="77777777">
      <w:pPr>
        <w:ind w:left="714" w:hanging="357"/>
        <w:rPr>
          <w:color w:val="000000"/>
          <w:lang w:val="en-GB"/>
        </w:rPr>
      </w:pPr>
    </w:p>
    <w:p w:rsidR="001814C3" w:rsidRPr="00BF2495" w:rsidP="001814C3" w14:paraId="0236174C" w14:textId="77777777">
      <w:pPr>
        <w:rPr>
          <w:lang w:val="en-GB"/>
        </w:rPr>
      </w:pPr>
      <w:r w:rsidRPr="00BF2495">
        <w:rPr>
          <w:lang w:val="en-GB"/>
        </w:rPr>
        <w:t xml:space="preserve">Randomisation was stratified by breast cancer type (operable, locally advanced, or inflammatory) and ER and /or PgR positivity. </w:t>
      </w:r>
    </w:p>
    <w:p w:rsidR="001814C3" w:rsidRPr="00BF2495" w:rsidP="001814C3" w14:paraId="70287275" w14:textId="77777777">
      <w:pPr>
        <w:rPr>
          <w:lang w:val="en-GB"/>
        </w:rPr>
      </w:pPr>
    </w:p>
    <w:p w:rsidR="001814C3" w:rsidRPr="00BF2495" w:rsidP="001814C3" w14:paraId="5ABBE705" w14:textId="77777777">
      <w:pPr>
        <w:rPr>
          <w:lang w:val="en-GB" w:eastAsia="en-GB"/>
        </w:rPr>
      </w:pPr>
      <w:r>
        <w:rPr>
          <w:lang w:val="en-GB"/>
        </w:rPr>
        <w:t>Pertuzumab</w:t>
      </w:r>
      <w:r w:rsidRPr="00BF2495">
        <w:rPr>
          <w:lang w:val="en-GB"/>
        </w:rPr>
        <w:t xml:space="preserve"> was given intravenously at an initial dose of 840 mg, followed by 420 mg every three weeks.  Trastuzumab was given intravenously at an initial dose of 8 mg/kg, followed by 6 mg/kg every three weeks.  FEC (5-fluorouracil [500 mg/m</w:t>
      </w:r>
      <w:r w:rsidRPr="00BF2495">
        <w:rPr>
          <w:vertAlign w:val="superscript"/>
          <w:lang w:val="en-GB"/>
        </w:rPr>
        <w:t>2</w:t>
      </w:r>
      <w:r w:rsidRPr="00BF2495">
        <w:rPr>
          <w:lang w:val="en-GB"/>
        </w:rPr>
        <w:t>], epirubicin [100 mg/m2], cyclophosphamide [600 mg/m2]) were given intravenously every three weeks for 3 cycles.  Docetaxel was given as an initial dose of 75 mg/m</w:t>
      </w:r>
      <w:r w:rsidRPr="00BF2495">
        <w:rPr>
          <w:vertAlign w:val="superscript"/>
          <w:lang w:val="en-GB"/>
        </w:rPr>
        <w:t>2</w:t>
      </w:r>
      <w:r w:rsidRPr="00BF2495">
        <w:rPr>
          <w:lang w:val="en-GB"/>
        </w:rPr>
        <w:t xml:space="preserve"> IV infusion every three weeks with the option to escalate to 100 mg/m</w:t>
      </w:r>
      <w:r w:rsidRPr="00BF2495">
        <w:rPr>
          <w:vertAlign w:val="superscript"/>
          <w:lang w:val="en-GB"/>
        </w:rPr>
        <w:t>2</w:t>
      </w:r>
      <w:r w:rsidRPr="00BF2495">
        <w:rPr>
          <w:lang w:val="en-GB"/>
        </w:rPr>
        <w:t xml:space="preserve"> at the investigator’s discretion if the initial dose was well tolerated.  However, in the group treated with Perjeta in combination with TCH, docetaxel was given intravenously at 75 mg/m</w:t>
      </w:r>
      <w:r w:rsidRPr="00BF2495">
        <w:rPr>
          <w:vertAlign w:val="superscript"/>
          <w:lang w:val="en-GB"/>
        </w:rPr>
        <w:t>2</w:t>
      </w:r>
      <w:r w:rsidRPr="00BF2495">
        <w:rPr>
          <w:lang w:val="en-GB"/>
        </w:rPr>
        <w:t xml:space="preserve"> (no escalation was permitted) and carboplatin (AUC 6) was given intravenously every three weeks. Following surgery all patients received trastuzumab</w:t>
      </w:r>
      <w:r w:rsidRPr="00BF2495">
        <w:rPr>
          <w:lang w:val="en-GB" w:eastAsia="en-GB"/>
        </w:rPr>
        <w:t xml:space="preserve"> to complete </w:t>
      </w:r>
      <w:r w:rsidRPr="00BF2495">
        <w:rPr>
          <w:lang w:val="en-GB"/>
        </w:rPr>
        <w:t>one year of therapy</w:t>
      </w:r>
      <w:r w:rsidRPr="00BF2495">
        <w:rPr>
          <w:lang w:val="en-GB" w:eastAsia="en-GB"/>
        </w:rPr>
        <w:t>.</w:t>
      </w:r>
    </w:p>
    <w:p w:rsidR="001814C3" w:rsidRPr="00BF2495" w:rsidP="001814C3" w14:paraId="759A869A" w14:textId="77777777">
      <w:pPr>
        <w:rPr>
          <w:lang w:val="en-GB"/>
        </w:rPr>
      </w:pPr>
    </w:p>
    <w:p w:rsidR="001814C3" w:rsidRPr="00BF2495" w:rsidP="001814C3" w14:paraId="442AAF57" w14:textId="77777777">
      <w:pPr>
        <w:rPr>
          <w:bCs/>
          <w:lang w:val="en-GB"/>
        </w:rPr>
      </w:pPr>
      <w:r w:rsidRPr="00BF2495">
        <w:rPr>
          <w:lang w:val="en-GB"/>
        </w:rPr>
        <w:t>The primary endpoint of this study was cardiac safety during the neoadjuvant treatment period of the study.  Secondary efficacy endpoints were pCR rate in the breast (ypT0/is), DFS, PFS and OS.</w:t>
      </w:r>
      <w:r w:rsidRPr="00BF2495">
        <w:rPr>
          <w:bCs/>
          <w:lang w:val="en-GB"/>
        </w:rPr>
        <w:t xml:space="preserve"> </w:t>
      </w:r>
    </w:p>
    <w:p w:rsidR="001814C3" w:rsidRPr="00BF2495" w:rsidP="001814C3" w14:paraId="34957DF0" w14:textId="77777777">
      <w:pPr>
        <w:rPr>
          <w:bCs/>
          <w:lang w:val="en-GB"/>
        </w:rPr>
      </w:pPr>
    </w:p>
    <w:p w:rsidR="001814C3" w:rsidRPr="00BF2495" w:rsidP="001814C3" w14:paraId="660D3827" w14:textId="77777777">
      <w:pPr>
        <w:rPr>
          <w:lang w:val="en-GB"/>
        </w:rPr>
      </w:pPr>
      <w:r w:rsidRPr="00BF2495">
        <w:rPr>
          <w:lang w:val="en-GB"/>
        </w:rPr>
        <w:t>Demographics were well balanced between arms (median age was 49-50 years, the majority were Caucasian [77%]) and all patients were female. Overall 6% of patients had inflammatory breast cancer, 25% had locally advanced breast cancer and 69% had operable breast cancer. Approximately half the patients in each treatment group had ER-positive and/or PgR-positive disease.</w:t>
      </w:r>
    </w:p>
    <w:p w:rsidR="001814C3" w:rsidRPr="00BF2495" w:rsidP="001814C3" w14:paraId="24301373" w14:textId="77777777">
      <w:pPr>
        <w:rPr>
          <w:lang w:val="en-GB"/>
        </w:rPr>
      </w:pPr>
    </w:p>
    <w:p w:rsidR="001814C3" w:rsidRPr="001F5859" w:rsidP="001814C3" w14:paraId="6366F01A" w14:textId="77777777">
      <w:pPr>
        <w:rPr>
          <w:lang w:val="en-GB"/>
        </w:rPr>
      </w:pPr>
      <w:r w:rsidRPr="00BF2495">
        <w:rPr>
          <w:lang w:val="en-GB"/>
        </w:rPr>
        <w:t>Compared with published data for similar regimens without pertuzumab, high pCR rates were observed in all 3 treatment a</w:t>
      </w:r>
      <w:r w:rsidRPr="001F5859">
        <w:rPr>
          <w:lang w:val="en-GB"/>
        </w:rPr>
        <w:t xml:space="preserve">rms (see Table </w:t>
      </w:r>
      <w:r w:rsidRPr="001F5859" w:rsidR="004E7886">
        <w:rPr>
          <w:lang w:val="en-GB"/>
        </w:rPr>
        <w:t>4</w:t>
      </w:r>
      <w:r w:rsidRPr="001F5859">
        <w:rPr>
          <w:lang w:val="en-GB"/>
        </w:rPr>
        <w:t>). A consistent pattern of results was observed regardless of pCR definition used. The pCR rates were lower in the subgroup of patients with hormone receptor-positive tumours (range 46.2% to 50.0%) than in patients with hormone receptor-negative tumours (range 65.0% to 83.8%).</w:t>
      </w:r>
    </w:p>
    <w:p w:rsidR="00265C2D" w:rsidRPr="001F5859" w:rsidP="001814C3" w14:paraId="7F1600AA" w14:textId="77777777">
      <w:pPr>
        <w:rPr>
          <w:lang w:val="en-GB"/>
        </w:rPr>
      </w:pPr>
    </w:p>
    <w:p w:rsidR="001814C3" w:rsidRPr="001F5859" w:rsidP="001814C3" w14:paraId="0A247731" w14:textId="77777777">
      <w:pPr>
        <w:rPr>
          <w:lang w:val="en-GB"/>
        </w:rPr>
      </w:pPr>
      <w:r w:rsidRPr="001F5859">
        <w:rPr>
          <w:lang w:val="en-GB"/>
        </w:rPr>
        <w:t xml:space="preserve">pCR rates were similar in patients with operable and locally advanced disease. There were too few patients with inflammatory breast cancer to draw any firm conclusions. </w:t>
      </w:r>
    </w:p>
    <w:p w:rsidR="009F4E3E" w:rsidRPr="001F5859" w:rsidP="001814C3" w14:paraId="33FD48D3" w14:textId="77777777"/>
    <w:p w:rsidR="00863CEA" w:rsidRPr="00B26073" w14:paraId="16DF9F12" w14:textId="77777777">
      <w:pPr>
        <w:keepNext/>
        <w:keepLines/>
        <w:ind w:left="1080" w:hanging="1080"/>
        <w:rPr>
          <w:b/>
          <w:color w:val="000000"/>
          <w:lang w:val="en-GB"/>
        </w:rPr>
      </w:pPr>
      <w:r w:rsidRPr="001F5859">
        <w:rPr>
          <w:b/>
          <w:color w:val="000000"/>
          <w:lang w:val="en-GB"/>
        </w:rPr>
        <w:t xml:space="preserve">Table </w:t>
      </w:r>
      <w:r w:rsidRPr="001F5859" w:rsidR="004E7886">
        <w:rPr>
          <w:b/>
          <w:color w:val="000000"/>
          <w:lang w:val="en-GB"/>
        </w:rPr>
        <w:t>4</w:t>
      </w:r>
      <w:r w:rsidRPr="001F5859">
        <w:rPr>
          <w:b/>
          <w:color w:val="000000"/>
          <w:lang w:val="en-GB"/>
        </w:rPr>
        <w:tab/>
      </w:r>
      <w:r w:rsidRPr="001F5859" w:rsidR="006F3F1A">
        <w:rPr>
          <w:b/>
          <w:color w:val="000000"/>
          <w:lang w:val="en-GB"/>
        </w:rPr>
        <w:t>NEOSPHER</w:t>
      </w:r>
      <w:r w:rsidRPr="00BF2495" w:rsidR="006F3F1A">
        <w:rPr>
          <w:b/>
          <w:color w:val="000000"/>
          <w:lang w:val="en-GB"/>
        </w:rPr>
        <w:t>E (</w:t>
      </w:r>
      <w:r w:rsidRPr="00B26073">
        <w:rPr>
          <w:b/>
          <w:color w:val="000000"/>
          <w:lang w:val="en-GB"/>
        </w:rPr>
        <w:t>WO20697</w:t>
      </w:r>
      <w:r w:rsidRPr="00BF2495" w:rsidR="006F3F1A">
        <w:rPr>
          <w:b/>
          <w:color w:val="000000"/>
          <w:lang w:val="en-GB"/>
        </w:rPr>
        <w:t>) and TRYPHAENA (BO22280): Overview</w:t>
      </w:r>
      <w:r w:rsidRPr="00B26073">
        <w:rPr>
          <w:b/>
          <w:color w:val="000000"/>
          <w:lang w:val="en-GB"/>
        </w:rPr>
        <w:t xml:space="preserve"> of </w:t>
      </w:r>
      <w:r w:rsidRPr="00BF2495" w:rsidR="006F3F1A">
        <w:rPr>
          <w:b/>
          <w:color w:val="000000"/>
          <w:lang w:val="en-GB"/>
        </w:rPr>
        <w:t>efficacy</w:t>
      </w:r>
      <w:r w:rsidRPr="00B26073">
        <w:rPr>
          <w:b/>
          <w:color w:val="000000"/>
          <w:lang w:val="en-GB"/>
        </w:rPr>
        <w:t xml:space="preserve"> (Intent to Treat Population)</w:t>
      </w:r>
      <w:r w:rsidRPr="00BF2495" w:rsidR="006F3F1A">
        <w:rPr>
          <w:b/>
          <w:color w:val="000000"/>
          <w:lang w:val="en-GB"/>
        </w:rPr>
        <w:t xml:space="preserve"> </w:t>
      </w:r>
    </w:p>
    <w:p w:rsidR="0096375F" w:rsidRPr="00BF2495" w14:paraId="1BE635E8" w14:textId="77777777">
      <w:pPr>
        <w:keepNext/>
        <w:keepLines/>
        <w:rPr>
          <w:lang w:val="en-GB"/>
        </w:rPr>
      </w:pPr>
    </w:p>
    <w:tbl>
      <w:tblPr>
        <w:tblW w:w="54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053"/>
        <w:gridCol w:w="1136"/>
        <w:gridCol w:w="1202"/>
        <w:gridCol w:w="1204"/>
        <w:gridCol w:w="1174"/>
        <w:gridCol w:w="1363"/>
        <w:gridCol w:w="1335"/>
        <w:gridCol w:w="1466"/>
      </w:tblGrid>
      <w:tr w14:paraId="784D1A6D" w14:textId="77777777" w:rsidTr="0096375F">
        <w:tblPrEx>
          <w:tblW w:w="54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Ex>
        <w:trPr>
          <w:cantSplit/>
          <w:tblHeader/>
          <w:jc w:val="center"/>
        </w:trPr>
        <w:tc>
          <w:tcPr>
            <w:tcW w:w="530" w:type="pct"/>
            <w:vAlign w:val="center"/>
          </w:tcPr>
          <w:p w:rsidR="0096375F" w:rsidRPr="00BF2495" w14:paraId="69AEB9E1" w14:textId="77777777">
            <w:pPr>
              <w:keepNext/>
              <w:keepLines/>
              <w:spacing w:before="50" w:after="50" w:line="240" w:lineRule="exact"/>
              <w:rPr>
                <w:b/>
                <w:color w:val="000000"/>
                <w:sz w:val="20"/>
                <w:lang w:val="en-GB"/>
              </w:rPr>
            </w:pPr>
          </w:p>
        </w:tc>
        <w:tc>
          <w:tcPr>
            <w:tcW w:w="2374" w:type="pct"/>
            <w:gridSpan w:val="4"/>
            <w:vAlign w:val="center"/>
          </w:tcPr>
          <w:p w:rsidR="0096375F" w:rsidRPr="00BF2495" w14:paraId="6F1DDA35" w14:textId="77777777">
            <w:pPr>
              <w:keepNext/>
              <w:keepLines/>
              <w:spacing w:before="50" w:after="50" w:line="240" w:lineRule="exact"/>
              <w:jc w:val="center"/>
              <w:rPr>
                <w:b/>
                <w:color w:val="000000"/>
                <w:sz w:val="20"/>
                <w:lang w:val="en-GB"/>
              </w:rPr>
            </w:pPr>
            <w:r w:rsidRPr="00BF2495">
              <w:rPr>
                <w:b/>
                <w:color w:val="000000"/>
                <w:sz w:val="20"/>
                <w:lang w:val="en-GB"/>
              </w:rPr>
              <w:t>NEOSPHERE (WO20697)</w:t>
            </w:r>
          </w:p>
        </w:tc>
        <w:tc>
          <w:tcPr>
            <w:tcW w:w="2096" w:type="pct"/>
            <w:gridSpan w:val="3"/>
            <w:vAlign w:val="center"/>
          </w:tcPr>
          <w:p w:rsidR="0096375F" w:rsidRPr="00BF2495" w14:paraId="67490B8D" w14:textId="77777777">
            <w:pPr>
              <w:keepNext/>
              <w:keepLines/>
              <w:spacing w:before="50" w:after="50" w:line="240" w:lineRule="exact"/>
              <w:jc w:val="center"/>
              <w:rPr>
                <w:b/>
                <w:color w:val="000000"/>
                <w:sz w:val="20"/>
                <w:lang w:val="en-GB"/>
              </w:rPr>
            </w:pPr>
            <w:r w:rsidRPr="00BF2495">
              <w:rPr>
                <w:b/>
                <w:color w:val="000000"/>
                <w:sz w:val="20"/>
                <w:lang w:val="en-GB"/>
              </w:rPr>
              <w:t>TRYPHAENA (BO22280)</w:t>
            </w:r>
          </w:p>
        </w:tc>
      </w:tr>
      <w:tr w14:paraId="58915BBA" w14:textId="77777777" w:rsidTr="0096375F">
        <w:tblPrEx>
          <w:tblW w:w="5407" w:type="pct"/>
          <w:jc w:val="center"/>
          <w:tblLayout w:type="fixed"/>
          <w:tblCellMar>
            <w:left w:w="57" w:type="dxa"/>
            <w:right w:w="57" w:type="dxa"/>
          </w:tblCellMar>
          <w:tblLook w:val="0000"/>
        </w:tblPrEx>
        <w:trPr>
          <w:cantSplit/>
          <w:tblHeader/>
          <w:jc w:val="center"/>
        </w:trPr>
        <w:tc>
          <w:tcPr>
            <w:tcW w:w="530" w:type="pct"/>
            <w:vAlign w:val="center"/>
          </w:tcPr>
          <w:p w:rsidR="0096375F" w:rsidRPr="00BF2495" w14:paraId="40FBD19E" w14:textId="77777777">
            <w:pPr>
              <w:keepNext/>
              <w:keepLines/>
              <w:spacing w:before="50" w:after="50" w:line="240" w:lineRule="exact"/>
              <w:rPr>
                <w:b/>
                <w:color w:val="000000"/>
                <w:sz w:val="20"/>
                <w:lang w:val="en-GB"/>
              </w:rPr>
            </w:pPr>
            <w:r w:rsidRPr="00BF2495">
              <w:rPr>
                <w:b/>
                <w:color w:val="000000"/>
                <w:sz w:val="20"/>
                <w:lang w:val="en-GB"/>
              </w:rPr>
              <w:t>Parameter</w:t>
            </w:r>
          </w:p>
        </w:tc>
        <w:tc>
          <w:tcPr>
            <w:tcW w:w="572" w:type="pct"/>
            <w:vAlign w:val="center"/>
          </w:tcPr>
          <w:p w:rsidR="0096375F" w:rsidRPr="00BF2495" w14:paraId="17A56435" w14:textId="77777777">
            <w:pPr>
              <w:keepNext/>
              <w:keepLines/>
              <w:spacing w:before="50" w:after="50" w:line="240" w:lineRule="exact"/>
              <w:jc w:val="center"/>
              <w:rPr>
                <w:b/>
                <w:color w:val="000000"/>
                <w:sz w:val="20"/>
                <w:lang w:val="en-GB"/>
              </w:rPr>
            </w:pPr>
            <w:r w:rsidRPr="00BF2495">
              <w:rPr>
                <w:b/>
                <w:color w:val="000000"/>
                <w:sz w:val="20"/>
                <w:lang w:val="en-GB"/>
              </w:rPr>
              <w:t>Trastuzumab +Docetaxel</w:t>
            </w:r>
          </w:p>
          <w:p w:rsidR="0096375F" w:rsidRPr="00BF2495" w14:paraId="3F01F582" w14:textId="77777777">
            <w:pPr>
              <w:keepNext/>
              <w:keepLines/>
              <w:spacing w:before="50" w:after="50" w:line="240" w:lineRule="exact"/>
              <w:jc w:val="center"/>
              <w:rPr>
                <w:b/>
                <w:color w:val="000000"/>
                <w:sz w:val="20"/>
                <w:lang w:val="en-GB"/>
              </w:rPr>
            </w:pPr>
            <w:r w:rsidRPr="00BF2495">
              <w:rPr>
                <w:b/>
                <w:color w:val="000000"/>
                <w:sz w:val="20"/>
                <w:lang w:val="en-GB"/>
              </w:rPr>
              <w:t>N=107</w:t>
            </w:r>
          </w:p>
        </w:tc>
        <w:tc>
          <w:tcPr>
            <w:tcW w:w="605" w:type="pct"/>
            <w:vAlign w:val="center"/>
          </w:tcPr>
          <w:p w:rsidR="0096375F" w:rsidRPr="00BF2495" w14:paraId="4934552B" w14:textId="77777777">
            <w:pPr>
              <w:keepNext/>
              <w:keepLines/>
              <w:spacing w:before="50" w:after="50" w:line="240" w:lineRule="exact"/>
              <w:jc w:val="center"/>
              <w:rPr>
                <w:b/>
                <w:color w:val="000000"/>
                <w:sz w:val="20"/>
                <w:lang w:val="en-GB"/>
              </w:rPr>
            </w:pPr>
            <w:r w:rsidRPr="00BF2495">
              <w:rPr>
                <w:b/>
                <w:color w:val="000000"/>
                <w:sz w:val="20"/>
                <w:lang w:val="en-GB"/>
              </w:rPr>
              <w:t>Perjeta+</w:t>
            </w:r>
          </w:p>
          <w:p w:rsidR="0096375F" w:rsidRPr="00BF2495" w14:paraId="77B41D65" w14:textId="77777777">
            <w:pPr>
              <w:keepNext/>
              <w:keepLines/>
              <w:spacing w:before="50" w:after="50" w:line="240" w:lineRule="exact"/>
              <w:jc w:val="center"/>
              <w:rPr>
                <w:b/>
                <w:color w:val="000000"/>
                <w:sz w:val="20"/>
                <w:lang w:val="en-GB"/>
              </w:rPr>
            </w:pPr>
            <w:r w:rsidRPr="00BF2495">
              <w:rPr>
                <w:b/>
                <w:color w:val="000000"/>
                <w:sz w:val="20"/>
                <w:lang w:val="en-GB"/>
              </w:rPr>
              <w:t>Trastuzumab+</w:t>
            </w:r>
          </w:p>
          <w:p w:rsidR="0096375F" w:rsidRPr="00BF2495" w14:paraId="53D8B688" w14:textId="77777777">
            <w:pPr>
              <w:keepNext/>
              <w:keepLines/>
              <w:spacing w:before="50" w:after="50" w:line="240" w:lineRule="exact"/>
              <w:jc w:val="center"/>
              <w:rPr>
                <w:b/>
                <w:color w:val="000000"/>
                <w:sz w:val="20"/>
                <w:lang w:val="en-GB"/>
              </w:rPr>
            </w:pPr>
            <w:r w:rsidRPr="00BF2495">
              <w:rPr>
                <w:b/>
                <w:color w:val="000000"/>
                <w:sz w:val="20"/>
                <w:lang w:val="en-GB"/>
              </w:rPr>
              <w:t>Docetaxel</w:t>
            </w:r>
          </w:p>
          <w:p w:rsidR="0096375F" w:rsidRPr="00BF2495" w14:paraId="3BDF6F93" w14:textId="77777777">
            <w:pPr>
              <w:keepNext/>
              <w:keepLines/>
              <w:spacing w:before="50" w:after="50" w:line="240" w:lineRule="exact"/>
              <w:jc w:val="center"/>
              <w:rPr>
                <w:b/>
                <w:color w:val="000000"/>
                <w:sz w:val="20"/>
                <w:lang w:val="en-GB"/>
              </w:rPr>
            </w:pPr>
            <w:r w:rsidRPr="00BF2495">
              <w:rPr>
                <w:b/>
                <w:color w:val="000000"/>
                <w:sz w:val="20"/>
                <w:lang w:val="en-GB"/>
              </w:rPr>
              <w:t>N=107</w:t>
            </w:r>
          </w:p>
        </w:tc>
        <w:tc>
          <w:tcPr>
            <w:tcW w:w="606" w:type="pct"/>
            <w:vAlign w:val="center"/>
          </w:tcPr>
          <w:p w:rsidR="0096375F" w:rsidRPr="00BF2495" w14:paraId="05C83106" w14:textId="77777777">
            <w:pPr>
              <w:keepNext/>
              <w:keepLines/>
              <w:spacing w:before="50" w:after="50" w:line="240" w:lineRule="exact"/>
              <w:jc w:val="center"/>
              <w:rPr>
                <w:b/>
                <w:color w:val="000000"/>
                <w:sz w:val="20"/>
                <w:lang w:val="en-GB"/>
              </w:rPr>
            </w:pPr>
            <w:r w:rsidRPr="00BF2495">
              <w:rPr>
                <w:b/>
                <w:color w:val="000000"/>
                <w:sz w:val="20"/>
                <w:lang w:val="en-GB"/>
              </w:rPr>
              <w:t>Perjeta+</w:t>
            </w:r>
          </w:p>
          <w:p w:rsidR="0096375F" w:rsidRPr="00BF2495" w14:paraId="6C0D65C1" w14:textId="77777777">
            <w:pPr>
              <w:keepNext/>
              <w:keepLines/>
              <w:spacing w:before="50" w:after="50" w:line="240" w:lineRule="exact"/>
              <w:jc w:val="center"/>
              <w:rPr>
                <w:b/>
                <w:color w:val="000000"/>
                <w:sz w:val="20"/>
                <w:lang w:val="en-GB"/>
              </w:rPr>
            </w:pPr>
            <w:r w:rsidRPr="00BF2495">
              <w:rPr>
                <w:b/>
                <w:color w:val="000000"/>
                <w:sz w:val="20"/>
                <w:lang w:val="en-GB"/>
              </w:rPr>
              <w:t>Trastuzumab</w:t>
            </w:r>
          </w:p>
          <w:p w:rsidR="0096375F" w:rsidRPr="00BF2495" w14:paraId="59058E41" w14:textId="77777777">
            <w:pPr>
              <w:keepNext/>
              <w:keepLines/>
              <w:spacing w:before="50" w:after="50" w:line="240" w:lineRule="exact"/>
              <w:jc w:val="center"/>
              <w:rPr>
                <w:b/>
                <w:color w:val="000000"/>
                <w:sz w:val="20"/>
                <w:lang w:val="en-GB"/>
              </w:rPr>
            </w:pPr>
            <w:r w:rsidRPr="00BF2495">
              <w:rPr>
                <w:b/>
                <w:color w:val="000000"/>
                <w:sz w:val="20"/>
                <w:lang w:val="en-GB"/>
              </w:rPr>
              <w:t>N=107</w:t>
            </w:r>
          </w:p>
        </w:tc>
        <w:tc>
          <w:tcPr>
            <w:tcW w:w="591" w:type="pct"/>
            <w:vAlign w:val="center"/>
          </w:tcPr>
          <w:p w:rsidR="0096375F" w:rsidRPr="00BF2495" w14:paraId="452F3818" w14:textId="77777777">
            <w:pPr>
              <w:keepNext/>
              <w:keepLines/>
              <w:spacing w:before="50" w:after="50" w:line="240" w:lineRule="exact"/>
              <w:jc w:val="center"/>
              <w:rPr>
                <w:b/>
                <w:color w:val="000000"/>
                <w:sz w:val="20"/>
                <w:lang w:val="en-GB"/>
              </w:rPr>
            </w:pPr>
            <w:r w:rsidRPr="00BF2495">
              <w:rPr>
                <w:b/>
                <w:color w:val="000000"/>
                <w:sz w:val="20"/>
                <w:lang w:val="en-GB"/>
              </w:rPr>
              <w:t>Perjeta</w:t>
            </w:r>
          </w:p>
          <w:p w:rsidR="0096375F" w:rsidRPr="00BF2495" w14:paraId="3F87BA73" w14:textId="77777777">
            <w:pPr>
              <w:keepNext/>
              <w:keepLines/>
              <w:spacing w:before="50" w:after="50" w:line="240" w:lineRule="exact"/>
              <w:jc w:val="center"/>
              <w:rPr>
                <w:b/>
                <w:color w:val="000000"/>
                <w:sz w:val="20"/>
                <w:lang w:val="en-GB"/>
              </w:rPr>
            </w:pPr>
            <w:r w:rsidRPr="00BF2495">
              <w:rPr>
                <w:b/>
                <w:color w:val="000000"/>
                <w:sz w:val="20"/>
                <w:lang w:val="en-GB"/>
              </w:rPr>
              <w:t>+Docetaxel</w:t>
            </w:r>
          </w:p>
          <w:p w:rsidR="0096375F" w:rsidRPr="00BF2495" w14:paraId="55089D6D" w14:textId="77777777">
            <w:pPr>
              <w:keepNext/>
              <w:keepLines/>
              <w:spacing w:before="50" w:after="50" w:line="240" w:lineRule="exact"/>
              <w:jc w:val="center"/>
              <w:rPr>
                <w:b/>
                <w:color w:val="000000"/>
                <w:sz w:val="20"/>
                <w:lang w:val="en-GB"/>
              </w:rPr>
            </w:pPr>
            <w:r w:rsidRPr="00BF2495">
              <w:rPr>
                <w:b/>
                <w:color w:val="000000"/>
                <w:sz w:val="20"/>
                <w:lang w:val="en-GB"/>
              </w:rPr>
              <w:t>N=96</w:t>
            </w:r>
          </w:p>
        </w:tc>
        <w:tc>
          <w:tcPr>
            <w:tcW w:w="686" w:type="pct"/>
            <w:vAlign w:val="center"/>
          </w:tcPr>
          <w:p w:rsidR="0096375F" w:rsidRPr="00BF2495" w14:paraId="468C3BA9" w14:textId="77777777">
            <w:pPr>
              <w:keepNext/>
              <w:keepLines/>
              <w:spacing w:before="50" w:after="50" w:line="240" w:lineRule="exact"/>
              <w:ind w:left="-24" w:right="-29"/>
              <w:jc w:val="center"/>
              <w:rPr>
                <w:b/>
                <w:color w:val="000000"/>
                <w:sz w:val="20"/>
                <w:lang w:val="es-ES"/>
              </w:rPr>
            </w:pPr>
            <w:r w:rsidRPr="00BF2495">
              <w:rPr>
                <w:b/>
                <w:color w:val="000000"/>
                <w:sz w:val="20"/>
                <w:lang w:val="es-ES"/>
              </w:rPr>
              <w:t>Perjeta+</w:t>
            </w:r>
          </w:p>
          <w:p w:rsidR="0096375F" w:rsidRPr="00BF2495" w14:paraId="0CD98CCD" w14:textId="77777777">
            <w:pPr>
              <w:keepNext/>
              <w:keepLines/>
              <w:spacing w:before="50" w:after="50" w:line="240" w:lineRule="exact"/>
              <w:ind w:left="-24" w:right="-29"/>
              <w:jc w:val="center"/>
              <w:rPr>
                <w:b/>
                <w:color w:val="000000"/>
                <w:sz w:val="20"/>
                <w:lang w:val="es-ES"/>
              </w:rPr>
            </w:pPr>
            <w:r w:rsidRPr="00BF2495">
              <w:rPr>
                <w:b/>
                <w:color w:val="000000"/>
                <w:sz w:val="20"/>
                <w:lang w:val="es-ES"/>
              </w:rPr>
              <w:t>Trastuzumab+</w:t>
            </w:r>
          </w:p>
          <w:p w:rsidR="0096375F" w:rsidRPr="00BF2495" w14:paraId="10FB561D" w14:textId="77777777">
            <w:pPr>
              <w:keepNext/>
              <w:keepLines/>
              <w:spacing w:before="50" w:after="50" w:line="240" w:lineRule="exact"/>
              <w:ind w:left="-24" w:right="-29"/>
              <w:jc w:val="center"/>
              <w:rPr>
                <w:b/>
                <w:color w:val="000000"/>
                <w:sz w:val="20"/>
                <w:lang w:val="es-ES"/>
              </w:rPr>
            </w:pPr>
            <w:r w:rsidRPr="00BF2495">
              <w:rPr>
                <w:b/>
                <w:color w:val="000000"/>
                <w:sz w:val="20"/>
                <w:lang w:val="es-ES"/>
              </w:rPr>
              <w:t>FEC</w:t>
            </w:r>
            <w:r w:rsidRPr="00BF2495">
              <w:rPr>
                <w:rFonts w:ascii="Wingdings" w:hAnsi="Wingdings"/>
                <w:b/>
                <w:color w:val="000000"/>
                <w:sz w:val="20"/>
                <w:lang w:val="en-GB"/>
              </w:rPr>
              <w:sym w:font="Wingdings" w:char="F0E0"/>
            </w:r>
          </w:p>
          <w:p w:rsidR="0096375F" w:rsidRPr="00BF2495" w14:paraId="15234E82" w14:textId="77777777">
            <w:pPr>
              <w:keepNext/>
              <w:keepLines/>
              <w:spacing w:before="50" w:after="50" w:line="240" w:lineRule="exact"/>
              <w:jc w:val="center"/>
              <w:rPr>
                <w:b/>
                <w:color w:val="000000"/>
                <w:sz w:val="20"/>
                <w:lang w:val="es-ES"/>
              </w:rPr>
            </w:pPr>
            <w:r w:rsidRPr="00BF2495">
              <w:rPr>
                <w:b/>
                <w:color w:val="000000"/>
                <w:sz w:val="20"/>
                <w:lang w:val="es-ES"/>
              </w:rPr>
              <w:t>Perjeta+</w:t>
            </w:r>
          </w:p>
          <w:p w:rsidR="0096375F" w:rsidRPr="00BF2495" w14:paraId="06879F02" w14:textId="77777777">
            <w:pPr>
              <w:keepNext/>
              <w:keepLines/>
              <w:spacing w:before="50" w:after="50" w:line="240" w:lineRule="exact"/>
              <w:jc w:val="center"/>
              <w:rPr>
                <w:b/>
                <w:color w:val="000000"/>
                <w:sz w:val="20"/>
                <w:lang w:val="es-ES"/>
              </w:rPr>
            </w:pPr>
            <w:r w:rsidRPr="00BF2495">
              <w:rPr>
                <w:b/>
                <w:color w:val="000000"/>
                <w:sz w:val="20"/>
                <w:lang w:val="es-ES"/>
              </w:rPr>
              <w:t>Trastuzumab+</w:t>
            </w:r>
          </w:p>
          <w:p w:rsidR="0096375F" w:rsidRPr="00BF2495" w14:paraId="1BEBB1AC" w14:textId="77777777">
            <w:pPr>
              <w:keepNext/>
              <w:keepLines/>
              <w:spacing w:before="50" w:after="50" w:line="240" w:lineRule="exact"/>
              <w:jc w:val="center"/>
              <w:rPr>
                <w:b/>
                <w:color w:val="000000"/>
                <w:sz w:val="20"/>
                <w:lang w:val="en-GB"/>
              </w:rPr>
            </w:pPr>
            <w:r w:rsidRPr="00BF2495">
              <w:rPr>
                <w:b/>
                <w:color w:val="000000"/>
                <w:sz w:val="20"/>
                <w:lang w:val="en-GB"/>
              </w:rPr>
              <w:t>Docetaxel</w:t>
            </w:r>
          </w:p>
          <w:p w:rsidR="0096375F" w:rsidRPr="00BF2495" w14:paraId="3C0BD1D3" w14:textId="77777777">
            <w:pPr>
              <w:keepNext/>
              <w:keepLines/>
              <w:spacing w:before="50" w:after="50" w:line="240" w:lineRule="exact"/>
              <w:jc w:val="center"/>
              <w:rPr>
                <w:b/>
                <w:color w:val="000000"/>
                <w:sz w:val="20"/>
                <w:lang w:val="en-GB"/>
              </w:rPr>
            </w:pPr>
            <w:r w:rsidRPr="00BF2495">
              <w:rPr>
                <w:b/>
                <w:color w:val="000000"/>
                <w:sz w:val="20"/>
                <w:lang w:val="en-GB"/>
              </w:rPr>
              <w:t>N=73</w:t>
            </w:r>
          </w:p>
        </w:tc>
        <w:tc>
          <w:tcPr>
            <w:tcW w:w="672" w:type="pct"/>
            <w:vAlign w:val="center"/>
          </w:tcPr>
          <w:p w:rsidR="0096375F" w:rsidRPr="00BF2495" w14:paraId="2C7D6A4A" w14:textId="77777777">
            <w:pPr>
              <w:keepNext/>
              <w:keepLines/>
              <w:spacing w:before="50" w:after="50" w:line="240" w:lineRule="exact"/>
              <w:jc w:val="center"/>
              <w:rPr>
                <w:b/>
                <w:color w:val="000000"/>
                <w:sz w:val="20"/>
                <w:lang w:val="es-ES"/>
              </w:rPr>
            </w:pPr>
            <w:r w:rsidRPr="00BF2495">
              <w:rPr>
                <w:b/>
                <w:color w:val="000000"/>
                <w:sz w:val="20"/>
                <w:lang w:val="es-ES"/>
              </w:rPr>
              <w:t>FEC</w:t>
            </w:r>
            <w:r w:rsidRPr="00BF2495">
              <w:rPr>
                <w:rFonts w:ascii="Wingdings" w:hAnsi="Wingdings"/>
                <w:b/>
                <w:color w:val="000000"/>
                <w:sz w:val="20"/>
                <w:lang w:val="en-GB"/>
              </w:rPr>
              <w:sym w:font="Wingdings" w:char="F0E0"/>
            </w:r>
          </w:p>
          <w:p w:rsidR="0096375F" w:rsidRPr="00BF2495" w14:paraId="62635C2B" w14:textId="77777777">
            <w:pPr>
              <w:keepNext/>
              <w:keepLines/>
              <w:spacing w:before="50" w:after="50" w:line="240" w:lineRule="exact"/>
              <w:jc w:val="center"/>
              <w:rPr>
                <w:b/>
                <w:color w:val="000000"/>
                <w:sz w:val="20"/>
                <w:lang w:val="es-ES"/>
              </w:rPr>
            </w:pPr>
            <w:r w:rsidRPr="00BF2495">
              <w:rPr>
                <w:b/>
                <w:color w:val="000000"/>
                <w:sz w:val="20"/>
                <w:lang w:val="es-ES"/>
              </w:rPr>
              <w:t>Perjeta+</w:t>
            </w:r>
          </w:p>
          <w:p w:rsidR="0096375F" w:rsidRPr="00BF2495" w14:paraId="18D3BBCF" w14:textId="77777777">
            <w:pPr>
              <w:keepNext/>
              <w:keepLines/>
              <w:spacing w:before="50" w:after="50" w:line="240" w:lineRule="exact"/>
              <w:jc w:val="center"/>
              <w:rPr>
                <w:b/>
                <w:color w:val="000000"/>
                <w:sz w:val="20"/>
                <w:lang w:val="es-ES"/>
              </w:rPr>
            </w:pPr>
            <w:r w:rsidRPr="00BF2495">
              <w:rPr>
                <w:b/>
                <w:color w:val="000000"/>
                <w:sz w:val="20"/>
                <w:lang w:val="es-ES"/>
              </w:rPr>
              <w:t>Trastuzumab+</w:t>
            </w:r>
          </w:p>
          <w:p w:rsidR="0096375F" w:rsidRPr="00BF2495" w14:paraId="0DD8B40B" w14:textId="77777777">
            <w:pPr>
              <w:keepNext/>
              <w:keepLines/>
              <w:spacing w:before="50" w:after="50" w:line="240" w:lineRule="exact"/>
              <w:jc w:val="center"/>
              <w:rPr>
                <w:b/>
                <w:color w:val="000000"/>
                <w:sz w:val="20"/>
                <w:lang w:val="es-ES"/>
              </w:rPr>
            </w:pPr>
            <w:r w:rsidRPr="00BF2495">
              <w:rPr>
                <w:b/>
                <w:color w:val="000000"/>
                <w:sz w:val="20"/>
                <w:lang w:val="es-ES"/>
              </w:rPr>
              <w:t>Docetaxel</w:t>
            </w:r>
          </w:p>
          <w:p w:rsidR="0096375F" w:rsidRPr="00BF2495" w14:paraId="4D7FB42E" w14:textId="77777777">
            <w:pPr>
              <w:keepNext/>
              <w:keepLines/>
              <w:spacing w:before="50" w:after="50" w:line="240" w:lineRule="exact"/>
              <w:jc w:val="center"/>
              <w:rPr>
                <w:b/>
                <w:color w:val="000000"/>
                <w:sz w:val="20"/>
                <w:lang w:val="es-ES"/>
              </w:rPr>
            </w:pPr>
            <w:r w:rsidRPr="00BF2495">
              <w:rPr>
                <w:b/>
                <w:color w:val="000000"/>
                <w:sz w:val="20"/>
                <w:lang w:val="es-ES"/>
              </w:rPr>
              <w:t>N=75</w:t>
            </w:r>
          </w:p>
        </w:tc>
        <w:tc>
          <w:tcPr>
            <w:tcW w:w="738" w:type="pct"/>
            <w:vAlign w:val="center"/>
          </w:tcPr>
          <w:p w:rsidR="0096375F" w:rsidRPr="00BF2495" w14:paraId="37302CAB" w14:textId="77777777">
            <w:pPr>
              <w:keepNext/>
              <w:keepLines/>
              <w:spacing w:before="50" w:after="50" w:line="240" w:lineRule="exact"/>
              <w:jc w:val="center"/>
              <w:rPr>
                <w:b/>
                <w:color w:val="000000"/>
                <w:sz w:val="20"/>
                <w:lang w:val="en-GB"/>
              </w:rPr>
            </w:pPr>
            <w:r w:rsidRPr="00BF2495">
              <w:rPr>
                <w:b/>
                <w:color w:val="000000"/>
                <w:sz w:val="20"/>
                <w:lang w:val="en-GB"/>
              </w:rPr>
              <w:t>Perjeta</w:t>
            </w:r>
          </w:p>
          <w:p w:rsidR="0096375F" w:rsidRPr="00BF2495" w14:paraId="4E2E5B6F" w14:textId="77777777">
            <w:pPr>
              <w:keepNext/>
              <w:keepLines/>
              <w:spacing w:before="50" w:after="50" w:line="240" w:lineRule="exact"/>
              <w:jc w:val="center"/>
              <w:rPr>
                <w:b/>
                <w:color w:val="000000"/>
                <w:sz w:val="20"/>
                <w:lang w:val="en-GB"/>
              </w:rPr>
            </w:pPr>
            <w:r w:rsidRPr="00BF2495">
              <w:rPr>
                <w:b/>
                <w:color w:val="000000"/>
                <w:sz w:val="20"/>
                <w:lang w:val="en-GB"/>
              </w:rPr>
              <w:t>+TCH</w:t>
            </w:r>
          </w:p>
          <w:p w:rsidR="0096375F" w:rsidRPr="00BF2495" w14:paraId="63769DD2" w14:textId="77777777">
            <w:pPr>
              <w:keepNext/>
              <w:keepLines/>
              <w:spacing w:before="50" w:after="50" w:line="240" w:lineRule="exact"/>
              <w:jc w:val="center"/>
              <w:rPr>
                <w:b/>
                <w:color w:val="000000"/>
                <w:sz w:val="20"/>
                <w:lang w:val="en-GB"/>
              </w:rPr>
            </w:pPr>
            <w:r w:rsidRPr="00BF2495">
              <w:rPr>
                <w:b/>
                <w:color w:val="000000"/>
                <w:sz w:val="20"/>
                <w:lang w:val="en-GB"/>
              </w:rPr>
              <w:t>N=77</w:t>
            </w:r>
          </w:p>
        </w:tc>
      </w:tr>
      <w:tr w14:paraId="59CFCED1" w14:textId="77777777" w:rsidTr="0096375F">
        <w:tblPrEx>
          <w:tblW w:w="5407" w:type="pct"/>
          <w:jc w:val="center"/>
          <w:tblLayout w:type="fixed"/>
          <w:tblCellMar>
            <w:left w:w="57" w:type="dxa"/>
            <w:right w:w="57" w:type="dxa"/>
          </w:tblCellMar>
          <w:tblLook w:val="0000"/>
        </w:tblPrEx>
        <w:trPr>
          <w:cantSplit/>
          <w:trHeight w:val="964"/>
          <w:jc w:val="center"/>
        </w:trPr>
        <w:tc>
          <w:tcPr>
            <w:tcW w:w="530" w:type="pct"/>
          </w:tcPr>
          <w:p w:rsidR="0096375F" w:rsidRPr="00BF2495" w14:paraId="5B78D1A0" w14:textId="77777777">
            <w:pPr>
              <w:keepNext/>
              <w:keepLines/>
              <w:spacing w:before="20" w:after="20" w:line="280" w:lineRule="exact"/>
              <w:rPr>
                <w:color w:val="000000"/>
                <w:sz w:val="20"/>
                <w:lang w:val="en-GB"/>
              </w:rPr>
            </w:pPr>
            <w:r w:rsidRPr="00BF2495">
              <w:rPr>
                <w:color w:val="000000"/>
                <w:sz w:val="20"/>
                <w:lang w:val="en-GB"/>
              </w:rPr>
              <w:t>pCR rate in the breast (ypT0/is)</w:t>
            </w:r>
          </w:p>
          <w:p w:rsidR="0096375F" w:rsidRPr="00BF2495" w14:paraId="450EC5E9" w14:textId="77777777">
            <w:pPr>
              <w:keepNext/>
              <w:keepLines/>
              <w:spacing w:before="20" w:after="20" w:line="280" w:lineRule="exact"/>
              <w:rPr>
                <w:color w:val="000000"/>
                <w:sz w:val="20"/>
                <w:lang w:val="en-GB"/>
              </w:rPr>
            </w:pPr>
            <w:r w:rsidRPr="00BF2495">
              <w:rPr>
                <w:color w:val="000000"/>
                <w:sz w:val="20"/>
                <w:lang w:val="en-GB"/>
              </w:rPr>
              <w:t>n (%)</w:t>
            </w:r>
          </w:p>
          <w:p w:rsidR="0096375F" w:rsidRPr="00BF2495" w14:paraId="62CB4CDD" w14:textId="77777777">
            <w:pPr>
              <w:keepNext/>
              <w:keepLines/>
              <w:spacing w:before="20" w:after="20" w:line="280" w:lineRule="exact"/>
              <w:rPr>
                <w:color w:val="000000"/>
                <w:sz w:val="20"/>
                <w:lang w:val="en-GB"/>
              </w:rPr>
            </w:pPr>
            <w:r w:rsidRPr="00BF2495">
              <w:rPr>
                <w:color w:val="000000"/>
                <w:sz w:val="20"/>
                <w:lang w:val="en-GB"/>
              </w:rPr>
              <w:t>[95% CI]</w:t>
            </w:r>
            <w:r w:rsidRPr="00BF2495">
              <w:rPr>
                <w:color w:val="000000"/>
                <w:sz w:val="20"/>
                <w:vertAlign w:val="superscript"/>
                <w:lang w:val="en-GB"/>
              </w:rPr>
              <w:t>1</w:t>
            </w:r>
          </w:p>
        </w:tc>
        <w:tc>
          <w:tcPr>
            <w:tcW w:w="572" w:type="pct"/>
            <w:vAlign w:val="center"/>
          </w:tcPr>
          <w:p w:rsidR="0096375F" w:rsidRPr="00BF2495" w14:paraId="2C50B698" w14:textId="77777777">
            <w:pPr>
              <w:keepNext/>
              <w:keepLines/>
              <w:spacing w:before="20" w:after="20" w:line="280" w:lineRule="exact"/>
              <w:jc w:val="center"/>
              <w:rPr>
                <w:color w:val="000000"/>
                <w:sz w:val="20"/>
                <w:lang w:val="en-GB"/>
              </w:rPr>
            </w:pPr>
            <w:r w:rsidRPr="00BF2495">
              <w:rPr>
                <w:color w:val="000000"/>
                <w:sz w:val="20"/>
                <w:lang w:val="en-GB"/>
              </w:rPr>
              <w:t>31 (29.0%)</w:t>
            </w:r>
          </w:p>
          <w:p w:rsidR="0096375F" w:rsidRPr="00BF2495" w14:paraId="2F79A5CF" w14:textId="77777777">
            <w:pPr>
              <w:keepNext/>
              <w:keepLines/>
              <w:spacing w:before="20" w:after="20" w:line="280" w:lineRule="exact"/>
              <w:jc w:val="center"/>
              <w:rPr>
                <w:color w:val="000000"/>
                <w:sz w:val="20"/>
                <w:lang w:val="en-GB"/>
              </w:rPr>
            </w:pPr>
            <w:r w:rsidRPr="00BF2495">
              <w:rPr>
                <w:color w:val="000000"/>
                <w:sz w:val="20"/>
                <w:lang w:val="en-GB"/>
              </w:rPr>
              <w:t>[20.6; 38.5]</w:t>
            </w:r>
          </w:p>
        </w:tc>
        <w:tc>
          <w:tcPr>
            <w:tcW w:w="605" w:type="pct"/>
            <w:vAlign w:val="center"/>
          </w:tcPr>
          <w:p w:rsidR="0096375F" w:rsidRPr="00BF2495" w14:paraId="68DABFB4" w14:textId="77777777">
            <w:pPr>
              <w:keepNext/>
              <w:keepLines/>
              <w:spacing w:before="20" w:after="20" w:line="280" w:lineRule="exact"/>
              <w:jc w:val="center"/>
              <w:rPr>
                <w:color w:val="000000"/>
                <w:sz w:val="20"/>
                <w:lang w:val="en-GB"/>
              </w:rPr>
            </w:pPr>
            <w:r w:rsidRPr="00BF2495">
              <w:rPr>
                <w:color w:val="000000"/>
                <w:sz w:val="20"/>
                <w:lang w:val="en-GB"/>
              </w:rPr>
              <w:t>49 (45.8%)</w:t>
            </w:r>
          </w:p>
          <w:p w:rsidR="0096375F" w:rsidRPr="00BF2495" w14:paraId="2AF93D80" w14:textId="77777777">
            <w:pPr>
              <w:keepNext/>
              <w:keepLines/>
              <w:spacing w:before="20" w:after="20" w:line="280" w:lineRule="exact"/>
              <w:jc w:val="center"/>
              <w:rPr>
                <w:color w:val="000000"/>
                <w:sz w:val="20"/>
                <w:lang w:val="en-GB"/>
              </w:rPr>
            </w:pPr>
            <w:r w:rsidRPr="00BF2495">
              <w:rPr>
                <w:color w:val="000000"/>
                <w:sz w:val="20"/>
                <w:lang w:val="en-GB"/>
              </w:rPr>
              <w:t>[36.1; 55.7]</w:t>
            </w:r>
          </w:p>
        </w:tc>
        <w:tc>
          <w:tcPr>
            <w:tcW w:w="606" w:type="pct"/>
            <w:vAlign w:val="center"/>
          </w:tcPr>
          <w:p w:rsidR="0096375F" w:rsidRPr="00BF2495" w14:paraId="36B91A90" w14:textId="77777777">
            <w:pPr>
              <w:keepNext/>
              <w:keepLines/>
              <w:spacing w:before="20" w:after="20" w:line="280" w:lineRule="exact"/>
              <w:jc w:val="center"/>
              <w:rPr>
                <w:color w:val="000000"/>
                <w:sz w:val="20"/>
                <w:lang w:val="en-GB"/>
              </w:rPr>
            </w:pPr>
            <w:r w:rsidRPr="00BF2495">
              <w:rPr>
                <w:color w:val="000000"/>
                <w:sz w:val="20"/>
                <w:lang w:val="en-GB"/>
              </w:rPr>
              <w:t>18 (16.8%)</w:t>
            </w:r>
          </w:p>
          <w:p w:rsidR="0096375F" w:rsidRPr="00BF2495" w14:paraId="763CCF97" w14:textId="77777777">
            <w:pPr>
              <w:keepNext/>
              <w:keepLines/>
              <w:spacing w:before="20" w:after="20" w:line="280" w:lineRule="exact"/>
              <w:jc w:val="center"/>
              <w:rPr>
                <w:color w:val="000000"/>
                <w:sz w:val="20"/>
                <w:lang w:val="en-GB"/>
              </w:rPr>
            </w:pPr>
            <w:r w:rsidRPr="00BF2495">
              <w:rPr>
                <w:color w:val="000000"/>
                <w:sz w:val="20"/>
                <w:lang w:val="en-GB"/>
              </w:rPr>
              <w:t>[10.3; 25.3]</w:t>
            </w:r>
          </w:p>
        </w:tc>
        <w:tc>
          <w:tcPr>
            <w:tcW w:w="591" w:type="pct"/>
            <w:vAlign w:val="center"/>
          </w:tcPr>
          <w:p w:rsidR="0096375F" w:rsidRPr="00BF2495" w14:paraId="15F4C66C" w14:textId="77777777">
            <w:pPr>
              <w:keepNext/>
              <w:keepLines/>
              <w:spacing w:before="20" w:after="20" w:line="280" w:lineRule="exact"/>
              <w:jc w:val="center"/>
              <w:rPr>
                <w:color w:val="000000"/>
                <w:sz w:val="20"/>
                <w:lang w:val="en-GB"/>
              </w:rPr>
            </w:pPr>
            <w:r w:rsidRPr="00BF2495">
              <w:rPr>
                <w:color w:val="000000"/>
                <w:sz w:val="20"/>
                <w:lang w:val="en-GB"/>
              </w:rPr>
              <w:t>23 (24.0%)</w:t>
            </w:r>
          </w:p>
          <w:p w:rsidR="0096375F" w:rsidRPr="00BF2495" w14:paraId="6A6CECBB" w14:textId="77777777">
            <w:pPr>
              <w:keepNext/>
              <w:keepLines/>
              <w:spacing w:before="20" w:after="20" w:line="280" w:lineRule="exact"/>
              <w:jc w:val="center"/>
              <w:rPr>
                <w:color w:val="000000"/>
                <w:sz w:val="20"/>
                <w:lang w:val="en-GB"/>
              </w:rPr>
            </w:pPr>
            <w:r w:rsidRPr="00BF2495">
              <w:rPr>
                <w:color w:val="000000"/>
                <w:sz w:val="20"/>
                <w:lang w:val="en-GB"/>
              </w:rPr>
              <w:t>[15.8; 33.7]</w:t>
            </w:r>
          </w:p>
        </w:tc>
        <w:tc>
          <w:tcPr>
            <w:tcW w:w="686" w:type="pct"/>
            <w:vAlign w:val="center"/>
          </w:tcPr>
          <w:p w:rsidR="0096375F" w:rsidRPr="00BF2495" w14:paraId="6FC2B76B" w14:textId="77777777">
            <w:pPr>
              <w:keepNext/>
              <w:keepLines/>
              <w:spacing w:before="20" w:after="20" w:line="280" w:lineRule="exact"/>
              <w:jc w:val="center"/>
              <w:rPr>
                <w:color w:val="000000"/>
                <w:sz w:val="20"/>
                <w:lang w:val="en-GB" w:eastAsia="zh-TW"/>
              </w:rPr>
            </w:pPr>
            <w:r w:rsidRPr="00BF2495">
              <w:rPr>
                <w:color w:val="000000"/>
                <w:sz w:val="20"/>
                <w:lang w:val="en-GB" w:eastAsia="zh-TW"/>
              </w:rPr>
              <w:t>45 (61.6%)</w:t>
            </w:r>
          </w:p>
          <w:p w:rsidR="0096375F" w:rsidRPr="00BF2495" w14:paraId="1C037CE2" w14:textId="77777777">
            <w:pPr>
              <w:keepNext/>
              <w:keepLines/>
              <w:spacing w:before="20" w:after="20" w:line="280" w:lineRule="exact"/>
              <w:jc w:val="center"/>
              <w:rPr>
                <w:color w:val="000000"/>
                <w:sz w:val="20"/>
                <w:lang w:val="en-GB"/>
              </w:rPr>
            </w:pPr>
            <w:r w:rsidRPr="00BF2495">
              <w:rPr>
                <w:color w:val="000000"/>
                <w:sz w:val="20"/>
                <w:lang w:val="en-GB" w:eastAsia="zh-TW"/>
              </w:rPr>
              <w:t>[49.5; 72.8]</w:t>
            </w:r>
          </w:p>
        </w:tc>
        <w:tc>
          <w:tcPr>
            <w:tcW w:w="672" w:type="pct"/>
            <w:vAlign w:val="center"/>
          </w:tcPr>
          <w:p w:rsidR="0096375F" w:rsidRPr="00BF2495" w14:paraId="4CDAAB10" w14:textId="77777777">
            <w:pPr>
              <w:keepNext/>
              <w:keepLines/>
              <w:spacing w:before="20" w:after="20" w:line="280" w:lineRule="exact"/>
              <w:jc w:val="center"/>
              <w:rPr>
                <w:color w:val="000000"/>
                <w:sz w:val="20"/>
                <w:lang w:val="en-GB" w:eastAsia="zh-TW"/>
              </w:rPr>
            </w:pPr>
            <w:r w:rsidRPr="00BF2495">
              <w:rPr>
                <w:color w:val="000000"/>
                <w:sz w:val="20"/>
                <w:lang w:val="en-GB" w:eastAsia="zh-TW"/>
              </w:rPr>
              <w:t>43 (57.3%)</w:t>
            </w:r>
          </w:p>
          <w:p w:rsidR="0096375F" w:rsidRPr="00BF2495" w14:paraId="7BE17128" w14:textId="77777777">
            <w:pPr>
              <w:keepNext/>
              <w:keepLines/>
              <w:spacing w:before="20" w:after="20" w:line="280" w:lineRule="exact"/>
              <w:jc w:val="center"/>
              <w:rPr>
                <w:color w:val="000000"/>
                <w:sz w:val="20"/>
                <w:lang w:val="en-GB"/>
              </w:rPr>
            </w:pPr>
            <w:r w:rsidRPr="00BF2495">
              <w:rPr>
                <w:color w:val="000000"/>
                <w:sz w:val="20"/>
                <w:lang w:val="en-GB" w:eastAsia="zh-TW"/>
              </w:rPr>
              <w:t>[45.4; 68.7]</w:t>
            </w:r>
          </w:p>
        </w:tc>
        <w:tc>
          <w:tcPr>
            <w:tcW w:w="738" w:type="pct"/>
            <w:vAlign w:val="center"/>
          </w:tcPr>
          <w:p w:rsidR="0096375F" w:rsidRPr="00BF2495" w14:paraId="12BEFE66" w14:textId="77777777">
            <w:pPr>
              <w:keepNext/>
              <w:keepLines/>
              <w:spacing w:before="20" w:after="20" w:line="280" w:lineRule="exact"/>
              <w:jc w:val="center"/>
              <w:rPr>
                <w:color w:val="000000"/>
                <w:sz w:val="20"/>
                <w:lang w:val="en-GB" w:eastAsia="zh-TW"/>
              </w:rPr>
            </w:pPr>
            <w:r w:rsidRPr="00BF2495">
              <w:rPr>
                <w:color w:val="000000"/>
                <w:sz w:val="20"/>
                <w:lang w:val="en-GB" w:eastAsia="zh-TW"/>
              </w:rPr>
              <w:t>51 (66.2%)</w:t>
            </w:r>
          </w:p>
          <w:p w:rsidR="0096375F" w:rsidRPr="00BF2495" w14:paraId="44325410" w14:textId="77777777">
            <w:pPr>
              <w:keepNext/>
              <w:keepLines/>
              <w:spacing w:before="20" w:after="20" w:line="280" w:lineRule="exact"/>
              <w:jc w:val="center"/>
              <w:rPr>
                <w:color w:val="000000"/>
                <w:sz w:val="20"/>
                <w:lang w:val="en-GB"/>
              </w:rPr>
            </w:pPr>
            <w:r w:rsidRPr="00BF2495">
              <w:rPr>
                <w:color w:val="000000"/>
                <w:sz w:val="20"/>
                <w:lang w:val="en-GB" w:eastAsia="zh-TW"/>
              </w:rPr>
              <w:t>[54.6; 76.6]</w:t>
            </w:r>
          </w:p>
        </w:tc>
      </w:tr>
      <w:tr w14:paraId="35DB6084" w14:textId="77777777" w:rsidTr="0096375F">
        <w:tblPrEx>
          <w:tblW w:w="5407" w:type="pct"/>
          <w:jc w:val="center"/>
          <w:tblLayout w:type="fixed"/>
          <w:tblCellMar>
            <w:left w:w="57" w:type="dxa"/>
            <w:right w:w="57" w:type="dxa"/>
          </w:tblCellMar>
          <w:tblLook w:val="0000"/>
        </w:tblPrEx>
        <w:trPr>
          <w:cantSplit/>
          <w:jc w:val="center"/>
        </w:trPr>
        <w:tc>
          <w:tcPr>
            <w:tcW w:w="530" w:type="pct"/>
          </w:tcPr>
          <w:p w:rsidR="0096375F" w:rsidRPr="00BF2495" w14:paraId="143DFC13" w14:textId="77777777">
            <w:pPr>
              <w:keepNext/>
              <w:keepLines/>
              <w:autoSpaceDE w:val="0"/>
              <w:autoSpaceDN w:val="0"/>
              <w:adjustRightInd w:val="0"/>
              <w:rPr>
                <w:color w:val="000000"/>
                <w:sz w:val="20"/>
                <w:vertAlign w:val="superscript"/>
                <w:lang w:val="en-GB"/>
              </w:rPr>
            </w:pPr>
            <w:r w:rsidRPr="00BF2495">
              <w:rPr>
                <w:color w:val="000000"/>
                <w:sz w:val="20"/>
                <w:lang w:val="en-GB"/>
              </w:rPr>
              <w:t>Difference in pCR rates</w:t>
            </w:r>
            <w:r w:rsidRPr="00BF2495">
              <w:rPr>
                <w:color w:val="000000"/>
                <w:sz w:val="20"/>
                <w:vertAlign w:val="superscript"/>
                <w:lang w:val="en-GB"/>
              </w:rPr>
              <w:t>2</w:t>
            </w:r>
          </w:p>
          <w:p w:rsidR="0096375F" w:rsidRPr="00BF2495" w14:paraId="28FC17B5" w14:textId="77777777">
            <w:pPr>
              <w:keepNext/>
              <w:keepLines/>
              <w:spacing w:before="20" w:after="20" w:line="280" w:lineRule="exact"/>
              <w:rPr>
                <w:b/>
                <w:caps/>
                <w:color w:val="000000"/>
                <w:sz w:val="20"/>
                <w:lang w:val="en-GB"/>
              </w:rPr>
            </w:pPr>
            <w:r w:rsidRPr="00BF2495">
              <w:rPr>
                <w:color w:val="000000"/>
                <w:sz w:val="20"/>
                <w:lang w:val="en-GB"/>
              </w:rPr>
              <w:t>[95% CI]</w:t>
            </w:r>
            <w:r w:rsidRPr="00BF2495">
              <w:rPr>
                <w:color w:val="000000"/>
                <w:sz w:val="20"/>
                <w:vertAlign w:val="superscript"/>
                <w:lang w:val="en-GB"/>
              </w:rPr>
              <w:t>3</w:t>
            </w:r>
          </w:p>
        </w:tc>
        <w:tc>
          <w:tcPr>
            <w:tcW w:w="572" w:type="pct"/>
            <w:vAlign w:val="center"/>
          </w:tcPr>
          <w:p w:rsidR="0096375F" w:rsidRPr="00BF2495" w14:paraId="6A263412" w14:textId="77777777">
            <w:pPr>
              <w:keepNext/>
              <w:keepLines/>
              <w:spacing w:before="20" w:after="20" w:line="280" w:lineRule="exact"/>
              <w:jc w:val="center"/>
              <w:rPr>
                <w:color w:val="000000"/>
                <w:sz w:val="20"/>
                <w:szCs w:val="22"/>
                <w:lang w:val="en-GB"/>
              </w:rPr>
            </w:pPr>
          </w:p>
        </w:tc>
        <w:tc>
          <w:tcPr>
            <w:tcW w:w="605" w:type="pct"/>
            <w:vAlign w:val="center"/>
          </w:tcPr>
          <w:p w:rsidR="0096375F" w:rsidRPr="00BF2495" w14:paraId="56A89504" w14:textId="77777777">
            <w:pPr>
              <w:keepNext/>
              <w:keepLines/>
              <w:autoSpaceDE w:val="0"/>
              <w:autoSpaceDN w:val="0"/>
              <w:adjustRightInd w:val="0"/>
              <w:spacing w:before="20" w:after="20" w:line="280" w:lineRule="exact"/>
              <w:jc w:val="center"/>
              <w:rPr>
                <w:b/>
                <w:caps/>
                <w:color w:val="000000"/>
                <w:sz w:val="20"/>
                <w:szCs w:val="22"/>
                <w:lang w:val="en-GB"/>
              </w:rPr>
            </w:pPr>
            <w:r w:rsidRPr="00BF2495">
              <w:rPr>
                <w:color w:val="000000"/>
                <w:sz w:val="20"/>
                <w:lang w:val="en-GB"/>
              </w:rPr>
              <w:t>+16.8 %</w:t>
            </w:r>
          </w:p>
          <w:p w:rsidR="0096375F" w:rsidRPr="00BF2495" w14:paraId="1C69ABAC" w14:textId="77777777">
            <w:pPr>
              <w:keepNext/>
              <w:keepLines/>
              <w:autoSpaceDE w:val="0"/>
              <w:autoSpaceDN w:val="0"/>
              <w:adjustRightInd w:val="0"/>
              <w:spacing w:before="20" w:after="20" w:line="280" w:lineRule="exact"/>
              <w:jc w:val="center"/>
              <w:rPr>
                <w:color w:val="000000"/>
                <w:sz w:val="20"/>
                <w:szCs w:val="22"/>
                <w:lang w:val="en-GB"/>
              </w:rPr>
            </w:pPr>
            <w:r w:rsidRPr="00BF2495">
              <w:rPr>
                <w:color w:val="000000"/>
                <w:sz w:val="20"/>
                <w:lang w:val="en-GB"/>
              </w:rPr>
              <w:t>[3.5; 30.1]</w:t>
            </w:r>
          </w:p>
        </w:tc>
        <w:tc>
          <w:tcPr>
            <w:tcW w:w="606" w:type="pct"/>
            <w:vAlign w:val="center"/>
          </w:tcPr>
          <w:p w:rsidR="0096375F" w:rsidRPr="00BF2495" w14:paraId="1CEBAA92" w14:textId="77777777">
            <w:pPr>
              <w:keepNext/>
              <w:keepLines/>
              <w:autoSpaceDE w:val="0"/>
              <w:autoSpaceDN w:val="0"/>
              <w:adjustRightInd w:val="0"/>
              <w:spacing w:before="20" w:after="20" w:line="280" w:lineRule="exact"/>
              <w:jc w:val="center"/>
              <w:rPr>
                <w:b/>
                <w:caps/>
                <w:color w:val="000000"/>
                <w:sz w:val="20"/>
                <w:szCs w:val="22"/>
                <w:lang w:val="en-GB"/>
              </w:rPr>
            </w:pPr>
            <w:r w:rsidRPr="00BF2495">
              <w:rPr>
                <w:color w:val="000000"/>
                <w:sz w:val="20"/>
                <w:lang w:val="en-GB"/>
              </w:rPr>
              <w:t>-12.2 %</w:t>
            </w:r>
          </w:p>
          <w:p w:rsidR="0096375F" w:rsidRPr="00BF2495" w14:paraId="17FB68A6" w14:textId="77777777">
            <w:pPr>
              <w:keepNext/>
              <w:keepLines/>
              <w:autoSpaceDE w:val="0"/>
              <w:autoSpaceDN w:val="0"/>
              <w:adjustRightInd w:val="0"/>
              <w:spacing w:before="20" w:after="20" w:line="280" w:lineRule="exact"/>
              <w:ind w:right="-81" w:hanging="82"/>
              <w:jc w:val="center"/>
              <w:rPr>
                <w:b/>
                <w:caps/>
                <w:color w:val="000000"/>
                <w:sz w:val="20"/>
                <w:szCs w:val="22"/>
                <w:lang w:val="en-GB"/>
              </w:rPr>
            </w:pPr>
            <w:r w:rsidRPr="00BF2495">
              <w:rPr>
                <w:color w:val="000000"/>
                <w:sz w:val="20"/>
                <w:lang w:val="en-GB"/>
              </w:rPr>
              <w:t>[-23.8; -0.5]</w:t>
            </w:r>
          </w:p>
        </w:tc>
        <w:tc>
          <w:tcPr>
            <w:tcW w:w="591" w:type="pct"/>
            <w:vAlign w:val="center"/>
          </w:tcPr>
          <w:p w:rsidR="0096375F" w:rsidRPr="00BF2495" w14:paraId="22EA7855" w14:textId="77777777">
            <w:pPr>
              <w:keepNext/>
              <w:keepLines/>
              <w:autoSpaceDE w:val="0"/>
              <w:autoSpaceDN w:val="0"/>
              <w:adjustRightInd w:val="0"/>
              <w:spacing w:before="20" w:after="20" w:line="280" w:lineRule="exact"/>
              <w:jc w:val="center"/>
              <w:rPr>
                <w:b/>
                <w:caps/>
                <w:color w:val="000000"/>
                <w:sz w:val="20"/>
                <w:szCs w:val="22"/>
                <w:lang w:val="en-GB"/>
              </w:rPr>
            </w:pPr>
            <w:r w:rsidRPr="00BF2495">
              <w:rPr>
                <w:color w:val="000000"/>
                <w:sz w:val="20"/>
                <w:lang w:val="en-GB"/>
              </w:rPr>
              <w:t>-21.8 %</w:t>
            </w:r>
          </w:p>
          <w:p w:rsidR="0096375F" w:rsidRPr="00BF2495" w14:paraId="1817080F" w14:textId="77777777">
            <w:pPr>
              <w:keepNext/>
              <w:keepLines/>
              <w:autoSpaceDE w:val="0"/>
              <w:autoSpaceDN w:val="0"/>
              <w:adjustRightInd w:val="0"/>
              <w:spacing w:before="20" w:after="20" w:line="280" w:lineRule="exact"/>
              <w:ind w:right="-56" w:hanging="33"/>
              <w:jc w:val="center"/>
              <w:rPr>
                <w:b/>
                <w:caps/>
                <w:color w:val="000000"/>
                <w:sz w:val="20"/>
                <w:szCs w:val="22"/>
                <w:lang w:val="en-GB"/>
              </w:rPr>
            </w:pPr>
            <w:r w:rsidRPr="00BF2495">
              <w:rPr>
                <w:color w:val="000000"/>
                <w:sz w:val="20"/>
                <w:lang w:val="en-GB"/>
              </w:rPr>
              <w:t>[-35.1; -8.5]</w:t>
            </w:r>
          </w:p>
        </w:tc>
        <w:tc>
          <w:tcPr>
            <w:tcW w:w="686" w:type="pct"/>
            <w:vAlign w:val="center"/>
          </w:tcPr>
          <w:p w:rsidR="0096375F" w:rsidRPr="00BF2495" w14:paraId="469CDD3F" w14:textId="77777777">
            <w:pPr>
              <w:keepNext/>
              <w:keepLines/>
              <w:spacing w:before="20" w:after="20" w:line="280" w:lineRule="exact"/>
              <w:jc w:val="center"/>
              <w:rPr>
                <w:color w:val="000000"/>
                <w:sz w:val="20"/>
                <w:szCs w:val="22"/>
                <w:lang w:val="en-GB"/>
              </w:rPr>
            </w:pPr>
            <w:r w:rsidRPr="00BF2495">
              <w:rPr>
                <w:color w:val="000000"/>
                <w:sz w:val="20"/>
                <w:lang w:val="en-GB"/>
              </w:rPr>
              <w:t>NA</w:t>
            </w:r>
          </w:p>
        </w:tc>
        <w:tc>
          <w:tcPr>
            <w:tcW w:w="672" w:type="pct"/>
            <w:vAlign w:val="center"/>
          </w:tcPr>
          <w:p w:rsidR="0096375F" w:rsidRPr="00BF2495" w14:paraId="0AE0A3C4" w14:textId="77777777">
            <w:pPr>
              <w:keepNext/>
              <w:keepLines/>
              <w:spacing w:before="20" w:after="20" w:line="280" w:lineRule="exact"/>
              <w:jc w:val="center"/>
              <w:rPr>
                <w:color w:val="000000"/>
                <w:sz w:val="20"/>
                <w:szCs w:val="22"/>
                <w:lang w:val="en-GB"/>
              </w:rPr>
            </w:pPr>
            <w:r w:rsidRPr="00BF2495">
              <w:rPr>
                <w:color w:val="000000"/>
                <w:sz w:val="20"/>
                <w:lang w:val="en-GB"/>
              </w:rPr>
              <w:t>NA</w:t>
            </w:r>
          </w:p>
        </w:tc>
        <w:tc>
          <w:tcPr>
            <w:tcW w:w="738" w:type="pct"/>
            <w:vAlign w:val="center"/>
          </w:tcPr>
          <w:p w:rsidR="0096375F" w:rsidRPr="00BF2495" w14:paraId="66F73C90" w14:textId="77777777">
            <w:pPr>
              <w:keepNext/>
              <w:keepLines/>
              <w:spacing w:before="20" w:after="20" w:line="280" w:lineRule="exact"/>
              <w:jc w:val="center"/>
              <w:rPr>
                <w:color w:val="000000"/>
                <w:sz w:val="20"/>
                <w:szCs w:val="22"/>
                <w:lang w:val="en-GB"/>
              </w:rPr>
            </w:pPr>
            <w:r w:rsidRPr="00BF2495">
              <w:rPr>
                <w:color w:val="000000"/>
                <w:sz w:val="20"/>
                <w:lang w:val="en-GB"/>
              </w:rPr>
              <w:t>NA</w:t>
            </w:r>
          </w:p>
        </w:tc>
      </w:tr>
      <w:tr w14:paraId="30C4D3D5" w14:textId="77777777" w:rsidTr="0096375F">
        <w:tblPrEx>
          <w:tblW w:w="5407" w:type="pct"/>
          <w:jc w:val="center"/>
          <w:tblLayout w:type="fixed"/>
          <w:tblCellMar>
            <w:left w:w="57" w:type="dxa"/>
            <w:right w:w="57" w:type="dxa"/>
          </w:tblCellMar>
          <w:tblLook w:val="0000"/>
        </w:tblPrEx>
        <w:trPr>
          <w:cantSplit/>
          <w:jc w:val="center"/>
        </w:trPr>
        <w:tc>
          <w:tcPr>
            <w:tcW w:w="530" w:type="pct"/>
          </w:tcPr>
          <w:p w:rsidR="0096375F" w:rsidRPr="00BF2495" w:rsidP="00763EEE" w14:paraId="3C1279A0" w14:textId="77777777">
            <w:pPr>
              <w:keepNext/>
              <w:keepLines/>
              <w:spacing w:before="20" w:after="20" w:line="280" w:lineRule="exact"/>
              <w:rPr>
                <w:color w:val="000000"/>
                <w:sz w:val="20"/>
                <w:szCs w:val="22"/>
                <w:lang w:val="en-GB"/>
              </w:rPr>
            </w:pPr>
            <w:r w:rsidRPr="00BF2495">
              <w:rPr>
                <w:color w:val="000000"/>
                <w:sz w:val="20"/>
                <w:lang w:val="en-GB"/>
              </w:rPr>
              <w:t>p-value (with Simes corr. for CMH test)</w:t>
            </w:r>
            <w:r w:rsidRPr="00BF2495">
              <w:rPr>
                <w:color w:val="000000"/>
                <w:sz w:val="20"/>
                <w:vertAlign w:val="superscript"/>
                <w:lang w:val="en-GB"/>
              </w:rPr>
              <w:t>4</w:t>
            </w:r>
          </w:p>
        </w:tc>
        <w:tc>
          <w:tcPr>
            <w:tcW w:w="572" w:type="pct"/>
            <w:vAlign w:val="center"/>
          </w:tcPr>
          <w:p w:rsidR="0096375F" w:rsidRPr="00BF2495" w:rsidP="00763EEE" w14:paraId="2BD0C884" w14:textId="77777777">
            <w:pPr>
              <w:keepNext/>
              <w:keepLines/>
              <w:spacing w:before="20" w:after="20" w:line="280" w:lineRule="exact"/>
              <w:jc w:val="center"/>
              <w:rPr>
                <w:color w:val="000000"/>
                <w:sz w:val="20"/>
                <w:szCs w:val="22"/>
                <w:lang w:val="en-GB"/>
              </w:rPr>
            </w:pPr>
          </w:p>
        </w:tc>
        <w:tc>
          <w:tcPr>
            <w:tcW w:w="605" w:type="pct"/>
            <w:vAlign w:val="center"/>
          </w:tcPr>
          <w:p w:rsidR="0096375F" w:rsidRPr="00BF2495" w:rsidP="00763EEE" w14:paraId="03A93E2F" w14:textId="77777777">
            <w:pPr>
              <w:keepNext/>
              <w:keepLines/>
              <w:spacing w:before="20" w:after="20" w:line="280" w:lineRule="exact"/>
              <w:jc w:val="center"/>
              <w:rPr>
                <w:color w:val="000000"/>
                <w:sz w:val="20"/>
                <w:szCs w:val="22"/>
                <w:lang w:val="en-GB"/>
              </w:rPr>
            </w:pPr>
            <w:r w:rsidRPr="00BF2495">
              <w:rPr>
                <w:color w:val="000000"/>
                <w:sz w:val="20"/>
                <w:lang w:val="en-GB"/>
              </w:rPr>
              <w:t>0.0141</w:t>
            </w:r>
          </w:p>
          <w:p w:rsidR="0096375F" w:rsidRPr="00BF2495" w:rsidP="00763EEE" w14:paraId="0EC33677" w14:textId="77777777">
            <w:pPr>
              <w:keepNext/>
              <w:keepLines/>
              <w:spacing w:before="20" w:after="20" w:line="280" w:lineRule="exact"/>
              <w:jc w:val="center"/>
              <w:rPr>
                <w:color w:val="000000"/>
                <w:sz w:val="20"/>
                <w:szCs w:val="22"/>
                <w:lang w:val="en-GB"/>
              </w:rPr>
            </w:pPr>
            <w:r w:rsidRPr="00BF2495">
              <w:rPr>
                <w:color w:val="000000"/>
                <w:sz w:val="20"/>
                <w:lang w:val="en-GB"/>
              </w:rPr>
              <w:t>(vs. Trastuzumab+Docetaxel)</w:t>
            </w:r>
          </w:p>
        </w:tc>
        <w:tc>
          <w:tcPr>
            <w:tcW w:w="606" w:type="pct"/>
            <w:vAlign w:val="center"/>
          </w:tcPr>
          <w:p w:rsidR="0096375F" w:rsidRPr="00BF2495" w:rsidP="00763EEE" w14:paraId="720D3F34" w14:textId="77777777">
            <w:pPr>
              <w:keepNext/>
              <w:keepLines/>
              <w:spacing w:before="20" w:after="20" w:line="280" w:lineRule="exact"/>
              <w:jc w:val="center"/>
              <w:rPr>
                <w:color w:val="000000"/>
                <w:sz w:val="20"/>
                <w:szCs w:val="22"/>
                <w:lang w:val="en-GB"/>
              </w:rPr>
            </w:pPr>
            <w:r w:rsidRPr="00BF2495">
              <w:rPr>
                <w:color w:val="000000"/>
                <w:sz w:val="20"/>
                <w:lang w:val="en-GB"/>
              </w:rPr>
              <w:t>0.0198</w:t>
            </w:r>
          </w:p>
          <w:p w:rsidR="0096375F" w:rsidRPr="00BF2495" w:rsidP="00763EEE" w14:paraId="013EB524" w14:textId="77777777">
            <w:pPr>
              <w:keepNext/>
              <w:keepLines/>
              <w:spacing w:before="20" w:after="20" w:line="280" w:lineRule="exact"/>
              <w:jc w:val="center"/>
              <w:rPr>
                <w:color w:val="000000"/>
                <w:sz w:val="20"/>
                <w:szCs w:val="22"/>
                <w:lang w:val="en-GB"/>
              </w:rPr>
            </w:pPr>
            <w:r w:rsidRPr="00BF2495">
              <w:rPr>
                <w:color w:val="000000"/>
                <w:sz w:val="20"/>
                <w:lang w:val="en-GB"/>
              </w:rPr>
              <w:t>(vs. Trastuzumab+Docetaxel)</w:t>
            </w:r>
          </w:p>
        </w:tc>
        <w:tc>
          <w:tcPr>
            <w:tcW w:w="591" w:type="pct"/>
            <w:vAlign w:val="center"/>
          </w:tcPr>
          <w:p w:rsidR="0096375F" w:rsidRPr="00BF2495" w:rsidP="00763EEE" w14:paraId="5DB7D44F" w14:textId="77777777">
            <w:pPr>
              <w:keepNext/>
              <w:keepLines/>
              <w:spacing w:before="20" w:after="20" w:line="280" w:lineRule="exact"/>
              <w:jc w:val="center"/>
              <w:rPr>
                <w:color w:val="000000"/>
                <w:sz w:val="20"/>
                <w:szCs w:val="22"/>
                <w:lang w:val="en-GB"/>
              </w:rPr>
            </w:pPr>
            <w:r w:rsidRPr="00BF2495">
              <w:rPr>
                <w:color w:val="000000"/>
                <w:sz w:val="20"/>
                <w:lang w:val="en-GB"/>
              </w:rPr>
              <w:t>0.0030</w:t>
            </w:r>
          </w:p>
          <w:p w:rsidR="0096375F" w:rsidRPr="00BF2495" w:rsidP="00763EEE" w14:paraId="7058B74F" w14:textId="77777777">
            <w:pPr>
              <w:keepNext/>
              <w:keepLines/>
              <w:spacing w:before="20" w:after="20" w:line="280" w:lineRule="exact"/>
              <w:ind w:left="-56" w:right="-89"/>
              <w:jc w:val="center"/>
              <w:rPr>
                <w:color w:val="000000"/>
                <w:sz w:val="20"/>
                <w:szCs w:val="22"/>
                <w:lang w:val="en-GB"/>
              </w:rPr>
            </w:pPr>
            <w:r w:rsidRPr="00BF2495">
              <w:rPr>
                <w:color w:val="000000"/>
                <w:sz w:val="20"/>
                <w:lang w:val="en-GB"/>
              </w:rPr>
              <w:t>(vs Perjeta+</w:t>
            </w:r>
          </w:p>
          <w:p w:rsidR="0096375F" w:rsidRPr="00BF2495" w:rsidP="00763EEE" w14:paraId="167D4A7D" w14:textId="77777777">
            <w:pPr>
              <w:keepNext/>
              <w:keepLines/>
              <w:spacing w:before="20" w:after="20" w:line="280" w:lineRule="exact"/>
              <w:ind w:left="-56" w:right="-89"/>
              <w:jc w:val="center"/>
              <w:rPr>
                <w:b/>
                <w:caps/>
                <w:color w:val="000000"/>
                <w:sz w:val="20"/>
                <w:szCs w:val="22"/>
                <w:lang w:val="en-GB"/>
              </w:rPr>
            </w:pPr>
            <w:r w:rsidRPr="00BF2495">
              <w:rPr>
                <w:color w:val="000000"/>
                <w:sz w:val="20"/>
                <w:lang w:val="en-GB"/>
              </w:rPr>
              <w:t>Trastuzumab+Docetaxel)</w:t>
            </w:r>
          </w:p>
        </w:tc>
        <w:tc>
          <w:tcPr>
            <w:tcW w:w="686" w:type="pct"/>
            <w:vAlign w:val="center"/>
          </w:tcPr>
          <w:p w:rsidR="0096375F" w:rsidRPr="00BF2495" w:rsidP="00763EEE" w14:paraId="5F9F4964" w14:textId="77777777">
            <w:pPr>
              <w:keepNext/>
              <w:keepLines/>
              <w:spacing w:before="20" w:after="20" w:line="280" w:lineRule="exact"/>
              <w:jc w:val="center"/>
              <w:rPr>
                <w:color w:val="000000"/>
                <w:sz w:val="20"/>
                <w:szCs w:val="22"/>
                <w:lang w:val="en-GB"/>
              </w:rPr>
            </w:pPr>
            <w:r w:rsidRPr="00BF2495">
              <w:rPr>
                <w:color w:val="000000"/>
                <w:sz w:val="20"/>
                <w:lang w:val="en-GB"/>
              </w:rPr>
              <w:t>NA</w:t>
            </w:r>
          </w:p>
        </w:tc>
        <w:tc>
          <w:tcPr>
            <w:tcW w:w="672" w:type="pct"/>
            <w:vAlign w:val="center"/>
          </w:tcPr>
          <w:p w:rsidR="0096375F" w:rsidRPr="00BF2495" w:rsidP="00763EEE" w14:paraId="7CCF7311" w14:textId="77777777">
            <w:pPr>
              <w:keepNext/>
              <w:keepLines/>
              <w:spacing w:before="20" w:after="20" w:line="280" w:lineRule="exact"/>
              <w:jc w:val="center"/>
              <w:rPr>
                <w:color w:val="000000"/>
                <w:sz w:val="20"/>
                <w:szCs w:val="22"/>
                <w:lang w:val="en-GB"/>
              </w:rPr>
            </w:pPr>
            <w:r w:rsidRPr="00BF2495">
              <w:rPr>
                <w:color w:val="000000"/>
                <w:sz w:val="20"/>
                <w:lang w:val="en-GB"/>
              </w:rPr>
              <w:t>NA</w:t>
            </w:r>
          </w:p>
        </w:tc>
        <w:tc>
          <w:tcPr>
            <w:tcW w:w="738" w:type="pct"/>
            <w:vAlign w:val="center"/>
          </w:tcPr>
          <w:p w:rsidR="0096375F" w:rsidRPr="00BF2495" w:rsidP="00763EEE" w14:paraId="3D7E490A" w14:textId="77777777">
            <w:pPr>
              <w:keepNext/>
              <w:keepLines/>
              <w:spacing w:before="20" w:after="20" w:line="280" w:lineRule="exact"/>
              <w:jc w:val="center"/>
              <w:rPr>
                <w:color w:val="000000"/>
                <w:sz w:val="20"/>
                <w:szCs w:val="22"/>
                <w:lang w:val="en-GB"/>
              </w:rPr>
            </w:pPr>
            <w:r w:rsidRPr="00BF2495">
              <w:rPr>
                <w:color w:val="000000"/>
                <w:sz w:val="20"/>
                <w:lang w:val="en-GB"/>
              </w:rPr>
              <w:t>NA</w:t>
            </w:r>
          </w:p>
        </w:tc>
      </w:tr>
      <w:tr w14:paraId="2E1529E4" w14:textId="77777777" w:rsidTr="0096375F">
        <w:tblPrEx>
          <w:tblW w:w="5407" w:type="pct"/>
          <w:jc w:val="center"/>
          <w:tblLayout w:type="fixed"/>
          <w:tblCellMar>
            <w:left w:w="57" w:type="dxa"/>
            <w:right w:w="57" w:type="dxa"/>
          </w:tblCellMar>
          <w:tblLook w:val="0000"/>
        </w:tblPrEx>
        <w:trPr>
          <w:cantSplit/>
          <w:jc w:val="center"/>
        </w:trPr>
        <w:tc>
          <w:tcPr>
            <w:tcW w:w="530" w:type="pct"/>
          </w:tcPr>
          <w:p w:rsidR="0096375F" w:rsidRPr="001814C3" w:rsidP="00763EEE" w14:paraId="09FF6BFF" w14:textId="77777777">
            <w:pPr>
              <w:keepNext/>
              <w:keepLines/>
              <w:spacing w:line="280" w:lineRule="exact"/>
              <w:rPr>
                <w:color w:val="000000"/>
                <w:sz w:val="20"/>
                <w:szCs w:val="22"/>
                <w:lang w:val="en-GB"/>
              </w:rPr>
            </w:pPr>
            <w:r w:rsidRPr="001814C3">
              <w:rPr>
                <w:color w:val="000000"/>
                <w:sz w:val="20"/>
                <w:lang w:val="en-GB"/>
              </w:rPr>
              <w:t>pCR rate in the breast and lymph node (ypT0/is N0</w:t>
            </w:r>
            <w:r w:rsidRPr="001814C3" w:rsidR="00C64C10">
              <w:rPr>
                <w:color w:val="000000"/>
                <w:sz w:val="20"/>
                <w:lang w:val="en-GB"/>
              </w:rPr>
              <w:t>)</w:t>
            </w:r>
          </w:p>
          <w:p w:rsidR="0096375F" w:rsidRPr="00C24569" w:rsidP="00763EEE" w14:paraId="26DED268" w14:textId="77777777">
            <w:pPr>
              <w:keepNext/>
              <w:keepLines/>
              <w:spacing w:after="20" w:line="280" w:lineRule="exact"/>
              <w:rPr>
                <w:b/>
                <w:caps/>
                <w:color w:val="000000"/>
                <w:sz w:val="20"/>
                <w:szCs w:val="22"/>
                <w:lang w:val="en-GB"/>
              </w:rPr>
            </w:pPr>
            <w:r w:rsidRPr="006B698A">
              <w:rPr>
                <w:color w:val="000000"/>
                <w:sz w:val="20"/>
                <w:lang w:val="en-GB"/>
              </w:rPr>
              <w:t>n (%)</w:t>
            </w:r>
          </w:p>
          <w:p w:rsidR="0096375F" w:rsidRPr="00020870" w:rsidP="00763EEE" w14:paraId="4D3A9F2C" w14:textId="77777777">
            <w:pPr>
              <w:keepNext/>
              <w:keepLines/>
              <w:spacing w:before="20" w:after="20" w:line="280" w:lineRule="exact"/>
              <w:rPr>
                <w:color w:val="000000"/>
                <w:sz w:val="20"/>
                <w:szCs w:val="22"/>
                <w:lang w:val="en-GB"/>
              </w:rPr>
            </w:pPr>
            <w:r w:rsidRPr="00465A99">
              <w:rPr>
                <w:color w:val="000000"/>
                <w:sz w:val="20"/>
                <w:lang w:val="en-GB"/>
              </w:rPr>
              <w:t>[95% CI]</w:t>
            </w:r>
          </w:p>
        </w:tc>
        <w:tc>
          <w:tcPr>
            <w:tcW w:w="572" w:type="pct"/>
            <w:vAlign w:val="center"/>
          </w:tcPr>
          <w:p w:rsidR="0096375F" w:rsidRPr="00020870" w:rsidP="00763EEE" w14:paraId="5CF92816" w14:textId="77777777">
            <w:pPr>
              <w:keepNext/>
              <w:keepLines/>
              <w:spacing w:before="20" w:after="20" w:line="280" w:lineRule="exact"/>
              <w:jc w:val="center"/>
              <w:rPr>
                <w:color w:val="000000"/>
                <w:sz w:val="20"/>
                <w:szCs w:val="22"/>
                <w:lang w:val="en-GB" w:eastAsia="zh-TW"/>
              </w:rPr>
            </w:pPr>
            <w:r w:rsidRPr="00020870">
              <w:rPr>
                <w:color w:val="000000"/>
                <w:sz w:val="20"/>
                <w:lang w:val="en-GB" w:eastAsia="zh-TW"/>
              </w:rPr>
              <w:t>23 (21.5%)</w:t>
            </w:r>
          </w:p>
          <w:p w:rsidR="0096375F" w:rsidRPr="000573F6" w:rsidP="00763EEE" w14:paraId="5D83AA4F" w14:textId="77777777">
            <w:pPr>
              <w:keepNext/>
              <w:keepLines/>
              <w:spacing w:before="50" w:after="50" w:line="240" w:lineRule="exact"/>
              <w:jc w:val="center"/>
              <w:rPr>
                <w:color w:val="000000"/>
                <w:sz w:val="20"/>
                <w:szCs w:val="22"/>
                <w:lang w:val="en-GB"/>
              </w:rPr>
            </w:pPr>
            <w:r w:rsidRPr="000573F6">
              <w:rPr>
                <w:color w:val="000000"/>
                <w:sz w:val="20"/>
                <w:lang w:val="en-GB"/>
              </w:rPr>
              <w:t>[14.1; 30.5]</w:t>
            </w:r>
          </w:p>
        </w:tc>
        <w:tc>
          <w:tcPr>
            <w:tcW w:w="605" w:type="pct"/>
            <w:vAlign w:val="center"/>
          </w:tcPr>
          <w:p w:rsidR="0096375F" w:rsidRPr="00EA339F" w:rsidP="00763EEE" w14:paraId="1F297C22" w14:textId="77777777">
            <w:pPr>
              <w:keepNext/>
              <w:keepLines/>
              <w:spacing w:before="20" w:after="20" w:line="280" w:lineRule="exact"/>
              <w:jc w:val="center"/>
              <w:rPr>
                <w:color w:val="000000"/>
                <w:sz w:val="20"/>
                <w:szCs w:val="22"/>
                <w:lang w:val="en-GB" w:eastAsia="zh-TW"/>
              </w:rPr>
            </w:pPr>
            <w:r w:rsidRPr="000573F6">
              <w:rPr>
                <w:color w:val="000000"/>
                <w:sz w:val="20"/>
                <w:lang w:val="en-GB" w:eastAsia="zh-TW"/>
              </w:rPr>
              <w:t>42 (39.3%)</w:t>
            </w:r>
          </w:p>
          <w:p w:rsidR="0096375F" w:rsidRPr="00962FBD" w:rsidP="00763EEE" w14:paraId="158BD941" w14:textId="77777777">
            <w:pPr>
              <w:keepNext/>
              <w:keepLines/>
              <w:spacing w:before="50" w:after="50" w:line="240" w:lineRule="exact"/>
              <w:jc w:val="center"/>
              <w:rPr>
                <w:color w:val="000000"/>
                <w:sz w:val="20"/>
                <w:szCs w:val="22"/>
                <w:lang w:val="en-GB"/>
              </w:rPr>
            </w:pPr>
            <w:r w:rsidRPr="00962FBD">
              <w:rPr>
                <w:color w:val="000000"/>
                <w:sz w:val="20"/>
                <w:lang w:val="en-GB"/>
              </w:rPr>
              <w:t>[30.3; 49.2]</w:t>
            </w:r>
          </w:p>
        </w:tc>
        <w:tc>
          <w:tcPr>
            <w:tcW w:w="606" w:type="pct"/>
            <w:vAlign w:val="center"/>
          </w:tcPr>
          <w:p w:rsidR="0096375F" w:rsidRPr="003A6C5F" w:rsidP="00763EEE" w14:paraId="311A4F3B" w14:textId="77777777">
            <w:pPr>
              <w:keepNext/>
              <w:keepLines/>
              <w:spacing w:before="20" w:after="20" w:line="280" w:lineRule="exact"/>
              <w:jc w:val="center"/>
              <w:rPr>
                <w:color w:val="000000"/>
                <w:sz w:val="20"/>
                <w:szCs w:val="22"/>
                <w:lang w:val="en-GB" w:eastAsia="zh-TW"/>
              </w:rPr>
            </w:pPr>
            <w:r w:rsidRPr="00E920B0">
              <w:rPr>
                <w:color w:val="000000"/>
                <w:sz w:val="20"/>
                <w:lang w:val="en-GB" w:eastAsia="zh-TW"/>
              </w:rPr>
              <w:t>12 (11.2%)</w:t>
            </w:r>
          </w:p>
          <w:p w:rsidR="0096375F" w:rsidRPr="000E30B9" w:rsidP="00763EEE" w14:paraId="595E6240" w14:textId="77777777">
            <w:pPr>
              <w:keepNext/>
              <w:keepLines/>
              <w:spacing w:before="50" w:after="50" w:line="240" w:lineRule="exact"/>
              <w:jc w:val="center"/>
              <w:rPr>
                <w:color w:val="000000"/>
                <w:sz w:val="20"/>
                <w:szCs w:val="22"/>
                <w:lang w:val="en-GB"/>
              </w:rPr>
            </w:pPr>
            <w:r w:rsidRPr="000E30B9">
              <w:rPr>
                <w:color w:val="000000"/>
                <w:sz w:val="20"/>
                <w:lang w:val="en-GB"/>
              </w:rPr>
              <w:t>[5.9; 18.8]</w:t>
            </w:r>
          </w:p>
        </w:tc>
        <w:tc>
          <w:tcPr>
            <w:tcW w:w="591" w:type="pct"/>
            <w:vAlign w:val="center"/>
          </w:tcPr>
          <w:p w:rsidR="0096375F" w:rsidRPr="00CC6DAD" w:rsidP="00763EEE" w14:paraId="14EC0699" w14:textId="77777777">
            <w:pPr>
              <w:keepNext/>
              <w:keepLines/>
              <w:spacing w:before="20" w:after="20" w:line="280" w:lineRule="exact"/>
              <w:jc w:val="center"/>
              <w:rPr>
                <w:color w:val="000000"/>
                <w:sz w:val="20"/>
                <w:szCs w:val="22"/>
                <w:lang w:val="en-GB" w:eastAsia="zh-TW"/>
              </w:rPr>
            </w:pPr>
            <w:r w:rsidRPr="00CC6DAD">
              <w:rPr>
                <w:color w:val="000000"/>
                <w:sz w:val="20"/>
                <w:lang w:val="en-GB" w:eastAsia="zh-TW"/>
              </w:rPr>
              <w:t>17 (17.7%)</w:t>
            </w:r>
          </w:p>
          <w:p w:rsidR="0096375F" w:rsidRPr="00014481" w:rsidP="00763EEE" w14:paraId="3DC5CACA" w14:textId="77777777">
            <w:pPr>
              <w:keepNext/>
              <w:keepLines/>
              <w:spacing w:before="50" w:after="50" w:line="240" w:lineRule="exact"/>
              <w:jc w:val="center"/>
              <w:rPr>
                <w:color w:val="000000"/>
                <w:sz w:val="20"/>
                <w:szCs w:val="22"/>
                <w:lang w:val="en-GB"/>
              </w:rPr>
            </w:pPr>
            <w:r w:rsidRPr="00AD25AB">
              <w:rPr>
                <w:color w:val="000000"/>
                <w:sz w:val="20"/>
                <w:lang w:val="en-GB"/>
              </w:rPr>
              <w:t>[10.7; 26.8]</w:t>
            </w:r>
          </w:p>
        </w:tc>
        <w:tc>
          <w:tcPr>
            <w:tcW w:w="686" w:type="pct"/>
            <w:vAlign w:val="center"/>
          </w:tcPr>
          <w:p w:rsidR="0096375F" w:rsidRPr="00BF2495" w:rsidP="00763EEE" w14:paraId="68016B7E" w14:textId="77777777">
            <w:pPr>
              <w:keepNext/>
              <w:keepLines/>
              <w:spacing w:before="20" w:after="20" w:line="280" w:lineRule="exact"/>
              <w:jc w:val="center"/>
              <w:rPr>
                <w:color w:val="000000"/>
                <w:sz w:val="20"/>
                <w:szCs w:val="22"/>
                <w:lang w:val="en-GB" w:eastAsia="zh-TW"/>
              </w:rPr>
            </w:pPr>
            <w:r w:rsidRPr="00BF2495">
              <w:rPr>
                <w:color w:val="000000"/>
                <w:sz w:val="20"/>
                <w:lang w:val="en-GB" w:eastAsia="zh-TW"/>
              </w:rPr>
              <w:t>41 (56.2%)</w:t>
            </w:r>
          </w:p>
          <w:p w:rsidR="0096375F" w:rsidRPr="00BF2495" w:rsidP="00763EEE" w14:paraId="19859EE3" w14:textId="77777777">
            <w:pPr>
              <w:keepNext/>
              <w:keepLines/>
              <w:spacing w:before="20" w:after="20" w:line="280" w:lineRule="exact"/>
              <w:jc w:val="center"/>
              <w:rPr>
                <w:color w:val="000000"/>
                <w:sz w:val="20"/>
                <w:szCs w:val="22"/>
                <w:lang w:val="en-GB"/>
              </w:rPr>
            </w:pPr>
            <w:r w:rsidRPr="00BF2495">
              <w:rPr>
                <w:color w:val="000000"/>
                <w:sz w:val="20"/>
                <w:lang w:val="en-GB" w:eastAsia="zh-TW"/>
              </w:rPr>
              <w:t>[44.1; 67.8]</w:t>
            </w:r>
          </w:p>
        </w:tc>
        <w:tc>
          <w:tcPr>
            <w:tcW w:w="672" w:type="pct"/>
            <w:vAlign w:val="center"/>
          </w:tcPr>
          <w:p w:rsidR="0096375F" w:rsidRPr="00BF2495" w:rsidP="00763EEE" w14:paraId="362D2356" w14:textId="77777777">
            <w:pPr>
              <w:keepNext/>
              <w:keepLines/>
              <w:spacing w:before="20" w:after="20" w:line="280" w:lineRule="exact"/>
              <w:jc w:val="center"/>
              <w:rPr>
                <w:color w:val="000000"/>
                <w:sz w:val="20"/>
                <w:szCs w:val="22"/>
                <w:lang w:val="en-GB" w:eastAsia="zh-TW"/>
              </w:rPr>
            </w:pPr>
            <w:r w:rsidRPr="00BF2495">
              <w:rPr>
                <w:color w:val="000000"/>
                <w:sz w:val="20"/>
                <w:lang w:val="en-GB" w:eastAsia="zh-TW"/>
              </w:rPr>
              <w:t>41 (54.7%)</w:t>
            </w:r>
          </w:p>
          <w:p w:rsidR="0096375F" w:rsidRPr="00BF2495" w:rsidP="00763EEE" w14:paraId="7CB16EE8" w14:textId="77777777">
            <w:pPr>
              <w:keepNext/>
              <w:keepLines/>
              <w:spacing w:before="20" w:after="20" w:line="280" w:lineRule="exact"/>
              <w:jc w:val="center"/>
              <w:rPr>
                <w:color w:val="000000"/>
                <w:sz w:val="20"/>
                <w:szCs w:val="22"/>
                <w:lang w:val="en-GB"/>
              </w:rPr>
            </w:pPr>
            <w:r w:rsidRPr="00BF2495">
              <w:rPr>
                <w:color w:val="000000"/>
                <w:sz w:val="20"/>
                <w:lang w:val="en-GB" w:eastAsia="zh-TW"/>
              </w:rPr>
              <w:t>[42.7; 66.2]</w:t>
            </w:r>
          </w:p>
        </w:tc>
        <w:tc>
          <w:tcPr>
            <w:tcW w:w="738" w:type="pct"/>
            <w:vAlign w:val="center"/>
          </w:tcPr>
          <w:p w:rsidR="0096375F" w:rsidRPr="00BF2495" w:rsidP="00763EEE" w14:paraId="3DF8C43A" w14:textId="77777777">
            <w:pPr>
              <w:keepNext/>
              <w:keepLines/>
              <w:spacing w:before="20" w:after="20" w:line="280" w:lineRule="exact"/>
              <w:jc w:val="center"/>
              <w:rPr>
                <w:color w:val="000000"/>
                <w:sz w:val="20"/>
                <w:szCs w:val="22"/>
                <w:lang w:val="en-GB" w:eastAsia="zh-TW"/>
              </w:rPr>
            </w:pPr>
            <w:r w:rsidRPr="00BF2495">
              <w:rPr>
                <w:color w:val="000000"/>
                <w:sz w:val="20"/>
                <w:lang w:val="en-GB" w:eastAsia="zh-TW"/>
              </w:rPr>
              <w:t>49 (63.6%)</w:t>
            </w:r>
          </w:p>
          <w:p w:rsidR="0096375F" w:rsidRPr="00BF2495" w:rsidP="00763EEE" w14:paraId="0B8CA7FC" w14:textId="77777777">
            <w:pPr>
              <w:keepNext/>
              <w:keepLines/>
              <w:spacing w:before="20" w:after="20" w:line="280" w:lineRule="exact"/>
              <w:jc w:val="center"/>
              <w:rPr>
                <w:color w:val="000000"/>
                <w:sz w:val="20"/>
                <w:szCs w:val="22"/>
                <w:lang w:val="en-GB"/>
              </w:rPr>
            </w:pPr>
            <w:r w:rsidRPr="00BF2495">
              <w:rPr>
                <w:color w:val="000000"/>
                <w:sz w:val="20"/>
                <w:lang w:val="en-GB" w:eastAsia="zh-TW"/>
              </w:rPr>
              <w:t>[51.9; 74.3]</w:t>
            </w:r>
          </w:p>
        </w:tc>
      </w:tr>
      <w:tr w14:paraId="3D5BD91E" w14:textId="77777777" w:rsidTr="0096375F">
        <w:tblPrEx>
          <w:tblW w:w="5407" w:type="pct"/>
          <w:jc w:val="center"/>
          <w:tblLayout w:type="fixed"/>
          <w:tblCellMar>
            <w:left w:w="57" w:type="dxa"/>
            <w:right w:w="57" w:type="dxa"/>
          </w:tblCellMar>
          <w:tblLook w:val="0000"/>
        </w:tblPrEx>
        <w:trPr>
          <w:cantSplit/>
          <w:jc w:val="center"/>
        </w:trPr>
        <w:tc>
          <w:tcPr>
            <w:tcW w:w="530" w:type="pct"/>
          </w:tcPr>
          <w:p w:rsidR="0096375F" w:rsidRPr="001814C3" w:rsidP="00763EEE" w14:paraId="7CF4E445" w14:textId="77777777">
            <w:pPr>
              <w:keepNext/>
              <w:keepLines/>
              <w:spacing w:before="20" w:after="20" w:line="280" w:lineRule="exact"/>
              <w:rPr>
                <w:color w:val="000000"/>
                <w:sz w:val="20"/>
                <w:szCs w:val="22"/>
                <w:lang w:val="en-GB"/>
              </w:rPr>
            </w:pPr>
            <w:r w:rsidRPr="001814C3">
              <w:rPr>
                <w:color w:val="000000"/>
                <w:sz w:val="20"/>
                <w:lang w:val="en-GB"/>
              </w:rPr>
              <w:t xml:space="preserve">ypT0 N0 </w:t>
            </w:r>
          </w:p>
          <w:p w:rsidR="0096375F" w:rsidRPr="00C24569" w:rsidP="00763EEE" w14:paraId="59E6201A" w14:textId="77777777">
            <w:pPr>
              <w:keepNext/>
              <w:keepLines/>
              <w:spacing w:after="20" w:line="280" w:lineRule="exact"/>
              <w:rPr>
                <w:b/>
                <w:caps/>
                <w:color w:val="000000"/>
                <w:sz w:val="20"/>
                <w:szCs w:val="22"/>
                <w:lang w:val="en-GB"/>
              </w:rPr>
            </w:pPr>
            <w:r w:rsidRPr="006B698A">
              <w:rPr>
                <w:color w:val="000000"/>
                <w:sz w:val="20"/>
                <w:lang w:val="en-GB"/>
              </w:rPr>
              <w:t>n (%)</w:t>
            </w:r>
          </w:p>
          <w:p w:rsidR="0096375F" w:rsidRPr="00020870" w:rsidP="00763EEE" w14:paraId="6C6A7B01" w14:textId="77777777">
            <w:pPr>
              <w:keepNext/>
              <w:keepLines/>
              <w:spacing w:before="20" w:after="20" w:line="280" w:lineRule="exact"/>
              <w:rPr>
                <w:color w:val="000000"/>
                <w:sz w:val="20"/>
                <w:szCs w:val="22"/>
                <w:lang w:val="en-GB"/>
              </w:rPr>
            </w:pPr>
            <w:r w:rsidRPr="00465A99">
              <w:rPr>
                <w:color w:val="000000"/>
                <w:sz w:val="20"/>
                <w:lang w:val="en-GB"/>
              </w:rPr>
              <w:t>[95% CI]</w:t>
            </w:r>
          </w:p>
        </w:tc>
        <w:tc>
          <w:tcPr>
            <w:tcW w:w="572" w:type="pct"/>
            <w:vAlign w:val="center"/>
          </w:tcPr>
          <w:p w:rsidR="0096375F" w:rsidRPr="00020870" w:rsidP="00763EEE" w14:paraId="4BFDD557" w14:textId="77777777">
            <w:pPr>
              <w:keepNext/>
              <w:keepLines/>
              <w:spacing w:before="20" w:after="20" w:line="280" w:lineRule="exact"/>
              <w:jc w:val="center"/>
              <w:rPr>
                <w:b/>
                <w:caps/>
                <w:color w:val="000000"/>
                <w:kern w:val="24"/>
                <w:sz w:val="20"/>
                <w:szCs w:val="22"/>
                <w:lang w:val="en-GB"/>
              </w:rPr>
            </w:pPr>
            <w:r w:rsidRPr="00020870">
              <w:rPr>
                <w:color w:val="000000"/>
                <w:kern w:val="24"/>
                <w:sz w:val="20"/>
                <w:lang w:val="en-GB"/>
              </w:rPr>
              <w:t>13 (12.1%)</w:t>
            </w:r>
          </w:p>
          <w:p w:rsidR="0096375F" w:rsidRPr="000573F6" w:rsidP="00763EEE" w14:paraId="63EE4DBC" w14:textId="77777777">
            <w:pPr>
              <w:keepNext/>
              <w:keepLines/>
              <w:spacing w:before="20" w:after="20" w:line="280" w:lineRule="exact"/>
              <w:jc w:val="center"/>
              <w:rPr>
                <w:b/>
                <w:caps/>
                <w:color w:val="000000"/>
                <w:sz w:val="20"/>
                <w:szCs w:val="22"/>
                <w:lang w:val="en-GB"/>
              </w:rPr>
            </w:pPr>
            <w:r w:rsidRPr="000573F6">
              <w:rPr>
                <w:color w:val="000000"/>
                <w:sz w:val="20"/>
                <w:lang w:val="en-GB"/>
              </w:rPr>
              <w:t>[6.6; 19.9]</w:t>
            </w:r>
          </w:p>
        </w:tc>
        <w:tc>
          <w:tcPr>
            <w:tcW w:w="605" w:type="pct"/>
            <w:vAlign w:val="center"/>
          </w:tcPr>
          <w:p w:rsidR="0096375F" w:rsidRPr="000573F6" w:rsidP="00763EEE" w14:paraId="48290B0D" w14:textId="77777777">
            <w:pPr>
              <w:keepNext/>
              <w:keepLines/>
              <w:spacing w:before="20" w:after="20" w:line="280" w:lineRule="exact"/>
              <w:jc w:val="center"/>
              <w:rPr>
                <w:b/>
                <w:caps/>
                <w:color w:val="000000"/>
                <w:kern w:val="24"/>
                <w:sz w:val="20"/>
                <w:szCs w:val="22"/>
                <w:lang w:val="en-GB"/>
              </w:rPr>
            </w:pPr>
            <w:r w:rsidRPr="000573F6">
              <w:rPr>
                <w:color w:val="000000"/>
                <w:kern w:val="24"/>
                <w:sz w:val="20"/>
                <w:lang w:val="en-GB"/>
              </w:rPr>
              <w:t>35 (32.7%)</w:t>
            </w:r>
          </w:p>
          <w:p w:rsidR="0096375F" w:rsidRPr="00756461" w:rsidP="00763EEE" w14:paraId="6999BED2" w14:textId="77777777">
            <w:pPr>
              <w:keepNext/>
              <w:keepLines/>
              <w:spacing w:before="20" w:after="20" w:line="280" w:lineRule="exact"/>
              <w:jc w:val="center"/>
              <w:rPr>
                <w:b/>
                <w:caps/>
                <w:color w:val="000000"/>
                <w:sz w:val="20"/>
                <w:szCs w:val="22"/>
                <w:lang w:val="en-GB"/>
              </w:rPr>
            </w:pPr>
            <w:r w:rsidRPr="00EA339F">
              <w:rPr>
                <w:color w:val="000000"/>
                <w:kern w:val="24"/>
                <w:sz w:val="20"/>
                <w:lang w:val="en-GB"/>
              </w:rPr>
              <w:t>[24.0; 42.5]</w:t>
            </w:r>
          </w:p>
        </w:tc>
        <w:tc>
          <w:tcPr>
            <w:tcW w:w="606" w:type="pct"/>
            <w:vAlign w:val="center"/>
          </w:tcPr>
          <w:p w:rsidR="0096375F" w:rsidRPr="001814C3" w:rsidP="00763EEE" w14:paraId="4A3A7AF8" w14:textId="77777777">
            <w:pPr>
              <w:keepNext/>
              <w:keepLines/>
              <w:spacing w:before="20" w:after="20" w:line="280" w:lineRule="exact"/>
              <w:jc w:val="center"/>
              <w:rPr>
                <w:b/>
                <w:caps/>
                <w:color w:val="000000"/>
                <w:kern w:val="24"/>
                <w:sz w:val="20"/>
                <w:szCs w:val="22"/>
                <w:lang w:val="en-GB"/>
              </w:rPr>
            </w:pPr>
            <w:r w:rsidRPr="00962FBD">
              <w:rPr>
                <w:color w:val="000000"/>
                <w:kern w:val="24"/>
                <w:sz w:val="20"/>
                <w:lang w:val="en-GB"/>
              </w:rPr>
              <w:t>6 (5.6</w:t>
            </w:r>
            <w:r w:rsidRPr="001814C3" w:rsidR="00C64C10">
              <w:rPr>
                <w:color w:val="000000"/>
                <w:kern w:val="24"/>
                <w:sz w:val="20"/>
                <w:lang w:val="en-GB"/>
              </w:rPr>
              <w:t>%</w:t>
            </w:r>
            <w:r w:rsidRPr="001814C3">
              <w:rPr>
                <w:color w:val="000000"/>
                <w:kern w:val="24"/>
                <w:sz w:val="20"/>
                <w:lang w:val="en-GB"/>
              </w:rPr>
              <w:t>)</w:t>
            </w:r>
          </w:p>
          <w:p w:rsidR="0096375F" w:rsidRPr="00C24569" w:rsidP="00763EEE" w14:paraId="408C5F86" w14:textId="77777777">
            <w:pPr>
              <w:keepNext/>
              <w:keepLines/>
              <w:spacing w:before="20" w:after="20" w:line="280" w:lineRule="exact"/>
              <w:jc w:val="center"/>
              <w:rPr>
                <w:b/>
                <w:caps/>
                <w:color w:val="000000"/>
                <w:sz w:val="20"/>
                <w:szCs w:val="22"/>
                <w:lang w:val="en-GB"/>
              </w:rPr>
            </w:pPr>
            <w:r w:rsidRPr="006B698A">
              <w:rPr>
                <w:color w:val="000000"/>
                <w:kern w:val="24"/>
                <w:sz w:val="20"/>
                <w:lang w:val="en-GB"/>
              </w:rPr>
              <w:t>[2.1; 11.8]</w:t>
            </w:r>
          </w:p>
        </w:tc>
        <w:tc>
          <w:tcPr>
            <w:tcW w:w="591" w:type="pct"/>
            <w:vAlign w:val="center"/>
          </w:tcPr>
          <w:p w:rsidR="0096375F" w:rsidRPr="00020870" w:rsidP="00763EEE" w14:paraId="643972F1" w14:textId="77777777">
            <w:pPr>
              <w:keepNext/>
              <w:keepLines/>
              <w:spacing w:before="20" w:after="20" w:line="280" w:lineRule="exact"/>
              <w:jc w:val="center"/>
              <w:rPr>
                <w:b/>
                <w:caps/>
                <w:color w:val="000000"/>
                <w:kern w:val="24"/>
                <w:sz w:val="20"/>
                <w:szCs w:val="22"/>
                <w:lang w:val="en-GB"/>
              </w:rPr>
            </w:pPr>
            <w:r w:rsidRPr="00465A99">
              <w:rPr>
                <w:color w:val="000000"/>
                <w:kern w:val="24"/>
                <w:sz w:val="20"/>
                <w:lang w:val="en-GB"/>
              </w:rPr>
              <w:t>13 (13.2%)</w:t>
            </w:r>
          </w:p>
          <w:p w:rsidR="0096375F" w:rsidRPr="00020870" w:rsidP="00763EEE" w14:paraId="0AFB6A89" w14:textId="77777777">
            <w:pPr>
              <w:keepNext/>
              <w:keepLines/>
              <w:spacing w:before="20" w:after="20" w:line="280" w:lineRule="exact"/>
              <w:jc w:val="center"/>
              <w:rPr>
                <w:b/>
                <w:caps/>
                <w:color w:val="000000"/>
                <w:sz w:val="20"/>
                <w:szCs w:val="22"/>
                <w:lang w:val="en-GB"/>
              </w:rPr>
            </w:pPr>
            <w:r w:rsidRPr="00020870">
              <w:rPr>
                <w:color w:val="000000"/>
                <w:kern w:val="24"/>
                <w:sz w:val="20"/>
                <w:lang w:val="en-GB"/>
              </w:rPr>
              <w:t>[7.4; 22.0]</w:t>
            </w:r>
          </w:p>
        </w:tc>
        <w:tc>
          <w:tcPr>
            <w:tcW w:w="686" w:type="pct"/>
            <w:vAlign w:val="center"/>
          </w:tcPr>
          <w:p w:rsidR="0096375F" w:rsidRPr="00BF2495" w:rsidP="00763EEE" w14:paraId="6A32BB38" w14:textId="77777777">
            <w:pPr>
              <w:keepNext/>
              <w:keepLines/>
              <w:spacing w:before="20" w:after="20" w:line="280" w:lineRule="exact"/>
              <w:jc w:val="center"/>
              <w:rPr>
                <w:color w:val="000000"/>
                <w:sz w:val="20"/>
                <w:szCs w:val="22"/>
                <w:lang w:val="en-GB" w:eastAsia="zh-TW"/>
              </w:rPr>
            </w:pPr>
            <w:r w:rsidRPr="00BF2495">
              <w:rPr>
                <w:color w:val="000000"/>
                <w:sz w:val="20"/>
                <w:lang w:val="en-GB" w:eastAsia="zh-TW"/>
              </w:rPr>
              <w:t>37 (50.7%)</w:t>
            </w:r>
          </w:p>
          <w:p w:rsidR="0096375F" w:rsidRPr="00BF2495" w:rsidP="00763EEE" w14:paraId="37454F0D" w14:textId="77777777">
            <w:pPr>
              <w:keepNext/>
              <w:keepLines/>
              <w:spacing w:before="20" w:after="20" w:line="280" w:lineRule="exact"/>
              <w:jc w:val="center"/>
              <w:rPr>
                <w:color w:val="000000"/>
                <w:sz w:val="20"/>
                <w:szCs w:val="22"/>
                <w:lang w:val="en-GB"/>
              </w:rPr>
            </w:pPr>
            <w:r w:rsidRPr="00BF2495">
              <w:rPr>
                <w:color w:val="000000"/>
                <w:sz w:val="20"/>
                <w:lang w:val="en-GB" w:eastAsia="zh-TW"/>
              </w:rPr>
              <w:t>[38.7; 62.6]</w:t>
            </w:r>
          </w:p>
        </w:tc>
        <w:tc>
          <w:tcPr>
            <w:tcW w:w="672" w:type="pct"/>
            <w:vAlign w:val="center"/>
          </w:tcPr>
          <w:p w:rsidR="0096375F" w:rsidRPr="00BF2495" w:rsidP="00763EEE" w14:paraId="78F67B4A" w14:textId="77777777">
            <w:pPr>
              <w:keepNext/>
              <w:keepLines/>
              <w:spacing w:before="20" w:after="20" w:line="280" w:lineRule="exact"/>
              <w:jc w:val="center"/>
              <w:rPr>
                <w:color w:val="000000"/>
                <w:sz w:val="20"/>
                <w:szCs w:val="22"/>
                <w:lang w:val="en-GB" w:eastAsia="zh-TW"/>
              </w:rPr>
            </w:pPr>
            <w:r w:rsidRPr="00BF2495">
              <w:rPr>
                <w:color w:val="000000"/>
                <w:sz w:val="20"/>
                <w:lang w:val="en-GB" w:eastAsia="zh-TW"/>
              </w:rPr>
              <w:t>34 (45.3%)</w:t>
            </w:r>
          </w:p>
          <w:p w:rsidR="0096375F" w:rsidRPr="00BF2495" w:rsidP="00763EEE" w14:paraId="22E4B05C" w14:textId="77777777">
            <w:pPr>
              <w:keepNext/>
              <w:keepLines/>
              <w:spacing w:before="20" w:after="20" w:line="280" w:lineRule="exact"/>
              <w:jc w:val="center"/>
              <w:rPr>
                <w:color w:val="000000"/>
                <w:sz w:val="20"/>
                <w:szCs w:val="22"/>
                <w:lang w:val="en-GB"/>
              </w:rPr>
            </w:pPr>
            <w:r w:rsidRPr="00BF2495">
              <w:rPr>
                <w:color w:val="000000"/>
                <w:sz w:val="20"/>
                <w:lang w:val="en-GB" w:eastAsia="zh-TW"/>
              </w:rPr>
              <w:t>[33.8; 57.3]</w:t>
            </w:r>
          </w:p>
        </w:tc>
        <w:tc>
          <w:tcPr>
            <w:tcW w:w="738" w:type="pct"/>
            <w:vAlign w:val="center"/>
          </w:tcPr>
          <w:p w:rsidR="0096375F" w:rsidRPr="00BF2495" w:rsidP="00763EEE" w14:paraId="3A4E713E" w14:textId="77777777">
            <w:pPr>
              <w:keepNext/>
              <w:keepLines/>
              <w:spacing w:before="20" w:after="20" w:line="280" w:lineRule="exact"/>
              <w:jc w:val="center"/>
              <w:rPr>
                <w:color w:val="000000"/>
                <w:sz w:val="20"/>
                <w:szCs w:val="22"/>
                <w:lang w:val="en-GB" w:eastAsia="zh-TW"/>
              </w:rPr>
            </w:pPr>
            <w:r w:rsidRPr="00BF2495">
              <w:rPr>
                <w:color w:val="000000"/>
                <w:sz w:val="20"/>
                <w:lang w:val="en-GB" w:eastAsia="zh-TW"/>
              </w:rPr>
              <w:t>40 (51.9%)</w:t>
            </w:r>
          </w:p>
          <w:p w:rsidR="0096375F" w:rsidRPr="00BF2495" w:rsidP="00763EEE" w14:paraId="6E5B3DB9" w14:textId="77777777">
            <w:pPr>
              <w:keepNext/>
              <w:keepLines/>
              <w:spacing w:before="20" w:after="20" w:line="280" w:lineRule="exact"/>
              <w:jc w:val="center"/>
              <w:rPr>
                <w:color w:val="000000"/>
                <w:sz w:val="20"/>
                <w:szCs w:val="22"/>
                <w:lang w:val="en-GB"/>
              </w:rPr>
            </w:pPr>
            <w:r w:rsidRPr="00BF2495">
              <w:rPr>
                <w:color w:val="000000"/>
                <w:sz w:val="20"/>
                <w:lang w:val="en-GB" w:eastAsia="zh-TW"/>
              </w:rPr>
              <w:t>[40.3; 63.5]</w:t>
            </w:r>
          </w:p>
        </w:tc>
      </w:tr>
      <w:tr w14:paraId="569314CB" w14:textId="77777777" w:rsidTr="0096375F">
        <w:tblPrEx>
          <w:tblW w:w="5407" w:type="pct"/>
          <w:jc w:val="center"/>
          <w:tblLayout w:type="fixed"/>
          <w:tblCellMar>
            <w:left w:w="57" w:type="dxa"/>
            <w:right w:w="57" w:type="dxa"/>
          </w:tblCellMar>
          <w:tblLook w:val="0000"/>
        </w:tblPrEx>
        <w:trPr>
          <w:cantSplit/>
          <w:jc w:val="center"/>
        </w:trPr>
        <w:tc>
          <w:tcPr>
            <w:tcW w:w="530" w:type="pct"/>
          </w:tcPr>
          <w:p w:rsidR="0096375F" w:rsidRPr="00BF2495" w14:paraId="07A537EE" w14:textId="77777777">
            <w:pPr>
              <w:keepNext/>
              <w:keepLines/>
              <w:spacing w:before="20" w:after="20" w:line="280" w:lineRule="exact"/>
              <w:rPr>
                <w:color w:val="000000"/>
                <w:sz w:val="20"/>
                <w:szCs w:val="22"/>
                <w:lang w:val="en-GB"/>
              </w:rPr>
            </w:pPr>
            <w:r w:rsidRPr="00BF2495">
              <w:rPr>
                <w:color w:val="000000"/>
                <w:sz w:val="20"/>
                <w:lang w:val="en-GB"/>
              </w:rPr>
              <w:t>Clinical Response</w:t>
            </w:r>
            <w:r w:rsidRPr="00BF2495">
              <w:rPr>
                <w:color w:val="000000"/>
                <w:sz w:val="20"/>
                <w:vertAlign w:val="superscript"/>
                <w:lang w:val="en-GB"/>
              </w:rPr>
              <w:t>5</w:t>
            </w:r>
          </w:p>
        </w:tc>
        <w:tc>
          <w:tcPr>
            <w:tcW w:w="572" w:type="pct"/>
            <w:vAlign w:val="center"/>
          </w:tcPr>
          <w:p w:rsidR="0096375F" w:rsidRPr="00BF2495" w14:paraId="685F6BBE" w14:textId="77777777">
            <w:pPr>
              <w:keepNext/>
              <w:keepLines/>
              <w:spacing w:before="20" w:after="20" w:line="280" w:lineRule="exact"/>
              <w:jc w:val="center"/>
              <w:rPr>
                <w:color w:val="000000"/>
                <w:sz w:val="20"/>
                <w:szCs w:val="22"/>
                <w:lang w:val="en-GB"/>
              </w:rPr>
            </w:pPr>
            <w:r w:rsidRPr="00BF2495">
              <w:rPr>
                <w:color w:val="000000"/>
                <w:sz w:val="20"/>
                <w:lang w:val="en-GB"/>
              </w:rPr>
              <w:t>79 (79.8%)</w:t>
            </w:r>
          </w:p>
        </w:tc>
        <w:tc>
          <w:tcPr>
            <w:tcW w:w="605" w:type="pct"/>
            <w:vAlign w:val="center"/>
          </w:tcPr>
          <w:p w:rsidR="0096375F" w:rsidRPr="00BF2495" w14:paraId="2FB54066" w14:textId="77777777">
            <w:pPr>
              <w:keepNext/>
              <w:keepLines/>
              <w:spacing w:before="20" w:after="20" w:line="280" w:lineRule="exact"/>
              <w:jc w:val="center"/>
              <w:rPr>
                <w:color w:val="000000"/>
                <w:sz w:val="20"/>
                <w:szCs w:val="22"/>
                <w:lang w:val="en-GB"/>
              </w:rPr>
            </w:pPr>
            <w:r w:rsidRPr="00BF2495">
              <w:rPr>
                <w:color w:val="000000"/>
                <w:sz w:val="20"/>
                <w:lang w:val="en-GB"/>
              </w:rPr>
              <w:t>89 (88.1%)</w:t>
            </w:r>
          </w:p>
        </w:tc>
        <w:tc>
          <w:tcPr>
            <w:tcW w:w="606" w:type="pct"/>
            <w:vAlign w:val="center"/>
          </w:tcPr>
          <w:p w:rsidR="0096375F" w:rsidRPr="00BF2495" w14:paraId="577463DE" w14:textId="77777777">
            <w:pPr>
              <w:keepNext/>
              <w:keepLines/>
              <w:spacing w:before="20" w:after="20" w:line="280" w:lineRule="exact"/>
              <w:jc w:val="center"/>
              <w:rPr>
                <w:color w:val="000000"/>
                <w:sz w:val="20"/>
                <w:szCs w:val="22"/>
                <w:lang w:val="en-GB"/>
              </w:rPr>
            </w:pPr>
            <w:r w:rsidRPr="00BF2495">
              <w:rPr>
                <w:color w:val="000000"/>
                <w:sz w:val="20"/>
                <w:lang w:val="en-GB"/>
              </w:rPr>
              <w:t>69 (67.6%)</w:t>
            </w:r>
          </w:p>
        </w:tc>
        <w:tc>
          <w:tcPr>
            <w:tcW w:w="591" w:type="pct"/>
            <w:vAlign w:val="center"/>
          </w:tcPr>
          <w:p w:rsidR="0096375F" w:rsidRPr="00BF2495" w14:paraId="27281B2F" w14:textId="77777777">
            <w:pPr>
              <w:keepNext/>
              <w:keepLines/>
              <w:spacing w:before="20" w:after="20" w:line="280" w:lineRule="exact"/>
              <w:jc w:val="center"/>
              <w:rPr>
                <w:color w:val="000000"/>
                <w:sz w:val="20"/>
                <w:szCs w:val="22"/>
                <w:lang w:val="en-GB"/>
              </w:rPr>
            </w:pPr>
            <w:r w:rsidRPr="00BF2495">
              <w:rPr>
                <w:color w:val="000000"/>
                <w:sz w:val="20"/>
                <w:lang w:val="en-GB"/>
              </w:rPr>
              <w:t>65 (71.4%)</w:t>
            </w:r>
          </w:p>
        </w:tc>
        <w:tc>
          <w:tcPr>
            <w:tcW w:w="686" w:type="pct"/>
            <w:vAlign w:val="center"/>
          </w:tcPr>
          <w:p w:rsidR="0096375F" w:rsidRPr="00BF2495" w14:paraId="48A7A441" w14:textId="77777777">
            <w:pPr>
              <w:keepNext/>
              <w:keepLines/>
              <w:spacing w:before="20" w:after="20" w:line="280" w:lineRule="exact"/>
              <w:jc w:val="center"/>
              <w:rPr>
                <w:color w:val="000000"/>
                <w:sz w:val="20"/>
                <w:szCs w:val="22"/>
                <w:lang w:val="en-GB"/>
              </w:rPr>
            </w:pPr>
            <w:r w:rsidRPr="00BF2495">
              <w:rPr>
                <w:color w:val="000000"/>
                <w:sz w:val="20"/>
                <w:lang w:val="en-GB"/>
              </w:rPr>
              <w:t>67 (91.8%)</w:t>
            </w:r>
          </w:p>
        </w:tc>
        <w:tc>
          <w:tcPr>
            <w:tcW w:w="672" w:type="pct"/>
            <w:vAlign w:val="center"/>
          </w:tcPr>
          <w:p w:rsidR="0096375F" w:rsidRPr="00BF2495" w14:paraId="625524B5" w14:textId="77777777">
            <w:pPr>
              <w:keepNext/>
              <w:keepLines/>
              <w:spacing w:before="20" w:after="20" w:line="280" w:lineRule="exact"/>
              <w:jc w:val="center"/>
              <w:rPr>
                <w:color w:val="000000"/>
                <w:sz w:val="20"/>
                <w:szCs w:val="22"/>
                <w:lang w:val="en-GB"/>
              </w:rPr>
            </w:pPr>
            <w:r w:rsidRPr="00BF2495">
              <w:rPr>
                <w:color w:val="000000"/>
                <w:sz w:val="20"/>
                <w:lang w:val="en-GB"/>
              </w:rPr>
              <w:t>71 (94.7%)</w:t>
            </w:r>
          </w:p>
        </w:tc>
        <w:tc>
          <w:tcPr>
            <w:tcW w:w="738" w:type="pct"/>
            <w:vAlign w:val="center"/>
          </w:tcPr>
          <w:p w:rsidR="0096375F" w:rsidRPr="00BF2495" w14:paraId="776E1E73" w14:textId="77777777">
            <w:pPr>
              <w:keepNext/>
              <w:keepLines/>
              <w:spacing w:before="20" w:after="20" w:line="280" w:lineRule="exact"/>
              <w:jc w:val="center"/>
              <w:rPr>
                <w:color w:val="000000"/>
                <w:sz w:val="20"/>
                <w:szCs w:val="22"/>
                <w:lang w:val="en-GB"/>
              </w:rPr>
            </w:pPr>
            <w:r w:rsidRPr="00BF2495">
              <w:rPr>
                <w:color w:val="000000"/>
                <w:sz w:val="20"/>
                <w:lang w:val="en-GB"/>
              </w:rPr>
              <w:t>69 (89.6%)</w:t>
            </w:r>
          </w:p>
        </w:tc>
      </w:tr>
    </w:tbl>
    <w:p w:rsidR="0096375F" w:rsidRPr="00BF2495" w14:paraId="639182B1" w14:textId="77777777">
      <w:pPr>
        <w:keepNext/>
        <w:keepLines/>
        <w:autoSpaceDE w:val="0"/>
        <w:autoSpaceDN w:val="0"/>
        <w:adjustRightInd w:val="0"/>
        <w:rPr>
          <w:color w:val="000000"/>
          <w:sz w:val="20"/>
          <w:lang w:val="en-GB" w:eastAsia="zh-TW"/>
        </w:rPr>
      </w:pPr>
      <w:r w:rsidRPr="00BF2495">
        <w:rPr>
          <w:color w:val="000000"/>
          <w:sz w:val="20"/>
          <w:lang w:val="en-GB" w:eastAsia="zh-TW"/>
        </w:rPr>
        <w:t>FEC: 5-fluorouracil, epirubicin, cyclophosphamide; TCH: docetaxel, carboplatin and trastuzumab, CMH: Cochran–Mantel–Haenszel</w:t>
      </w:r>
    </w:p>
    <w:p w:rsidR="0096375F" w:rsidRPr="00BF2495" w14:paraId="604F9D0F" w14:textId="77777777">
      <w:pPr>
        <w:keepNext/>
        <w:keepLines/>
        <w:autoSpaceDE w:val="0"/>
        <w:autoSpaceDN w:val="0"/>
        <w:adjustRightInd w:val="0"/>
        <w:rPr>
          <w:color w:val="000000"/>
          <w:sz w:val="20"/>
          <w:lang w:val="en-GB"/>
        </w:rPr>
      </w:pPr>
      <w:r w:rsidRPr="00BF2495">
        <w:rPr>
          <w:color w:val="000000"/>
          <w:sz w:val="20"/>
          <w:lang w:val="en-GB"/>
        </w:rPr>
        <w:t>1. 95% CI for one sample binomial using Pearson-Clopper method.</w:t>
      </w:r>
    </w:p>
    <w:p w:rsidR="0096375F" w:rsidRPr="00BF2495" w14:paraId="694943B4" w14:textId="77777777">
      <w:pPr>
        <w:keepNext/>
        <w:keepLines/>
        <w:autoSpaceDE w:val="0"/>
        <w:autoSpaceDN w:val="0"/>
        <w:adjustRightInd w:val="0"/>
        <w:rPr>
          <w:color w:val="000000"/>
          <w:sz w:val="20"/>
          <w:lang w:val="en-GB"/>
        </w:rPr>
      </w:pPr>
      <w:r>
        <w:rPr>
          <w:color w:val="000000"/>
          <w:sz w:val="20"/>
          <w:lang w:val="en-GB"/>
        </w:rPr>
        <w:t xml:space="preserve">2. Treatment </w:t>
      </w:r>
      <w:r w:rsidRPr="00BF2495">
        <w:rPr>
          <w:color w:val="000000"/>
          <w:sz w:val="20"/>
          <w:lang w:val="en-GB"/>
        </w:rPr>
        <w:t>Perjeta+Trastuzumab+Docetaxel and Perjeta+Trastuzumab are compared to Trastuzumab+</w:t>
      </w:r>
      <w:r>
        <w:rPr>
          <w:color w:val="000000"/>
          <w:sz w:val="20"/>
          <w:lang w:val="en-GB"/>
        </w:rPr>
        <w:t xml:space="preserve"> </w:t>
      </w:r>
      <w:r w:rsidRPr="00BF2495">
        <w:rPr>
          <w:color w:val="000000"/>
          <w:sz w:val="20"/>
          <w:lang w:val="en-GB"/>
        </w:rPr>
        <w:t>Docetaxel while Perjeta+Docetaxel  is compared to Perjeta+Trastuzumab+Docetaxel.</w:t>
      </w:r>
    </w:p>
    <w:p w:rsidR="0096375F" w:rsidRPr="00BF2495" w:rsidP="0096375F" w14:paraId="3AB748E0" w14:textId="77777777">
      <w:pPr>
        <w:keepNext/>
        <w:keepLines/>
        <w:autoSpaceDE w:val="0"/>
        <w:autoSpaceDN w:val="0"/>
        <w:adjustRightInd w:val="0"/>
        <w:rPr>
          <w:color w:val="000000"/>
          <w:sz w:val="20"/>
          <w:lang w:val="en-GB"/>
        </w:rPr>
      </w:pPr>
      <w:r w:rsidRPr="00BF2495">
        <w:rPr>
          <w:color w:val="000000"/>
          <w:sz w:val="20"/>
          <w:lang w:val="en-GB"/>
        </w:rPr>
        <w:t>3. Approximate 95% CI for difference of two response rates using Hauck-Anderson method.</w:t>
      </w:r>
    </w:p>
    <w:p w:rsidR="0096375F" w:rsidRPr="00BF2495" w:rsidP="0096375F" w14:paraId="24739637" w14:textId="77777777">
      <w:pPr>
        <w:keepNext/>
        <w:keepLines/>
        <w:rPr>
          <w:strike/>
          <w:color w:val="000000"/>
          <w:sz w:val="20"/>
          <w:lang w:val="en-GB"/>
        </w:rPr>
      </w:pPr>
      <w:r w:rsidRPr="00BF2495">
        <w:rPr>
          <w:color w:val="000000"/>
          <w:sz w:val="20"/>
          <w:lang w:val="en-GB"/>
        </w:rPr>
        <w:t>4. p-value from Cochran-Mantel-Haenszel  test, with Simes multiplicity adjustment.</w:t>
      </w:r>
    </w:p>
    <w:p w:rsidR="0096375F" w:rsidRPr="00BF2495" w:rsidP="000A6E8A" w14:paraId="0156717C" w14:textId="77777777">
      <w:pPr>
        <w:rPr>
          <w:color w:val="000000"/>
          <w:sz w:val="20"/>
          <w:lang w:val="en-GB"/>
        </w:rPr>
      </w:pPr>
      <w:r w:rsidRPr="00BF2495">
        <w:rPr>
          <w:color w:val="000000"/>
          <w:sz w:val="20"/>
          <w:lang w:val="en-GB"/>
        </w:rPr>
        <w:t>5. Clinical response represents patients with a best overall response of CR or PR during the neoadjuvant period (in the primary breast lesion).</w:t>
      </w:r>
    </w:p>
    <w:p w:rsidR="00C82814" w:rsidP="00BE2BD0" w14:paraId="6C4C49AE" w14:textId="77777777">
      <w:pPr>
        <w:tabs>
          <w:tab w:val="left" w:pos="180"/>
        </w:tabs>
        <w:autoSpaceDE w:val="0"/>
        <w:autoSpaceDN w:val="0"/>
        <w:adjustRightInd w:val="0"/>
        <w:ind w:left="180" w:hanging="180"/>
        <w:rPr>
          <w:noProof/>
          <w:sz w:val="20"/>
          <w:lang w:val="en-GB"/>
        </w:rPr>
      </w:pPr>
    </w:p>
    <w:p w:rsidR="00013F49" w:rsidP="001F5859" w14:paraId="45B39BC9" w14:textId="77777777">
      <w:pPr>
        <w:keepNext/>
        <w:keepLines/>
        <w:rPr>
          <w:b/>
          <w:lang w:val="en-GB"/>
        </w:rPr>
      </w:pPr>
      <w:r>
        <w:rPr>
          <w:b/>
          <w:lang w:val="en-GB"/>
        </w:rPr>
        <w:t>BERENICE (WO2921</w:t>
      </w:r>
      <w:r w:rsidR="00FC6DA3">
        <w:rPr>
          <w:b/>
          <w:lang w:val="en-GB"/>
        </w:rPr>
        <w:t>7)</w:t>
      </w:r>
    </w:p>
    <w:p w:rsidR="00FD0D76" w:rsidP="001F5859" w14:paraId="166C51E7" w14:textId="77777777">
      <w:pPr>
        <w:keepNext/>
        <w:keepLines/>
        <w:rPr>
          <w:b/>
          <w:lang w:val="en-GB"/>
        </w:rPr>
      </w:pPr>
    </w:p>
    <w:p w:rsidR="00F96E1A" w:rsidP="00F96E1A" w14:paraId="548EC343" w14:textId="77777777">
      <w:r w:rsidRPr="006F2333">
        <w:t>BERENICE is a non-randomized, open-label, m</w:t>
      </w:r>
      <w:r w:rsidR="00C84808">
        <w:t>ulticentre</w:t>
      </w:r>
      <w:r w:rsidRPr="006F2333">
        <w:t>, multinational, Phase II trial conducted in 401 patients with H</w:t>
      </w:r>
      <w:r>
        <w:t>ER</w:t>
      </w:r>
      <w:r w:rsidRPr="006F2333">
        <w:t>2-positive locally advanced, inflammatory, or early-stage breast cancer</w:t>
      </w:r>
      <w:r w:rsidR="006F316F">
        <w:t xml:space="preserve"> (with primary tumours </w:t>
      </w:r>
      <w:r w:rsidR="006F316F">
        <w:rPr>
          <w:rFonts w:ascii="Symbol" w:hAnsi="Symbol"/>
        </w:rPr>
        <w:sym w:font="Symbol" w:char="F03E"/>
      </w:r>
      <w:r w:rsidR="00EF524E">
        <w:t> 2</w:t>
      </w:r>
      <w:r w:rsidR="006F316F">
        <w:t>cm in diameter or node</w:t>
      </w:r>
      <w:r w:rsidR="006F316F">
        <w:noBreakHyphen/>
        <w:t>positive disease).</w:t>
      </w:r>
    </w:p>
    <w:p w:rsidR="00F96E1A" w:rsidRPr="006F2333" w:rsidP="00F96E1A" w14:paraId="03E5D1F6" w14:textId="77777777"/>
    <w:p w:rsidR="00F96E1A" w:rsidP="00F96E1A" w14:paraId="22B47E12" w14:textId="77777777">
      <w:r w:rsidRPr="006F2333">
        <w:t>The BERENICE study included two parallel groups of patients.</w:t>
      </w:r>
      <w:r>
        <w:t xml:space="preserve"> </w:t>
      </w:r>
      <w:r w:rsidRPr="006F2333">
        <w:t xml:space="preserve">Patients considered suitable for neoadjuvant treatment with </w:t>
      </w:r>
      <w:r w:rsidR="00111AD3">
        <w:t>trastuzumab</w:t>
      </w:r>
      <w:r w:rsidRPr="006F2333">
        <w:t xml:space="preserve"> plus anthracycline/taxane-based chemotherapy were allocated to receive one of the two following regimens prior to surgery as follows: </w:t>
      </w:r>
    </w:p>
    <w:p w:rsidR="004E7886" w:rsidP="00F96E1A" w14:paraId="015538C2" w14:textId="77777777"/>
    <w:p w:rsidR="00F96E1A" w:rsidP="001F5859" w14:paraId="3D6F1124" w14:textId="77777777">
      <w:pPr>
        <w:ind w:left="714" w:hanging="357"/>
      </w:pPr>
      <w:r w:rsidRPr="000D28E6">
        <w:rPr>
          <w:rFonts w:ascii="Symbol" w:eastAsia="SimSun" w:hAnsi="Symbol"/>
          <w:lang w:val="en-GB"/>
        </w:rPr>
        <w:sym w:font="Symbol" w:char="F0B7"/>
      </w:r>
      <w:r>
        <w:rPr>
          <w:rFonts w:eastAsia="SimSun"/>
          <w:lang w:val="en-GB"/>
        </w:rPr>
        <w:tab/>
      </w:r>
      <w:r>
        <w:t xml:space="preserve">Cohort A - </w:t>
      </w:r>
      <w:r w:rsidRPr="006F2333">
        <w:t xml:space="preserve">4 cycles of </w:t>
      </w:r>
      <w:r w:rsidR="00D42E52">
        <w:t xml:space="preserve">two weekly </w:t>
      </w:r>
      <w:r w:rsidRPr="00367C7A" w:rsidR="00A03554">
        <w:rPr>
          <w:rFonts w:eastAsia="SimSun" w:hint="eastAsia"/>
          <w:lang w:eastAsia="zh-CN"/>
        </w:rPr>
        <w:t xml:space="preserve">dose-dense </w:t>
      </w:r>
      <w:r w:rsidR="00D42E52">
        <w:t>doxorubicin and cyclophosphamide</w:t>
      </w:r>
      <w:r w:rsidRPr="006F2333">
        <w:t xml:space="preserve"> followed by 4 cycles of Perjeta in combination with </w:t>
      </w:r>
      <w:r w:rsidR="00111AD3">
        <w:t>trastuzumab</w:t>
      </w:r>
      <w:r w:rsidRPr="006F2333">
        <w:t xml:space="preserve"> and paclitaxel</w:t>
      </w:r>
      <w:r w:rsidRPr="00367C7A" w:rsidR="00A03554">
        <w:rPr>
          <w:rFonts w:eastAsia="SimSun" w:hint="eastAsia"/>
          <w:lang w:eastAsia="zh-CN"/>
        </w:rPr>
        <w:t>.</w:t>
      </w:r>
    </w:p>
    <w:p w:rsidR="00F96E1A" w:rsidP="001F5859" w14:paraId="68F1616D" w14:textId="77777777">
      <w:pPr>
        <w:ind w:left="714" w:hanging="357"/>
      </w:pPr>
      <w:r w:rsidRPr="000D28E6">
        <w:rPr>
          <w:rFonts w:ascii="Symbol" w:eastAsia="SimSun" w:hAnsi="Symbol"/>
          <w:lang w:val="en-GB"/>
        </w:rPr>
        <w:sym w:font="Symbol" w:char="F0B7"/>
      </w:r>
      <w:r>
        <w:rPr>
          <w:rFonts w:eastAsia="SimSun"/>
          <w:lang w:val="en-GB"/>
        </w:rPr>
        <w:tab/>
      </w:r>
      <w:r>
        <w:t xml:space="preserve">Cohort B - </w:t>
      </w:r>
      <w:r w:rsidRPr="006F2333">
        <w:t xml:space="preserve">4 cycles of FEC followed by 4 cycles of Perjeta in combination with </w:t>
      </w:r>
      <w:r w:rsidR="00111AD3">
        <w:t>trastuzumab</w:t>
      </w:r>
      <w:r w:rsidRPr="006F2333">
        <w:t xml:space="preserve"> and docetaxel. </w:t>
      </w:r>
    </w:p>
    <w:p w:rsidR="007E5AB1" w:rsidP="00BA6AAC" w14:paraId="0F33859E" w14:textId="77777777"/>
    <w:p w:rsidR="00C463D7" w:rsidP="00F96E1A" w14:paraId="4699AAE8" w14:textId="77777777">
      <w:pPr>
        <w:rPr>
          <w:lang w:eastAsia="en-US"/>
        </w:rPr>
      </w:pPr>
      <w:r w:rsidRPr="00760178">
        <w:rPr>
          <w:lang w:eastAsia="en-US"/>
        </w:rPr>
        <w:t xml:space="preserve">Following surgery all patients received </w:t>
      </w:r>
      <w:r w:rsidR="00B00367">
        <w:rPr>
          <w:lang w:eastAsia="en-US"/>
        </w:rPr>
        <w:t>Perjeta and trastuzumab</w:t>
      </w:r>
      <w:r w:rsidR="005667E7">
        <w:rPr>
          <w:lang w:eastAsia="en-US"/>
        </w:rPr>
        <w:t xml:space="preserve"> intravenously</w:t>
      </w:r>
      <w:r w:rsidRPr="006F2333" w:rsidR="0029333D">
        <w:rPr>
          <w:lang w:eastAsia="en-US"/>
        </w:rPr>
        <w:t xml:space="preserve"> </w:t>
      </w:r>
      <w:r w:rsidR="00D42E52">
        <w:rPr>
          <w:lang w:eastAsia="en-US"/>
        </w:rPr>
        <w:t xml:space="preserve">every 3 weeks </w:t>
      </w:r>
      <w:r w:rsidRPr="00760178">
        <w:rPr>
          <w:lang w:eastAsia="en-US"/>
        </w:rPr>
        <w:t>to complete 1 year of therapy.</w:t>
      </w:r>
    </w:p>
    <w:p w:rsidR="00FD5D6C" w:rsidP="00F96E1A" w14:paraId="103E5C14" w14:textId="77777777">
      <w:pPr>
        <w:rPr>
          <w:lang w:eastAsia="en-US"/>
        </w:rPr>
      </w:pPr>
    </w:p>
    <w:p w:rsidR="002A6374" w:rsidP="002A6374" w14:paraId="435F1DEB" w14:textId="77777777">
      <w:r>
        <w:t>The primary endpoint of the B</w:t>
      </w:r>
      <w:r w:rsidR="00A4622E">
        <w:t xml:space="preserve">ERENICE trial is cardiac safety </w:t>
      </w:r>
      <w:r>
        <w:t>in the neoadjuvant period of the trial. The primary endpoint of cardiac safety, i.e</w:t>
      </w:r>
      <w:r w:rsidR="00BF352E">
        <w:t>.</w:t>
      </w:r>
      <w:r>
        <w:t xml:space="preserve"> the incidence of NYHA Class III/IV LVD and LVEF declines, </w:t>
      </w:r>
      <w:r w:rsidR="00DB546D">
        <w:t>was</w:t>
      </w:r>
      <w:r>
        <w:t xml:space="preserve"> consistent with previous data in the neoadjuvant setting (see section 4.</w:t>
      </w:r>
      <w:r w:rsidR="007770CF">
        <w:t>4. and 4.</w:t>
      </w:r>
      <w:r>
        <w:t>8).</w:t>
      </w:r>
    </w:p>
    <w:p w:rsidR="00FD0D76" w:rsidP="002A6374" w14:paraId="330B921E" w14:textId="77777777"/>
    <w:p w:rsidR="00E00899" w:rsidRPr="001F5859" w:rsidP="00763EEE" w14:paraId="5DF16941" w14:textId="77777777">
      <w:pPr>
        <w:rPr>
          <w:i/>
          <w:noProof/>
        </w:rPr>
      </w:pPr>
      <w:r w:rsidRPr="001F5859">
        <w:rPr>
          <w:i/>
          <w:noProof/>
        </w:rPr>
        <w:t>Adjuvant Treatment</w:t>
      </w:r>
    </w:p>
    <w:p w:rsidR="00E00899" w:rsidRPr="001F5859" w:rsidP="00763EEE" w14:paraId="115FD315" w14:textId="77777777">
      <w:pPr>
        <w:rPr>
          <w:i/>
          <w:noProof/>
        </w:rPr>
      </w:pPr>
    </w:p>
    <w:p w:rsidR="00E00899" w:rsidRPr="008935AC" w:rsidP="00763EEE" w14:paraId="243198C2" w14:textId="77777777">
      <w:pPr>
        <w:rPr>
          <w:noProof/>
        </w:rPr>
      </w:pPr>
      <w:r w:rsidRPr="001F5859">
        <w:rPr>
          <w:noProof/>
        </w:rPr>
        <w:t>In the adjuvant setting, based on data from the APHINITY study, HER2-positive early breast cancer patients at high risk of recurrence are defined as those with lymph node-positive or hormone receptor-negative disease.</w:t>
      </w:r>
    </w:p>
    <w:p w:rsidR="00E00899" w:rsidP="00763EEE" w14:paraId="1DBE12EF" w14:textId="77777777">
      <w:pPr>
        <w:rPr>
          <w:b/>
          <w:noProof/>
        </w:rPr>
      </w:pPr>
    </w:p>
    <w:p w:rsidR="00E00899" w:rsidP="00763EEE" w14:paraId="1FE9271A" w14:textId="77777777">
      <w:pPr>
        <w:rPr>
          <w:b/>
          <w:noProof/>
        </w:rPr>
      </w:pPr>
      <w:r w:rsidRPr="008A79F3">
        <w:rPr>
          <w:b/>
          <w:noProof/>
        </w:rPr>
        <w:t xml:space="preserve">APHINITY (BO25126) </w:t>
      </w:r>
    </w:p>
    <w:p w:rsidR="00E00899" w:rsidRPr="008A79F3" w:rsidP="00763EEE" w14:paraId="4E8DE6D6" w14:textId="77777777">
      <w:pPr>
        <w:rPr>
          <w:b/>
          <w:noProof/>
        </w:rPr>
      </w:pPr>
    </w:p>
    <w:p w:rsidR="00E00899" w:rsidRPr="00E8491C" w:rsidP="00763EEE" w14:paraId="34DD8A24" w14:textId="77777777">
      <w:r w:rsidRPr="00E8491C">
        <w:t>APHINITY is a multicent</w:t>
      </w:r>
      <w:r>
        <w:t>re</w:t>
      </w:r>
      <w:r w:rsidRPr="00E8491C">
        <w:t>, randomi</w:t>
      </w:r>
      <w:r>
        <w:t>s</w:t>
      </w:r>
      <w:r w:rsidRPr="00E8491C">
        <w:t>ed, double-blind, placebo-controlled Phase III trial conducted in 4804 patients with HER2-positive early breast cancer who had their primary tumo</w:t>
      </w:r>
      <w:r>
        <w:t>u</w:t>
      </w:r>
      <w:r w:rsidRPr="00E8491C">
        <w:t>r excised prior to randomisation. Patients were then randomised to receive Perjeta or placebo, in combination with adjuvant trastuzumab and chemotherapy. Investigators selected one of the following anthracycline-based or non-anthracycline-based chemotherapy regimens for individual patients:</w:t>
      </w:r>
    </w:p>
    <w:p w:rsidR="00E00899" w:rsidRPr="00E8491C" w:rsidP="00763EEE" w14:paraId="32095E39" w14:textId="77777777"/>
    <w:p w:rsidR="00E00899" w:rsidP="00763EEE" w14:paraId="2C706DB3" w14:textId="77777777">
      <w:pPr>
        <w:ind w:left="714" w:hanging="357"/>
      </w:pPr>
      <w:r w:rsidRPr="00C03B42">
        <w:rPr>
          <w:rFonts w:ascii="Symbol" w:eastAsia="SimSun" w:hAnsi="Symbol"/>
          <w:color w:val="000000"/>
        </w:rPr>
        <w:sym w:font="Symbol" w:char="F0B7"/>
      </w:r>
      <w:r w:rsidRPr="006F67B7">
        <w:rPr>
          <w:rFonts w:eastAsia="SimSun"/>
          <w:color w:val="000000"/>
          <w:lang w:val="bg-BG"/>
        </w:rPr>
        <w:tab/>
      </w:r>
      <w:r w:rsidRPr="00E8491C">
        <w:t>3 or 4 cycles of FEC or 5-fluorouracil, doxorubicin and cyclophosphamide (FAC), followed by 3 or 4 cycles of docetaxel or 12 cycles of weekly paclitaxel</w:t>
      </w:r>
    </w:p>
    <w:p w:rsidR="00E00899" w:rsidP="00763EEE" w14:paraId="702D4052" w14:textId="77777777">
      <w:pPr>
        <w:ind w:left="714" w:hanging="357"/>
      </w:pPr>
      <w:r w:rsidRPr="00C03B42">
        <w:rPr>
          <w:rFonts w:ascii="Symbol" w:eastAsia="SimSun" w:hAnsi="Symbol"/>
          <w:color w:val="000000"/>
        </w:rPr>
        <w:sym w:font="Symbol" w:char="F0B7"/>
      </w:r>
      <w:r w:rsidRPr="006F67B7">
        <w:rPr>
          <w:rFonts w:eastAsia="SimSun"/>
          <w:color w:val="000000"/>
          <w:lang w:val="bg-BG"/>
        </w:rPr>
        <w:tab/>
      </w:r>
      <w:r w:rsidRPr="00E8491C">
        <w:t xml:space="preserve">4 cycles of AC or epirubicin and cyclophosphamide (EC), followed by 3 or 4 cycles of docetaxel or 12 cycles of weekly paclitaxel </w:t>
      </w:r>
    </w:p>
    <w:p w:rsidR="00E00899" w:rsidP="00763EEE" w14:paraId="130970E5" w14:textId="77777777">
      <w:pPr>
        <w:ind w:left="714" w:hanging="357"/>
      </w:pPr>
      <w:r w:rsidRPr="00C03B42">
        <w:rPr>
          <w:rFonts w:ascii="Symbol" w:eastAsia="SimSun" w:hAnsi="Symbol"/>
          <w:color w:val="000000"/>
        </w:rPr>
        <w:sym w:font="Symbol" w:char="F0B7"/>
      </w:r>
      <w:r w:rsidRPr="006F67B7">
        <w:rPr>
          <w:rFonts w:eastAsia="SimSun"/>
          <w:color w:val="000000"/>
          <w:lang w:val="bg-BG"/>
        </w:rPr>
        <w:tab/>
      </w:r>
      <w:r w:rsidRPr="00E8491C">
        <w:t xml:space="preserve">6 cycles of docetaxel in combination with carboplatin  </w:t>
      </w:r>
    </w:p>
    <w:p w:rsidR="00E00899" w:rsidRPr="00E8491C" w:rsidP="00763EEE" w14:paraId="6C3CB244" w14:textId="77777777">
      <w:pPr>
        <w:ind w:left="720"/>
      </w:pPr>
    </w:p>
    <w:p w:rsidR="00E00899" w:rsidRPr="00E8491C" w:rsidP="00763EEE" w14:paraId="6F8FD9EE" w14:textId="77777777">
      <w:r>
        <w:t>Pertuzumab</w:t>
      </w:r>
      <w:r w:rsidRPr="00E8491C">
        <w:t xml:space="preserve"> and trastuzumab were administered intravenously</w:t>
      </w:r>
      <w:r>
        <w:t xml:space="preserve"> (see section 4.2)</w:t>
      </w:r>
      <w:r w:rsidRPr="00E8491C">
        <w:t xml:space="preserve"> every 3 weeks starting</w:t>
      </w:r>
      <w:r w:rsidRPr="00E8491C">
        <w:rPr>
          <w:i/>
        </w:rPr>
        <w:t xml:space="preserve"> </w:t>
      </w:r>
      <w:r w:rsidRPr="00E8491C">
        <w:t>on Day 1 of the first taxane-containing cycle, for a total of 52 weeks (</w:t>
      </w:r>
      <w:r>
        <w:t>up to</w:t>
      </w:r>
      <w:r w:rsidRPr="00E8491C">
        <w:t xml:space="preserve"> 18 cycles) or until recurrence, withdrawal of consent or unmanageable toxicity. Standard doses of 5-fluorouracil, epirubicin, doxorubicin, cyclophosphamide, docetaxel, paclitaxel and carboplatin were administered. After completion of chemotherapy, patients received radiotherapy and/or hormone therapy as per local clinical standard.</w:t>
      </w:r>
    </w:p>
    <w:p w:rsidR="00E00899" w:rsidRPr="00E8491C" w:rsidP="00763EEE" w14:paraId="7CA869A2" w14:textId="77777777"/>
    <w:p w:rsidR="00E00899" w:rsidRPr="00E8491C" w:rsidP="00763EEE" w14:paraId="63E95486" w14:textId="77777777">
      <w:pPr>
        <w:rPr>
          <w:noProof/>
        </w:rPr>
      </w:pPr>
      <w:r w:rsidRPr="00E8491C">
        <w:t>The primary endpoint of the study was invasive disease-free survival (IDFS), defined as the time from randomisation to first occurrence of ipsilateral local or regional invasive breast cancer recurrence, distant recurrence, contralateral invasive breast cancer, or death from any cause. Secondary efficacy endpoints were IDFS including second primary non-breast cancer, overall survival (OS), disease-free survival (DFS), recurrence-free interval (RFI) and distant recurrence-free interval (DRFI).</w:t>
      </w:r>
    </w:p>
    <w:p w:rsidR="00E00899" w:rsidRPr="00E8491C" w:rsidP="00E00899" w14:paraId="095C8F72" w14:textId="77777777">
      <w:pPr>
        <w:keepNext/>
        <w:keepLines/>
      </w:pPr>
    </w:p>
    <w:p w:rsidR="00E00899" w:rsidRPr="00E8491C" w:rsidP="00E00899" w14:paraId="3EF7B812" w14:textId="77777777">
      <w:pPr>
        <w:keepNext/>
        <w:keepLines/>
      </w:pPr>
      <w:r w:rsidRPr="00E8491C">
        <w:t>Demographics were well balanced between the two treatment arms. The median age was 51 years, and over 99% of patients were female. The majority of patients had node-positive (63%) and</w:t>
      </w:r>
      <w:r w:rsidRPr="00E8491C">
        <w:rPr>
          <w:noProof/>
        </w:rPr>
        <w:t xml:space="preserve">/or </w:t>
      </w:r>
      <w:r w:rsidRPr="00E8491C">
        <w:t>hormone receptor-positive disease (64</w:t>
      </w:r>
      <w:r w:rsidRPr="00E8491C">
        <w:rPr>
          <w:noProof/>
        </w:rPr>
        <w:t xml:space="preserve">%), </w:t>
      </w:r>
      <w:r>
        <w:rPr>
          <w:noProof/>
        </w:rPr>
        <w:t>and</w:t>
      </w:r>
      <w:r w:rsidRPr="00E8491C">
        <w:rPr>
          <w:noProof/>
        </w:rPr>
        <w:t xml:space="preserve"> were Caucasian (71</w:t>
      </w:r>
      <w:r w:rsidRPr="00E8491C">
        <w:t>%)</w:t>
      </w:r>
      <w:r>
        <w:t>.</w:t>
      </w:r>
    </w:p>
    <w:p w:rsidR="00E00899" w:rsidRPr="00B67056" w:rsidP="00E00899" w14:paraId="405D5219" w14:textId="77777777">
      <w:pPr>
        <w:keepNext/>
        <w:keepLines/>
      </w:pPr>
    </w:p>
    <w:p w:rsidR="00E00899" w:rsidP="00E00899" w14:paraId="57234E77" w14:textId="77777777">
      <w:pPr>
        <w:keepNext/>
        <w:keepLines/>
      </w:pPr>
      <w:r w:rsidRPr="005102CD">
        <w:t>Afte</w:t>
      </w:r>
      <w:r w:rsidRPr="001F5859">
        <w:t>r a median follow-up of 45.4 months, the APHINITY study showed a 19% (hazard ratio [HR] = 0.81; 95% CI 0.66, 1.00 p-value 0.0446) reduction in</w:t>
      </w:r>
      <w:r w:rsidRPr="008935AC">
        <w:t xml:space="preserve"> risk of recurrence or death in</w:t>
      </w:r>
      <w:r w:rsidRPr="005102CD">
        <w:t xml:space="preserve"> patients randomi</w:t>
      </w:r>
      <w:r>
        <w:t>s</w:t>
      </w:r>
      <w:r w:rsidRPr="005102CD">
        <w:t>ed to receive Perjeta compared with patients randomi</w:t>
      </w:r>
      <w:r>
        <w:t>s</w:t>
      </w:r>
      <w:r w:rsidRPr="005102CD">
        <w:t>ed to receive placebo.</w:t>
      </w:r>
    </w:p>
    <w:p w:rsidR="00E00899" w:rsidP="00E00899" w14:paraId="00860CB7" w14:textId="77777777">
      <w:pPr>
        <w:keepNext/>
        <w:keepLines/>
      </w:pPr>
    </w:p>
    <w:p w:rsidR="00E00899" w:rsidRPr="00B67056" w:rsidP="00E00899" w14:paraId="31A28805" w14:textId="77777777">
      <w:pPr>
        <w:keepNext/>
        <w:keepLines/>
      </w:pPr>
      <w:r w:rsidRPr="00B67056">
        <w:t xml:space="preserve">The efficacy results from the APHINITY trial are summarised in Table </w:t>
      </w:r>
      <w:r>
        <w:t>5</w:t>
      </w:r>
      <w:r w:rsidRPr="00B67056">
        <w:t xml:space="preserve"> and in Figure </w:t>
      </w:r>
      <w:r>
        <w:t>3</w:t>
      </w:r>
      <w:r w:rsidRPr="00B67056">
        <w:t>.</w:t>
      </w:r>
    </w:p>
    <w:p w:rsidR="00E00899" w:rsidP="00E00899" w14:paraId="434902DB" w14:textId="77777777">
      <w:pPr>
        <w:rPr>
          <w:noProof/>
          <w:u w:val="single"/>
        </w:rPr>
      </w:pPr>
    </w:p>
    <w:p w:rsidR="00E00899" w:rsidP="00E00899" w14:paraId="62FF6522" w14:textId="77777777">
      <w:pPr>
        <w:keepNext/>
        <w:keepLines/>
        <w:ind w:left="1080" w:hanging="1080"/>
        <w:rPr>
          <w:b/>
        </w:rPr>
      </w:pPr>
      <w:r w:rsidRPr="000B6C12">
        <w:rPr>
          <w:b/>
        </w:rPr>
        <w:t xml:space="preserve">Table </w:t>
      </w:r>
      <w:r>
        <w:rPr>
          <w:b/>
        </w:rPr>
        <w:t>5</w:t>
      </w:r>
      <w:r w:rsidRPr="000B6C12">
        <w:rPr>
          <w:b/>
        </w:rPr>
        <w:t xml:space="preserve"> </w:t>
      </w:r>
      <w:r>
        <w:rPr>
          <w:b/>
        </w:rPr>
        <w:tab/>
      </w:r>
      <w:r w:rsidRPr="000B6C12">
        <w:rPr>
          <w:b/>
        </w:rPr>
        <w:t>Overall Efficacy: ITT Population</w:t>
      </w:r>
    </w:p>
    <w:p w:rsidR="00E00899" w:rsidRPr="000B6C12" w:rsidP="00E00899" w14:paraId="7AD7BC37" w14:textId="77777777">
      <w:pPr>
        <w:keepNext/>
        <w:keepLines/>
        <w:ind w:left="1080" w:hanging="1080"/>
        <w:rPr>
          <w:b/>
        </w:rPr>
      </w:pPr>
    </w:p>
    <w:tbl>
      <w:tblPr>
        <w:tblW w:w="914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tblPr>
      <w:tblGrid>
        <w:gridCol w:w="4770"/>
        <w:gridCol w:w="2250"/>
        <w:gridCol w:w="2127"/>
      </w:tblGrid>
      <w:tr w14:paraId="49017B9F" w14:textId="77777777" w:rsidTr="002E5989">
        <w:tblPrEx>
          <w:tblW w:w="914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tblPrEx>
        <w:trPr>
          <w:cantSplit/>
          <w:tblHeader/>
          <w:jc w:val="right"/>
        </w:trPr>
        <w:tc>
          <w:tcPr>
            <w:tcW w:w="4770" w:type="dxa"/>
            <w:vAlign w:val="bottom"/>
          </w:tcPr>
          <w:p w:rsidR="00E00899" w:rsidRPr="000B6C12" w:rsidP="002E5989" w14:paraId="415C7547" w14:textId="77777777">
            <w:pPr>
              <w:keepNext/>
              <w:keepLines/>
              <w:rPr>
                <w:lang w:val="en-GB"/>
              </w:rPr>
            </w:pPr>
          </w:p>
        </w:tc>
        <w:tc>
          <w:tcPr>
            <w:tcW w:w="2250" w:type="dxa"/>
            <w:vAlign w:val="bottom"/>
          </w:tcPr>
          <w:p w:rsidR="00E00899" w:rsidRPr="000B6C12" w:rsidP="002E5989" w14:paraId="130C02D5" w14:textId="77777777">
            <w:pPr>
              <w:keepNext/>
              <w:keepLines/>
              <w:rPr>
                <w:b/>
                <w:lang w:val="en-GB"/>
              </w:rPr>
            </w:pPr>
            <w:r w:rsidRPr="000B6C12">
              <w:rPr>
                <w:b/>
                <w:lang w:val="en-GB"/>
              </w:rPr>
              <w:t>Perjeta +</w:t>
            </w:r>
            <w:r>
              <w:rPr>
                <w:b/>
                <w:lang w:val="en-GB"/>
              </w:rPr>
              <w:t xml:space="preserve"> trastuzumab</w:t>
            </w:r>
            <w:r w:rsidRPr="000B6C12">
              <w:rPr>
                <w:b/>
                <w:lang w:val="en-GB"/>
              </w:rPr>
              <w:t xml:space="preserve"> + Chemotherapy</w:t>
            </w:r>
          </w:p>
          <w:p w:rsidR="00E00899" w:rsidRPr="000B6C12" w:rsidP="002E5989" w14:paraId="4ED55748" w14:textId="77777777">
            <w:pPr>
              <w:keepNext/>
              <w:keepLines/>
              <w:rPr>
                <w:b/>
                <w:lang w:val="en-GB"/>
              </w:rPr>
            </w:pPr>
            <w:r w:rsidRPr="000B6C12">
              <w:rPr>
                <w:b/>
                <w:lang w:val="en-GB"/>
              </w:rPr>
              <w:t>N=2400</w:t>
            </w:r>
          </w:p>
        </w:tc>
        <w:tc>
          <w:tcPr>
            <w:tcW w:w="2127" w:type="dxa"/>
            <w:vAlign w:val="bottom"/>
          </w:tcPr>
          <w:p w:rsidR="00E00899" w:rsidRPr="000B6C12" w:rsidP="002E5989" w14:paraId="69823DF2" w14:textId="77777777">
            <w:pPr>
              <w:keepNext/>
              <w:keepLines/>
              <w:rPr>
                <w:b/>
                <w:lang w:val="en-GB"/>
              </w:rPr>
            </w:pPr>
            <w:r w:rsidRPr="000B6C12">
              <w:rPr>
                <w:b/>
                <w:lang w:val="en-GB"/>
              </w:rPr>
              <w:t>Placebo +</w:t>
            </w:r>
            <w:r>
              <w:rPr>
                <w:b/>
                <w:lang w:val="en-GB"/>
              </w:rPr>
              <w:t xml:space="preserve"> trastuzumab</w:t>
            </w:r>
            <w:r w:rsidRPr="000B6C12">
              <w:rPr>
                <w:b/>
                <w:lang w:val="en-GB"/>
              </w:rPr>
              <w:t xml:space="preserve"> + Chemotherapy</w:t>
            </w:r>
          </w:p>
          <w:p w:rsidR="00E00899" w:rsidRPr="000B6C12" w:rsidP="002E5989" w14:paraId="448F501F" w14:textId="77777777">
            <w:pPr>
              <w:keepNext/>
              <w:keepLines/>
              <w:rPr>
                <w:b/>
                <w:lang w:val="en-GB"/>
              </w:rPr>
            </w:pPr>
            <w:r w:rsidRPr="000B6C12">
              <w:rPr>
                <w:b/>
                <w:lang w:val="en-GB"/>
              </w:rPr>
              <w:t>N=2404</w:t>
            </w:r>
          </w:p>
        </w:tc>
      </w:tr>
      <w:tr w14:paraId="4BEDE263" w14:textId="77777777" w:rsidTr="002E5989">
        <w:tblPrEx>
          <w:tblW w:w="9147" w:type="dxa"/>
          <w:jc w:val="right"/>
          <w:tblCellMar>
            <w:left w:w="57" w:type="dxa"/>
            <w:right w:w="57" w:type="dxa"/>
          </w:tblCellMar>
          <w:tblLook w:val="00A0"/>
        </w:tblPrEx>
        <w:trPr>
          <w:cantSplit/>
          <w:jc w:val="right"/>
        </w:trPr>
        <w:tc>
          <w:tcPr>
            <w:tcW w:w="4770" w:type="dxa"/>
            <w:tcBorders>
              <w:bottom w:val="single" w:sz="4" w:space="0" w:color="auto"/>
            </w:tcBorders>
            <w:vAlign w:val="bottom"/>
          </w:tcPr>
          <w:p w:rsidR="00E00899" w:rsidRPr="000B6C12" w:rsidP="002E5989" w14:paraId="58F04BBE" w14:textId="77777777">
            <w:pPr>
              <w:keepNext/>
              <w:keepLines/>
              <w:rPr>
                <w:b/>
                <w:i/>
                <w:lang w:val="en-GB"/>
              </w:rPr>
            </w:pPr>
            <w:r w:rsidRPr="000B6C12">
              <w:rPr>
                <w:b/>
                <w:i/>
                <w:lang w:val="en-GB"/>
              </w:rPr>
              <w:t>Primary Endpoint</w:t>
            </w:r>
          </w:p>
        </w:tc>
        <w:tc>
          <w:tcPr>
            <w:tcW w:w="4377" w:type="dxa"/>
            <w:gridSpan w:val="2"/>
            <w:tcBorders>
              <w:bottom w:val="single" w:sz="4" w:space="0" w:color="auto"/>
            </w:tcBorders>
            <w:vAlign w:val="bottom"/>
          </w:tcPr>
          <w:p w:rsidR="00E00899" w:rsidRPr="000B6C12" w:rsidP="002E5989" w14:paraId="15968EB8" w14:textId="77777777">
            <w:pPr>
              <w:keepNext/>
              <w:keepLines/>
              <w:rPr>
                <w:b/>
                <w:i/>
                <w:lang w:val="en-GB"/>
              </w:rPr>
            </w:pPr>
          </w:p>
        </w:tc>
      </w:tr>
      <w:tr w14:paraId="20ADF9A1" w14:textId="77777777" w:rsidTr="002E5989">
        <w:tblPrEx>
          <w:tblW w:w="9147" w:type="dxa"/>
          <w:jc w:val="right"/>
          <w:tblCellMar>
            <w:left w:w="57" w:type="dxa"/>
            <w:right w:w="57" w:type="dxa"/>
          </w:tblCellMar>
          <w:tblLook w:val="00A0"/>
        </w:tblPrEx>
        <w:trPr>
          <w:cantSplit/>
          <w:jc w:val="right"/>
        </w:trPr>
        <w:tc>
          <w:tcPr>
            <w:tcW w:w="4770" w:type="dxa"/>
            <w:tcBorders>
              <w:top w:val="single" w:sz="4" w:space="0" w:color="auto"/>
              <w:left w:val="single" w:sz="4" w:space="0" w:color="auto"/>
              <w:bottom w:val="nil"/>
              <w:right w:val="single" w:sz="4" w:space="0" w:color="auto"/>
            </w:tcBorders>
            <w:vAlign w:val="bottom"/>
          </w:tcPr>
          <w:p w:rsidR="00E00899" w:rsidRPr="000B6C12" w:rsidP="002E5989" w14:paraId="0012DCFD" w14:textId="77777777">
            <w:pPr>
              <w:keepNext/>
              <w:keepLines/>
              <w:rPr>
                <w:b/>
                <w:vertAlign w:val="superscript"/>
                <w:lang w:val="en-GB"/>
              </w:rPr>
            </w:pPr>
            <w:r w:rsidRPr="000B6C12">
              <w:rPr>
                <w:b/>
                <w:lang w:val="en-GB"/>
              </w:rPr>
              <w:t>Invasive Disease Free Survival (IDFS)</w:t>
            </w:r>
            <w:r w:rsidRPr="000B6C12">
              <w:rPr>
                <w:b/>
                <w:vertAlign w:val="superscript"/>
                <w:lang w:val="en-GB"/>
              </w:rPr>
              <w:t xml:space="preserve"> </w:t>
            </w:r>
          </w:p>
        </w:tc>
        <w:tc>
          <w:tcPr>
            <w:tcW w:w="4377" w:type="dxa"/>
            <w:gridSpan w:val="2"/>
            <w:tcBorders>
              <w:top w:val="single" w:sz="4" w:space="0" w:color="auto"/>
              <w:left w:val="single" w:sz="4" w:space="0" w:color="auto"/>
              <w:bottom w:val="nil"/>
              <w:right w:val="single" w:sz="4" w:space="0" w:color="auto"/>
            </w:tcBorders>
            <w:vAlign w:val="bottom"/>
          </w:tcPr>
          <w:p w:rsidR="00E00899" w:rsidRPr="000B6C12" w:rsidP="002E5989" w14:paraId="6EB49466" w14:textId="77777777">
            <w:pPr>
              <w:keepNext/>
              <w:keepLines/>
            </w:pPr>
          </w:p>
        </w:tc>
      </w:tr>
      <w:tr w14:paraId="61F39A02" w14:textId="77777777" w:rsidTr="002E5989">
        <w:tblPrEx>
          <w:tblW w:w="9147" w:type="dxa"/>
          <w:jc w:val="right"/>
          <w:tblCellMar>
            <w:left w:w="57" w:type="dxa"/>
            <w:right w:w="57" w:type="dxa"/>
          </w:tblCellMar>
          <w:tblLook w:val="00A0"/>
        </w:tblPrEx>
        <w:trPr>
          <w:cantSplit/>
          <w:jc w:val="right"/>
        </w:trPr>
        <w:tc>
          <w:tcPr>
            <w:tcW w:w="4770" w:type="dxa"/>
            <w:tcBorders>
              <w:top w:val="nil"/>
              <w:left w:val="single" w:sz="4" w:space="0" w:color="auto"/>
              <w:bottom w:val="nil"/>
              <w:right w:val="single" w:sz="4" w:space="0" w:color="auto"/>
            </w:tcBorders>
            <w:vAlign w:val="bottom"/>
          </w:tcPr>
          <w:p w:rsidR="00E00899" w:rsidRPr="000B6C12" w:rsidP="002E5989" w14:paraId="4D4E5E3E" w14:textId="77777777">
            <w:pPr>
              <w:keepNext/>
              <w:keepLines/>
              <w:rPr>
                <w:lang w:val="en-GB"/>
              </w:rPr>
            </w:pPr>
            <w:r w:rsidRPr="000B6C12">
              <w:rPr>
                <w:lang w:val="en-GB"/>
              </w:rPr>
              <w:t xml:space="preserve">Number (%) of patients with event </w:t>
            </w:r>
          </w:p>
        </w:tc>
        <w:tc>
          <w:tcPr>
            <w:tcW w:w="2250" w:type="dxa"/>
            <w:tcBorders>
              <w:top w:val="nil"/>
              <w:left w:val="single" w:sz="4" w:space="0" w:color="auto"/>
              <w:bottom w:val="nil"/>
              <w:right w:val="nil"/>
            </w:tcBorders>
            <w:vAlign w:val="bottom"/>
          </w:tcPr>
          <w:p w:rsidR="00E00899" w:rsidRPr="000B6C12" w:rsidP="002E5989" w14:paraId="528258AC" w14:textId="77777777">
            <w:pPr>
              <w:keepNext/>
              <w:keepLines/>
              <w:rPr>
                <w:lang w:val="en-GB"/>
              </w:rPr>
            </w:pPr>
            <w:r w:rsidRPr="000B6C12">
              <w:rPr>
                <w:lang w:val="en-GB"/>
              </w:rPr>
              <w:t>171 (7.1%)</w:t>
            </w:r>
          </w:p>
        </w:tc>
        <w:tc>
          <w:tcPr>
            <w:tcW w:w="2127" w:type="dxa"/>
            <w:tcBorders>
              <w:top w:val="nil"/>
              <w:left w:val="nil"/>
              <w:bottom w:val="nil"/>
              <w:right w:val="single" w:sz="4" w:space="0" w:color="auto"/>
            </w:tcBorders>
            <w:vAlign w:val="bottom"/>
          </w:tcPr>
          <w:p w:rsidR="00E00899" w:rsidRPr="000B6C12" w:rsidP="002E5989" w14:paraId="6D90AAC1" w14:textId="77777777">
            <w:pPr>
              <w:keepNext/>
              <w:keepLines/>
              <w:jc w:val="right"/>
              <w:rPr>
                <w:szCs w:val="24"/>
                <w:lang w:val="en-GB"/>
              </w:rPr>
            </w:pPr>
            <w:r w:rsidRPr="000B6C12">
              <w:rPr>
                <w:lang w:val="en-GB"/>
              </w:rPr>
              <w:t>210 (8.7%)</w:t>
            </w:r>
          </w:p>
        </w:tc>
      </w:tr>
      <w:tr w14:paraId="1B19043C" w14:textId="77777777" w:rsidTr="002E5989">
        <w:tblPrEx>
          <w:tblW w:w="9147" w:type="dxa"/>
          <w:jc w:val="right"/>
          <w:tblCellMar>
            <w:left w:w="57" w:type="dxa"/>
            <w:right w:w="57" w:type="dxa"/>
          </w:tblCellMar>
          <w:tblLook w:val="00A0"/>
        </w:tblPrEx>
        <w:trPr>
          <w:cantSplit/>
          <w:jc w:val="right"/>
        </w:trPr>
        <w:tc>
          <w:tcPr>
            <w:tcW w:w="4770" w:type="dxa"/>
            <w:tcBorders>
              <w:top w:val="nil"/>
              <w:left w:val="single" w:sz="4" w:space="0" w:color="auto"/>
              <w:bottom w:val="nil"/>
              <w:right w:val="single" w:sz="4" w:space="0" w:color="auto"/>
            </w:tcBorders>
            <w:vAlign w:val="bottom"/>
          </w:tcPr>
          <w:p w:rsidR="00E00899" w:rsidRPr="000B6C12" w:rsidP="002E5989" w14:paraId="59682E25" w14:textId="77777777">
            <w:pPr>
              <w:keepNext/>
              <w:keepLines/>
              <w:rPr>
                <w:lang w:val="en-GB"/>
              </w:rPr>
            </w:pPr>
            <w:r w:rsidRPr="000B6C12">
              <w:rPr>
                <w:lang w:val="en-GB"/>
              </w:rPr>
              <w:t>HR [95% CI]</w:t>
            </w:r>
          </w:p>
        </w:tc>
        <w:tc>
          <w:tcPr>
            <w:tcW w:w="4377" w:type="dxa"/>
            <w:gridSpan w:val="2"/>
            <w:tcBorders>
              <w:top w:val="nil"/>
              <w:left w:val="single" w:sz="4" w:space="0" w:color="auto"/>
              <w:bottom w:val="nil"/>
              <w:right w:val="single" w:sz="4" w:space="0" w:color="auto"/>
            </w:tcBorders>
            <w:vAlign w:val="bottom"/>
          </w:tcPr>
          <w:p w:rsidR="00E00899" w:rsidRPr="000B6C12" w:rsidP="002E5989" w14:paraId="0CBF1F1B" w14:textId="77777777">
            <w:pPr>
              <w:keepNext/>
              <w:keepLines/>
              <w:jc w:val="center"/>
              <w:rPr>
                <w:lang w:val="en-GB"/>
              </w:rPr>
            </w:pPr>
            <w:r w:rsidRPr="000B6C12">
              <w:rPr>
                <w:lang w:val="en-GB"/>
              </w:rPr>
              <w:t>0.81 [0.66, 1.00]</w:t>
            </w:r>
          </w:p>
        </w:tc>
      </w:tr>
      <w:tr w14:paraId="0B5E744D" w14:textId="77777777" w:rsidTr="002E5989">
        <w:tblPrEx>
          <w:tblW w:w="9147" w:type="dxa"/>
          <w:jc w:val="right"/>
          <w:tblCellMar>
            <w:left w:w="57" w:type="dxa"/>
            <w:right w:w="57" w:type="dxa"/>
          </w:tblCellMar>
          <w:tblLook w:val="00A0"/>
        </w:tblPrEx>
        <w:trPr>
          <w:cantSplit/>
          <w:jc w:val="right"/>
        </w:trPr>
        <w:tc>
          <w:tcPr>
            <w:tcW w:w="4770" w:type="dxa"/>
            <w:tcBorders>
              <w:top w:val="nil"/>
              <w:left w:val="single" w:sz="4" w:space="0" w:color="auto"/>
              <w:bottom w:val="nil"/>
              <w:right w:val="single" w:sz="4" w:space="0" w:color="auto"/>
            </w:tcBorders>
            <w:vAlign w:val="bottom"/>
          </w:tcPr>
          <w:p w:rsidR="00E00899" w:rsidRPr="001F5859" w:rsidP="002E5989" w14:paraId="29C438D5" w14:textId="77777777">
            <w:pPr>
              <w:keepNext/>
              <w:keepLines/>
              <w:rPr>
                <w:lang w:val="en-GB"/>
              </w:rPr>
            </w:pPr>
            <w:r w:rsidRPr="001F5859">
              <w:rPr>
                <w:lang w:val="en-GB"/>
              </w:rPr>
              <w:t>p-value (Log-Rank test, stratified</w:t>
            </w:r>
            <w:r w:rsidRPr="001F5859">
              <w:rPr>
                <w:vertAlign w:val="superscript"/>
                <w:lang w:val="en-GB"/>
              </w:rPr>
              <w:t>1</w:t>
            </w:r>
            <w:r w:rsidRPr="001F5859">
              <w:rPr>
                <w:lang w:val="en-GB"/>
              </w:rPr>
              <w:t>)</w:t>
            </w:r>
          </w:p>
        </w:tc>
        <w:tc>
          <w:tcPr>
            <w:tcW w:w="4377" w:type="dxa"/>
            <w:gridSpan w:val="2"/>
            <w:tcBorders>
              <w:top w:val="nil"/>
              <w:left w:val="single" w:sz="4" w:space="0" w:color="auto"/>
              <w:bottom w:val="nil"/>
              <w:right w:val="single" w:sz="4" w:space="0" w:color="auto"/>
            </w:tcBorders>
            <w:vAlign w:val="bottom"/>
          </w:tcPr>
          <w:p w:rsidR="00E00899" w:rsidRPr="001F5859" w:rsidP="002E5989" w14:paraId="67C4FE58" w14:textId="77777777">
            <w:pPr>
              <w:keepNext/>
              <w:keepLines/>
              <w:jc w:val="center"/>
              <w:rPr>
                <w:lang w:val="en-GB"/>
              </w:rPr>
            </w:pPr>
            <w:r w:rsidRPr="001F5859">
              <w:rPr>
                <w:lang w:val="en-GB"/>
              </w:rPr>
              <w:t>0.0446</w:t>
            </w:r>
          </w:p>
        </w:tc>
      </w:tr>
      <w:tr w14:paraId="3FC97465" w14:textId="77777777" w:rsidTr="002E5989">
        <w:tblPrEx>
          <w:tblW w:w="9147" w:type="dxa"/>
          <w:jc w:val="right"/>
          <w:tblCellMar>
            <w:left w:w="57" w:type="dxa"/>
            <w:right w:w="57" w:type="dxa"/>
          </w:tblCellMar>
          <w:tblLook w:val="00A0"/>
        </w:tblPrEx>
        <w:trPr>
          <w:cantSplit/>
          <w:jc w:val="right"/>
        </w:trPr>
        <w:tc>
          <w:tcPr>
            <w:tcW w:w="4770" w:type="dxa"/>
            <w:tcBorders>
              <w:top w:val="nil"/>
              <w:left w:val="single" w:sz="4" w:space="0" w:color="auto"/>
              <w:bottom w:val="single" w:sz="4" w:space="0" w:color="auto"/>
              <w:right w:val="single" w:sz="4" w:space="0" w:color="auto"/>
            </w:tcBorders>
            <w:vAlign w:val="bottom"/>
          </w:tcPr>
          <w:p w:rsidR="00E00899" w:rsidRPr="001F5859" w:rsidP="002E5989" w14:paraId="41A06AE4" w14:textId="58694CB1">
            <w:pPr>
              <w:keepNext/>
              <w:keepLines/>
              <w:rPr>
                <w:lang w:val="en-GB"/>
              </w:rPr>
            </w:pPr>
            <w:r w:rsidRPr="001F5859">
              <w:rPr>
                <w:lang w:val="en-GB"/>
              </w:rPr>
              <w:t>3 year event-free rate</w:t>
            </w:r>
            <w:r w:rsidR="0028477C">
              <w:rPr>
                <w:vertAlign w:val="superscript"/>
                <w:lang w:val="en-GB"/>
              </w:rPr>
              <w:t>2</w:t>
            </w:r>
            <w:r w:rsidRPr="001F5859">
              <w:rPr>
                <w:lang w:val="en-GB"/>
              </w:rPr>
              <w:t xml:space="preserve"> [95% CI] </w:t>
            </w:r>
          </w:p>
        </w:tc>
        <w:tc>
          <w:tcPr>
            <w:tcW w:w="2250" w:type="dxa"/>
            <w:tcBorders>
              <w:top w:val="nil"/>
              <w:left w:val="single" w:sz="4" w:space="0" w:color="auto"/>
              <w:bottom w:val="single" w:sz="4" w:space="0" w:color="auto"/>
              <w:right w:val="nil"/>
            </w:tcBorders>
            <w:vAlign w:val="bottom"/>
          </w:tcPr>
          <w:p w:rsidR="00E00899" w:rsidRPr="001F5859" w:rsidP="002E5989" w14:paraId="42317A28" w14:textId="77777777">
            <w:pPr>
              <w:keepNext/>
              <w:keepLines/>
              <w:rPr>
                <w:lang w:val="en-GB"/>
              </w:rPr>
            </w:pPr>
            <w:r w:rsidRPr="001F5859">
              <w:rPr>
                <w:lang w:val="en-GB"/>
              </w:rPr>
              <w:t>94.</w:t>
            </w:r>
            <w:r w:rsidRPr="001F5859">
              <w:rPr>
                <w:noProof/>
                <w:lang w:val="en-GB"/>
              </w:rPr>
              <w:t>1</w:t>
            </w:r>
            <w:r w:rsidRPr="001F5859">
              <w:rPr>
                <w:lang w:val="en-GB"/>
              </w:rPr>
              <w:t xml:space="preserve"> [93.1, 95.0]</w:t>
            </w:r>
          </w:p>
        </w:tc>
        <w:tc>
          <w:tcPr>
            <w:tcW w:w="2127" w:type="dxa"/>
            <w:tcBorders>
              <w:top w:val="nil"/>
              <w:left w:val="nil"/>
              <w:bottom w:val="single" w:sz="4" w:space="0" w:color="auto"/>
              <w:right w:val="single" w:sz="4" w:space="0" w:color="auto"/>
            </w:tcBorders>
            <w:vAlign w:val="bottom"/>
          </w:tcPr>
          <w:p w:rsidR="00E00899" w:rsidRPr="001F5859" w:rsidP="002E5989" w14:paraId="7F281563" w14:textId="77777777">
            <w:pPr>
              <w:keepNext/>
              <w:keepLines/>
              <w:jc w:val="right"/>
              <w:rPr>
                <w:szCs w:val="24"/>
                <w:lang w:val="en-GB"/>
              </w:rPr>
            </w:pPr>
            <w:r w:rsidRPr="001F5859">
              <w:rPr>
                <w:lang w:val="en-GB"/>
              </w:rPr>
              <w:t>93.2 [92.2, 94.3]</w:t>
            </w:r>
          </w:p>
        </w:tc>
      </w:tr>
      <w:tr w14:paraId="3C9F8FF0" w14:textId="77777777" w:rsidTr="002E5989">
        <w:tblPrEx>
          <w:tblW w:w="9147" w:type="dxa"/>
          <w:jc w:val="right"/>
          <w:tblCellMar>
            <w:left w:w="57" w:type="dxa"/>
            <w:right w:w="57" w:type="dxa"/>
          </w:tblCellMar>
          <w:tblLook w:val="00A0"/>
        </w:tblPrEx>
        <w:trPr>
          <w:cantSplit/>
          <w:jc w:val="right"/>
        </w:trPr>
        <w:tc>
          <w:tcPr>
            <w:tcW w:w="4770" w:type="dxa"/>
            <w:tcBorders>
              <w:top w:val="single" w:sz="4" w:space="0" w:color="auto"/>
              <w:bottom w:val="single" w:sz="4" w:space="0" w:color="auto"/>
            </w:tcBorders>
            <w:vAlign w:val="bottom"/>
          </w:tcPr>
          <w:p w:rsidR="00E00899" w:rsidRPr="001F5859" w:rsidP="002E5989" w14:paraId="2E832314" w14:textId="77777777">
            <w:pPr>
              <w:keepNext/>
              <w:keepLines/>
              <w:rPr>
                <w:b/>
                <w:i/>
                <w:vertAlign w:val="superscript"/>
                <w:lang w:val="en-GB"/>
              </w:rPr>
            </w:pPr>
            <w:r w:rsidRPr="001F5859">
              <w:rPr>
                <w:b/>
                <w:i/>
                <w:lang w:val="en-GB"/>
              </w:rPr>
              <w:t>Secondary Endpoints</w:t>
            </w:r>
            <w:r w:rsidRPr="001F5859">
              <w:rPr>
                <w:b/>
                <w:i/>
                <w:vertAlign w:val="superscript"/>
                <w:lang w:val="en-GB"/>
              </w:rPr>
              <w:t>1</w:t>
            </w:r>
          </w:p>
        </w:tc>
        <w:tc>
          <w:tcPr>
            <w:tcW w:w="4377" w:type="dxa"/>
            <w:gridSpan w:val="2"/>
            <w:tcBorders>
              <w:top w:val="single" w:sz="4" w:space="0" w:color="auto"/>
              <w:bottom w:val="single" w:sz="4" w:space="0" w:color="auto"/>
            </w:tcBorders>
            <w:vAlign w:val="bottom"/>
          </w:tcPr>
          <w:p w:rsidR="00E00899" w:rsidRPr="001F5859" w:rsidP="002E5989" w14:paraId="77E58EAE" w14:textId="77777777">
            <w:pPr>
              <w:keepNext/>
              <w:keepLines/>
              <w:rPr>
                <w:b/>
                <w:i/>
                <w:lang w:val="en-GB"/>
              </w:rPr>
            </w:pPr>
          </w:p>
        </w:tc>
      </w:tr>
      <w:tr w14:paraId="68F03F9E" w14:textId="77777777" w:rsidTr="002E5989">
        <w:tblPrEx>
          <w:tblW w:w="9147" w:type="dxa"/>
          <w:jc w:val="right"/>
          <w:tblCellMar>
            <w:left w:w="57" w:type="dxa"/>
            <w:right w:w="57" w:type="dxa"/>
          </w:tblCellMar>
          <w:tblLook w:val="00A0"/>
        </w:tblPrEx>
        <w:trPr>
          <w:cantSplit/>
          <w:jc w:val="right"/>
        </w:trPr>
        <w:tc>
          <w:tcPr>
            <w:tcW w:w="4770" w:type="dxa"/>
            <w:tcBorders>
              <w:bottom w:val="nil"/>
            </w:tcBorders>
            <w:vAlign w:val="bottom"/>
          </w:tcPr>
          <w:p w:rsidR="00E00899" w:rsidRPr="001F5859" w:rsidP="002E5989" w14:paraId="5061C53A" w14:textId="77777777">
            <w:pPr>
              <w:keepNext/>
              <w:keepLines/>
              <w:rPr>
                <w:b/>
                <w:vertAlign w:val="superscript"/>
                <w:lang w:val="en-GB"/>
              </w:rPr>
            </w:pPr>
            <w:r w:rsidRPr="001F5859">
              <w:rPr>
                <w:b/>
                <w:lang w:val="en-GB"/>
              </w:rPr>
              <w:t>IDFS</w:t>
            </w:r>
            <w:r w:rsidRPr="001F5859">
              <w:t xml:space="preserve"> </w:t>
            </w:r>
            <w:r w:rsidRPr="001F5859">
              <w:rPr>
                <w:b/>
                <w:lang w:val="en-GB"/>
              </w:rPr>
              <w:t>including second primary non-breast cancer</w:t>
            </w:r>
          </w:p>
        </w:tc>
        <w:tc>
          <w:tcPr>
            <w:tcW w:w="4377" w:type="dxa"/>
            <w:gridSpan w:val="2"/>
            <w:tcBorders>
              <w:bottom w:val="nil"/>
            </w:tcBorders>
            <w:vAlign w:val="bottom"/>
          </w:tcPr>
          <w:p w:rsidR="00E00899" w:rsidRPr="001F5859" w:rsidP="002E5989" w14:paraId="51D81025" w14:textId="77777777">
            <w:pPr>
              <w:keepNext/>
              <w:keepLines/>
            </w:pPr>
          </w:p>
        </w:tc>
      </w:tr>
      <w:tr w14:paraId="1193DF67" w14:textId="77777777" w:rsidTr="002E5989">
        <w:tblPrEx>
          <w:tblW w:w="9147" w:type="dxa"/>
          <w:jc w:val="right"/>
          <w:tblCellMar>
            <w:left w:w="57" w:type="dxa"/>
            <w:right w:w="57" w:type="dxa"/>
          </w:tblCellMar>
          <w:tblLook w:val="00A0"/>
        </w:tblPrEx>
        <w:trPr>
          <w:cantSplit/>
          <w:jc w:val="right"/>
        </w:trPr>
        <w:tc>
          <w:tcPr>
            <w:tcW w:w="4770" w:type="dxa"/>
            <w:tcBorders>
              <w:top w:val="nil"/>
              <w:bottom w:val="nil"/>
            </w:tcBorders>
            <w:vAlign w:val="bottom"/>
          </w:tcPr>
          <w:p w:rsidR="00E00899" w:rsidRPr="001F5859" w:rsidP="002E5989" w14:paraId="63C58AFB" w14:textId="77777777">
            <w:pPr>
              <w:keepNext/>
              <w:keepLines/>
              <w:rPr>
                <w:lang w:val="en-GB"/>
              </w:rPr>
            </w:pPr>
            <w:r w:rsidRPr="001F5859">
              <w:rPr>
                <w:lang w:val="en-GB"/>
              </w:rPr>
              <w:t xml:space="preserve">Number (%) of patients with event </w:t>
            </w:r>
          </w:p>
        </w:tc>
        <w:tc>
          <w:tcPr>
            <w:tcW w:w="2250" w:type="dxa"/>
            <w:tcBorders>
              <w:top w:val="nil"/>
              <w:bottom w:val="nil"/>
              <w:right w:val="nil"/>
            </w:tcBorders>
            <w:vAlign w:val="bottom"/>
          </w:tcPr>
          <w:p w:rsidR="00E00899" w:rsidRPr="001F5859" w:rsidP="002E5989" w14:paraId="2C719F51" w14:textId="77777777">
            <w:pPr>
              <w:keepNext/>
              <w:keepLines/>
              <w:rPr>
                <w:lang w:val="en-GB"/>
              </w:rPr>
            </w:pPr>
            <w:r w:rsidRPr="001F5859">
              <w:rPr>
                <w:lang w:val="en-GB"/>
              </w:rPr>
              <w:t>189 (7.9%)</w:t>
            </w:r>
          </w:p>
        </w:tc>
        <w:tc>
          <w:tcPr>
            <w:tcW w:w="2127" w:type="dxa"/>
            <w:tcBorders>
              <w:top w:val="nil"/>
              <w:left w:val="nil"/>
              <w:bottom w:val="nil"/>
            </w:tcBorders>
            <w:vAlign w:val="bottom"/>
          </w:tcPr>
          <w:p w:rsidR="00E00899" w:rsidRPr="001F5859" w:rsidP="002E5989" w14:paraId="1DF9C1FE" w14:textId="77777777">
            <w:pPr>
              <w:keepNext/>
              <w:keepLines/>
              <w:jc w:val="right"/>
              <w:rPr>
                <w:szCs w:val="24"/>
                <w:lang w:val="en-GB"/>
              </w:rPr>
            </w:pPr>
            <w:r w:rsidRPr="001F5859">
              <w:rPr>
                <w:lang w:val="en-GB"/>
              </w:rPr>
              <w:t>230 (9.6%)</w:t>
            </w:r>
          </w:p>
        </w:tc>
      </w:tr>
      <w:tr w14:paraId="3888FBC7" w14:textId="77777777" w:rsidTr="002E5989">
        <w:tblPrEx>
          <w:tblW w:w="9147" w:type="dxa"/>
          <w:jc w:val="right"/>
          <w:tblCellMar>
            <w:left w:w="57" w:type="dxa"/>
            <w:right w:w="57" w:type="dxa"/>
          </w:tblCellMar>
          <w:tblLook w:val="00A0"/>
        </w:tblPrEx>
        <w:trPr>
          <w:cantSplit/>
          <w:jc w:val="right"/>
        </w:trPr>
        <w:tc>
          <w:tcPr>
            <w:tcW w:w="4770" w:type="dxa"/>
            <w:tcBorders>
              <w:top w:val="nil"/>
              <w:bottom w:val="nil"/>
            </w:tcBorders>
          </w:tcPr>
          <w:p w:rsidR="00E00899" w:rsidRPr="001F5859" w:rsidP="002E5989" w14:paraId="70EE39BF" w14:textId="77777777">
            <w:pPr>
              <w:keepNext/>
              <w:keepLines/>
              <w:rPr>
                <w:lang w:val="en-GB"/>
              </w:rPr>
            </w:pPr>
            <w:r w:rsidRPr="001F5859">
              <w:rPr>
                <w:lang w:val="en-GB"/>
              </w:rPr>
              <w:t>HR [95% CI]</w:t>
            </w:r>
          </w:p>
        </w:tc>
        <w:tc>
          <w:tcPr>
            <w:tcW w:w="4377" w:type="dxa"/>
            <w:gridSpan w:val="2"/>
            <w:tcBorders>
              <w:top w:val="nil"/>
              <w:bottom w:val="nil"/>
            </w:tcBorders>
          </w:tcPr>
          <w:p w:rsidR="00E00899" w:rsidRPr="001F5859" w:rsidP="002E5989" w14:paraId="7E2A5197" w14:textId="77777777">
            <w:pPr>
              <w:keepNext/>
              <w:keepLines/>
              <w:jc w:val="center"/>
              <w:rPr>
                <w:lang w:val="en-GB"/>
              </w:rPr>
            </w:pPr>
            <w:r w:rsidRPr="001F5859">
              <w:rPr>
                <w:lang w:val="en-GB"/>
              </w:rPr>
              <w:t>0.82 [0.68, 0.99]</w:t>
            </w:r>
          </w:p>
        </w:tc>
      </w:tr>
      <w:tr w14:paraId="17BD3250" w14:textId="77777777" w:rsidTr="002E5989">
        <w:tblPrEx>
          <w:tblW w:w="9147" w:type="dxa"/>
          <w:jc w:val="right"/>
          <w:tblCellMar>
            <w:left w:w="57" w:type="dxa"/>
            <w:right w:w="57" w:type="dxa"/>
          </w:tblCellMar>
          <w:tblLook w:val="00A0"/>
        </w:tblPrEx>
        <w:trPr>
          <w:cantSplit/>
          <w:jc w:val="right"/>
        </w:trPr>
        <w:tc>
          <w:tcPr>
            <w:tcW w:w="4770" w:type="dxa"/>
            <w:tcBorders>
              <w:top w:val="nil"/>
              <w:bottom w:val="nil"/>
            </w:tcBorders>
            <w:vAlign w:val="bottom"/>
          </w:tcPr>
          <w:p w:rsidR="00E00899" w:rsidRPr="001F5859" w:rsidP="002E5989" w14:paraId="7A2FC6C0" w14:textId="77777777">
            <w:pPr>
              <w:keepNext/>
              <w:keepLines/>
              <w:rPr>
                <w:lang w:val="en-GB"/>
              </w:rPr>
            </w:pPr>
            <w:r w:rsidRPr="001F5859">
              <w:rPr>
                <w:lang w:val="en-GB"/>
              </w:rPr>
              <w:t>p-value (Log-Rank test, stratified</w:t>
            </w:r>
            <w:r w:rsidRPr="001F5859">
              <w:rPr>
                <w:vertAlign w:val="superscript"/>
                <w:lang w:val="en-GB"/>
              </w:rPr>
              <w:t>1</w:t>
            </w:r>
            <w:r w:rsidRPr="001F5859">
              <w:rPr>
                <w:lang w:val="en-GB"/>
              </w:rPr>
              <w:t>)</w:t>
            </w:r>
          </w:p>
        </w:tc>
        <w:tc>
          <w:tcPr>
            <w:tcW w:w="4377" w:type="dxa"/>
            <w:gridSpan w:val="2"/>
            <w:tcBorders>
              <w:top w:val="nil"/>
              <w:bottom w:val="nil"/>
            </w:tcBorders>
            <w:vAlign w:val="bottom"/>
          </w:tcPr>
          <w:p w:rsidR="00E00899" w:rsidRPr="001F5859" w:rsidP="002E5989" w14:paraId="15E89C34" w14:textId="77777777">
            <w:pPr>
              <w:keepNext/>
              <w:keepLines/>
              <w:jc w:val="center"/>
              <w:rPr>
                <w:lang w:val="en-GB"/>
              </w:rPr>
            </w:pPr>
            <w:r w:rsidRPr="001F5859">
              <w:rPr>
                <w:lang w:val="en-GB"/>
              </w:rPr>
              <w:t>0.0430</w:t>
            </w:r>
          </w:p>
        </w:tc>
      </w:tr>
      <w:tr w14:paraId="2728E48E" w14:textId="77777777" w:rsidTr="002E5989">
        <w:tblPrEx>
          <w:tblW w:w="9147" w:type="dxa"/>
          <w:jc w:val="right"/>
          <w:tblCellMar>
            <w:left w:w="57" w:type="dxa"/>
            <w:right w:w="57" w:type="dxa"/>
          </w:tblCellMar>
          <w:tblLook w:val="00A0"/>
        </w:tblPrEx>
        <w:trPr>
          <w:cantSplit/>
          <w:jc w:val="right"/>
        </w:trPr>
        <w:tc>
          <w:tcPr>
            <w:tcW w:w="4770" w:type="dxa"/>
            <w:tcBorders>
              <w:top w:val="nil"/>
              <w:bottom w:val="single" w:sz="4" w:space="0" w:color="auto"/>
            </w:tcBorders>
            <w:vAlign w:val="bottom"/>
          </w:tcPr>
          <w:p w:rsidR="00E00899" w:rsidRPr="001F5859" w:rsidP="002E5989" w14:paraId="503FDC1C" w14:textId="77777777">
            <w:pPr>
              <w:keepNext/>
              <w:keepLines/>
              <w:rPr>
                <w:lang w:val="en-GB"/>
              </w:rPr>
            </w:pPr>
            <w:r w:rsidRPr="001F5859">
              <w:rPr>
                <w:lang w:val="en-GB"/>
              </w:rPr>
              <w:t>3 year event-free rate</w:t>
            </w:r>
            <w:r w:rsidRPr="001F5859">
              <w:rPr>
                <w:vertAlign w:val="superscript"/>
                <w:lang w:val="en-GB"/>
              </w:rPr>
              <w:t>2</w:t>
            </w:r>
            <w:r w:rsidRPr="001F5859">
              <w:rPr>
                <w:lang w:val="en-GB"/>
              </w:rPr>
              <w:t xml:space="preserve"> [95% CI] </w:t>
            </w:r>
          </w:p>
        </w:tc>
        <w:tc>
          <w:tcPr>
            <w:tcW w:w="2250" w:type="dxa"/>
            <w:tcBorders>
              <w:top w:val="nil"/>
              <w:bottom w:val="single" w:sz="4" w:space="0" w:color="auto"/>
              <w:right w:val="nil"/>
            </w:tcBorders>
            <w:vAlign w:val="bottom"/>
          </w:tcPr>
          <w:p w:rsidR="00E00899" w:rsidRPr="001F5859" w:rsidP="002E5989" w14:paraId="3CEC0F17" w14:textId="77777777">
            <w:pPr>
              <w:keepNext/>
              <w:keepLines/>
              <w:rPr>
                <w:lang w:val="en-GB"/>
              </w:rPr>
            </w:pPr>
            <w:r w:rsidRPr="001F5859">
              <w:rPr>
                <w:lang w:val="en-GB"/>
              </w:rPr>
              <w:t>93.5 [92.5, 94.5]</w:t>
            </w:r>
          </w:p>
        </w:tc>
        <w:tc>
          <w:tcPr>
            <w:tcW w:w="2127" w:type="dxa"/>
            <w:tcBorders>
              <w:top w:val="nil"/>
              <w:left w:val="nil"/>
              <w:bottom w:val="single" w:sz="4" w:space="0" w:color="auto"/>
            </w:tcBorders>
            <w:vAlign w:val="bottom"/>
          </w:tcPr>
          <w:p w:rsidR="00E00899" w:rsidRPr="001F5859" w:rsidP="002E5989" w14:paraId="470BB4EE" w14:textId="77777777">
            <w:pPr>
              <w:keepNext/>
              <w:keepLines/>
              <w:jc w:val="right"/>
              <w:rPr>
                <w:szCs w:val="24"/>
                <w:lang w:val="en-GB"/>
              </w:rPr>
            </w:pPr>
            <w:r w:rsidRPr="001F5859">
              <w:rPr>
                <w:lang w:val="en-GB"/>
              </w:rPr>
              <w:t>92.5 [91.4, 93.6]</w:t>
            </w:r>
          </w:p>
        </w:tc>
      </w:tr>
      <w:tr w14:paraId="7E0542F6" w14:textId="77777777" w:rsidTr="002E5989">
        <w:tblPrEx>
          <w:tblW w:w="9147" w:type="dxa"/>
          <w:jc w:val="right"/>
          <w:tblCellMar>
            <w:left w:w="57" w:type="dxa"/>
            <w:right w:w="57" w:type="dxa"/>
          </w:tblCellMar>
          <w:tblLook w:val="00A0"/>
        </w:tblPrEx>
        <w:trPr>
          <w:cantSplit/>
          <w:jc w:val="right"/>
        </w:trPr>
        <w:tc>
          <w:tcPr>
            <w:tcW w:w="4770" w:type="dxa"/>
            <w:tcBorders>
              <w:bottom w:val="nil"/>
            </w:tcBorders>
            <w:vAlign w:val="bottom"/>
          </w:tcPr>
          <w:p w:rsidR="00E00899" w:rsidRPr="001F5859" w:rsidP="002E5989" w14:paraId="66D4EA1C" w14:textId="77777777">
            <w:pPr>
              <w:keepNext/>
              <w:keepLines/>
              <w:rPr>
                <w:b/>
                <w:vertAlign w:val="superscript"/>
                <w:lang w:val="en-GB"/>
              </w:rPr>
            </w:pPr>
            <w:r w:rsidRPr="001F5859">
              <w:rPr>
                <w:b/>
                <w:lang w:val="en-GB"/>
              </w:rPr>
              <w:t xml:space="preserve">Disease Free Survival (DFS) </w:t>
            </w:r>
          </w:p>
        </w:tc>
        <w:tc>
          <w:tcPr>
            <w:tcW w:w="4377" w:type="dxa"/>
            <w:gridSpan w:val="2"/>
            <w:tcBorders>
              <w:bottom w:val="nil"/>
            </w:tcBorders>
            <w:vAlign w:val="bottom"/>
          </w:tcPr>
          <w:p w:rsidR="00E00899" w:rsidRPr="001F5859" w:rsidP="002E5989" w14:paraId="11261BCD" w14:textId="77777777">
            <w:pPr>
              <w:keepNext/>
              <w:keepLines/>
              <w:rPr>
                <w:b/>
                <w:lang w:val="en-GB"/>
              </w:rPr>
            </w:pPr>
          </w:p>
        </w:tc>
      </w:tr>
      <w:tr w14:paraId="70B1A275" w14:textId="77777777" w:rsidTr="002E5989">
        <w:tblPrEx>
          <w:tblW w:w="9147" w:type="dxa"/>
          <w:jc w:val="right"/>
          <w:tblCellMar>
            <w:left w:w="57" w:type="dxa"/>
            <w:right w:w="57" w:type="dxa"/>
          </w:tblCellMar>
          <w:tblLook w:val="00A0"/>
        </w:tblPrEx>
        <w:trPr>
          <w:cantSplit/>
          <w:jc w:val="right"/>
        </w:trPr>
        <w:tc>
          <w:tcPr>
            <w:tcW w:w="4770" w:type="dxa"/>
            <w:tcBorders>
              <w:top w:val="nil"/>
              <w:bottom w:val="nil"/>
            </w:tcBorders>
            <w:vAlign w:val="bottom"/>
          </w:tcPr>
          <w:p w:rsidR="00E00899" w:rsidRPr="001F5859" w:rsidP="002E5989" w14:paraId="2AE6E01D" w14:textId="77777777">
            <w:pPr>
              <w:keepNext/>
              <w:keepLines/>
              <w:rPr>
                <w:lang w:val="en-GB"/>
              </w:rPr>
            </w:pPr>
            <w:r w:rsidRPr="001F5859">
              <w:rPr>
                <w:lang w:val="en-GB"/>
              </w:rPr>
              <w:t>Number (%) of patients with event</w:t>
            </w:r>
          </w:p>
        </w:tc>
        <w:tc>
          <w:tcPr>
            <w:tcW w:w="2250" w:type="dxa"/>
            <w:tcBorders>
              <w:top w:val="nil"/>
              <w:bottom w:val="nil"/>
              <w:right w:val="nil"/>
            </w:tcBorders>
            <w:vAlign w:val="bottom"/>
          </w:tcPr>
          <w:p w:rsidR="00E00899" w:rsidRPr="001F5859" w:rsidP="002E5989" w14:paraId="76307F0A" w14:textId="77777777">
            <w:pPr>
              <w:keepNext/>
              <w:keepLines/>
              <w:rPr>
                <w:lang w:val="en-GB"/>
              </w:rPr>
            </w:pPr>
            <w:r w:rsidRPr="001F5859">
              <w:rPr>
                <w:lang w:val="en-GB"/>
              </w:rPr>
              <w:t>192 (8.0%)</w:t>
            </w:r>
          </w:p>
        </w:tc>
        <w:tc>
          <w:tcPr>
            <w:tcW w:w="2127" w:type="dxa"/>
            <w:tcBorders>
              <w:top w:val="nil"/>
              <w:left w:val="nil"/>
              <w:bottom w:val="nil"/>
            </w:tcBorders>
            <w:vAlign w:val="bottom"/>
          </w:tcPr>
          <w:p w:rsidR="00E00899" w:rsidRPr="001F5859" w:rsidP="002E5989" w14:paraId="3D869FEA" w14:textId="77777777">
            <w:pPr>
              <w:keepNext/>
              <w:keepLines/>
              <w:jc w:val="right"/>
              <w:rPr>
                <w:szCs w:val="24"/>
                <w:lang w:val="en-GB"/>
              </w:rPr>
            </w:pPr>
            <w:r w:rsidRPr="001F5859">
              <w:rPr>
                <w:lang w:val="en-GB"/>
              </w:rPr>
              <w:t>236 (9.8%)</w:t>
            </w:r>
          </w:p>
        </w:tc>
      </w:tr>
      <w:tr w14:paraId="5A028A04" w14:textId="77777777" w:rsidTr="002E5989">
        <w:tblPrEx>
          <w:tblW w:w="9147" w:type="dxa"/>
          <w:jc w:val="right"/>
          <w:tblCellMar>
            <w:left w:w="57" w:type="dxa"/>
            <w:right w:w="57" w:type="dxa"/>
          </w:tblCellMar>
          <w:tblLook w:val="00A0"/>
        </w:tblPrEx>
        <w:trPr>
          <w:cantSplit/>
          <w:jc w:val="right"/>
        </w:trPr>
        <w:tc>
          <w:tcPr>
            <w:tcW w:w="4770" w:type="dxa"/>
            <w:tcBorders>
              <w:top w:val="nil"/>
              <w:bottom w:val="nil"/>
            </w:tcBorders>
            <w:vAlign w:val="bottom"/>
          </w:tcPr>
          <w:p w:rsidR="00E00899" w:rsidRPr="001F5859" w:rsidP="002E5989" w14:paraId="69B24329" w14:textId="77777777">
            <w:pPr>
              <w:keepNext/>
              <w:keepLines/>
              <w:rPr>
                <w:lang w:val="en-GB"/>
              </w:rPr>
            </w:pPr>
            <w:r w:rsidRPr="001F5859">
              <w:rPr>
                <w:lang w:val="en-GB"/>
              </w:rPr>
              <w:t>HR [95% CI]</w:t>
            </w:r>
          </w:p>
        </w:tc>
        <w:tc>
          <w:tcPr>
            <w:tcW w:w="4377" w:type="dxa"/>
            <w:gridSpan w:val="2"/>
            <w:tcBorders>
              <w:top w:val="nil"/>
              <w:bottom w:val="nil"/>
            </w:tcBorders>
            <w:vAlign w:val="bottom"/>
          </w:tcPr>
          <w:p w:rsidR="00E00899" w:rsidRPr="001F5859" w:rsidP="002E5989" w14:paraId="76C761DE" w14:textId="77777777">
            <w:pPr>
              <w:keepNext/>
              <w:keepLines/>
              <w:jc w:val="center"/>
              <w:rPr>
                <w:lang w:val="en-GB"/>
              </w:rPr>
            </w:pPr>
            <w:r w:rsidRPr="001F5859">
              <w:rPr>
                <w:lang w:val="en-GB"/>
              </w:rPr>
              <w:t>0.81 [0.67, 0.98]</w:t>
            </w:r>
          </w:p>
        </w:tc>
      </w:tr>
      <w:tr w14:paraId="33D83AF6" w14:textId="77777777" w:rsidTr="002E5989">
        <w:tblPrEx>
          <w:tblW w:w="9147" w:type="dxa"/>
          <w:jc w:val="right"/>
          <w:tblCellMar>
            <w:left w:w="57" w:type="dxa"/>
            <w:right w:w="57" w:type="dxa"/>
          </w:tblCellMar>
          <w:tblLook w:val="00A0"/>
        </w:tblPrEx>
        <w:trPr>
          <w:cantSplit/>
          <w:jc w:val="right"/>
        </w:trPr>
        <w:tc>
          <w:tcPr>
            <w:tcW w:w="4770" w:type="dxa"/>
            <w:tcBorders>
              <w:top w:val="nil"/>
              <w:bottom w:val="nil"/>
            </w:tcBorders>
            <w:vAlign w:val="bottom"/>
          </w:tcPr>
          <w:p w:rsidR="00E00899" w:rsidRPr="001F5859" w:rsidP="00E00899" w14:paraId="2E75ABC6" w14:textId="77777777">
            <w:pPr>
              <w:keepNext/>
              <w:keepLines/>
              <w:rPr>
                <w:lang w:val="en-GB"/>
              </w:rPr>
            </w:pPr>
            <w:r w:rsidRPr="001F5859">
              <w:rPr>
                <w:lang w:val="en-GB"/>
              </w:rPr>
              <w:t>p-value (Log-Rank test, stratified</w:t>
            </w:r>
            <w:r w:rsidRPr="001F5859">
              <w:rPr>
                <w:vertAlign w:val="superscript"/>
                <w:lang w:val="en-GB"/>
              </w:rPr>
              <w:t>1</w:t>
            </w:r>
            <w:r w:rsidRPr="001F5859">
              <w:rPr>
                <w:lang w:val="en-GB"/>
              </w:rPr>
              <w:t>)</w:t>
            </w:r>
          </w:p>
        </w:tc>
        <w:tc>
          <w:tcPr>
            <w:tcW w:w="4377" w:type="dxa"/>
            <w:gridSpan w:val="2"/>
            <w:tcBorders>
              <w:top w:val="nil"/>
              <w:bottom w:val="nil"/>
            </w:tcBorders>
            <w:vAlign w:val="bottom"/>
          </w:tcPr>
          <w:p w:rsidR="00E00899" w:rsidRPr="001F5859" w:rsidP="002E5989" w14:paraId="734B891E" w14:textId="77777777">
            <w:pPr>
              <w:keepNext/>
              <w:keepLines/>
              <w:jc w:val="center"/>
              <w:rPr>
                <w:lang w:val="en-GB"/>
              </w:rPr>
            </w:pPr>
            <w:r w:rsidRPr="001F5859">
              <w:rPr>
                <w:lang w:val="en-GB"/>
              </w:rPr>
              <w:t>0.0327</w:t>
            </w:r>
          </w:p>
        </w:tc>
      </w:tr>
      <w:tr w14:paraId="52300B2F" w14:textId="77777777" w:rsidTr="002E5989">
        <w:tblPrEx>
          <w:tblW w:w="9147" w:type="dxa"/>
          <w:jc w:val="right"/>
          <w:tblCellMar>
            <w:left w:w="57" w:type="dxa"/>
            <w:right w:w="57" w:type="dxa"/>
          </w:tblCellMar>
          <w:tblLook w:val="00A0"/>
        </w:tblPrEx>
        <w:trPr>
          <w:cantSplit/>
          <w:jc w:val="right"/>
        </w:trPr>
        <w:tc>
          <w:tcPr>
            <w:tcW w:w="4770" w:type="dxa"/>
            <w:tcBorders>
              <w:top w:val="nil"/>
              <w:bottom w:val="single" w:sz="4" w:space="0" w:color="auto"/>
            </w:tcBorders>
            <w:vAlign w:val="bottom"/>
          </w:tcPr>
          <w:p w:rsidR="00E00899" w:rsidRPr="001F5859" w:rsidP="002E5989" w14:paraId="095ABAF9" w14:textId="77777777">
            <w:pPr>
              <w:keepNext/>
              <w:keepLines/>
              <w:rPr>
                <w:lang w:val="en-GB"/>
              </w:rPr>
            </w:pPr>
            <w:r w:rsidRPr="001F5859">
              <w:rPr>
                <w:lang w:val="en-GB"/>
              </w:rPr>
              <w:t>3 year event-free rate</w:t>
            </w:r>
            <w:r w:rsidRPr="001F5859">
              <w:rPr>
                <w:vertAlign w:val="superscript"/>
                <w:lang w:val="en-GB"/>
              </w:rPr>
              <w:t>2</w:t>
            </w:r>
            <w:r w:rsidRPr="001F5859">
              <w:rPr>
                <w:lang w:val="en-GB"/>
              </w:rPr>
              <w:t xml:space="preserve"> [95% CI]</w:t>
            </w:r>
          </w:p>
        </w:tc>
        <w:tc>
          <w:tcPr>
            <w:tcW w:w="2250" w:type="dxa"/>
            <w:tcBorders>
              <w:top w:val="nil"/>
              <w:bottom w:val="single" w:sz="4" w:space="0" w:color="auto"/>
              <w:right w:val="nil"/>
            </w:tcBorders>
            <w:vAlign w:val="bottom"/>
          </w:tcPr>
          <w:p w:rsidR="00E00899" w:rsidRPr="001F5859" w:rsidP="002E5989" w14:paraId="78C3A07F" w14:textId="77777777">
            <w:pPr>
              <w:keepNext/>
              <w:keepLines/>
              <w:rPr>
                <w:lang w:val="en-GB"/>
              </w:rPr>
            </w:pPr>
            <w:r w:rsidRPr="001F5859">
              <w:rPr>
                <w:lang w:val="en-GB"/>
              </w:rPr>
              <w:t>93.4 [92.4, 94.4]</w:t>
            </w:r>
          </w:p>
        </w:tc>
        <w:tc>
          <w:tcPr>
            <w:tcW w:w="2127" w:type="dxa"/>
            <w:tcBorders>
              <w:top w:val="nil"/>
              <w:left w:val="nil"/>
              <w:bottom w:val="single" w:sz="4" w:space="0" w:color="auto"/>
            </w:tcBorders>
            <w:vAlign w:val="bottom"/>
          </w:tcPr>
          <w:p w:rsidR="00E00899" w:rsidRPr="001F5859" w:rsidP="002E5989" w14:paraId="03F11144" w14:textId="77777777">
            <w:pPr>
              <w:keepNext/>
              <w:keepLines/>
              <w:jc w:val="right"/>
              <w:rPr>
                <w:szCs w:val="24"/>
                <w:lang w:val="en-GB"/>
              </w:rPr>
            </w:pPr>
            <w:r w:rsidRPr="001F5859">
              <w:rPr>
                <w:lang w:val="en-GB"/>
              </w:rPr>
              <w:t>92.3 [91.2, 93.4]</w:t>
            </w:r>
          </w:p>
        </w:tc>
      </w:tr>
      <w:tr w14:paraId="479A7147" w14:textId="77777777" w:rsidTr="002E5989">
        <w:tblPrEx>
          <w:tblW w:w="9147" w:type="dxa"/>
          <w:jc w:val="right"/>
          <w:tblCellMar>
            <w:left w:w="57" w:type="dxa"/>
            <w:right w:w="57" w:type="dxa"/>
          </w:tblCellMar>
          <w:tblLook w:val="00A0"/>
        </w:tblPrEx>
        <w:trPr>
          <w:cantSplit/>
          <w:trHeight w:val="122"/>
          <w:jc w:val="right"/>
        </w:trPr>
        <w:tc>
          <w:tcPr>
            <w:tcW w:w="4770" w:type="dxa"/>
            <w:tcBorders>
              <w:bottom w:val="nil"/>
            </w:tcBorders>
            <w:vAlign w:val="bottom"/>
          </w:tcPr>
          <w:p w:rsidR="00E00899" w:rsidRPr="001F5859" w:rsidP="002E5989" w14:paraId="1829EDBB" w14:textId="77777777">
            <w:pPr>
              <w:keepNext/>
              <w:keepLines/>
              <w:rPr>
                <w:b/>
                <w:vertAlign w:val="superscript"/>
                <w:lang w:val="en-GB"/>
              </w:rPr>
            </w:pPr>
            <w:r w:rsidRPr="001F5859">
              <w:rPr>
                <w:b/>
                <w:lang w:val="en-GB"/>
              </w:rPr>
              <w:t>Overall Survival (OS)</w:t>
            </w:r>
            <w:r w:rsidRPr="001F5859">
              <w:rPr>
                <w:b/>
                <w:vertAlign w:val="superscript"/>
                <w:lang w:val="en-GB"/>
              </w:rPr>
              <w:t>3</w:t>
            </w:r>
          </w:p>
        </w:tc>
        <w:tc>
          <w:tcPr>
            <w:tcW w:w="4377" w:type="dxa"/>
            <w:gridSpan w:val="2"/>
            <w:tcBorders>
              <w:bottom w:val="nil"/>
            </w:tcBorders>
            <w:vAlign w:val="bottom"/>
          </w:tcPr>
          <w:p w:rsidR="00E00899" w:rsidRPr="001F5859" w:rsidP="002E5989" w14:paraId="1B91E8BE" w14:textId="77777777">
            <w:pPr>
              <w:keepNext/>
              <w:keepLines/>
            </w:pPr>
          </w:p>
        </w:tc>
      </w:tr>
      <w:tr w14:paraId="6D48BE67" w14:textId="77777777" w:rsidTr="002E5989">
        <w:tblPrEx>
          <w:tblW w:w="9147" w:type="dxa"/>
          <w:jc w:val="right"/>
          <w:tblCellMar>
            <w:left w:w="57" w:type="dxa"/>
            <w:right w:w="57" w:type="dxa"/>
          </w:tblCellMar>
          <w:tblLook w:val="00A0"/>
        </w:tblPrEx>
        <w:trPr>
          <w:cantSplit/>
          <w:trHeight w:val="218"/>
          <w:jc w:val="right"/>
        </w:trPr>
        <w:tc>
          <w:tcPr>
            <w:tcW w:w="4770" w:type="dxa"/>
            <w:tcBorders>
              <w:top w:val="nil"/>
              <w:bottom w:val="nil"/>
            </w:tcBorders>
            <w:vAlign w:val="bottom"/>
          </w:tcPr>
          <w:p w:rsidR="00E00899" w:rsidRPr="001F5859" w:rsidP="002E5989" w14:paraId="0AF889BD" w14:textId="77777777">
            <w:pPr>
              <w:keepNext/>
              <w:keepLines/>
              <w:rPr>
                <w:lang w:val="en-GB"/>
              </w:rPr>
            </w:pPr>
            <w:r w:rsidRPr="001F5859">
              <w:rPr>
                <w:lang w:val="en-GB"/>
              </w:rPr>
              <w:t>Number (%) of patients with event</w:t>
            </w:r>
          </w:p>
        </w:tc>
        <w:tc>
          <w:tcPr>
            <w:tcW w:w="2250" w:type="dxa"/>
            <w:tcBorders>
              <w:top w:val="nil"/>
              <w:bottom w:val="nil"/>
              <w:right w:val="nil"/>
            </w:tcBorders>
            <w:vAlign w:val="bottom"/>
          </w:tcPr>
          <w:p w:rsidR="00E00899" w:rsidRPr="001F5859" w:rsidP="002E5989" w14:paraId="7BC8BC12" w14:textId="77777777">
            <w:pPr>
              <w:keepNext/>
              <w:keepLines/>
              <w:rPr>
                <w:lang w:val="en-GB"/>
              </w:rPr>
            </w:pPr>
            <w:r w:rsidRPr="001F5859">
              <w:rPr>
                <w:lang w:val="en-GB"/>
              </w:rPr>
              <w:t>80 (3.3%)</w:t>
            </w:r>
          </w:p>
        </w:tc>
        <w:tc>
          <w:tcPr>
            <w:tcW w:w="2127" w:type="dxa"/>
            <w:tcBorders>
              <w:top w:val="nil"/>
              <w:left w:val="nil"/>
              <w:bottom w:val="nil"/>
            </w:tcBorders>
            <w:vAlign w:val="bottom"/>
          </w:tcPr>
          <w:p w:rsidR="00E00899" w:rsidRPr="001F5859" w:rsidP="002E5989" w14:paraId="5EE40961" w14:textId="77777777">
            <w:pPr>
              <w:keepNext/>
              <w:keepLines/>
              <w:jc w:val="right"/>
              <w:rPr>
                <w:szCs w:val="24"/>
                <w:lang w:val="en-GB"/>
              </w:rPr>
            </w:pPr>
            <w:r w:rsidRPr="001F5859">
              <w:rPr>
                <w:lang w:val="en-GB"/>
              </w:rPr>
              <w:t>89 (3.7%)</w:t>
            </w:r>
          </w:p>
        </w:tc>
      </w:tr>
      <w:tr w14:paraId="0B39806B" w14:textId="77777777" w:rsidTr="002E5989">
        <w:tblPrEx>
          <w:tblW w:w="9147" w:type="dxa"/>
          <w:jc w:val="right"/>
          <w:tblCellMar>
            <w:left w:w="57" w:type="dxa"/>
            <w:right w:w="57" w:type="dxa"/>
          </w:tblCellMar>
          <w:tblLook w:val="00A0"/>
        </w:tblPrEx>
        <w:trPr>
          <w:cantSplit/>
          <w:trHeight w:val="218"/>
          <w:jc w:val="right"/>
        </w:trPr>
        <w:tc>
          <w:tcPr>
            <w:tcW w:w="4770" w:type="dxa"/>
            <w:tcBorders>
              <w:top w:val="nil"/>
              <w:bottom w:val="nil"/>
            </w:tcBorders>
            <w:vAlign w:val="bottom"/>
          </w:tcPr>
          <w:p w:rsidR="00E00899" w:rsidRPr="001F5859" w:rsidP="002E5989" w14:paraId="1ABD7267" w14:textId="77777777">
            <w:pPr>
              <w:keepNext/>
              <w:keepLines/>
              <w:rPr>
                <w:lang w:val="en-GB"/>
              </w:rPr>
            </w:pPr>
            <w:r w:rsidRPr="001F5859">
              <w:rPr>
                <w:lang w:val="en-GB"/>
              </w:rPr>
              <w:t>HR [95% CI]</w:t>
            </w:r>
          </w:p>
        </w:tc>
        <w:tc>
          <w:tcPr>
            <w:tcW w:w="4377" w:type="dxa"/>
            <w:gridSpan w:val="2"/>
            <w:tcBorders>
              <w:top w:val="nil"/>
              <w:bottom w:val="nil"/>
            </w:tcBorders>
            <w:vAlign w:val="bottom"/>
          </w:tcPr>
          <w:p w:rsidR="00E00899" w:rsidRPr="001F5859" w:rsidP="002E5989" w14:paraId="70DA8BFE" w14:textId="77777777">
            <w:pPr>
              <w:keepNext/>
              <w:keepLines/>
              <w:jc w:val="center"/>
              <w:rPr>
                <w:lang w:val="en-GB"/>
              </w:rPr>
            </w:pPr>
            <w:r w:rsidRPr="001F5859">
              <w:rPr>
                <w:lang w:val="en-GB"/>
              </w:rPr>
              <w:t>0.89 [0.66, 1.21]</w:t>
            </w:r>
          </w:p>
        </w:tc>
      </w:tr>
      <w:tr w14:paraId="6907603A" w14:textId="77777777" w:rsidTr="002E5989">
        <w:tblPrEx>
          <w:tblW w:w="9147" w:type="dxa"/>
          <w:jc w:val="right"/>
          <w:tblCellMar>
            <w:left w:w="57" w:type="dxa"/>
            <w:right w:w="57" w:type="dxa"/>
          </w:tblCellMar>
          <w:tblLook w:val="00A0"/>
        </w:tblPrEx>
        <w:trPr>
          <w:cantSplit/>
          <w:trHeight w:val="218"/>
          <w:jc w:val="right"/>
        </w:trPr>
        <w:tc>
          <w:tcPr>
            <w:tcW w:w="4770" w:type="dxa"/>
            <w:tcBorders>
              <w:top w:val="nil"/>
              <w:bottom w:val="nil"/>
            </w:tcBorders>
            <w:vAlign w:val="bottom"/>
          </w:tcPr>
          <w:p w:rsidR="00E00899" w:rsidRPr="001F5859" w:rsidP="002E5989" w14:paraId="380046FD" w14:textId="77777777">
            <w:pPr>
              <w:keepNext/>
              <w:keepLines/>
              <w:rPr>
                <w:lang w:val="en-GB"/>
              </w:rPr>
            </w:pPr>
            <w:r w:rsidRPr="001F5859">
              <w:rPr>
                <w:lang w:val="en-GB"/>
              </w:rPr>
              <w:t>p-value (Log-Rank test, stratified</w:t>
            </w:r>
            <w:r w:rsidRPr="001F5859">
              <w:rPr>
                <w:vertAlign w:val="superscript"/>
                <w:lang w:val="en-GB"/>
              </w:rPr>
              <w:t>1</w:t>
            </w:r>
            <w:r w:rsidRPr="001F5859">
              <w:rPr>
                <w:lang w:val="en-GB"/>
              </w:rPr>
              <w:t>)</w:t>
            </w:r>
          </w:p>
        </w:tc>
        <w:tc>
          <w:tcPr>
            <w:tcW w:w="4377" w:type="dxa"/>
            <w:gridSpan w:val="2"/>
            <w:tcBorders>
              <w:top w:val="nil"/>
              <w:bottom w:val="nil"/>
            </w:tcBorders>
            <w:vAlign w:val="bottom"/>
          </w:tcPr>
          <w:p w:rsidR="00E00899" w:rsidRPr="001F5859" w:rsidP="002E5989" w14:paraId="7DB021A3" w14:textId="77777777">
            <w:pPr>
              <w:keepNext/>
              <w:keepLines/>
              <w:jc w:val="center"/>
              <w:rPr>
                <w:lang w:val="en-GB"/>
              </w:rPr>
            </w:pPr>
            <w:r w:rsidRPr="001F5859">
              <w:rPr>
                <w:lang w:val="en-GB"/>
              </w:rPr>
              <w:t>0.4673</w:t>
            </w:r>
          </w:p>
        </w:tc>
      </w:tr>
      <w:tr w14:paraId="63ED2312" w14:textId="77777777" w:rsidTr="002E5989">
        <w:tblPrEx>
          <w:tblW w:w="9147" w:type="dxa"/>
          <w:jc w:val="right"/>
          <w:tblCellMar>
            <w:left w:w="57" w:type="dxa"/>
            <w:right w:w="57" w:type="dxa"/>
          </w:tblCellMar>
          <w:tblLook w:val="00A0"/>
        </w:tblPrEx>
        <w:trPr>
          <w:cantSplit/>
          <w:trHeight w:val="218"/>
          <w:jc w:val="right"/>
        </w:trPr>
        <w:tc>
          <w:tcPr>
            <w:tcW w:w="4770" w:type="dxa"/>
            <w:tcBorders>
              <w:top w:val="nil"/>
              <w:bottom w:val="single" w:sz="4" w:space="0" w:color="auto"/>
            </w:tcBorders>
            <w:vAlign w:val="bottom"/>
          </w:tcPr>
          <w:p w:rsidR="00E00899" w:rsidRPr="001F5859" w:rsidP="002E5989" w14:paraId="5B036E34" w14:textId="77777777">
            <w:pPr>
              <w:keepNext/>
              <w:keepLines/>
              <w:rPr>
                <w:lang w:val="en-GB"/>
              </w:rPr>
            </w:pPr>
            <w:r w:rsidRPr="001F5859">
              <w:rPr>
                <w:lang w:val="en-GB"/>
              </w:rPr>
              <w:t>3 year event-free rate</w:t>
            </w:r>
            <w:r w:rsidRPr="001F5859">
              <w:rPr>
                <w:vertAlign w:val="superscript"/>
                <w:lang w:val="en-GB"/>
              </w:rPr>
              <w:t>2</w:t>
            </w:r>
            <w:r w:rsidRPr="001F5859">
              <w:rPr>
                <w:lang w:val="en-GB"/>
              </w:rPr>
              <w:t xml:space="preserve"> [95% CI]</w:t>
            </w:r>
          </w:p>
        </w:tc>
        <w:tc>
          <w:tcPr>
            <w:tcW w:w="2250" w:type="dxa"/>
            <w:tcBorders>
              <w:top w:val="nil"/>
              <w:bottom w:val="single" w:sz="4" w:space="0" w:color="auto"/>
              <w:right w:val="nil"/>
            </w:tcBorders>
            <w:vAlign w:val="bottom"/>
          </w:tcPr>
          <w:p w:rsidR="00E00899" w:rsidRPr="001F5859" w:rsidP="002E5989" w14:paraId="2DA7B8A1" w14:textId="77777777">
            <w:pPr>
              <w:keepNext/>
              <w:keepLines/>
              <w:rPr>
                <w:lang w:val="en-GB"/>
              </w:rPr>
            </w:pPr>
            <w:r w:rsidRPr="001F5859">
              <w:rPr>
                <w:lang w:val="en-GB"/>
              </w:rPr>
              <w:t>97.7 [97.0, 98.3]</w:t>
            </w:r>
          </w:p>
        </w:tc>
        <w:tc>
          <w:tcPr>
            <w:tcW w:w="2127" w:type="dxa"/>
            <w:tcBorders>
              <w:top w:val="nil"/>
              <w:left w:val="nil"/>
              <w:bottom w:val="single" w:sz="4" w:space="0" w:color="auto"/>
            </w:tcBorders>
            <w:vAlign w:val="bottom"/>
          </w:tcPr>
          <w:p w:rsidR="00E00899" w:rsidRPr="001F5859" w:rsidP="002E5989" w14:paraId="1662B602" w14:textId="77777777">
            <w:pPr>
              <w:keepNext/>
              <w:keepLines/>
              <w:jc w:val="right"/>
              <w:rPr>
                <w:szCs w:val="24"/>
                <w:lang w:val="en-GB"/>
              </w:rPr>
            </w:pPr>
            <w:r w:rsidRPr="001F5859">
              <w:rPr>
                <w:lang w:val="en-GB"/>
              </w:rPr>
              <w:t>97.7 [97.1, 98.3]</w:t>
            </w:r>
          </w:p>
        </w:tc>
      </w:tr>
    </w:tbl>
    <w:p w:rsidR="00E00899" w:rsidRPr="001F5859" w:rsidP="00E00899" w14:paraId="1B675A29" w14:textId="77777777">
      <w:pPr>
        <w:keepNext/>
        <w:keepLines/>
        <w:rPr>
          <w:sz w:val="20"/>
          <w:lang w:val="en-GB"/>
        </w:rPr>
      </w:pPr>
      <w:r w:rsidRPr="001F5859">
        <w:rPr>
          <w:b/>
          <w:sz w:val="20"/>
        </w:rPr>
        <w:t xml:space="preserve">Key to abbreviations (Table 5): </w:t>
      </w:r>
      <w:r w:rsidRPr="001F5859">
        <w:rPr>
          <w:sz w:val="20"/>
          <w:lang w:val="en-GB"/>
        </w:rPr>
        <w:t xml:space="preserve">HR: Hazard Ratio; CI: Confidence Interval </w:t>
      </w:r>
    </w:p>
    <w:p w:rsidR="00E00899" w:rsidRPr="001F5859" w:rsidP="00E00899" w14:paraId="66FA8A98" w14:textId="77777777">
      <w:pPr>
        <w:keepNext/>
        <w:keepLines/>
        <w:rPr>
          <w:sz w:val="20"/>
        </w:rPr>
      </w:pPr>
      <w:r w:rsidRPr="001F5859">
        <w:rPr>
          <w:sz w:val="20"/>
        </w:rPr>
        <w:t xml:space="preserve">1. All analyses stratified by nodal status, protocol version, central hormone receptor status, and adjuvant chemotherapy regimen.                                                         </w:t>
      </w:r>
    </w:p>
    <w:p w:rsidR="00E00899" w:rsidRPr="001F5859" w:rsidP="00E00899" w14:paraId="34A3CFCC" w14:textId="77777777">
      <w:pPr>
        <w:keepNext/>
        <w:keepLines/>
        <w:rPr>
          <w:sz w:val="20"/>
        </w:rPr>
      </w:pPr>
      <w:r w:rsidRPr="001F5859">
        <w:rPr>
          <w:sz w:val="20"/>
        </w:rPr>
        <w:t>2. 3-year event-free rate derived from Kaplan-Meier estimates.</w:t>
      </w:r>
    </w:p>
    <w:p w:rsidR="00E00899" w:rsidP="00E00899" w14:paraId="0B679224" w14:textId="77777777">
      <w:pPr>
        <w:keepNext/>
        <w:keepLines/>
        <w:ind w:left="1080" w:hanging="1080"/>
        <w:rPr>
          <w:b/>
          <w:noProof/>
        </w:rPr>
      </w:pPr>
      <w:r w:rsidRPr="001F5859">
        <w:rPr>
          <w:sz w:val="20"/>
        </w:rPr>
        <w:t>3. Data from first interim analysis.</w:t>
      </w:r>
      <w:r w:rsidRPr="001A1313">
        <w:rPr>
          <w:sz w:val="20"/>
        </w:rPr>
        <w:t xml:space="preserve"> </w:t>
      </w:r>
    </w:p>
    <w:p w:rsidR="00E00899" w14:paraId="1F5E1811" w14:textId="77777777">
      <w:pPr>
        <w:rPr>
          <w:b/>
          <w:noProof/>
        </w:rPr>
      </w:pPr>
    </w:p>
    <w:p w:rsidR="00E00899" w:rsidP="00E00899" w14:paraId="77CE055C" w14:textId="77777777">
      <w:pPr>
        <w:keepNext/>
        <w:keepLines/>
        <w:ind w:left="1080" w:hanging="1080"/>
        <w:rPr>
          <w:b/>
          <w:noProof/>
        </w:rPr>
      </w:pPr>
      <w:r w:rsidRPr="001C6843">
        <w:rPr>
          <w:b/>
          <w:noProof/>
        </w:rPr>
        <w:t>Figure 3</w:t>
      </w:r>
      <w:r w:rsidRPr="001C6843">
        <w:rPr>
          <w:b/>
          <w:noProof/>
        </w:rPr>
        <w:tab/>
        <w:t>Kaplan-Meier Curve of Invasive Disease Free Survival</w:t>
      </w:r>
      <w:r w:rsidR="0005198B">
        <w:rPr>
          <w:b/>
          <w:noProof/>
        </w:rPr>
        <w:t xml:space="preserve"> </w:t>
      </w:r>
    </w:p>
    <w:p w:rsidR="00E00899" w:rsidRPr="001C6843" w:rsidP="00E00899" w14:paraId="35B09BAD" w14:textId="77777777">
      <w:pPr>
        <w:keepNext/>
        <w:keepLines/>
        <w:ind w:left="1080" w:hanging="1080"/>
        <w:rPr>
          <w:b/>
          <w:noProof/>
        </w:rPr>
      </w:pPr>
    </w:p>
    <w:p w:rsidR="00E00899" w:rsidRPr="002C4663" w:rsidP="00E00899" w14:paraId="5350FC0F" w14:textId="77777777">
      <w:pPr>
        <w:keepNext/>
        <w:keepLines/>
        <w:rPr>
          <w:noProof/>
        </w:rPr>
      </w:pPr>
      <w:r w:rsidRPr="00FD3EC2">
        <w:rPr>
          <w:noProof/>
          <w:sz w:val="16"/>
          <w:lang w:eastAsia="zh-CN"/>
        </w:rPr>
        <w:drawing>
          <wp:inline distT="0" distB="0" distL="0" distR="0">
            <wp:extent cx="5753100" cy="3670300"/>
            <wp:effectExtent l="0" t="0" r="0" b="0"/>
            <wp:docPr id="3" name="Picture 8" descr="C:\Users\suttlet\Downloads\KM curve Figure 1_1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37979" name="Picture 8" descr="C:\Users\suttlet\Downloads\KM curve Figure 1_14.07.png"/>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753100" cy="3670300"/>
                    </a:xfrm>
                    <a:prstGeom prst="rect">
                      <a:avLst/>
                    </a:prstGeom>
                    <a:noFill/>
                    <a:ln>
                      <a:noFill/>
                    </a:ln>
                  </pic:spPr>
                </pic:pic>
              </a:graphicData>
            </a:graphic>
          </wp:inline>
        </w:drawing>
      </w:r>
    </w:p>
    <w:p w:rsidR="00E00899" w:rsidRPr="00AF65CB" w:rsidP="00E00899" w14:paraId="64E2BED6" w14:textId="77777777">
      <w:pPr>
        <w:keepNext/>
        <w:keepLines/>
        <w:rPr>
          <w:rFonts w:cs="Arial"/>
          <w:sz w:val="16"/>
          <w:szCs w:val="16"/>
          <w:lang w:eastAsia="zh-TW"/>
        </w:rPr>
      </w:pPr>
      <w:r w:rsidRPr="00AF65CB">
        <w:rPr>
          <w:rFonts w:cs="Arial"/>
          <w:noProof/>
          <w:sz w:val="16"/>
          <w:szCs w:val="16"/>
          <w:lang w:eastAsia="zh-TW"/>
        </w:rPr>
        <w:t>IDFS= invasive disease free survival; CI= confidence interval; Pla= placebo; Ptz= pertuzumab (Perjeta); T= trastuzumab.</w:t>
      </w:r>
    </w:p>
    <w:p w:rsidR="00E00899" w:rsidRPr="00AF65CB" w:rsidP="00E00899" w14:paraId="69C00D74" w14:textId="77777777">
      <w:pPr>
        <w:spacing w:after="200" w:line="276" w:lineRule="auto"/>
        <w:rPr>
          <w:noProof/>
          <w:szCs w:val="22"/>
        </w:rPr>
      </w:pPr>
    </w:p>
    <w:p w:rsidR="00E00899" w:rsidRPr="002C4663" w:rsidP="001F5859" w14:paraId="07D102B2" w14:textId="77777777">
      <w:pPr>
        <w:rPr>
          <w:noProof/>
          <w:szCs w:val="22"/>
          <w:u w:val="single"/>
        </w:rPr>
      </w:pPr>
      <w:r w:rsidRPr="006E33E8">
        <w:rPr>
          <w:noProof/>
          <w:szCs w:val="22"/>
        </w:rPr>
        <w:t xml:space="preserve">The estimate of </w:t>
      </w:r>
      <w:r>
        <w:rPr>
          <w:noProof/>
          <w:szCs w:val="22"/>
        </w:rPr>
        <w:t>I</w:t>
      </w:r>
      <w:r w:rsidRPr="006E33E8">
        <w:rPr>
          <w:noProof/>
          <w:szCs w:val="22"/>
        </w:rPr>
        <w:t>DFS at 4-years was 92.3% in the Perjeta-treated group versus 90.6% in the placebo-treated group. At the time of the estimate the median follow-up was 45.4 months.</w:t>
      </w:r>
    </w:p>
    <w:p w:rsidR="00E00899" w:rsidP="001F5859" w14:paraId="78611B30" w14:textId="77777777">
      <w:pPr>
        <w:rPr>
          <w:noProof/>
          <w:u w:val="single"/>
        </w:rPr>
      </w:pPr>
    </w:p>
    <w:p w:rsidR="00E00899" w:rsidRPr="001F5859" w:rsidP="001F5859" w14:paraId="405CE6F1" w14:textId="77777777">
      <w:pPr>
        <w:rPr>
          <w:noProof/>
          <w:u w:val="single"/>
        </w:rPr>
      </w:pPr>
      <w:r w:rsidRPr="0022598D">
        <w:rPr>
          <w:noProof/>
          <w:u w:val="single"/>
        </w:rPr>
        <w:t>Results of Sub</w:t>
      </w:r>
      <w:r w:rsidRPr="001F5859">
        <w:rPr>
          <w:noProof/>
          <w:u w:val="single"/>
        </w:rPr>
        <w:t xml:space="preserve">group Analysis </w:t>
      </w:r>
    </w:p>
    <w:p w:rsidR="00E00899" w:rsidRPr="001F5859" w:rsidP="001F5859" w14:paraId="4714719C" w14:textId="77777777">
      <w:pPr>
        <w:rPr>
          <w:noProof/>
          <w:u w:val="single"/>
        </w:rPr>
      </w:pPr>
    </w:p>
    <w:p w:rsidR="00E00899" w:rsidRPr="001F5859" w:rsidP="001F5859" w14:paraId="76574124" w14:textId="77777777">
      <w:pPr>
        <w:rPr>
          <w:noProof/>
        </w:rPr>
      </w:pPr>
      <w:r w:rsidRPr="001F5859">
        <w:rPr>
          <w:noProof/>
        </w:rPr>
        <w:t xml:space="preserve">At the time of the primary analysis, the benefits of Perjeta were more apparent in subgroups of patients a high risk of recurrence: patients with node-positive or hormone receptor-negative disease (see </w:t>
      </w:r>
      <w:r w:rsidRPr="001F5859" w:rsidR="00BC3E31">
        <w:rPr>
          <w:noProof/>
        </w:rPr>
        <w:t>table 6</w:t>
      </w:r>
      <w:r w:rsidRPr="001F5859">
        <w:rPr>
          <w:noProof/>
        </w:rPr>
        <w:t>).</w:t>
      </w:r>
    </w:p>
    <w:p w:rsidR="00E00899" w:rsidRPr="001F5859" w:rsidP="001F5859" w14:paraId="0C6AE942" w14:textId="77777777"/>
    <w:p w:rsidR="00BC3E31" w:rsidRPr="001F5859" w:rsidP="001F5859" w14:paraId="7C834118" w14:textId="77777777">
      <w:pPr>
        <w:keepNext/>
        <w:keepLines/>
        <w:rPr>
          <w:b/>
          <w:noProof/>
          <w:u w:val="single"/>
          <w:vertAlign w:val="superscript"/>
        </w:rPr>
      </w:pPr>
      <w:r w:rsidRPr="001F5859">
        <w:rPr>
          <w:b/>
          <w:noProof/>
          <w:u w:val="single"/>
        </w:rPr>
        <w:t>Table 6  Efficacy results in subgroups by nodal status and hormone receptor status</w:t>
      </w:r>
      <w:r w:rsidRPr="001F5859">
        <w:rPr>
          <w:b/>
          <w:noProof/>
          <w:u w:val="single"/>
          <w:vertAlign w:val="superscript"/>
        </w:rPr>
        <w:t>1</w:t>
      </w:r>
    </w:p>
    <w:p w:rsidR="00BC3E31" w:rsidRPr="001F5859" w:rsidP="001F5859" w14:paraId="526537CB" w14:textId="77777777">
      <w:pPr>
        <w:keepNext/>
        <w:keepLines/>
        <w:rPr>
          <w:b/>
          <w:noProof/>
          <w:u w:val="single"/>
        </w:rPr>
      </w:pPr>
    </w:p>
    <w:tbl>
      <w:tblP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538"/>
        <w:gridCol w:w="2272"/>
        <w:gridCol w:w="2386"/>
        <w:gridCol w:w="2009"/>
      </w:tblGrid>
      <w:tr w14:paraId="0C27D028" w14:textId="77777777" w:rsidTr="003B64A5">
        <w:tblPrEx>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222"/>
        </w:trPr>
        <w:tc>
          <w:tcPr>
            <w:tcW w:w="2538" w:type="dxa"/>
            <w:vMerge w:val="restart"/>
            <w:tcMar>
              <w:top w:w="0" w:type="dxa"/>
              <w:left w:w="108" w:type="dxa"/>
              <w:bottom w:w="0" w:type="dxa"/>
              <w:right w:w="108" w:type="dxa"/>
            </w:tcMar>
            <w:hideMark/>
          </w:tcPr>
          <w:p w:rsidR="00BC3E31" w:rsidRPr="001F5859" w:rsidP="003B64A5" w14:paraId="101A4D2D" w14:textId="77777777">
            <w:pPr>
              <w:keepNext/>
              <w:keepLines/>
              <w:rPr>
                <w:b/>
                <w:bCs/>
                <w:noProof/>
                <w:lang w:val="en-GB"/>
              </w:rPr>
            </w:pPr>
          </w:p>
          <w:p w:rsidR="00BC3E31" w:rsidRPr="001F5859" w:rsidP="003B64A5" w14:paraId="5C0F7670" w14:textId="77777777">
            <w:pPr>
              <w:keepNext/>
              <w:keepLines/>
              <w:rPr>
                <w:b/>
                <w:bCs/>
                <w:noProof/>
                <w:lang w:val="en-GB"/>
              </w:rPr>
            </w:pPr>
          </w:p>
          <w:p w:rsidR="00BC3E31" w:rsidRPr="001F5859" w:rsidP="003B64A5" w14:paraId="583F7E47" w14:textId="77777777">
            <w:pPr>
              <w:keepNext/>
              <w:keepLines/>
              <w:rPr>
                <w:b/>
                <w:bCs/>
                <w:noProof/>
                <w:u w:val="single"/>
                <w:lang w:val="en-GB"/>
              </w:rPr>
            </w:pPr>
            <w:r w:rsidRPr="001F5859">
              <w:rPr>
                <w:b/>
                <w:bCs/>
                <w:noProof/>
                <w:lang w:val="en-GB"/>
              </w:rPr>
              <w:t>Population</w:t>
            </w:r>
          </w:p>
        </w:tc>
        <w:tc>
          <w:tcPr>
            <w:tcW w:w="4658" w:type="dxa"/>
            <w:gridSpan w:val="2"/>
            <w:tcMar>
              <w:top w:w="0" w:type="dxa"/>
              <w:left w:w="108" w:type="dxa"/>
              <w:bottom w:w="0" w:type="dxa"/>
              <w:right w:w="108" w:type="dxa"/>
            </w:tcMar>
            <w:hideMark/>
          </w:tcPr>
          <w:p w:rsidR="00BC3E31" w:rsidRPr="001F5859" w:rsidP="003B64A5" w14:paraId="16DC5099" w14:textId="77777777">
            <w:pPr>
              <w:keepNext/>
              <w:keepLines/>
              <w:rPr>
                <w:b/>
                <w:bCs/>
                <w:noProof/>
                <w:lang w:val="en-GB"/>
              </w:rPr>
            </w:pPr>
            <w:r w:rsidRPr="001F5859">
              <w:rPr>
                <w:b/>
                <w:bCs/>
                <w:noProof/>
                <w:lang w:val="en-GB"/>
              </w:rPr>
              <w:t>Number of IDFS events/Total N (%)</w:t>
            </w:r>
          </w:p>
        </w:tc>
        <w:tc>
          <w:tcPr>
            <w:tcW w:w="2009" w:type="dxa"/>
            <w:vMerge w:val="restart"/>
            <w:tcMar>
              <w:top w:w="0" w:type="dxa"/>
              <w:left w:w="108" w:type="dxa"/>
              <w:bottom w:w="0" w:type="dxa"/>
              <w:right w:w="108" w:type="dxa"/>
            </w:tcMar>
            <w:hideMark/>
          </w:tcPr>
          <w:p w:rsidR="00BC3E31" w:rsidRPr="001F5859" w:rsidP="003B64A5" w14:paraId="1D0CB927" w14:textId="77777777">
            <w:pPr>
              <w:keepNext/>
              <w:keepLines/>
              <w:rPr>
                <w:b/>
                <w:bCs/>
                <w:noProof/>
                <w:lang w:val="en-GB"/>
              </w:rPr>
            </w:pPr>
            <w:r w:rsidRPr="001F5859">
              <w:rPr>
                <w:b/>
                <w:bCs/>
                <w:noProof/>
                <w:lang w:val="en-GB"/>
              </w:rPr>
              <w:t>Unstratified HR (95% CI)</w:t>
            </w:r>
          </w:p>
        </w:tc>
      </w:tr>
      <w:tr w14:paraId="2F789365" w14:textId="77777777" w:rsidTr="003B64A5">
        <w:tblPrEx>
          <w:tblW w:w="9205" w:type="dxa"/>
          <w:tblCellMar>
            <w:left w:w="0" w:type="dxa"/>
            <w:right w:w="0" w:type="dxa"/>
          </w:tblCellMar>
          <w:tblLook w:val="04A0"/>
        </w:tblPrEx>
        <w:trPr>
          <w:trHeight w:val="899"/>
        </w:trPr>
        <w:tc>
          <w:tcPr>
            <w:tcW w:w="2538" w:type="dxa"/>
            <w:vMerge/>
            <w:vAlign w:val="center"/>
            <w:hideMark/>
          </w:tcPr>
          <w:p w:rsidR="00BC3E31" w:rsidRPr="001F5859" w:rsidP="003B64A5" w14:paraId="6E6950D7" w14:textId="77777777">
            <w:pPr>
              <w:keepNext/>
              <w:keepLines/>
              <w:rPr>
                <w:b/>
                <w:bCs/>
                <w:noProof/>
                <w:u w:val="single"/>
                <w:lang w:val="en-GB"/>
              </w:rPr>
            </w:pPr>
          </w:p>
        </w:tc>
        <w:tc>
          <w:tcPr>
            <w:tcW w:w="2272" w:type="dxa"/>
            <w:tcMar>
              <w:top w:w="0" w:type="dxa"/>
              <w:left w:w="108" w:type="dxa"/>
              <w:bottom w:w="0" w:type="dxa"/>
              <w:right w:w="108" w:type="dxa"/>
            </w:tcMar>
          </w:tcPr>
          <w:p w:rsidR="00BC3E31" w:rsidRPr="001F5859" w:rsidP="003B64A5" w14:paraId="594F3ECA" w14:textId="77777777">
            <w:pPr>
              <w:keepNext/>
              <w:keepLines/>
              <w:jc w:val="center"/>
              <w:rPr>
                <w:b/>
                <w:bCs/>
                <w:noProof/>
                <w:lang w:val="en-GB"/>
              </w:rPr>
            </w:pPr>
            <w:r w:rsidRPr="001F5859">
              <w:rPr>
                <w:b/>
                <w:bCs/>
                <w:noProof/>
                <w:lang w:val="en-GB"/>
              </w:rPr>
              <w:t>Perjeta + trastuzumab + chemotherapy</w:t>
            </w:r>
          </w:p>
        </w:tc>
        <w:tc>
          <w:tcPr>
            <w:tcW w:w="2386" w:type="dxa"/>
            <w:tcMar>
              <w:top w:w="0" w:type="dxa"/>
              <w:left w:w="108" w:type="dxa"/>
              <w:bottom w:w="0" w:type="dxa"/>
              <w:right w:w="108" w:type="dxa"/>
            </w:tcMar>
          </w:tcPr>
          <w:p w:rsidR="00BC3E31" w:rsidRPr="001F5859" w:rsidP="003B64A5" w14:paraId="5028C0CB" w14:textId="77777777">
            <w:pPr>
              <w:keepNext/>
              <w:keepLines/>
              <w:jc w:val="center"/>
              <w:rPr>
                <w:b/>
                <w:bCs/>
                <w:noProof/>
                <w:lang w:val="en-GB"/>
              </w:rPr>
            </w:pPr>
            <w:r w:rsidRPr="001F5859">
              <w:rPr>
                <w:b/>
                <w:bCs/>
                <w:noProof/>
                <w:lang w:val="en-GB"/>
              </w:rPr>
              <w:t xml:space="preserve">Placebo + </w:t>
            </w:r>
            <w:r w:rsidRPr="001F5859">
              <w:rPr>
                <w:b/>
                <w:bCs/>
                <w:noProof/>
                <w:lang w:val="en-GB"/>
              </w:rPr>
              <w:br/>
              <w:t>trastuzumab + chemotherapy</w:t>
            </w:r>
          </w:p>
        </w:tc>
        <w:tc>
          <w:tcPr>
            <w:tcW w:w="2009" w:type="dxa"/>
            <w:vMerge/>
            <w:vAlign w:val="center"/>
            <w:hideMark/>
          </w:tcPr>
          <w:p w:rsidR="00BC3E31" w:rsidRPr="001F5859" w:rsidP="003B64A5" w14:paraId="46791DC9" w14:textId="77777777">
            <w:pPr>
              <w:keepNext/>
              <w:keepLines/>
              <w:rPr>
                <w:b/>
                <w:bCs/>
                <w:noProof/>
                <w:u w:val="single"/>
                <w:lang w:val="en-GB"/>
              </w:rPr>
            </w:pPr>
          </w:p>
        </w:tc>
      </w:tr>
      <w:tr w14:paraId="0ED2B907" w14:textId="77777777" w:rsidTr="003B64A5">
        <w:tblPrEx>
          <w:tblW w:w="9205" w:type="dxa"/>
          <w:tblCellMar>
            <w:left w:w="0" w:type="dxa"/>
            <w:right w:w="0" w:type="dxa"/>
          </w:tblCellMar>
          <w:tblLook w:val="04A0"/>
        </w:tblPrEx>
        <w:trPr>
          <w:trHeight w:val="233"/>
        </w:trPr>
        <w:tc>
          <w:tcPr>
            <w:tcW w:w="9205" w:type="dxa"/>
            <w:gridSpan w:val="4"/>
            <w:tcMar>
              <w:top w:w="0" w:type="dxa"/>
              <w:left w:w="108" w:type="dxa"/>
              <w:bottom w:w="0" w:type="dxa"/>
              <w:right w:w="108" w:type="dxa"/>
            </w:tcMar>
          </w:tcPr>
          <w:p w:rsidR="00BC3E31" w:rsidRPr="001F5859" w:rsidP="003B64A5" w14:paraId="3FBB4855" w14:textId="77777777">
            <w:pPr>
              <w:keepNext/>
              <w:keepLines/>
              <w:rPr>
                <w:b/>
                <w:noProof/>
                <w:lang w:val="en-GB"/>
              </w:rPr>
            </w:pPr>
            <w:r w:rsidRPr="001F5859">
              <w:rPr>
                <w:b/>
                <w:noProof/>
                <w:lang w:val="en-GB"/>
              </w:rPr>
              <w:t>Nodal status</w:t>
            </w:r>
          </w:p>
        </w:tc>
      </w:tr>
      <w:tr w14:paraId="6E0BA4AD" w14:textId="77777777" w:rsidTr="003B64A5">
        <w:tblPrEx>
          <w:tblW w:w="9205" w:type="dxa"/>
          <w:tblCellMar>
            <w:left w:w="0" w:type="dxa"/>
            <w:right w:w="0" w:type="dxa"/>
          </w:tblCellMar>
          <w:tblLook w:val="04A0"/>
        </w:tblPrEx>
        <w:trPr>
          <w:trHeight w:val="535"/>
        </w:trPr>
        <w:tc>
          <w:tcPr>
            <w:tcW w:w="2538" w:type="dxa"/>
            <w:tcMar>
              <w:top w:w="0" w:type="dxa"/>
              <w:left w:w="108" w:type="dxa"/>
              <w:bottom w:w="0" w:type="dxa"/>
              <w:right w:w="108" w:type="dxa"/>
            </w:tcMar>
            <w:hideMark/>
          </w:tcPr>
          <w:p w:rsidR="00BC3E31" w:rsidRPr="001F5859" w:rsidP="003B64A5" w14:paraId="4510F458" w14:textId="77777777">
            <w:pPr>
              <w:keepNext/>
              <w:keepLines/>
              <w:jc w:val="both"/>
              <w:rPr>
                <w:noProof/>
                <w:lang w:val="en-GB"/>
              </w:rPr>
            </w:pPr>
            <w:r w:rsidRPr="001F5859">
              <w:rPr>
                <w:noProof/>
                <w:lang w:val="en-GB"/>
              </w:rPr>
              <w:t>   Positive</w:t>
            </w:r>
          </w:p>
        </w:tc>
        <w:tc>
          <w:tcPr>
            <w:tcW w:w="2272" w:type="dxa"/>
            <w:tcMar>
              <w:top w:w="0" w:type="dxa"/>
              <w:left w:w="108" w:type="dxa"/>
              <w:bottom w:w="0" w:type="dxa"/>
              <w:right w:w="108" w:type="dxa"/>
            </w:tcMar>
            <w:hideMark/>
          </w:tcPr>
          <w:p w:rsidR="00BC3E31" w:rsidRPr="001F5859" w:rsidP="003B64A5" w14:paraId="367AB3A7" w14:textId="77777777">
            <w:pPr>
              <w:keepNext/>
              <w:keepLines/>
              <w:jc w:val="center"/>
              <w:rPr>
                <w:noProof/>
                <w:lang w:val="en-GB"/>
              </w:rPr>
            </w:pPr>
            <w:r w:rsidRPr="001F5859">
              <w:rPr>
                <w:noProof/>
                <w:lang w:val="en-GB"/>
              </w:rPr>
              <w:t>139/1503</w:t>
            </w:r>
          </w:p>
          <w:p w:rsidR="00BC3E31" w:rsidRPr="001F5859" w:rsidP="003B64A5" w14:paraId="1C4AE5C9" w14:textId="77777777">
            <w:pPr>
              <w:keepNext/>
              <w:keepLines/>
              <w:jc w:val="center"/>
              <w:rPr>
                <w:noProof/>
                <w:lang w:val="en-GB"/>
              </w:rPr>
            </w:pPr>
            <w:r w:rsidRPr="001F5859">
              <w:rPr>
                <w:noProof/>
                <w:lang w:val="en-GB"/>
              </w:rPr>
              <w:t>(9.2%)</w:t>
            </w:r>
          </w:p>
        </w:tc>
        <w:tc>
          <w:tcPr>
            <w:tcW w:w="2386" w:type="dxa"/>
            <w:tcMar>
              <w:top w:w="0" w:type="dxa"/>
              <w:left w:w="108" w:type="dxa"/>
              <w:bottom w:w="0" w:type="dxa"/>
              <w:right w:w="108" w:type="dxa"/>
            </w:tcMar>
            <w:hideMark/>
          </w:tcPr>
          <w:p w:rsidR="00BC3E31" w:rsidRPr="001F5859" w:rsidP="003B64A5" w14:paraId="005E1AE1" w14:textId="77777777">
            <w:pPr>
              <w:keepNext/>
              <w:keepLines/>
              <w:jc w:val="center"/>
              <w:rPr>
                <w:noProof/>
                <w:lang w:val="en-GB"/>
              </w:rPr>
            </w:pPr>
            <w:r w:rsidRPr="001F5859">
              <w:rPr>
                <w:noProof/>
                <w:lang w:val="en-GB"/>
              </w:rPr>
              <w:t>181/1502</w:t>
            </w:r>
          </w:p>
          <w:p w:rsidR="00BC3E31" w:rsidRPr="001F5859" w:rsidP="003B64A5" w14:paraId="3539C876" w14:textId="77777777">
            <w:pPr>
              <w:keepNext/>
              <w:keepLines/>
              <w:jc w:val="center"/>
              <w:rPr>
                <w:noProof/>
                <w:lang w:val="en-GB"/>
              </w:rPr>
            </w:pPr>
            <w:r w:rsidRPr="001F5859">
              <w:rPr>
                <w:noProof/>
                <w:lang w:val="en-GB"/>
              </w:rPr>
              <w:t>(12.1%)</w:t>
            </w:r>
          </w:p>
        </w:tc>
        <w:tc>
          <w:tcPr>
            <w:tcW w:w="2009" w:type="dxa"/>
            <w:tcMar>
              <w:top w:w="0" w:type="dxa"/>
              <w:left w:w="108" w:type="dxa"/>
              <w:bottom w:w="0" w:type="dxa"/>
              <w:right w:w="108" w:type="dxa"/>
            </w:tcMar>
            <w:hideMark/>
          </w:tcPr>
          <w:p w:rsidR="00BC3E31" w:rsidRPr="001F5859" w:rsidP="003B64A5" w14:paraId="04CC1C7B" w14:textId="77777777">
            <w:pPr>
              <w:keepNext/>
              <w:keepLines/>
              <w:jc w:val="center"/>
              <w:rPr>
                <w:noProof/>
                <w:lang w:val="en-GB"/>
              </w:rPr>
            </w:pPr>
            <w:r w:rsidRPr="001F5859">
              <w:rPr>
                <w:noProof/>
                <w:lang w:val="en-GB"/>
              </w:rPr>
              <w:t>0.77</w:t>
            </w:r>
          </w:p>
          <w:p w:rsidR="00BC3E31" w:rsidRPr="001F5859" w:rsidP="003B64A5" w14:paraId="256D52BB" w14:textId="77777777">
            <w:pPr>
              <w:keepNext/>
              <w:keepLines/>
              <w:jc w:val="center"/>
              <w:rPr>
                <w:noProof/>
                <w:lang w:val="en-GB"/>
              </w:rPr>
            </w:pPr>
            <w:r w:rsidRPr="001F5859">
              <w:rPr>
                <w:noProof/>
                <w:lang w:val="en-GB"/>
              </w:rPr>
              <w:t>(0.62, 0.96)</w:t>
            </w:r>
          </w:p>
        </w:tc>
      </w:tr>
      <w:tr w14:paraId="0514DFE7" w14:textId="77777777" w:rsidTr="003B64A5">
        <w:tblPrEx>
          <w:tblW w:w="9205" w:type="dxa"/>
          <w:tblCellMar>
            <w:left w:w="0" w:type="dxa"/>
            <w:right w:w="0" w:type="dxa"/>
          </w:tblCellMar>
          <w:tblLook w:val="04A0"/>
        </w:tblPrEx>
        <w:trPr>
          <w:trHeight w:val="466"/>
        </w:trPr>
        <w:tc>
          <w:tcPr>
            <w:tcW w:w="2538" w:type="dxa"/>
            <w:tcMar>
              <w:top w:w="0" w:type="dxa"/>
              <w:left w:w="108" w:type="dxa"/>
              <w:bottom w:w="0" w:type="dxa"/>
              <w:right w:w="108" w:type="dxa"/>
            </w:tcMar>
            <w:hideMark/>
          </w:tcPr>
          <w:p w:rsidR="00BC3E31" w:rsidRPr="001F5859" w:rsidP="003B64A5" w14:paraId="4FB96B65" w14:textId="77777777">
            <w:pPr>
              <w:keepNext/>
              <w:keepLines/>
              <w:jc w:val="both"/>
              <w:rPr>
                <w:noProof/>
                <w:lang w:val="en-GB"/>
              </w:rPr>
            </w:pPr>
            <w:r w:rsidRPr="001F5859">
              <w:rPr>
                <w:noProof/>
                <w:lang w:val="en-GB"/>
              </w:rPr>
              <w:t xml:space="preserve">   Negative </w:t>
            </w:r>
          </w:p>
        </w:tc>
        <w:tc>
          <w:tcPr>
            <w:tcW w:w="2272" w:type="dxa"/>
            <w:tcMar>
              <w:top w:w="0" w:type="dxa"/>
              <w:left w:w="108" w:type="dxa"/>
              <w:bottom w:w="0" w:type="dxa"/>
              <w:right w:w="108" w:type="dxa"/>
            </w:tcMar>
            <w:hideMark/>
          </w:tcPr>
          <w:p w:rsidR="00BC3E31" w:rsidRPr="001F5859" w:rsidP="003B64A5" w14:paraId="1759E6C6" w14:textId="77777777">
            <w:pPr>
              <w:keepNext/>
              <w:keepLines/>
              <w:jc w:val="center"/>
              <w:rPr>
                <w:noProof/>
                <w:lang w:val="en-GB"/>
              </w:rPr>
            </w:pPr>
            <w:r w:rsidRPr="001F5859">
              <w:rPr>
                <w:noProof/>
                <w:lang w:val="en-GB"/>
              </w:rPr>
              <w:t>32/897</w:t>
            </w:r>
          </w:p>
          <w:p w:rsidR="00BC3E31" w:rsidRPr="001F5859" w:rsidP="003B64A5" w14:paraId="6EF6EEAD" w14:textId="77777777">
            <w:pPr>
              <w:keepNext/>
              <w:keepLines/>
              <w:jc w:val="center"/>
              <w:rPr>
                <w:noProof/>
                <w:lang w:val="en-GB"/>
              </w:rPr>
            </w:pPr>
            <w:r w:rsidRPr="001F5859">
              <w:rPr>
                <w:noProof/>
                <w:lang w:val="en-GB"/>
              </w:rPr>
              <w:t>(3.6%)</w:t>
            </w:r>
          </w:p>
        </w:tc>
        <w:tc>
          <w:tcPr>
            <w:tcW w:w="2386" w:type="dxa"/>
            <w:tcMar>
              <w:top w:w="0" w:type="dxa"/>
              <w:left w:w="108" w:type="dxa"/>
              <w:bottom w:w="0" w:type="dxa"/>
              <w:right w:w="108" w:type="dxa"/>
            </w:tcMar>
            <w:hideMark/>
          </w:tcPr>
          <w:p w:rsidR="00BC3E31" w:rsidRPr="001F5859" w:rsidP="003B64A5" w14:paraId="122F5E42" w14:textId="77777777">
            <w:pPr>
              <w:keepNext/>
              <w:keepLines/>
              <w:jc w:val="center"/>
              <w:rPr>
                <w:noProof/>
                <w:lang w:val="en-GB"/>
              </w:rPr>
            </w:pPr>
            <w:r w:rsidRPr="001F5859">
              <w:rPr>
                <w:noProof/>
                <w:lang w:val="en-GB"/>
              </w:rPr>
              <w:t>29/902</w:t>
            </w:r>
          </w:p>
          <w:p w:rsidR="00BC3E31" w:rsidRPr="001F5859" w:rsidP="003B64A5" w14:paraId="3E3FC3BF" w14:textId="77777777">
            <w:pPr>
              <w:keepNext/>
              <w:keepLines/>
              <w:jc w:val="center"/>
              <w:rPr>
                <w:noProof/>
                <w:lang w:val="en-GB"/>
              </w:rPr>
            </w:pPr>
            <w:r w:rsidRPr="001F5859">
              <w:rPr>
                <w:noProof/>
                <w:lang w:val="en-GB"/>
              </w:rPr>
              <w:t>(3.2%)</w:t>
            </w:r>
          </w:p>
        </w:tc>
        <w:tc>
          <w:tcPr>
            <w:tcW w:w="2009" w:type="dxa"/>
            <w:tcMar>
              <w:top w:w="0" w:type="dxa"/>
              <w:left w:w="108" w:type="dxa"/>
              <w:bottom w:w="0" w:type="dxa"/>
              <w:right w:w="108" w:type="dxa"/>
            </w:tcMar>
            <w:hideMark/>
          </w:tcPr>
          <w:p w:rsidR="00BC3E31" w:rsidRPr="001F5859" w:rsidP="003B64A5" w14:paraId="2F4551F3" w14:textId="77777777">
            <w:pPr>
              <w:keepNext/>
              <w:keepLines/>
              <w:jc w:val="center"/>
              <w:rPr>
                <w:noProof/>
                <w:lang w:val="en-GB"/>
              </w:rPr>
            </w:pPr>
            <w:r w:rsidRPr="001F5859">
              <w:rPr>
                <w:noProof/>
                <w:lang w:val="en-GB"/>
              </w:rPr>
              <w:t>1.13</w:t>
            </w:r>
          </w:p>
          <w:p w:rsidR="00BC3E31" w:rsidRPr="001F5859" w:rsidP="003B64A5" w14:paraId="1165AFC5" w14:textId="77777777">
            <w:pPr>
              <w:keepNext/>
              <w:keepLines/>
              <w:jc w:val="center"/>
              <w:rPr>
                <w:noProof/>
                <w:lang w:val="en-GB"/>
              </w:rPr>
            </w:pPr>
            <w:r w:rsidRPr="001F5859">
              <w:rPr>
                <w:noProof/>
                <w:lang w:val="en-GB"/>
              </w:rPr>
              <w:t>(0.68, 1.86)</w:t>
            </w:r>
          </w:p>
        </w:tc>
      </w:tr>
      <w:tr w14:paraId="43CA3165" w14:textId="77777777" w:rsidTr="003B64A5">
        <w:tblPrEx>
          <w:tblW w:w="9205" w:type="dxa"/>
          <w:tblCellMar>
            <w:left w:w="0" w:type="dxa"/>
            <w:right w:w="0" w:type="dxa"/>
          </w:tblCellMar>
          <w:tblLook w:val="04A0"/>
        </w:tblPrEx>
        <w:trPr>
          <w:trHeight w:val="225"/>
        </w:trPr>
        <w:tc>
          <w:tcPr>
            <w:tcW w:w="2538" w:type="dxa"/>
            <w:tcMar>
              <w:top w:w="0" w:type="dxa"/>
              <w:left w:w="108" w:type="dxa"/>
              <w:bottom w:w="0" w:type="dxa"/>
              <w:right w:w="108" w:type="dxa"/>
            </w:tcMar>
          </w:tcPr>
          <w:p w:rsidR="00BC3E31" w:rsidRPr="001F5859" w:rsidP="003B64A5" w14:paraId="0CDE5166" w14:textId="77777777">
            <w:pPr>
              <w:keepNext/>
              <w:keepLines/>
              <w:rPr>
                <w:noProof/>
                <w:lang w:val="en-GB"/>
              </w:rPr>
            </w:pPr>
            <w:r w:rsidRPr="001F5859">
              <w:rPr>
                <w:b/>
                <w:noProof/>
                <w:lang w:val="en-GB"/>
              </w:rPr>
              <w:t>Hormone receptor status</w:t>
            </w:r>
          </w:p>
        </w:tc>
        <w:tc>
          <w:tcPr>
            <w:tcW w:w="2272" w:type="dxa"/>
            <w:tcMar>
              <w:top w:w="0" w:type="dxa"/>
              <w:left w:w="108" w:type="dxa"/>
              <w:bottom w:w="0" w:type="dxa"/>
              <w:right w:w="108" w:type="dxa"/>
            </w:tcMar>
          </w:tcPr>
          <w:p w:rsidR="00BC3E31" w:rsidRPr="001F5859" w:rsidP="003B64A5" w14:paraId="47E57D89" w14:textId="77777777">
            <w:pPr>
              <w:keepNext/>
              <w:keepLines/>
              <w:rPr>
                <w:noProof/>
                <w:lang w:val="en-GB"/>
              </w:rPr>
            </w:pPr>
          </w:p>
        </w:tc>
        <w:tc>
          <w:tcPr>
            <w:tcW w:w="2386" w:type="dxa"/>
            <w:tcMar>
              <w:top w:w="0" w:type="dxa"/>
              <w:left w:w="108" w:type="dxa"/>
              <w:bottom w:w="0" w:type="dxa"/>
              <w:right w:w="108" w:type="dxa"/>
            </w:tcMar>
          </w:tcPr>
          <w:p w:rsidR="00BC3E31" w:rsidRPr="001F5859" w:rsidP="003B64A5" w14:paraId="4A0DD58C" w14:textId="77777777">
            <w:pPr>
              <w:keepNext/>
              <w:keepLines/>
              <w:rPr>
                <w:noProof/>
                <w:lang w:val="en-GB"/>
              </w:rPr>
            </w:pPr>
          </w:p>
        </w:tc>
        <w:tc>
          <w:tcPr>
            <w:tcW w:w="2009" w:type="dxa"/>
            <w:tcMar>
              <w:top w:w="0" w:type="dxa"/>
              <w:left w:w="108" w:type="dxa"/>
              <w:bottom w:w="0" w:type="dxa"/>
              <w:right w:w="108" w:type="dxa"/>
            </w:tcMar>
          </w:tcPr>
          <w:p w:rsidR="00BC3E31" w:rsidRPr="001F5859" w:rsidP="003B64A5" w14:paraId="0FC64177" w14:textId="77777777">
            <w:pPr>
              <w:keepNext/>
              <w:keepLines/>
              <w:rPr>
                <w:noProof/>
                <w:lang w:val="en-GB"/>
              </w:rPr>
            </w:pPr>
          </w:p>
        </w:tc>
      </w:tr>
      <w:tr w14:paraId="7F863BB7" w14:textId="77777777" w:rsidTr="003B64A5">
        <w:tblPrEx>
          <w:tblW w:w="9205" w:type="dxa"/>
          <w:tblCellMar>
            <w:left w:w="0" w:type="dxa"/>
            <w:right w:w="0" w:type="dxa"/>
          </w:tblCellMar>
          <w:tblLook w:val="04A0"/>
        </w:tblPrEx>
        <w:trPr>
          <w:trHeight w:val="535"/>
        </w:trPr>
        <w:tc>
          <w:tcPr>
            <w:tcW w:w="2538" w:type="dxa"/>
            <w:tcMar>
              <w:top w:w="0" w:type="dxa"/>
              <w:left w:w="108" w:type="dxa"/>
              <w:bottom w:w="0" w:type="dxa"/>
              <w:right w:w="108" w:type="dxa"/>
            </w:tcMar>
          </w:tcPr>
          <w:p w:rsidR="00BC3E31" w:rsidRPr="001F5859" w:rsidP="003B64A5" w14:paraId="3ED5CE40" w14:textId="77777777">
            <w:pPr>
              <w:keepNext/>
              <w:keepLines/>
              <w:jc w:val="both"/>
              <w:rPr>
                <w:noProof/>
                <w:lang w:val="en-GB"/>
              </w:rPr>
            </w:pPr>
            <w:r w:rsidRPr="001F5859">
              <w:rPr>
                <w:noProof/>
                <w:lang w:val="en-GB"/>
              </w:rPr>
              <w:t>   Negative</w:t>
            </w:r>
          </w:p>
        </w:tc>
        <w:tc>
          <w:tcPr>
            <w:tcW w:w="2272" w:type="dxa"/>
            <w:tcMar>
              <w:top w:w="0" w:type="dxa"/>
              <w:left w:w="108" w:type="dxa"/>
              <w:bottom w:w="0" w:type="dxa"/>
              <w:right w:w="108" w:type="dxa"/>
            </w:tcMar>
          </w:tcPr>
          <w:p w:rsidR="00BC3E31" w:rsidRPr="001F5859" w:rsidP="003B64A5" w14:paraId="2B564FEF" w14:textId="77777777">
            <w:pPr>
              <w:keepNext/>
              <w:keepLines/>
              <w:jc w:val="center"/>
              <w:rPr>
                <w:noProof/>
                <w:lang w:val="en-GB"/>
              </w:rPr>
            </w:pPr>
            <w:r w:rsidRPr="001F5859">
              <w:rPr>
                <w:noProof/>
                <w:lang w:val="en-GB"/>
              </w:rPr>
              <w:t>71/864</w:t>
            </w:r>
          </w:p>
          <w:p w:rsidR="00BC3E31" w:rsidRPr="001F5859" w:rsidP="003B64A5" w14:paraId="29453FC5" w14:textId="77777777">
            <w:pPr>
              <w:keepNext/>
              <w:keepLines/>
              <w:jc w:val="center"/>
              <w:rPr>
                <w:noProof/>
                <w:lang w:val="en-GB"/>
              </w:rPr>
            </w:pPr>
            <w:r w:rsidRPr="001F5859">
              <w:rPr>
                <w:noProof/>
                <w:lang w:val="en-GB"/>
              </w:rPr>
              <w:t>(8.2%)</w:t>
            </w:r>
          </w:p>
        </w:tc>
        <w:tc>
          <w:tcPr>
            <w:tcW w:w="2386" w:type="dxa"/>
            <w:tcMar>
              <w:top w:w="0" w:type="dxa"/>
              <w:left w:w="108" w:type="dxa"/>
              <w:bottom w:w="0" w:type="dxa"/>
              <w:right w:w="108" w:type="dxa"/>
            </w:tcMar>
          </w:tcPr>
          <w:p w:rsidR="00BC3E31" w:rsidRPr="001F5859" w:rsidP="003B64A5" w14:paraId="60AC2807" w14:textId="77777777">
            <w:pPr>
              <w:keepNext/>
              <w:keepLines/>
              <w:jc w:val="center"/>
              <w:rPr>
                <w:noProof/>
                <w:lang w:val="en-GB"/>
              </w:rPr>
            </w:pPr>
            <w:r w:rsidRPr="001F5859">
              <w:rPr>
                <w:noProof/>
                <w:lang w:val="en-GB"/>
              </w:rPr>
              <w:t>91/858</w:t>
            </w:r>
          </w:p>
          <w:p w:rsidR="00BC3E31" w:rsidRPr="001F5859" w:rsidP="003B64A5" w14:paraId="47888EFA" w14:textId="77777777">
            <w:pPr>
              <w:keepNext/>
              <w:keepLines/>
              <w:jc w:val="center"/>
              <w:rPr>
                <w:noProof/>
                <w:lang w:val="en-GB"/>
              </w:rPr>
            </w:pPr>
            <w:r w:rsidRPr="001F5859">
              <w:rPr>
                <w:noProof/>
                <w:lang w:val="en-GB"/>
              </w:rPr>
              <w:t>(10.6%)</w:t>
            </w:r>
          </w:p>
        </w:tc>
        <w:tc>
          <w:tcPr>
            <w:tcW w:w="2009" w:type="dxa"/>
            <w:tcMar>
              <w:top w:w="0" w:type="dxa"/>
              <w:left w:w="108" w:type="dxa"/>
              <w:bottom w:w="0" w:type="dxa"/>
              <w:right w:w="108" w:type="dxa"/>
            </w:tcMar>
          </w:tcPr>
          <w:p w:rsidR="00BC3E31" w:rsidRPr="001F5859" w:rsidP="003B64A5" w14:paraId="5CE1DF04" w14:textId="77777777">
            <w:pPr>
              <w:keepNext/>
              <w:keepLines/>
              <w:jc w:val="center"/>
              <w:rPr>
                <w:noProof/>
                <w:lang w:val="en-GB"/>
              </w:rPr>
            </w:pPr>
            <w:r w:rsidRPr="001F5859">
              <w:rPr>
                <w:noProof/>
                <w:lang w:val="en-GB"/>
              </w:rPr>
              <w:t>0.76</w:t>
            </w:r>
          </w:p>
          <w:p w:rsidR="00BC3E31" w:rsidRPr="001F5859" w:rsidP="003B64A5" w14:paraId="60358042" w14:textId="77777777">
            <w:pPr>
              <w:keepNext/>
              <w:keepLines/>
              <w:jc w:val="center"/>
              <w:rPr>
                <w:noProof/>
                <w:lang w:val="en-GB"/>
              </w:rPr>
            </w:pPr>
            <w:r w:rsidRPr="001F5859">
              <w:rPr>
                <w:noProof/>
                <w:lang w:val="en-GB"/>
              </w:rPr>
              <w:t>(0.56, 1.04)</w:t>
            </w:r>
          </w:p>
        </w:tc>
      </w:tr>
      <w:tr w14:paraId="081FDA88" w14:textId="77777777" w:rsidTr="003B64A5">
        <w:tblPrEx>
          <w:tblW w:w="9205" w:type="dxa"/>
          <w:tblCellMar>
            <w:left w:w="0" w:type="dxa"/>
            <w:right w:w="0" w:type="dxa"/>
          </w:tblCellMar>
          <w:tblLook w:val="04A0"/>
        </w:tblPrEx>
        <w:trPr>
          <w:trHeight w:val="535"/>
        </w:trPr>
        <w:tc>
          <w:tcPr>
            <w:tcW w:w="2538" w:type="dxa"/>
            <w:tcMar>
              <w:top w:w="0" w:type="dxa"/>
              <w:left w:w="108" w:type="dxa"/>
              <w:bottom w:w="0" w:type="dxa"/>
              <w:right w:w="108" w:type="dxa"/>
            </w:tcMar>
          </w:tcPr>
          <w:p w:rsidR="00BC3E31" w:rsidRPr="001F5859" w:rsidP="003B64A5" w14:paraId="5BADD038" w14:textId="77777777">
            <w:pPr>
              <w:keepNext/>
              <w:keepLines/>
              <w:jc w:val="both"/>
              <w:rPr>
                <w:noProof/>
                <w:lang w:val="en-GB"/>
              </w:rPr>
            </w:pPr>
            <w:r w:rsidRPr="001F5859">
              <w:rPr>
                <w:noProof/>
                <w:lang w:val="en-GB"/>
              </w:rPr>
              <w:t>   Positive</w:t>
            </w:r>
          </w:p>
        </w:tc>
        <w:tc>
          <w:tcPr>
            <w:tcW w:w="2272" w:type="dxa"/>
            <w:tcMar>
              <w:top w:w="0" w:type="dxa"/>
              <w:left w:w="108" w:type="dxa"/>
              <w:bottom w:w="0" w:type="dxa"/>
              <w:right w:w="108" w:type="dxa"/>
            </w:tcMar>
          </w:tcPr>
          <w:p w:rsidR="00BC3E31" w:rsidRPr="001F5859" w:rsidP="003B64A5" w14:paraId="3619CE09" w14:textId="77777777">
            <w:pPr>
              <w:keepNext/>
              <w:keepLines/>
              <w:jc w:val="center"/>
              <w:rPr>
                <w:noProof/>
                <w:lang w:val="en-GB"/>
              </w:rPr>
            </w:pPr>
            <w:r w:rsidRPr="001F5859">
              <w:rPr>
                <w:noProof/>
                <w:lang w:val="en-GB"/>
              </w:rPr>
              <w:t>100/1536</w:t>
            </w:r>
          </w:p>
          <w:p w:rsidR="00BC3E31" w:rsidRPr="001F5859" w:rsidP="003B64A5" w14:paraId="1701F302" w14:textId="77777777">
            <w:pPr>
              <w:keepNext/>
              <w:keepLines/>
              <w:jc w:val="center"/>
              <w:rPr>
                <w:noProof/>
                <w:lang w:val="en-GB"/>
              </w:rPr>
            </w:pPr>
            <w:r w:rsidRPr="001F5859">
              <w:rPr>
                <w:noProof/>
                <w:lang w:val="en-GB"/>
              </w:rPr>
              <w:t>(6.5%)</w:t>
            </w:r>
          </w:p>
        </w:tc>
        <w:tc>
          <w:tcPr>
            <w:tcW w:w="2386" w:type="dxa"/>
            <w:tcMar>
              <w:top w:w="0" w:type="dxa"/>
              <w:left w:w="108" w:type="dxa"/>
              <w:bottom w:w="0" w:type="dxa"/>
              <w:right w:w="108" w:type="dxa"/>
            </w:tcMar>
          </w:tcPr>
          <w:p w:rsidR="00BC3E31" w:rsidRPr="001F5859" w:rsidP="003B64A5" w14:paraId="40D44EFF" w14:textId="77777777">
            <w:pPr>
              <w:keepNext/>
              <w:keepLines/>
              <w:jc w:val="center"/>
              <w:rPr>
                <w:noProof/>
                <w:lang w:val="en-GB"/>
              </w:rPr>
            </w:pPr>
            <w:r w:rsidRPr="001F5859">
              <w:rPr>
                <w:noProof/>
                <w:lang w:val="en-GB"/>
              </w:rPr>
              <w:t>119/1546</w:t>
            </w:r>
          </w:p>
          <w:p w:rsidR="00BC3E31" w:rsidRPr="001F5859" w:rsidP="003B64A5" w14:paraId="2BE75A1D" w14:textId="77777777">
            <w:pPr>
              <w:keepNext/>
              <w:keepLines/>
              <w:jc w:val="center"/>
              <w:rPr>
                <w:noProof/>
                <w:lang w:val="en-GB"/>
              </w:rPr>
            </w:pPr>
            <w:r w:rsidRPr="001F5859">
              <w:rPr>
                <w:noProof/>
                <w:lang w:val="en-GB"/>
              </w:rPr>
              <w:t>(7.7%)</w:t>
            </w:r>
          </w:p>
        </w:tc>
        <w:tc>
          <w:tcPr>
            <w:tcW w:w="2009" w:type="dxa"/>
            <w:tcMar>
              <w:top w:w="0" w:type="dxa"/>
              <w:left w:w="108" w:type="dxa"/>
              <w:bottom w:w="0" w:type="dxa"/>
              <w:right w:w="108" w:type="dxa"/>
            </w:tcMar>
          </w:tcPr>
          <w:p w:rsidR="00BC3E31" w:rsidRPr="001F5859" w:rsidP="003B64A5" w14:paraId="6578DD54" w14:textId="77777777">
            <w:pPr>
              <w:keepNext/>
              <w:keepLines/>
              <w:jc w:val="center"/>
              <w:rPr>
                <w:noProof/>
                <w:lang w:val="en-GB"/>
              </w:rPr>
            </w:pPr>
            <w:r w:rsidRPr="001F5859">
              <w:rPr>
                <w:noProof/>
                <w:lang w:val="en-GB"/>
              </w:rPr>
              <w:t>0.86</w:t>
            </w:r>
          </w:p>
          <w:p w:rsidR="00BC3E31" w:rsidRPr="001F5859" w:rsidP="003B64A5" w14:paraId="68CFD4B4" w14:textId="77777777">
            <w:pPr>
              <w:keepNext/>
              <w:keepLines/>
              <w:jc w:val="center"/>
              <w:rPr>
                <w:noProof/>
                <w:lang w:val="en-GB"/>
              </w:rPr>
            </w:pPr>
            <w:r w:rsidRPr="001F5859">
              <w:rPr>
                <w:noProof/>
                <w:lang w:val="en-GB"/>
              </w:rPr>
              <w:t>(0.66, 1.13)</w:t>
            </w:r>
          </w:p>
        </w:tc>
      </w:tr>
    </w:tbl>
    <w:p w:rsidR="00BC3E31" w:rsidRPr="001F5859" w:rsidP="00BC3E31" w14:paraId="490F3E6A" w14:textId="77777777">
      <w:pPr>
        <w:keepNext/>
        <w:keepLines/>
        <w:rPr>
          <w:noProof/>
          <w:sz w:val="20"/>
        </w:rPr>
      </w:pPr>
      <w:r w:rsidRPr="001F5859">
        <w:rPr>
          <w:noProof/>
          <w:sz w:val="20"/>
          <w:vertAlign w:val="superscript"/>
        </w:rPr>
        <w:t>1</w:t>
      </w:r>
      <w:r w:rsidRPr="001F5859">
        <w:rPr>
          <w:sz w:val="20"/>
        </w:rPr>
        <w:t xml:space="preserve"> </w:t>
      </w:r>
      <w:r w:rsidRPr="001F5859">
        <w:rPr>
          <w:noProof/>
          <w:sz w:val="20"/>
        </w:rPr>
        <w:t>Prespecified subgroup analyses without adjusting for multiple comparisons, therefore, results are considered descriptive.</w:t>
      </w:r>
    </w:p>
    <w:p w:rsidR="00BC3E31" w:rsidRPr="001F5859" w:rsidP="00BC3E31" w14:paraId="68DA4C63" w14:textId="77777777">
      <w:pPr>
        <w:keepNext/>
        <w:keepLines/>
        <w:rPr>
          <w:noProof/>
        </w:rPr>
      </w:pPr>
    </w:p>
    <w:p w:rsidR="00E00899" w:rsidRPr="001F5859" w:rsidP="00E00899" w14:paraId="19B150AD" w14:textId="77777777">
      <w:pPr>
        <w:keepNext/>
        <w:keepLines/>
      </w:pPr>
      <w:r w:rsidRPr="001F5859">
        <w:t xml:space="preserve">Estimates of IDFS rates in the lymph node- positive subgroup were 92.0% versus 90.2% at 3 years and 89.9% vs. 86.7% at 4 years in Perjeta-treated patients versus placebo-treated patients, respectively. </w:t>
      </w:r>
      <w:r w:rsidRPr="001F5859">
        <w:rPr>
          <w:noProof/>
        </w:rPr>
        <w:t>I</w:t>
      </w:r>
      <w:r w:rsidRPr="001F5859">
        <w:t xml:space="preserve">n the lymph node- negative subgroup, estimates of IDFS rates were 97.5% versus 98.4% at 3 years and 96.2% versus 96.7% at 4 years in Perjeta-treated patients versus placebo-treated patients, respectively. </w:t>
      </w:r>
      <w:r w:rsidRPr="001F5859" w:rsidR="00377E79">
        <w:rPr>
          <w:noProof/>
        </w:rPr>
        <w:t>I</w:t>
      </w:r>
      <w:r w:rsidRPr="001F5859" w:rsidR="00377E79">
        <w:t xml:space="preserve">n the hormone receptor-negative subgroup, estimates of IDFS rates were 92.8% versus 91.2% at 3 years and 91.0% versus 88.7% at 4 years in Perjeta-treated patients versus placebo-treated patients, respectively. </w:t>
      </w:r>
      <w:r w:rsidRPr="001F5859">
        <w:rPr>
          <w:noProof/>
        </w:rPr>
        <w:t>In t</w:t>
      </w:r>
      <w:r w:rsidRPr="001F5859">
        <w:t xml:space="preserve">he hormone receptor-positive subgroup estimates of IDFS rates were 94.8% versus 94.4% at 3 years and 93.0% versus 91.6% at 4 years in Perjeta-treated patients versus placebo-treated patients, respectively. </w:t>
      </w:r>
    </w:p>
    <w:p w:rsidR="00E00899" w:rsidRPr="001F5859" w:rsidP="00E00899" w14:paraId="4270C71A" w14:textId="77777777">
      <w:pPr>
        <w:keepNext/>
        <w:keepLines/>
        <w:rPr>
          <w:b/>
          <w:noProof/>
          <w:u w:val="single"/>
        </w:rPr>
      </w:pPr>
    </w:p>
    <w:p w:rsidR="00E00899" w:rsidRPr="001F5859" w:rsidP="00E00899" w14:paraId="7B930A81" w14:textId="77777777">
      <w:pPr>
        <w:keepNext/>
        <w:keepLines/>
        <w:rPr>
          <w:noProof/>
          <w:u w:val="single"/>
          <w:lang w:val="en-GB"/>
        </w:rPr>
      </w:pPr>
      <w:r w:rsidRPr="001F5859">
        <w:rPr>
          <w:noProof/>
          <w:u w:val="single"/>
          <w:lang w:val="en-GB"/>
        </w:rPr>
        <w:t>Patient Reported Outcomes (PRO)</w:t>
      </w:r>
    </w:p>
    <w:p w:rsidR="00E00899" w:rsidRPr="001F5859" w:rsidP="00E00899" w14:paraId="530703CD" w14:textId="77777777">
      <w:pPr>
        <w:keepNext/>
        <w:keepLines/>
        <w:rPr>
          <w:noProof/>
          <w:u w:val="single"/>
          <w:lang w:val="en-GB"/>
        </w:rPr>
      </w:pPr>
    </w:p>
    <w:p w:rsidR="00E00899" w:rsidRPr="001F5859" w:rsidP="00E00899" w14:paraId="4F29C2F0" w14:textId="77777777">
      <w:pPr>
        <w:keepNext/>
        <w:keepLines/>
        <w:rPr>
          <w:noProof/>
          <w:lang w:val="en-GB"/>
        </w:rPr>
      </w:pPr>
      <w:r w:rsidRPr="001F5859">
        <w:rPr>
          <w:noProof/>
          <w:lang w:val="en-GB"/>
        </w:rPr>
        <w:t xml:space="preserve">Secondary endpoints included the assessment of patient-reported global health status, role and physical function, and treatment symptoms using the EORTC QLQ-C30 and EORTC QLQ-BR23 questionnaires. In the analyses of patient-reported outcomes, a 10-point difference was considered clinically meaningful. </w:t>
      </w:r>
    </w:p>
    <w:p w:rsidR="00E00899" w:rsidRPr="001F5859" w:rsidP="00E00899" w14:paraId="10284782" w14:textId="77777777">
      <w:pPr>
        <w:keepNext/>
        <w:keepLines/>
        <w:rPr>
          <w:noProof/>
          <w:lang w:val="en-GB"/>
        </w:rPr>
      </w:pPr>
    </w:p>
    <w:p w:rsidR="00E00899" w:rsidRPr="001F5859" w:rsidP="00E00899" w14:paraId="744C034A" w14:textId="77777777">
      <w:pPr>
        <w:keepNext/>
        <w:keepLines/>
        <w:rPr>
          <w:noProof/>
          <w:lang w:val="en-GB"/>
        </w:rPr>
      </w:pPr>
      <w:r w:rsidRPr="001F5859">
        <w:rPr>
          <w:noProof/>
          <w:lang w:val="en-GB"/>
        </w:rPr>
        <w:t xml:space="preserve">Patients’ physical function, global health status and diarrhoea scores showed a clinically meaningful change during chemotherapy in both treatment arms. The mean decrease from baseline at that time for physical function was -10.7 (95% CI-11.4, -10.0) in the Perjeta arm and -10.6 (95% CI -11.4, -9.9) in the placebo arm; global health status was -11.2 (95% CI -12.2, -10.2) in the Perjeta arm and -10.2 (95% CI -11.1,-9.2) in the placebo arm. Change in diarrhoea symptoms increased to +22.3 (95% CI 21.0, 23.6) in the Perjeta arm versus +9.2 (95% CI 8.2, 10.2) in the placebo arm. </w:t>
      </w:r>
    </w:p>
    <w:p w:rsidR="00E00899" w:rsidRPr="001F5859" w:rsidP="00E00899" w14:paraId="23272F83" w14:textId="77777777">
      <w:pPr>
        <w:keepNext/>
        <w:keepLines/>
        <w:rPr>
          <w:noProof/>
          <w:lang w:val="en-GB"/>
        </w:rPr>
      </w:pPr>
    </w:p>
    <w:p w:rsidR="00E00899" w:rsidRPr="001F5859" w:rsidP="00E00899" w14:paraId="31567135" w14:textId="77777777">
      <w:pPr>
        <w:keepNext/>
        <w:keepLines/>
        <w:rPr>
          <w:sz w:val="20"/>
        </w:rPr>
      </w:pPr>
      <w:r w:rsidRPr="001F5859">
        <w:rPr>
          <w:noProof/>
          <w:lang w:val="en-GB"/>
        </w:rPr>
        <w:t xml:space="preserve">Thereafter in both arms physical function and global health status scores returned to baseline levels during targeted treatment. Diarrhoea symptoms returned to baseline after HER2 therapy in the Perjeta-arm. The addition of Perjeta to trastuzumab plus chemotherapy did not affect patients’ overall role function over the course of the study. </w:t>
      </w:r>
    </w:p>
    <w:p w:rsidR="00013F49" w:rsidRPr="001F5859" w:rsidP="00BE2BD0" w14:paraId="5C41D612" w14:textId="77777777">
      <w:pPr>
        <w:tabs>
          <w:tab w:val="left" w:pos="180"/>
        </w:tabs>
        <w:autoSpaceDE w:val="0"/>
        <w:autoSpaceDN w:val="0"/>
        <w:adjustRightInd w:val="0"/>
        <w:ind w:left="180" w:hanging="180"/>
        <w:rPr>
          <w:noProof/>
          <w:sz w:val="20"/>
          <w:lang w:val="en-GB"/>
        </w:rPr>
      </w:pPr>
    </w:p>
    <w:p w:rsidR="00863CEA" w:rsidRPr="001F5859" w:rsidP="00763EEE" w14:paraId="64BE45E1" w14:textId="77777777">
      <w:pPr>
        <w:rPr>
          <w:noProof/>
          <w:u w:val="single"/>
          <w:lang w:val="en-GB"/>
        </w:rPr>
      </w:pPr>
      <w:r w:rsidRPr="001F5859">
        <w:rPr>
          <w:noProof/>
          <w:u w:val="single"/>
          <w:lang w:val="en-GB"/>
        </w:rPr>
        <w:t>Immunogenicity</w:t>
      </w:r>
    </w:p>
    <w:p w:rsidR="00F151D0" w:rsidRPr="001F5859" w:rsidP="00763EEE" w14:paraId="728BC4AB" w14:textId="77777777">
      <w:pPr>
        <w:rPr>
          <w:lang w:val="en-GB" w:eastAsia="zh-CN"/>
        </w:rPr>
      </w:pPr>
    </w:p>
    <w:p w:rsidR="00863CEA" w:rsidRPr="001F5859" w:rsidP="00763EEE" w14:paraId="7704BE97" w14:textId="77777777">
      <w:pPr>
        <w:rPr>
          <w:strike/>
          <w:noProof/>
          <w:lang w:val="en-GB"/>
        </w:rPr>
      </w:pPr>
      <w:r w:rsidRPr="001F5859">
        <w:rPr>
          <w:rFonts w:eastAsia="SimSun"/>
          <w:noProof/>
          <w:lang w:val="en-GB"/>
        </w:rPr>
        <w:t xml:space="preserve">Patients in the pivotal trial CLEOPATRA were tested at multiple time-points for </w:t>
      </w:r>
      <w:r w:rsidRPr="001F5859">
        <w:rPr>
          <w:lang w:val="en-GB" w:eastAsia="zh-CN"/>
        </w:rPr>
        <w:t>anti-</w:t>
      </w:r>
      <w:r w:rsidRPr="001F5859" w:rsidR="00027218">
        <w:rPr>
          <w:lang w:val="en-GB" w:eastAsia="zh-CN"/>
        </w:rPr>
        <w:t xml:space="preserve">drug </w:t>
      </w:r>
      <w:r w:rsidRPr="001F5859">
        <w:rPr>
          <w:lang w:val="en-GB" w:eastAsia="zh-CN"/>
        </w:rPr>
        <w:t>antibodies (</w:t>
      </w:r>
      <w:r w:rsidRPr="001F5859" w:rsidR="00027218">
        <w:rPr>
          <w:lang w:val="en-GB" w:eastAsia="zh-CN"/>
        </w:rPr>
        <w:t>ADA</w:t>
      </w:r>
      <w:r w:rsidRPr="001F5859">
        <w:rPr>
          <w:rFonts w:eastAsia="SimSun"/>
          <w:noProof/>
          <w:lang w:val="en-GB"/>
        </w:rPr>
        <w:t xml:space="preserve">) to </w:t>
      </w:r>
      <w:r w:rsidRPr="001F5859" w:rsidR="00E76E38">
        <w:rPr>
          <w:rFonts w:eastAsia="SimSun"/>
          <w:lang w:val="en-GB"/>
        </w:rPr>
        <w:t>Perjeta</w:t>
      </w:r>
      <w:r w:rsidRPr="001F5859">
        <w:rPr>
          <w:rFonts w:eastAsia="SimSun"/>
          <w:lang w:val="en-GB"/>
        </w:rPr>
        <w:t>.</w:t>
      </w:r>
      <w:r w:rsidRPr="001F5859" w:rsidR="003915AA">
        <w:rPr>
          <w:rFonts w:eastAsia="SimSun"/>
          <w:lang w:val="en-GB"/>
        </w:rPr>
        <w:t xml:space="preserve"> </w:t>
      </w:r>
      <w:r w:rsidRPr="001F5859" w:rsidR="00EE10F6">
        <w:rPr>
          <w:lang w:val="en-GB" w:eastAsia="zh-CN"/>
        </w:rPr>
        <w:t>3.3</w:t>
      </w:r>
      <w:r w:rsidRPr="001F5859" w:rsidR="00773952">
        <w:rPr>
          <w:lang w:val="en-GB" w:eastAsia="zh-CN"/>
        </w:rPr>
        <w:t>% (</w:t>
      </w:r>
      <w:r w:rsidRPr="001F5859" w:rsidR="00EE10F6">
        <w:rPr>
          <w:lang w:val="en-GB" w:eastAsia="zh-CN"/>
        </w:rPr>
        <w:t>13</w:t>
      </w:r>
      <w:r w:rsidRPr="001F5859" w:rsidR="00773952">
        <w:rPr>
          <w:lang w:val="en-GB" w:eastAsia="zh-CN"/>
        </w:rPr>
        <w:t>/</w:t>
      </w:r>
      <w:r w:rsidRPr="001F5859" w:rsidR="00EE10F6">
        <w:rPr>
          <w:lang w:val="en-GB" w:eastAsia="zh-CN"/>
        </w:rPr>
        <w:t xml:space="preserve">389 </w:t>
      </w:r>
      <w:r w:rsidRPr="001F5859" w:rsidR="00773952">
        <w:rPr>
          <w:lang w:val="en-GB" w:eastAsia="zh-CN"/>
        </w:rPr>
        <w:t xml:space="preserve">patients) of </w:t>
      </w:r>
      <w:r w:rsidRPr="001F5859" w:rsidR="00E76E38">
        <w:rPr>
          <w:lang w:val="en-GB" w:eastAsia="zh-CN"/>
        </w:rPr>
        <w:t>Perjeta</w:t>
      </w:r>
      <w:r w:rsidRPr="001F5859" w:rsidR="004B3C23">
        <w:rPr>
          <w:lang w:val="en-GB" w:eastAsia="zh-CN"/>
        </w:rPr>
        <w:t>-treated patients</w:t>
      </w:r>
      <w:r w:rsidRPr="001F5859" w:rsidR="00773952">
        <w:rPr>
          <w:lang w:val="en-GB" w:eastAsia="zh-CN"/>
        </w:rPr>
        <w:t xml:space="preserve"> and 6.</w:t>
      </w:r>
      <w:r w:rsidRPr="001F5859" w:rsidR="00EE10F6">
        <w:rPr>
          <w:lang w:val="en-GB" w:eastAsia="zh-CN"/>
        </w:rPr>
        <w:t>7</w:t>
      </w:r>
      <w:r w:rsidRPr="001F5859" w:rsidR="00773952">
        <w:rPr>
          <w:lang w:val="en-GB" w:eastAsia="zh-CN"/>
        </w:rPr>
        <w:t>% (</w:t>
      </w:r>
      <w:r w:rsidRPr="001F5859" w:rsidR="00EE10F6">
        <w:rPr>
          <w:lang w:val="en-GB" w:eastAsia="zh-CN"/>
        </w:rPr>
        <w:t>25</w:t>
      </w:r>
      <w:r w:rsidRPr="001F5859" w:rsidR="00773952">
        <w:rPr>
          <w:lang w:val="en-GB" w:eastAsia="zh-CN"/>
        </w:rPr>
        <w:t>/372 patients) of placebo</w:t>
      </w:r>
      <w:r w:rsidRPr="001F5859" w:rsidR="004B3C23">
        <w:rPr>
          <w:lang w:val="en-GB" w:eastAsia="zh-CN"/>
        </w:rPr>
        <w:t>-</w:t>
      </w:r>
      <w:r w:rsidRPr="001F5859" w:rsidR="00773952">
        <w:rPr>
          <w:lang w:val="en-GB" w:eastAsia="zh-CN"/>
        </w:rPr>
        <w:t xml:space="preserve">treated patients </w:t>
      </w:r>
      <w:r w:rsidRPr="001F5859">
        <w:rPr>
          <w:lang w:val="en-GB" w:eastAsia="zh-CN"/>
        </w:rPr>
        <w:t>tested positive for A</w:t>
      </w:r>
      <w:r w:rsidRPr="001F5859" w:rsidR="00E3007B">
        <w:rPr>
          <w:lang w:val="en-GB" w:eastAsia="zh-CN"/>
        </w:rPr>
        <w:t>D</w:t>
      </w:r>
      <w:r w:rsidRPr="001F5859">
        <w:rPr>
          <w:lang w:val="en-GB" w:eastAsia="zh-CN"/>
        </w:rPr>
        <w:t xml:space="preserve">A. </w:t>
      </w:r>
      <w:r w:rsidRPr="001F5859" w:rsidR="00EF1023">
        <w:t>In</w:t>
      </w:r>
      <w:r w:rsidRPr="001F5859" w:rsidR="00E3007B">
        <w:t xml:space="preserve"> </w:t>
      </w:r>
      <w:r w:rsidRPr="001F5859" w:rsidR="00EF1023">
        <w:t xml:space="preserve">BERENICE, </w:t>
      </w:r>
      <w:r w:rsidRPr="001F5859" w:rsidR="00E00899">
        <w:t>4.1</w:t>
      </w:r>
      <w:r w:rsidRPr="001F5859" w:rsidR="00EF1023">
        <w:t>% (1</w:t>
      </w:r>
      <w:r w:rsidRPr="001F5859" w:rsidR="00E00899">
        <w:t>6</w:t>
      </w:r>
      <w:r w:rsidRPr="001F5859" w:rsidR="00EF1023">
        <w:t>/3</w:t>
      </w:r>
      <w:r w:rsidRPr="001F5859" w:rsidR="00E00899">
        <w:t>92</w:t>
      </w:r>
      <w:r w:rsidRPr="001F5859" w:rsidR="00EF1023">
        <w:t>) of the patients treated with Perjeta tested positive for A</w:t>
      </w:r>
      <w:r w:rsidRPr="001F5859" w:rsidR="00E3007B">
        <w:t>D</w:t>
      </w:r>
      <w:r w:rsidRPr="001F5859" w:rsidR="00EF1023">
        <w:t xml:space="preserve">A.  </w:t>
      </w:r>
      <w:r w:rsidRPr="001F5859" w:rsidR="005A0CF8">
        <w:rPr>
          <w:lang w:val="en-GB" w:eastAsia="zh-CN"/>
        </w:rPr>
        <w:t>None of these patients experienced anaphylactic/hypersensitivity reactions that were clearly related to ADA.</w:t>
      </w:r>
    </w:p>
    <w:p w:rsidR="004C6AFF" w:rsidRPr="001F5859" w:rsidP="00900379" w14:paraId="0C10AB68" w14:textId="77777777">
      <w:pPr>
        <w:rPr>
          <w:rFonts w:eastAsia="SimSun"/>
          <w:noProof/>
          <w:lang w:val="en-GB"/>
        </w:rPr>
      </w:pPr>
    </w:p>
    <w:p w:rsidR="00863CEA" w:rsidRPr="001F5859" w:rsidP="00F62767" w14:paraId="768C74B1" w14:textId="77777777">
      <w:pPr>
        <w:keepNext/>
        <w:keepLines/>
        <w:rPr>
          <w:rFonts w:eastAsia="SimSun"/>
          <w:noProof/>
          <w:u w:val="single"/>
          <w:lang w:val="en-GB"/>
        </w:rPr>
      </w:pPr>
      <w:r w:rsidRPr="001F5859">
        <w:rPr>
          <w:rFonts w:eastAsia="SimSun"/>
          <w:u w:val="single"/>
          <w:lang w:val="en-GB"/>
        </w:rPr>
        <w:t>Paediatric population</w:t>
      </w:r>
    </w:p>
    <w:p w:rsidR="00863CEA" w:rsidRPr="001F5859" w:rsidP="00234346" w14:paraId="0565A82F" w14:textId="77777777">
      <w:pPr>
        <w:keepNext/>
        <w:keepLines/>
        <w:rPr>
          <w:rFonts w:eastAsia="SimSun"/>
          <w:lang w:val="en-GB"/>
        </w:rPr>
      </w:pPr>
    </w:p>
    <w:p w:rsidR="00863CEA" w:rsidRPr="001F5859" w:rsidP="00900379" w14:paraId="27F1CC8C" w14:textId="77777777">
      <w:pPr>
        <w:rPr>
          <w:rFonts w:eastAsia="SimSun"/>
          <w:lang w:val="en-GB"/>
        </w:rPr>
      </w:pPr>
      <w:r w:rsidRPr="001F5859">
        <w:rPr>
          <w:rFonts w:eastAsia="SimSun"/>
          <w:lang w:val="en-GB"/>
        </w:rPr>
        <w:t xml:space="preserve">The European Medicines Agency has waived the obligation to submit the results of studies with </w:t>
      </w:r>
      <w:r w:rsidRPr="001F5859" w:rsidR="00E76E38">
        <w:rPr>
          <w:rFonts w:eastAsia="SimSun"/>
          <w:lang w:val="en-GB" w:eastAsia="zh-CN"/>
        </w:rPr>
        <w:t>Perjeta</w:t>
      </w:r>
      <w:r w:rsidRPr="001F5859">
        <w:rPr>
          <w:rFonts w:eastAsia="SimSun"/>
          <w:lang w:val="en-GB" w:eastAsia="zh-CN"/>
        </w:rPr>
        <w:t xml:space="preserve"> </w:t>
      </w:r>
      <w:r w:rsidRPr="001F5859">
        <w:rPr>
          <w:rFonts w:eastAsia="SimSun"/>
          <w:lang w:val="en-GB"/>
        </w:rPr>
        <w:t xml:space="preserve">in all subsets of the paediatric population in </w:t>
      </w:r>
      <w:r w:rsidRPr="001F5859">
        <w:rPr>
          <w:rFonts w:eastAsia="SimSun"/>
          <w:lang w:val="en-GB" w:eastAsia="zh-CN"/>
        </w:rPr>
        <w:t>breast cancer</w:t>
      </w:r>
      <w:r w:rsidRPr="001F5859">
        <w:rPr>
          <w:rFonts w:eastAsia="SimSun"/>
          <w:lang w:val="en-GB"/>
        </w:rPr>
        <w:t xml:space="preserve"> (see section 4.2 for information on paediatric use).</w:t>
      </w:r>
    </w:p>
    <w:p w:rsidR="00863CEA" w:rsidRPr="001F5859" w:rsidP="00900379" w14:paraId="0240D68D" w14:textId="77777777">
      <w:pPr>
        <w:rPr>
          <w:rFonts w:eastAsia="SimSun"/>
          <w:noProof/>
          <w:lang w:val="en-GB"/>
        </w:rPr>
      </w:pPr>
    </w:p>
    <w:p w:rsidR="00863CEA" w:rsidRPr="001F5859" w:rsidP="00900379" w14:paraId="0C73A1D6" w14:textId="77777777">
      <w:pPr>
        <w:rPr>
          <w:rFonts w:eastAsia="SimSun"/>
          <w:b/>
          <w:noProof/>
          <w:lang w:val="en-GB"/>
        </w:rPr>
      </w:pPr>
      <w:r w:rsidRPr="001F5859">
        <w:rPr>
          <w:rFonts w:eastAsia="SimSun"/>
          <w:b/>
          <w:noProof/>
          <w:lang w:val="en-GB"/>
        </w:rPr>
        <w:t>5.2</w:t>
      </w:r>
      <w:r w:rsidRPr="001F5859">
        <w:rPr>
          <w:rFonts w:eastAsia="SimSun"/>
          <w:b/>
          <w:noProof/>
          <w:lang w:val="en-GB"/>
        </w:rPr>
        <w:tab/>
        <w:t>Pharmacokinetic properties</w:t>
      </w:r>
    </w:p>
    <w:p w:rsidR="00863CEA" w:rsidRPr="001F5859" w:rsidP="00900379" w14:paraId="4B145494" w14:textId="77777777">
      <w:pPr>
        <w:rPr>
          <w:rFonts w:eastAsia="SimSun"/>
          <w:b/>
          <w:noProof/>
          <w:lang w:val="en-GB"/>
        </w:rPr>
      </w:pPr>
    </w:p>
    <w:p w:rsidR="00863CEA" w:rsidRPr="001F5859" w:rsidP="00900379" w14:paraId="65FD8753" w14:textId="77777777">
      <w:pPr>
        <w:rPr>
          <w:rFonts w:eastAsia="SimSun"/>
          <w:lang w:val="en-GB" w:eastAsia="zh-CN"/>
        </w:rPr>
      </w:pPr>
      <w:r w:rsidRPr="001F5859">
        <w:rPr>
          <w:rFonts w:eastAsia="SimSun"/>
          <w:lang w:val="en-GB" w:eastAsia="zh-CN"/>
        </w:rPr>
        <w:t xml:space="preserve">A population pharmacokinetic analysis was performed with data from </w:t>
      </w:r>
      <w:r w:rsidRPr="001F5859" w:rsidR="0041623B">
        <w:rPr>
          <w:rFonts w:eastAsia="SimSun"/>
          <w:lang w:val="en-GB" w:eastAsia="zh-CN"/>
        </w:rPr>
        <w:t>481</w:t>
      </w:r>
      <w:r w:rsidRPr="001F5859">
        <w:rPr>
          <w:rFonts w:eastAsia="SimSun"/>
          <w:lang w:val="en-GB" w:eastAsia="zh-CN"/>
        </w:rPr>
        <w:t xml:space="preserve"> patients across different clinical trials (</w:t>
      </w:r>
      <w:r w:rsidRPr="001F5859" w:rsidR="004B3C23">
        <w:rPr>
          <w:rFonts w:eastAsia="SimSun"/>
          <w:lang w:val="en-GB" w:eastAsia="zh-CN"/>
        </w:rPr>
        <w:t>p</w:t>
      </w:r>
      <w:r w:rsidRPr="001F5859">
        <w:rPr>
          <w:rFonts w:eastAsia="SimSun"/>
          <w:lang w:val="en-GB" w:eastAsia="zh-CN"/>
        </w:rPr>
        <w:t xml:space="preserve">hase I, II and III) with various types of advanced malignancies who had received </w:t>
      </w:r>
      <w:r w:rsidRPr="001F5859" w:rsidR="004F5A2F">
        <w:rPr>
          <w:rFonts w:eastAsia="SimSun"/>
          <w:lang w:val="en-GB" w:eastAsia="zh-CN"/>
        </w:rPr>
        <w:t xml:space="preserve">Perjeta </w:t>
      </w:r>
      <w:r w:rsidRPr="001F5859">
        <w:rPr>
          <w:rFonts w:eastAsia="SimSun"/>
          <w:lang w:val="en-GB" w:eastAsia="zh-CN"/>
        </w:rPr>
        <w:t xml:space="preserve">as a single agent or in combination at </w:t>
      </w:r>
      <w:r w:rsidRPr="001F5859" w:rsidR="00AB4CB0">
        <w:rPr>
          <w:rFonts w:eastAsia="SimSun"/>
          <w:lang w:val="en-GB" w:eastAsia="zh-CN"/>
        </w:rPr>
        <w:t xml:space="preserve">pertuzumab </w:t>
      </w:r>
      <w:r w:rsidRPr="001F5859">
        <w:rPr>
          <w:rFonts w:eastAsia="SimSun"/>
          <w:lang w:val="en-GB" w:eastAsia="zh-CN"/>
        </w:rPr>
        <w:t>doses ranging from 2 to 25</w:t>
      </w:r>
      <w:r w:rsidRPr="001F5859" w:rsidR="00600690">
        <w:rPr>
          <w:rFonts w:eastAsia="SimSun"/>
          <w:lang w:val="en-GB" w:eastAsia="zh-CN"/>
        </w:rPr>
        <w:t> </w:t>
      </w:r>
      <w:r w:rsidRPr="001F5859">
        <w:rPr>
          <w:rFonts w:eastAsia="SimSun"/>
          <w:lang w:val="en-GB" w:eastAsia="zh-CN"/>
        </w:rPr>
        <w:t>mg/kg administered every 3 weeks as a 30-60 minutes intravenous infusion.</w:t>
      </w:r>
    </w:p>
    <w:p w:rsidR="006A67D0" w:rsidRPr="001F5859" w:rsidP="00900379" w14:paraId="4A3D5657" w14:textId="77777777">
      <w:pPr>
        <w:rPr>
          <w:rFonts w:eastAsia="SimSun"/>
          <w:lang w:val="en-GB" w:eastAsia="zh-CN"/>
        </w:rPr>
      </w:pPr>
    </w:p>
    <w:p w:rsidR="0041623B" w:rsidRPr="001F5859" w:rsidP="00900379" w14:paraId="2E26239E" w14:textId="77777777">
      <w:pPr>
        <w:rPr>
          <w:rFonts w:eastAsia="SimSun"/>
          <w:u w:val="single"/>
          <w:lang w:val="en-GB" w:eastAsia="zh-CN"/>
        </w:rPr>
      </w:pPr>
      <w:r w:rsidRPr="001F5859">
        <w:rPr>
          <w:rFonts w:eastAsia="SimSun"/>
          <w:u w:val="single"/>
          <w:lang w:val="en-GB" w:eastAsia="zh-CN"/>
        </w:rPr>
        <w:t>Absorption</w:t>
      </w:r>
    </w:p>
    <w:p w:rsidR="00AB4CB0" w:rsidRPr="001F5859" w:rsidP="00900379" w14:paraId="08314057" w14:textId="77777777">
      <w:pPr>
        <w:rPr>
          <w:rFonts w:eastAsia="SimSun"/>
          <w:lang w:val="en-GB"/>
        </w:rPr>
      </w:pPr>
    </w:p>
    <w:p w:rsidR="0041623B" w:rsidRPr="001F5859" w:rsidP="00900379" w14:paraId="647DF835" w14:textId="77777777">
      <w:pPr>
        <w:rPr>
          <w:rFonts w:eastAsia="SimSun"/>
          <w:lang w:val="en-GB"/>
        </w:rPr>
      </w:pPr>
      <w:r w:rsidRPr="001F5859">
        <w:rPr>
          <w:rFonts w:eastAsia="SimSun"/>
          <w:lang w:val="en-GB"/>
        </w:rPr>
        <w:t xml:space="preserve">Perjeta is administered </w:t>
      </w:r>
      <w:r w:rsidRPr="001F5859" w:rsidR="004B3C23">
        <w:rPr>
          <w:rFonts w:eastAsia="SimSun"/>
          <w:lang w:val="en-GB"/>
        </w:rPr>
        <w:t xml:space="preserve">as an </w:t>
      </w:r>
      <w:r w:rsidRPr="001F5859" w:rsidR="004F5A2F">
        <w:rPr>
          <w:rFonts w:eastAsia="SimSun"/>
          <w:lang w:val="en-GB"/>
        </w:rPr>
        <w:t xml:space="preserve">intravenous infusion. </w:t>
      </w:r>
    </w:p>
    <w:p w:rsidR="0041623B" w:rsidRPr="001F5859" w:rsidP="00900379" w14:paraId="4FA808B5" w14:textId="77777777">
      <w:pPr>
        <w:rPr>
          <w:rFonts w:eastAsia="SimSun"/>
          <w:i/>
          <w:lang w:val="en-GB" w:eastAsia="zh-CN"/>
        </w:rPr>
      </w:pPr>
    </w:p>
    <w:p w:rsidR="0041623B" w:rsidRPr="001F5859" w:rsidP="00010452" w14:paraId="7C62E077" w14:textId="77777777">
      <w:pPr>
        <w:keepNext/>
        <w:keepLines/>
        <w:rPr>
          <w:rFonts w:eastAsia="SimSun"/>
          <w:u w:val="single"/>
          <w:lang w:val="en-GB" w:eastAsia="zh-CN"/>
        </w:rPr>
      </w:pPr>
      <w:r w:rsidRPr="001F5859">
        <w:rPr>
          <w:rFonts w:eastAsia="SimSun"/>
          <w:u w:val="single"/>
          <w:lang w:val="en-GB" w:eastAsia="zh-CN"/>
        </w:rPr>
        <w:t>Distribution</w:t>
      </w:r>
    </w:p>
    <w:p w:rsidR="00AB4CB0" w:rsidRPr="001F5859" w:rsidP="00900379" w14:paraId="784A37D4" w14:textId="77777777">
      <w:pPr>
        <w:rPr>
          <w:rFonts w:eastAsia="SimSun"/>
          <w:lang w:val="en-GB" w:eastAsia="zh-CN"/>
        </w:rPr>
      </w:pPr>
    </w:p>
    <w:p w:rsidR="0041623B" w:rsidRPr="001F5859" w:rsidP="00900379" w14:paraId="524CB0EF" w14:textId="77777777">
      <w:pPr>
        <w:rPr>
          <w:rFonts w:eastAsia="SimSun"/>
          <w:lang w:val="en-GB" w:eastAsia="zh-CN"/>
        </w:rPr>
      </w:pPr>
      <w:r w:rsidRPr="001F5859">
        <w:rPr>
          <w:rFonts w:eastAsia="SimSun"/>
          <w:lang w:val="en-GB" w:eastAsia="zh-CN"/>
        </w:rPr>
        <w:t xml:space="preserve">Across all clinical studies, the volume of distribution of the central (Vc) and the peripheral (Vp) compartment </w:t>
      </w:r>
      <w:r w:rsidRPr="001F5859" w:rsidR="000211CE">
        <w:rPr>
          <w:rFonts w:eastAsia="SimSun"/>
          <w:lang w:val="en-GB" w:eastAsia="zh-CN"/>
        </w:rPr>
        <w:t xml:space="preserve">in the typical patient, </w:t>
      </w:r>
      <w:r w:rsidRPr="001F5859">
        <w:rPr>
          <w:rFonts w:eastAsia="SimSun"/>
          <w:lang w:val="en-GB" w:eastAsia="zh-CN"/>
        </w:rPr>
        <w:t>was 3.11</w:t>
      </w:r>
      <w:r w:rsidRPr="001F5859" w:rsidR="007779C7">
        <w:rPr>
          <w:rFonts w:eastAsia="SimSun"/>
          <w:lang w:val="en-GB" w:eastAsia="zh-CN"/>
        </w:rPr>
        <w:t> </w:t>
      </w:r>
      <w:r w:rsidRPr="001F5859" w:rsidR="003D6ED9">
        <w:rPr>
          <w:rFonts w:eastAsia="SimSun"/>
          <w:lang w:val="en-GB" w:eastAsia="zh-CN"/>
        </w:rPr>
        <w:t>litres</w:t>
      </w:r>
      <w:r w:rsidRPr="001F5859">
        <w:rPr>
          <w:rFonts w:eastAsia="SimSun"/>
          <w:lang w:val="en-GB" w:eastAsia="zh-CN"/>
        </w:rPr>
        <w:t xml:space="preserve"> and 2.46</w:t>
      </w:r>
      <w:r w:rsidRPr="001F5859" w:rsidR="007779C7">
        <w:rPr>
          <w:rFonts w:eastAsia="SimSun"/>
          <w:lang w:val="en-GB" w:eastAsia="zh-CN"/>
        </w:rPr>
        <w:t> </w:t>
      </w:r>
      <w:r w:rsidRPr="001F5859" w:rsidR="003D6ED9">
        <w:rPr>
          <w:rFonts w:eastAsia="SimSun"/>
          <w:lang w:val="en-GB" w:eastAsia="zh-CN"/>
        </w:rPr>
        <w:t>litres</w:t>
      </w:r>
      <w:r w:rsidRPr="001F5859">
        <w:rPr>
          <w:rFonts w:eastAsia="SimSun"/>
          <w:lang w:val="en-GB" w:eastAsia="zh-CN"/>
        </w:rPr>
        <w:t>, respectively.</w:t>
      </w:r>
    </w:p>
    <w:p w:rsidR="0041623B" w:rsidRPr="001F5859" w:rsidP="00900379" w14:paraId="632C9079" w14:textId="77777777">
      <w:pPr>
        <w:rPr>
          <w:rFonts w:eastAsia="SimSun"/>
          <w:i/>
          <w:lang w:val="en-GB" w:eastAsia="zh-CN"/>
        </w:rPr>
      </w:pPr>
    </w:p>
    <w:p w:rsidR="0041623B" w:rsidRPr="001F5859" w:rsidP="00900379" w14:paraId="3FAF4F05" w14:textId="77777777">
      <w:pPr>
        <w:rPr>
          <w:rFonts w:eastAsia="SimSun"/>
          <w:u w:val="single"/>
          <w:lang w:val="en-GB" w:eastAsia="zh-CN"/>
        </w:rPr>
      </w:pPr>
      <w:r w:rsidRPr="001F5859">
        <w:rPr>
          <w:rFonts w:eastAsia="SimSun"/>
          <w:u w:val="single"/>
          <w:lang w:val="en-GB" w:eastAsia="zh-CN"/>
        </w:rPr>
        <w:t>Biotransformation</w:t>
      </w:r>
    </w:p>
    <w:p w:rsidR="00AB4CB0" w:rsidRPr="001F5859" w:rsidP="00900379" w14:paraId="43773D38" w14:textId="77777777">
      <w:pPr>
        <w:rPr>
          <w:rFonts w:eastAsia="SimSun"/>
          <w:lang w:val="en-GB" w:eastAsia="de-DE"/>
        </w:rPr>
      </w:pPr>
    </w:p>
    <w:p w:rsidR="0041623B" w:rsidRPr="001F5859" w:rsidP="00900379" w14:paraId="50747558" w14:textId="77777777">
      <w:pPr>
        <w:rPr>
          <w:rFonts w:eastAsia="SimSun"/>
          <w:lang w:val="en-GB" w:eastAsia="de-DE"/>
        </w:rPr>
      </w:pPr>
      <w:r w:rsidRPr="001F5859">
        <w:rPr>
          <w:rFonts w:eastAsia="SimSun"/>
          <w:lang w:val="en-GB" w:eastAsia="de-DE"/>
        </w:rPr>
        <w:t xml:space="preserve">The metabolism of </w:t>
      </w:r>
      <w:r w:rsidRPr="001F5859" w:rsidR="00AB4CB0">
        <w:rPr>
          <w:rFonts w:eastAsia="SimSun"/>
          <w:lang w:val="en-GB" w:eastAsia="de-DE"/>
        </w:rPr>
        <w:t xml:space="preserve">pertuzumab </w:t>
      </w:r>
      <w:r w:rsidRPr="001F5859">
        <w:rPr>
          <w:rFonts w:eastAsia="SimSun"/>
          <w:lang w:val="en-GB" w:eastAsia="de-DE"/>
        </w:rPr>
        <w:t>has not been directly studied. Antibodies are cleared principally by catabolism.</w:t>
      </w:r>
    </w:p>
    <w:p w:rsidR="00900379" w:rsidRPr="001F5859" w:rsidP="00900379" w14:paraId="1EC68F4E" w14:textId="77777777">
      <w:pPr>
        <w:rPr>
          <w:rFonts w:eastAsia="SimSun"/>
          <w:i/>
          <w:lang w:val="en-GB" w:eastAsia="zh-CN"/>
        </w:rPr>
      </w:pPr>
    </w:p>
    <w:p w:rsidR="0041623B" w:rsidRPr="001F5859" w:rsidP="00900379" w14:paraId="4274711D" w14:textId="77777777">
      <w:pPr>
        <w:rPr>
          <w:rFonts w:eastAsia="SimSun"/>
          <w:u w:val="single"/>
          <w:lang w:val="en-GB" w:eastAsia="zh-CN"/>
        </w:rPr>
      </w:pPr>
      <w:r w:rsidRPr="001F5859">
        <w:rPr>
          <w:rFonts w:eastAsia="SimSun"/>
          <w:u w:val="single"/>
          <w:lang w:val="en-GB" w:eastAsia="zh-CN"/>
        </w:rPr>
        <w:t>Elimination</w:t>
      </w:r>
    </w:p>
    <w:p w:rsidR="00AB4CB0" w:rsidRPr="001F5859" w:rsidP="00900379" w14:paraId="08242DD8" w14:textId="77777777">
      <w:pPr>
        <w:rPr>
          <w:rFonts w:eastAsia="SimSun"/>
          <w:lang w:val="en-GB" w:eastAsia="zh-CN"/>
        </w:rPr>
      </w:pPr>
    </w:p>
    <w:p w:rsidR="0041623B" w:rsidRPr="001F5859" w:rsidP="00900379" w14:paraId="6EFF75CE" w14:textId="77777777">
      <w:pPr>
        <w:rPr>
          <w:rFonts w:eastAsia="SimSun"/>
          <w:lang w:val="en-GB" w:eastAsia="zh-CN"/>
        </w:rPr>
      </w:pPr>
      <w:r w:rsidRPr="001F5859">
        <w:rPr>
          <w:rFonts w:eastAsia="SimSun"/>
          <w:lang w:val="en-GB" w:eastAsia="zh-CN"/>
        </w:rPr>
        <w:t xml:space="preserve">The median clearance (CL) of </w:t>
      </w:r>
      <w:r w:rsidRPr="001F5859" w:rsidR="002E5989">
        <w:rPr>
          <w:rFonts w:eastAsia="SimSun"/>
          <w:lang w:val="en-GB" w:eastAsia="zh-CN"/>
        </w:rPr>
        <w:t>pertuzumab</w:t>
      </w:r>
      <w:r w:rsidRPr="001F5859">
        <w:rPr>
          <w:rFonts w:eastAsia="SimSun"/>
          <w:lang w:val="en-GB" w:eastAsia="zh-CN"/>
        </w:rPr>
        <w:t xml:space="preserve"> was 0.235</w:t>
      </w:r>
      <w:r w:rsidRPr="001F5859" w:rsidR="007779C7">
        <w:rPr>
          <w:rFonts w:eastAsia="SimSun"/>
          <w:lang w:val="en-GB" w:eastAsia="zh-CN"/>
        </w:rPr>
        <w:t> </w:t>
      </w:r>
      <w:r w:rsidRPr="001F5859" w:rsidR="00085E5A">
        <w:rPr>
          <w:rFonts w:eastAsia="SimSun"/>
          <w:lang w:val="en-GB" w:eastAsia="zh-CN"/>
        </w:rPr>
        <w:t>litres</w:t>
      </w:r>
      <w:r w:rsidRPr="001F5859">
        <w:rPr>
          <w:rFonts w:eastAsia="SimSun"/>
          <w:lang w:val="en-GB" w:eastAsia="zh-CN"/>
        </w:rPr>
        <w:t>/day and the median half-life was 18 days.</w:t>
      </w:r>
    </w:p>
    <w:p w:rsidR="0041623B" w:rsidRPr="001F5859" w:rsidP="00900379" w14:paraId="595764D5" w14:textId="77777777">
      <w:pPr>
        <w:rPr>
          <w:rFonts w:eastAsia="SimSun"/>
          <w:i/>
          <w:lang w:val="en-GB" w:eastAsia="zh-CN"/>
        </w:rPr>
      </w:pPr>
    </w:p>
    <w:p w:rsidR="0041623B" w:rsidRPr="001F5859" w:rsidP="00900379" w14:paraId="08C4291B" w14:textId="77777777">
      <w:pPr>
        <w:rPr>
          <w:rFonts w:eastAsia="SimSun"/>
          <w:u w:val="single"/>
          <w:lang w:val="en-GB" w:eastAsia="zh-CN"/>
        </w:rPr>
      </w:pPr>
      <w:r w:rsidRPr="001F5859">
        <w:rPr>
          <w:rFonts w:eastAsia="SimSun"/>
          <w:u w:val="single"/>
          <w:lang w:val="en-GB" w:eastAsia="zh-CN"/>
        </w:rPr>
        <w:t>Linearity/non-linearity</w:t>
      </w:r>
    </w:p>
    <w:p w:rsidR="00AB4CB0" w:rsidRPr="001F5859" w:rsidP="00900379" w14:paraId="6869AF99" w14:textId="77777777">
      <w:pPr>
        <w:rPr>
          <w:rFonts w:eastAsia="SimSun"/>
          <w:lang w:val="en-GB"/>
        </w:rPr>
      </w:pPr>
    </w:p>
    <w:p w:rsidR="0041623B" w:rsidRPr="001F5859" w:rsidP="00900379" w14:paraId="398262AA" w14:textId="77777777">
      <w:pPr>
        <w:rPr>
          <w:rFonts w:eastAsia="SimSun"/>
          <w:i/>
          <w:lang w:val="en-GB" w:eastAsia="zh-CN"/>
        </w:rPr>
      </w:pPr>
      <w:r w:rsidRPr="001F5859">
        <w:rPr>
          <w:rFonts w:eastAsia="SimSun"/>
          <w:lang w:val="en-GB"/>
        </w:rPr>
        <w:t>Pertuzumab display</w:t>
      </w:r>
      <w:r w:rsidRPr="001F5859" w:rsidR="00BF0ABC">
        <w:rPr>
          <w:rFonts w:eastAsia="SimSun"/>
          <w:lang w:val="en-GB"/>
        </w:rPr>
        <w:t>ed</w:t>
      </w:r>
      <w:r w:rsidRPr="001F5859">
        <w:rPr>
          <w:rFonts w:eastAsia="SimSun"/>
          <w:lang w:val="en-GB"/>
        </w:rPr>
        <w:t xml:space="preserve"> linear pharmacokinetics within the recommended dose range</w:t>
      </w:r>
      <w:r w:rsidRPr="001F5859" w:rsidR="000211CE">
        <w:rPr>
          <w:rFonts w:eastAsia="SimSun"/>
          <w:lang w:val="en-GB"/>
        </w:rPr>
        <w:t>.</w:t>
      </w:r>
    </w:p>
    <w:p w:rsidR="0041623B" w:rsidRPr="001F5859" w:rsidP="00BE2BD0" w14:paraId="5A0FE4AE" w14:textId="77777777">
      <w:pPr>
        <w:rPr>
          <w:rFonts w:eastAsia="SimSun"/>
          <w:lang w:val="en-GB" w:eastAsia="zh-CN"/>
        </w:rPr>
      </w:pPr>
    </w:p>
    <w:p w:rsidR="0041623B" w:rsidRPr="001F5859" w:rsidP="00900379" w14:paraId="2EC4C7A5" w14:textId="77777777">
      <w:pPr>
        <w:rPr>
          <w:rFonts w:eastAsia="SimSun"/>
          <w:u w:val="single"/>
          <w:lang w:val="en-GB" w:eastAsia="zh-CN"/>
        </w:rPr>
      </w:pPr>
      <w:r w:rsidRPr="001F5859">
        <w:rPr>
          <w:rFonts w:eastAsia="SimSun"/>
          <w:u w:val="single"/>
          <w:lang w:val="en-GB" w:eastAsia="zh-CN"/>
        </w:rPr>
        <w:t>Elderly patients</w:t>
      </w:r>
    </w:p>
    <w:p w:rsidR="00AB4CB0" w:rsidRPr="001F5859" w:rsidP="00900379" w14:paraId="4E2BD603" w14:textId="77777777">
      <w:pPr>
        <w:rPr>
          <w:rFonts w:eastAsia="SimSun"/>
          <w:color w:val="000000"/>
          <w:lang w:val="en-GB"/>
        </w:rPr>
      </w:pPr>
    </w:p>
    <w:p w:rsidR="0041623B" w:rsidRPr="001F5859" w:rsidP="00900379" w14:paraId="02BE1F77" w14:textId="77777777">
      <w:pPr>
        <w:rPr>
          <w:rFonts w:eastAsia="SimSun"/>
          <w:lang w:val="en-GB" w:eastAsia="zh-CN"/>
        </w:rPr>
      </w:pPr>
      <w:r w:rsidRPr="001F5859">
        <w:rPr>
          <w:rFonts w:eastAsia="SimSun"/>
          <w:color w:val="000000"/>
          <w:lang w:val="en-GB"/>
        </w:rPr>
        <w:t xml:space="preserve">Based on the population pharmacokinetic analysis, no significant difference was observed in the pharmacokinetics of </w:t>
      </w:r>
      <w:r w:rsidRPr="001F5859" w:rsidR="00AB4CB0">
        <w:rPr>
          <w:rFonts w:eastAsia="SimSun"/>
          <w:color w:val="000000"/>
          <w:lang w:val="en-GB"/>
        </w:rPr>
        <w:t xml:space="preserve">pertuzumab </w:t>
      </w:r>
      <w:r w:rsidRPr="001F5859">
        <w:rPr>
          <w:rFonts w:eastAsia="SimSun"/>
          <w:color w:val="000000"/>
          <w:lang w:val="en-GB"/>
        </w:rPr>
        <w:t>between patients &lt;</w:t>
      </w:r>
      <w:r w:rsidRPr="001F5859" w:rsidR="003915AA">
        <w:rPr>
          <w:rFonts w:eastAsia="SimSun"/>
          <w:color w:val="000000"/>
          <w:lang w:val="en-GB"/>
        </w:rPr>
        <w:t> </w:t>
      </w:r>
      <w:r w:rsidRPr="001F5859">
        <w:rPr>
          <w:rFonts w:eastAsia="SimSun"/>
          <w:color w:val="000000"/>
          <w:lang w:val="en-GB"/>
        </w:rPr>
        <w:t>65 years (n=306) and patients ≥</w:t>
      </w:r>
      <w:r w:rsidRPr="001F5859" w:rsidR="003915AA">
        <w:rPr>
          <w:rFonts w:eastAsia="SimSun"/>
          <w:color w:val="000000"/>
          <w:lang w:val="en-GB"/>
        </w:rPr>
        <w:t> </w:t>
      </w:r>
      <w:r w:rsidRPr="001F5859">
        <w:rPr>
          <w:rFonts w:eastAsia="SimSun"/>
          <w:color w:val="000000"/>
          <w:lang w:val="en-GB"/>
        </w:rPr>
        <w:t>65 years (n=175).</w:t>
      </w:r>
    </w:p>
    <w:p w:rsidR="0041623B" w:rsidRPr="001F5859" w:rsidP="00900379" w14:paraId="52C9BAB2" w14:textId="77777777">
      <w:pPr>
        <w:rPr>
          <w:rFonts w:eastAsia="SimSun"/>
          <w:lang w:val="en-GB" w:eastAsia="zh-CN"/>
        </w:rPr>
      </w:pPr>
    </w:p>
    <w:p w:rsidR="0041623B" w:rsidRPr="001F5859" w:rsidP="00900379" w14:paraId="200C2DCA" w14:textId="77777777">
      <w:pPr>
        <w:rPr>
          <w:rFonts w:eastAsia="SimSun"/>
          <w:u w:val="single"/>
          <w:lang w:val="en-GB" w:eastAsia="zh-CN"/>
        </w:rPr>
      </w:pPr>
      <w:r w:rsidRPr="001F5859">
        <w:rPr>
          <w:rFonts w:eastAsia="SimSun"/>
          <w:u w:val="single"/>
          <w:lang w:val="en-GB" w:eastAsia="zh-CN"/>
        </w:rPr>
        <w:t xml:space="preserve">Renal impairment </w:t>
      </w:r>
    </w:p>
    <w:p w:rsidR="00AB4CB0" w:rsidRPr="001F5859" w:rsidP="00900379" w14:paraId="0E4550D0" w14:textId="77777777">
      <w:pPr>
        <w:rPr>
          <w:rFonts w:eastAsia="SimSun"/>
          <w:lang w:val="en-GB" w:eastAsia="zh-CN"/>
        </w:rPr>
      </w:pPr>
    </w:p>
    <w:p w:rsidR="0041623B" w:rsidRPr="001F5859" w:rsidP="00900379" w14:paraId="1439F868" w14:textId="77777777">
      <w:pPr>
        <w:rPr>
          <w:rFonts w:eastAsia="SimSun"/>
          <w:lang w:val="en-GB" w:eastAsia="zh-CN"/>
        </w:rPr>
      </w:pPr>
      <w:r w:rsidRPr="001F5859">
        <w:rPr>
          <w:rFonts w:eastAsia="SimSun"/>
          <w:lang w:val="en-GB" w:eastAsia="zh-CN"/>
        </w:rPr>
        <w:t xml:space="preserve">No dedicated renal impairment trial for </w:t>
      </w:r>
      <w:r w:rsidRPr="001F5859" w:rsidR="00E76E38">
        <w:rPr>
          <w:rFonts w:eastAsia="SimSun"/>
          <w:lang w:val="en-GB" w:eastAsia="zh-CN"/>
        </w:rPr>
        <w:t>Perjeta</w:t>
      </w:r>
      <w:r w:rsidRPr="001F5859">
        <w:rPr>
          <w:rFonts w:eastAsia="SimSun"/>
          <w:lang w:val="en-GB" w:eastAsia="zh-CN"/>
        </w:rPr>
        <w:t xml:space="preserve"> has been conducted. Based on the results of the population pharmacokinetic analysis, </w:t>
      </w:r>
      <w:r w:rsidRPr="001F5859" w:rsidR="00AB4CB0">
        <w:rPr>
          <w:rFonts w:eastAsia="SimSun"/>
          <w:lang w:val="en-GB" w:eastAsia="zh-CN"/>
        </w:rPr>
        <w:t xml:space="preserve">pertuzumab </w:t>
      </w:r>
      <w:r w:rsidRPr="001F5859">
        <w:rPr>
          <w:rFonts w:eastAsia="SimSun"/>
          <w:lang w:val="en-GB" w:eastAsia="zh-CN"/>
        </w:rPr>
        <w:t>exposure in patients with mild (creatinine clearance [CLcr] 60 to 90</w:t>
      </w:r>
      <w:r w:rsidRPr="001F5859" w:rsidR="007B0B5F">
        <w:rPr>
          <w:rFonts w:eastAsia="SimSun"/>
          <w:lang w:val="en-GB" w:eastAsia="zh-CN"/>
        </w:rPr>
        <w:t> </w:t>
      </w:r>
      <w:r w:rsidRPr="001F5859">
        <w:rPr>
          <w:rFonts w:eastAsia="SimSun"/>
          <w:lang w:val="en-GB" w:eastAsia="zh-CN"/>
        </w:rPr>
        <w:t>m</w:t>
      </w:r>
      <w:r w:rsidRPr="001F5859" w:rsidR="003D6ED9">
        <w:rPr>
          <w:rFonts w:eastAsia="SimSun"/>
          <w:lang w:val="en-GB" w:eastAsia="zh-CN"/>
        </w:rPr>
        <w:t>l</w:t>
      </w:r>
      <w:r w:rsidRPr="001F5859">
        <w:rPr>
          <w:rFonts w:eastAsia="SimSun"/>
          <w:lang w:val="en-GB" w:eastAsia="zh-CN"/>
        </w:rPr>
        <w:t>/min, N=200) and moderate renal impairment (CLcr 30 to 60</w:t>
      </w:r>
      <w:r w:rsidRPr="001F5859" w:rsidR="007B0B5F">
        <w:rPr>
          <w:rFonts w:eastAsia="SimSun"/>
          <w:lang w:val="en-GB" w:eastAsia="zh-CN"/>
        </w:rPr>
        <w:t> </w:t>
      </w:r>
      <w:r w:rsidRPr="001F5859">
        <w:rPr>
          <w:rFonts w:eastAsia="SimSun"/>
          <w:lang w:val="en-GB" w:eastAsia="zh-CN"/>
        </w:rPr>
        <w:t>m</w:t>
      </w:r>
      <w:r w:rsidRPr="001F5859" w:rsidR="003D6ED9">
        <w:rPr>
          <w:rFonts w:eastAsia="SimSun"/>
          <w:lang w:val="en-GB" w:eastAsia="zh-CN"/>
        </w:rPr>
        <w:t>l</w:t>
      </w:r>
      <w:r w:rsidRPr="001F5859">
        <w:rPr>
          <w:rFonts w:eastAsia="SimSun"/>
          <w:lang w:val="en-GB" w:eastAsia="zh-CN"/>
        </w:rPr>
        <w:t>/min, N=71) was similar to that in patients with normal renal function (CLcr greater than 90</w:t>
      </w:r>
      <w:r w:rsidRPr="001F5859" w:rsidR="007B0B5F">
        <w:rPr>
          <w:rFonts w:eastAsia="SimSun"/>
          <w:lang w:val="en-GB" w:eastAsia="zh-CN"/>
        </w:rPr>
        <w:t> </w:t>
      </w:r>
      <w:r w:rsidRPr="001F5859">
        <w:rPr>
          <w:rFonts w:eastAsia="SimSun"/>
          <w:lang w:val="en-GB" w:eastAsia="zh-CN"/>
        </w:rPr>
        <w:t>m</w:t>
      </w:r>
      <w:r w:rsidRPr="001F5859" w:rsidR="003D6ED9">
        <w:rPr>
          <w:rFonts w:eastAsia="SimSun"/>
          <w:lang w:val="en-GB" w:eastAsia="zh-CN"/>
        </w:rPr>
        <w:t>l</w:t>
      </w:r>
      <w:r w:rsidRPr="001F5859">
        <w:rPr>
          <w:rFonts w:eastAsia="SimSun"/>
          <w:lang w:val="en-GB" w:eastAsia="zh-CN"/>
        </w:rPr>
        <w:t xml:space="preserve">/min, N=200). No relationship between CLcr and </w:t>
      </w:r>
      <w:r w:rsidRPr="001F5859" w:rsidR="00AB4CB0">
        <w:rPr>
          <w:rFonts w:eastAsia="SimSun"/>
          <w:lang w:val="en-GB" w:eastAsia="zh-CN"/>
        </w:rPr>
        <w:t xml:space="preserve">pertuzumab </w:t>
      </w:r>
      <w:r w:rsidRPr="001F5859">
        <w:rPr>
          <w:rFonts w:eastAsia="SimSun"/>
          <w:lang w:val="en-GB" w:eastAsia="zh-CN"/>
        </w:rPr>
        <w:t>exposure was observed over the range of CLcr (27 to 244</w:t>
      </w:r>
      <w:r w:rsidRPr="001F5859" w:rsidR="007B0B5F">
        <w:rPr>
          <w:rFonts w:eastAsia="SimSun"/>
          <w:lang w:val="en-GB" w:eastAsia="zh-CN"/>
        </w:rPr>
        <w:t> </w:t>
      </w:r>
      <w:r w:rsidRPr="001F5859">
        <w:rPr>
          <w:rFonts w:eastAsia="SimSun"/>
          <w:lang w:val="en-GB" w:eastAsia="zh-CN"/>
        </w:rPr>
        <w:t>m</w:t>
      </w:r>
      <w:r w:rsidRPr="001F5859" w:rsidR="003D6ED9">
        <w:rPr>
          <w:rFonts w:eastAsia="SimSun"/>
          <w:lang w:val="en-GB" w:eastAsia="zh-CN"/>
        </w:rPr>
        <w:t>l</w:t>
      </w:r>
      <w:r w:rsidRPr="001F5859">
        <w:rPr>
          <w:rFonts w:eastAsia="SimSun"/>
          <w:lang w:val="en-GB" w:eastAsia="zh-CN"/>
        </w:rPr>
        <w:t>/min).</w:t>
      </w:r>
    </w:p>
    <w:p w:rsidR="00900379" w:rsidRPr="001F5859" w:rsidP="00900379" w14:paraId="0EFB7424" w14:textId="77777777">
      <w:pPr>
        <w:rPr>
          <w:rFonts w:eastAsia="SimSun"/>
          <w:lang w:val="en-GB" w:eastAsia="zh-CN"/>
        </w:rPr>
      </w:pPr>
    </w:p>
    <w:p w:rsidR="00863CEA" w:rsidRPr="001F5859" w:rsidP="00900379" w14:paraId="5FA3520F" w14:textId="77777777">
      <w:pPr>
        <w:rPr>
          <w:rFonts w:eastAsia="SimSun"/>
          <w:u w:val="single"/>
          <w:lang w:val="en-GB" w:eastAsia="zh-CN"/>
        </w:rPr>
      </w:pPr>
      <w:r w:rsidRPr="001F5859">
        <w:rPr>
          <w:rFonts w:eastAsia="SimSun"/>
          <w:u w:val="single"/>
          <w:lang w:val="en-GB" w:eastAsia="zh-CN"/>
        </w:rPr>
        <w:t>Other special populations</w:t>
      </w:r>
    </w:p>
    <w:p w:rsidR="00AB4CB0" w:rsidRPr="001F5859" w:rsidP="00900379" w14:paraId="178FE025" w14:textId="77777777">
      <w:pPr>
        <w:rPr>
          <w:rFonts w:eastAsia="SimSun"/>
          <w:lang w:val="en-GB" w:eastAsia="zh-CN"/>
        </w:rPr>
      </w:pPr>
    </w:p>
    <w:p w:rsidR="00265C2D" w:rsidRPr="001F5859" w:rsidP="00900379" w14:paraId="0596A4FD" w14:textId="77777777">
      <w:pPr>
        <w:rPr>
          <w:rFonts w:eastAsia="SimSun"/>
          <w:lang w:val="en-GB" w:eastAsia="zh-CN"/>
        </w:rPr>
      </w:pPr>
      <w:r w:rsidRPr="001F5859">
        <w:rPr>
          <w:rFonts w:eastAsia="SimSun"/>
          <w:lang w:val="en-GB" w:eastAsia="zh-CN"/>
        </w:rPr>
        <w:t xml:space="preserve">The population PK analysis suggested no PK differences based on age, gender and ethnicity (Japanese versus non-Japanese). Baseline albumin and lean body weight were the most significant covariates influencing CL. CL decreased in patients with higher baseline albumin concentrations and increased in patients with greater lean body weight. However sensitivity analyses performed at the recommended dose and schedule of </w:t>
      </w:r>
      <w:r w:rsidRPr="001F5859" w:rsidR="00E76E38">
        <w:rPr>
          <w:rFonts w:eastAsia="SimSun"/>
          <w:lang w:val="en-GB" w:eastAsia="zh-CN"/>
        </w:rPr>
        <w:t>Perjeta</w:t>
      </w:r>
      <w:r w:rsidRPr="001F5859">
        <w:rPr>
          <w:rFonts w:eastAsia="SimSun"/>
          <w:lang w:val="en-GB" w:eastAsia="zh-CN"/>
        </w:rPr>
        <w:t xml:space="preserve"> showed that at the extreme values of these two covariates, there was no </w:t>
      </w:r>
      <w:r w:rsidRPr="001F5859">
        <w:rPr>
          <w:rFonts w:eastAsia="SimSun"/>
          <w:lang w:val="en-GB" w:eastAsia="zh-CN"/>
        </w:rPr>
        <w:t xml:space="preserve">significant impact on the ability to achieve target steady-state concentrations identified in preclinical tumour xenograft models. Therefore, there is no need to adjust the dosage of </w:t>
      </w:r>
      <w:r w:rsidRPr="001F5859" w:rsidR="00AB4CB0">
        <w:rPr>
          <w:rFonts w:eastAsia="SimSun"/>
          <w:lang w:val="en-GB" w:eastAsia="zh-CN"/>
        </w:rPr>
        <w:t xml:space="preserve">pertuzumab </w:t>
      </w:r>
      <w:r w:rsidRPr="001F5859">
        <w:rPr>
          <w:rFonts w:eastAsia="SimSun"/>
          <w:lang w:val="en-GB" w:eastAsia="zh-CN"/>
        </w:rPr>
        <w:t>based on these covariates.</w:t>
      </w:r>
    </w:p>
    <w:p w:rsidR="00863CEA" w:rsidRPr="001F5859" w:rsidP="00900379" w14:paraId="7F444490" w14:textId="77777777">
      <w:pPr>
        <w:rPr>
          <w:rFonts w:eastAsia="SimSun"/>
          <w:lang w:val="en-GB" w:eastAsia="zh-CN"/>
        </w:rPr>
      </w:pPr>
      <w:r w:rsidRPr="001F5859">
        <w:rPr>
          <w:rFonts w:eastAsia="SimSun"/>
          <w:lang w:val="en-GB" w:eastAsia="zh-CN"/>
        </w:rPr>
        <w:t xml:space="preserve"> </w:t>
      </w:r>
    </w:p>
    <w:p w:rsidR="006F3F1A" w:rsidRPr="001F5859" w:rsidP="00900379" w14:paraId="79075387" w14:textId="77777777">
      <w:pPr>
        <w:rPr>
          <w:lang w:val="en-GB"/>
        </w:rPr>
      </w:pPr>
      <w:r w:rsidRPr="001F5859">
        <w:rPr>
          <w:lang w:val="en-GB"/>
        </w:rPr>
        <w:t xml:space="preserve">The PK results of pertuzumab in the NEOSPHERE </w:t>
      </w:r>
      <w:r w:rsidRPr="001F5859" w:rsidR="005A0CF8">
        <w:rPr>
          <w:lang w:val="en-GB"/>
        </w:rPr>
        <w:t xml:space="preserve">and APHINITY </w:t>
      </w:r>
      <w:r w:rsidRPr="001F5859">
        <w:rPr>
          <w:lang w:val="en-GB"/>
        </w:rPr>
        <w:t>stud</w:t>
      </w:r>
      <w:r w:rsidRPr="001F5859" w:rsidR="005A0CF8">
        <w:rPr>
          <w:lang w:val="en-GB"/>
        </w:rPr>
        <w:t>ies</w:t>
      </w:r>
      <w:r w:rsidRPr="001F5859">
        <w:rPr>
          <w:lang w:val="en-GB"/>
        </w:rPr>
        <w:t xml:space="preserve"> </w:t>
      </w:r>
      <w:r w:rsidRPr="001F5859" w:rsidR="005A0CF8">
        <w:rPr>
          <w:lang w:val="en-GB"/>
        </w:rPr>
        <w:t>we</w:t>
      </w:r>
      <w:r w:rsidRPr="001F5859">
        <w:rPr>
          <w:lang w:val="en-GB"/>
        </w:rPr>
        <w:t>re consistent with the predictions from the previous population PK model.</w:t>
      </w:r>
      <w:r w:rsidRPr="001F5859" w:rsidR="005A0CF8">
        <w:rPr>
          <w:lang w:val="en-GB"/>
        </w:rPr>
        <w:t xml:space="preserve"> </w:t>
      </w:r>
      <w:r w:rsidRPr="001F5859" w:rsidR="005A0CF8">
        <w:t>No differences in pertuzumab PK were observed in patients with early breast cancer compared to patients with metastatic breast cancer.</w:t>
      </w:r>
    </w:p>
    <w:p w:rsidR="004C6AFF" w:rsidRPr="001F5859" w:rsidP="00900379" w14:paraId="291C4E9E" w14:textId="77777777">
      <w:pPr>
        <w:rPr>
          <w:rFonts w:eastAsia="SimSun"/>
          <w:noProof/>
          <w:lang w:val="en-GB"/>
        </w:rPr>
      </w:pPr>
    </w:p>
    <w:p w:rsidR="00863CEA" w:rsidRPr="001F5859" w:rsidP="00900379" w14:paraId="3E00BE84" w14:textId="77777777">
      <w:pPr>
        <w:ind w:left="720" w:hanging="720"/>
        <w:rPr>
          <w:rFonts w:eastAsia="SimSun"/>
          <w:b/>
          <w:noProof/>
          <w:lang w:val="en-GB"/>
        </w:rPr>
      </w:pPr>
      <w:r w:rsidRPr="001F5859">
        <w:rPr>
          <w:rFonts w:eastAsia="SimSun"/>
          <w:b/>
          <w:noProof/>
          <w:lang w:val="en-GB"/>
        </w:rPr>
        <w:t>5.3</w:t>
      </w:r>
      <w:r w:rsidRPr="001F5859">
        <w:rPr>
          <w:rFonts w:eastAsia="SimSun"/>
          <w:b/>
          <w:noProof/>
          <w:lang w:val="en-GB"/>
        </w:rPr>
        <w:tab/>
        <w:t>Preclinical safety data</w:t>
      </w:r>
    </w:p>
    <w:p w:rsidR="006A67D0" w:rsidRPr="001F5859" w:rsidP="00900379" w14:paraId="3D99B3DB" w14:textId="77777777">
      <w:pPr>
        <w:rPr>
          <w:rFonts w:eastAsia="SimSun"/>
          <w:noProof/>
          <w:lang w:val="en-GB"/>
        </w:rPr>
      </w:pPr>
    </w:p>
    <w:p w:rsidR="00863CEA" w:rsidRPr="001F5859" w:rsidP="00900379" w14:paraId="4C95B399" w14:textId="77777777">
      <w:pPr>
        <w:rPr>
          <w:rFonts w:eastAsia="SimSun"/>
          <w:noProof/>
          <w:lang w:val="en-GB"/>
        </w:rPr>
      </w:pPr>
      <w:r w:rsidRPr="001F5859">
        <w:rPr>
          <w:rFonts w:eastAsia="SimSun"/>
          <w:noProof/>
          <w:lang w:val="en-GB"/>
        </w:rPr>
        <w:t>No specific fertility studies in animals have been performed to evaluate the effect of pertuzumab. No definitive conclusion on adverse effects can be drawn on the male reproductive organs in cynomolgus monkey repeated dose toxicity study.</w:t>
      </w:r>
    </w:p>
    <w:p w:rsidR="000E617D" w:rsidRPr="001F5859" w:rsidP="00900379" w14:paraId="2617C2A9" w14:textId="77777777">
      <w:pPr>
        <w:rPr>
          <w:rFonts w:eastAsia="SimSun"/>
          <w:noProof/>
          <w:lang w:val="en-GB"/>
        </w:rPr>
      </w:pPr>
    </w:p>
    <w:p w:rsidR="00863CEA" w:rsidRPr="001F5859" w:rsidP="00900379" w14:paraId="78938B35" w14:textId="77777777">
      <w:pPr>
        <w:rPr>
          <w:rFonts w:eastAsia="SimSun"/>
          <w:lang w:val="en-GB"/>
        </w:rPr>
      </w:pPr>
      <w:r w:rsidRPr="001F5859">
        <w:rPr>
          <w:rFonts w:eastAsia="SimSun"/>
          <w:lang w:val="en-GB"/>
        </w:rPr>
        <w:t>Reproductive toxicology studies have been conducted in pregnant cynomolgus monkeys (Gestational Day (GD) 19 th</w:t>
      </w:r>
      <w:r w:rsidRPr="001F5859" w:rsidR="006631BA">
        <w:rPr>
          <w:rFonts w:eastAsia="SimSun"/>
          <w:lang w:val="en-GB"/>
        </w:rPr>
        <w:t>r</w:t>
      </w:r>
      <w:r w:rsidRPr="001F5859">
        <w:rPr>
          <w:rFonts w:eastAsia="SimSun"/>
          <w:lang w:val="en-GB"/>
        </w:rPr>
        <w:t>ough to GD 50) at initial doses of 30 to 150</w:t>
      </w:r>
      <w:r w:rsidRPr="001F5859" w:rsidR="007B0B5F">
        <w:rPr>
          <w:rFonts w:eastAsia="SimSun"/>
          <w:lang w:val="en-GB"/>
        </w:rPr>
        <w:t> </w:t>
      </w:r>
      <w:r w:rsidRPr="001F5859">
        <w:rPr>
          <w:rFonts w:eastAsia="SimSun"/>
          <w:lang w:val="en-GB"/>
        </w:rPr>
        <w:t>mg/kg followed by bi</w:t>
      </w:r>
      <w:r w:rsidRPr="001F5859">
        <w:rPr>
          <w:rFonts w:eastAsia="SimSun"/>
          <w:lang w:val="en-GB"/>
        </w:rPr>
        <w:noBreakHyphen/>
        <w:t>weekly doses of 10 to 100 mg/kg.</w:t>
      </w:r>
      <w:r w:rsidRPr="001F5859" w:rsidR="00071FC5">
        <w:rPr>
          <w:rFonts w:eastAsia="SimSun"/>
          <w:lang w:val="en-GB"/>
        </w:rPr>
        <w:t xml:space="preserve"> </w:t>
      </w:r>
      <w:r w:rsidRPr="001F5859">
        <w:rPr>
          <w:rFonts w:eastAsia="SimSun"/>
          <w:lang w:val="en-GB"/>
        </w:rPr>
        <w:t>These dose levels resulted in clinically relevant exposures of 2.5</w:t>
      </w:r>
      <w:r w:rsidRPr="001F5859" w:rsidR="00071FC5">
        <w:rPr>
          <w:rFonts w:eastAsia="SimSun"/>
          <w:lang w:val="en-GB"/>
        </w:rPr>
        <w:t> </w:t>
      </w:r>
      <w:r w:rsidRPr="001F5859">
        <w:rPr>
          <w:rFonts w:eastAsia="SimSun"/>
          <w:lang w:val="en-GB"/>
        </w:rPr>
        <w:t>to 20-fold greater than the recommended human dose, based on C</w:t>
      </w:r>
      <w:r w:rsidRPr="001F5859">
        <w:rPr>
          <w:rFonts w:eastAsia="SimSun"/>
          <w:vertAlign w:val="subscript"/>
          <w:lang w:val="en-GB"/>
        </w:rPr>
        <w:t>max</w:t>
      </w:r>
      <w:r w:rsidRPr="001F5859">
        <w:rPr>
          <w:rFonts w:eastAsia="SimSun"/>
          <w:lang w:val="en-GB"/>
        </w:rPr>
        <w:t xml:space="preserve">. Intravenous administration of </w:t>
      </w:r>
      <w:r w:rsidRPr="001F5859" w:rsidR="004F5A2F">
        <w:rPr>
          <w:rFonts w:eastAsia="SimSun"/>
          <w:lang w:val="en-GB"/>
        </w:rPr>
        <w:t>pertuzumab</w:t>
      </w:r>
      <w:r w:rsidRPr="001F5859" w:rsidR="000211CE">
        <w:rPr>
          <w:rFonts w:eastAsia="SimSun"/>
          <w:lang w:val="en-GB"/>
        </w:rPr>
        <w:t xml:space="preserve"> </w:t>
      </w:r>
      <w:r w:rsidRPr="001F5859">
        <w:rPr>
          <w:rFonts w:eastAsia="SimSun"/>
          <w:lang w:val="en-GB"/>
        </w:rPr>
        <w:t>from GD19 through GD50 (period of organogenesis) was embryotoxic, with dose-dependent increases in embryo-f</w:t>
      </w:r>
      <w:r w:rsidRPr="001F5859" w:rsidR="000211CE">
        <w:rPr>
          <w:rFonts w:eastAsia="SimSun"/>
          <w:lang w:val="en-GB"/>
        </w:rPr>
        <w:t>o</w:t>
      </w:r>
      <w:r w:rsidRPr="001F5859">
        <w:rPr>
          <w:rFonts w:eastAsia="SimSun"/>
          <w:lang w:val="en-GB"/>
        </w:rPr>
        <w:t>etal death between GD25 to GD70. The incidences of embryo-f</w:t>
      </w:r>
      <w:r w:rsidRPr="001F5859" w:rsidR="000211CE">
        <w:rPr>
          <w:rFonts w:eastAsia="SimSun"/>
          <w:lang w:val="en-GB"/>
        </w:rPr>
        <w:t>o</w:t>
      </w:r>
      <w:r w:rsidRPr="001F5859">
        <w:rPr>
          <w:rFonts w:eastAsia="SimSun"/>
          <w:lang w:val="en-GB"/>
        </w:rPr>
        <w:t>etal loss were 33, 50, and 85% for</w:t>
      </w:r>
      <w:r w:rsidRPr="001F5859" w:rsidR="00A77C1F">
        <w:rPr>
          <w:rFonts w:eastAsia="SimSun"/>
          <w:lang w:val="en-GB"/>
        </w:rPr>
        <w:t xml:space="preserve"> pregnant</w:t>
      </w:r>
      <w:r w:rsidRPr="001F5859" w:rsidR="00342A5F">
        <w:rPr>
          <w:rFonts w:eastAsia="SimSun"/>
          <w:lang w:val="en-GB"/>
        </w:rPr>
        <w:t xml:space="preserve"> female monkeys</w:t>
      </w:r>
      <w:r w:rsidRPr="001F5859" w:rsidR="001E42E6">
        <w:rPr>
          <w:rFonts w:eastAsia="SimSun"/>
          <w:lang w:val="en-GB"/>
        </w:rPr>
        <w:t xml:space="preserve"> </w:t>
      </w:r>
      <w:r w:rsidRPr="001F5859">
        <w:rPr>
          <w:rFonts w:eastAsia="SimSun"/>
          <w:lang w:val="en-GB"/>
        </w:rPr>
        <w:t>treated with bi</w:t>
      </w:r>
      <w:r w:rsidRPr="001F5859">
        <w:rPr>
          <w:rFonts w:eastAsia="SimSun"/>
          <w:lang w:val="en-GB"/>
        </w:rPr>
        <w:noBreakHyphen/>
        <w:t>weekly</w:t>
      </w:r>
      <w:r w:rsidRPr="001F5859" w:rsidR="000211CE">
        <w:rPr>
          <w:rFonts w:eastAsia="SimSun"/>
          <w:lang w:val="en-GB"/>
        </w:rPr>
        <w:t xml:space="preserve"> </w:t>
      </w:r>
      <w:r w:rsidRPr="001F5859">
        <w:rPr>
          <w:rFonts w:eastAsia="SimSun"/>
          <w:lang w:val="en-GB"/>
        </w:rPr>
        <w:t xml:space="preserve">pertuzumab doses of 10, 30, and 100 mg/kg, respectively (2.5 to 20-fold greater than the recommended human dose, based on </w:t>
      </w:r>
      <w:r w:rsidRPr="001F5859" w:rsidR="005D6659">
        <w:rPr>
          <w:rFonts w:eastAsia="SimSun"/>
          <w:lang w:val="en-GB"/>
        </w:rPr>
        <w:t>C</w:t>
      </w:r>
      <w:r w:rsidRPr="001F5859" w:rsidR="005D6659">
        <w:rPr>
          <w:rFonts w:eastAsia="SimSun"/>
          <w:vertAlign w:val="subscript"/>
          <w:lang w:val="en-GB"/>
        </w:rPr>
        <w:t>max</w:t>
      </w:r>
      <w:r w:rsidRPr="001F5859">
        <w:rPr>
          <w:rFonts w:eastAsia="SimSun"/>
          <w:lang w:val="en-GB"/>
        </w:rPr>
        <w:t>). At Caesarean section on GD100, oligohydramnios, decreased relative lung and kidney weights and microscopic evidence of renal hypoplasia consistent with delayed renal development were identified</w:t>
      </w:r>
      <w:r w:rsidRPr="001F5859" w:rsidR="004044AF">
        <w:rPr>
          <w:rFonts w:eastAsia="SimSun"/>
          <w:lang w:val="en-GB"/>
        </w:rPr>
        <w:t xml:space="preserve"> in all </w:t>
      </w:r>
      <w:r w:rsidRPr="001F5859" w:rsidR="004F5A2F">
        <w:rPr>
          <w:rFonts w:eastAsia="SimSun"/>
          <w:lang w:val="en-GB"/>
        </w:rPr>
        <w:t>pertuzumab</w:t>
      </w:r>
      <w:r w:rsidRPr="001F5859" w:rsidR="000211CE">
        <w:rPr>
          <w:rFonts w:eastAsia="SimSun"/>
          <w:lang w:val="en-GB"/>
        </w:rPr>
        <w:t xml:space="preserve"> </w:t>
      </w:r>
      <w:r w:rsidRPr="001F5859" w:rsidR="004044AF">
        <w:rPr>
          <w:rFonts w:eastAsia="SimSun"/>
          <w:lang w:val="en-GB"/>
        </w:rPr>
        <w:t>dose groups. In addition, consistent with f</w:t>
      </w:r>
      <w:r w:rsidRPr="001F5859" w:rsidR="003D6ED9">
        <w:rPr>
          <w:rFonts w:eastAsia="SimSun"/>
          <w:lang w:val="en-GB"/>
        </w:rPr>
        <w:t>o</w:t>
      </w:r>
      <w:r w:rsidRPr="001F5859" w:rsidR="004044AF">
        <w:rPr>
          <w:rFonts w:eastAsia="SimSun"/>
          <w:lang w:val="en-GB"/>
        </w:rPr>
        <w:t xml:space="preserve">etal growth restrictions, secondary to oligohydramnios, lung hypoplasia (1 of 6 </w:t>
      </w:r>
      <w:r w:rsidRPr="001F5859" w:rsidR="00071FC5">
        <w:rPr>
          <w:rFonts w:eastAsia="SimSun"/>
          <w:lang w:val="en-GB"/>
        </w:rPr>
        <w:t xml:space="preserve">in </w:t>
      </w:r>
      <w:r w:rsidRPr="001F5859" w:rsidR="004044AF">
        <w:rPr>
          <w:rFonts w:eastAsia="SimSun"/>
          <w:lang w:val="en-GB"/>
        </w:rPr>
        <w:t>30</w:t>
      </w:r>
      <w:r w:rsidRPr="001F5859" w:rsidR="00071FC5">
        <w:rPr>
          <w:rFonts w:eastAsia="SimSun"/>
          <w:lang w:val="en-GB"/>
        </w:rPr>
        <w:t> </w:t>
      </w:r>
      <w:r w:rsidRPr="001F5859" w:rsidR="004044AF">
        <w:rPr>
          <w:rFonts w:eastAsia="SimSun"/>
          <w:lang w:val="en-GB"/>
        </w:rPr>
        <w:t>mg/kg and 1 of 2</w:t>
      </w:r>
      <w:r w:rsidRPr="001F5859" w:rsidR="00071FC5">
        <w:rPr>
          <w:rFonts w:eastAsia="SimSun"/>
          <w:lang w:val="en-GB"/>
        </w:rPr>
        <w:t xml:space="preserve"> in</w:t>
      </w:r>
      <w:r w:rsidRPr="001F5859" w:rsidR="004044AF">
        <w:rPr>
          <w:rFonts w:eastAsia="SimSun"/>
          <w:lang w:val="en-GB"/>
        </w:rPr>
        <w:t>100</w:t>
      </w:r>
      <w:r w:rsidRPr="001F5859" w:rsidR="00071FC5">
        <w:rPr>
          <w:rFonts w:eastAsia="SimSun"/>
          <w:lang w:val="en-GB"/>
        </w:rPr>
        <w:t> </w:t>
      </w:r>
      <w:r w:rsidRPr="001F5859" w:rsidR="004044AF">
        <w:rPr>
          <w:rFonts w:eastAsia="SimSun"/>
          <w:lang w:val="en-GB"/>
        </w:rPr>
        <w:t>mg/kg</w:t>
      </w:r>
      <w:r w:rsidRPr="001F5859" w:rsidR="00071FC5">
        <w:rPr>
          <w:rFonts w:eastAsia="SimSun"/>
          <w:lang w:val="en-GB"/>
        </w:rPr>
        <w:t xml:space="preserve"> groups</w:t>
      </w:r>
      <w:r w:rsidRPr="001F5859" w:rsidR="004044AF">
        <w:rPr>
          <w:rFonts w:eastAsia="SimSun"/>
          <w:lang w:val="en-GB"/>
        </w:rPr>
        <w:t>), ventricular septal defects (1 of 6</w:t>
      </w:r>
      <w:r w:rsidRPr="001F5859" w:rsidR="00071FC5">
        <w:rPr>
          <w:rFonts w:eastAsia="SimSun"/>
          <w:lang w:val="en-GB"/>
        </w:rPr>
        <w:t xml:space="preserve"> in</w:t>
      </w:r>
      <w:r w:rsidRPr="001F5859" w:rsidR="004044AF">
        <w:rPr>
          <w:rFonts w:eastAsia="SimSun"/>
          <w:lang w:val="en-GB"/>
        </w:rPr>
        <w:t xml:space="preserve"> 30</w:t>
      </w:r>
      <w:r w:rsidRPr="001F5859" w:rsidR="00071FC5">
        <w:rPr>
          <w:rFonts w:eastAsia="SimSun"/>
          <w:lang w:val="en-GB"/>
        </w:rPr>
        <w:t> </w:t>
      </w:r>
      <w:r w:rsidRPr="001F5859" w:rsidR="004044AF">
        <w:rPr>
          <w:rFonts w:eastAsia="SimSun"/>
          <w:lang w:val="en-GB"/>
        </w:rPr>
        <w:t>mg/kg</w:t>
      </w:r>
      <w:r w:rsidRPr="001F5859" w:rsidR="00071FC5">
        <w:rPr>
          <w:rFonts w:eastAsia="SimSun"/>
          <w:lang w:val="en-GB"/>
        </w:rPr>
        <w:t xml:space="preserve"> group</w:t>
      </w:r>
      <w:r w:rsidRPr="001F5859" w:rsidR="004044AF">
        <w:rPr>
          <w:rFonts w:eastAsia="SimSun"/>
          <w:lang w:val="en-GB"/>
        </w:rPr>
        <w:t xml:space="preserve">), thin ventricular wall </w:t>
      </w:r>
      <w:r w:rsidRPr="001F5859" w:rsidR="00071FC5">
        <w:rPr>
          <w:rFonts w:eastAsia="SimSun"/>
          <w:lang w:val="en-GB"/>
        </w:rPr>
        <w:t>(</w:t>
      </w:r>
      <w:r w:rsidRPr="001F5859" w:rsidR="004044AF">
        <w:rPr>
          <w:rFonts w:eastAsia="SimSun"/>
          <w:lang w:val="en-GB"/>
        </w:rPr>
        <w:t xml:space="preserve">1 of 2 </w:t>
      </w:r>
      <w:r w:rsidRPr="001F5859" w:rsidR="00071FC5">
        <w:rPr>
          <w:rFonts w:eastAsia="SimSun"/>
          <w:lang w:val="en-GB"/>
        </w:rPr>
        <w:t xml:space="preserve">in </w:t>
      </w:r>
      <w:r w:rsidRPr="001F5859" w:rsidR="004044AF">
        <w:rPr>
          <w:rFonts w:eastAsia="SimSun"/>
          <w:lang w:val="en-GB"/>
        </w:rPr>
        <w:t>100</w:t>
      </w:r>
      <w:r w:rsidRPr="001F5859" w:rsidR="00071FC5">
        <w:rPr>
          <w:rFonts w:eastAsia="SimSun"/>
          <w:lang w:val="en-GB"/>
        </w:rPr>
        <w:t> </w:t>
      </w:r>
      <w:r w:rsidRPr="001F5859" w:rsidR="004044AF">
        <w:rPr>
          <w:rFonts w:eastAsia="SimSun"/>
          <w:lang w:val="en-GB"/>
        </w:rPr>
        <w:t>mg/kg</w:t>
      </w:r>
      <w:r w:rsidRPr="001F5859" w:rsidR="00071FC5">
        <w:rPr>
          <w:rFonts w:eastAsia="SimSun"/>
          <w:lang w:val="en-GB"/>
        </w:rPr>
        <w:t xml:space="preserve"> group</w:t>
      </w:r>
      <w:r w:rsidRPr="001F5859" w:rsidR="004044AF">
        <w:rPr>
          <w:rFonts w:eastAsia="SimSun"/>
          <w:lang w:val="en-GB"/>
        </w:rPr>
        <w:t xml:space="preserve">) and minor skeletal defects (external - 3 of 6 </w:t>
      </w:r>
      <w:r w:rsidRPr="001F5859" w:rsidR="00071FC5">
        <w:rPr>
          <w:rFonts w:eastAsia="SimSun"/>
          <w:lang w:val="en-GB"/>
        </w:rPr>
        <w:t xml:space="preserve">in </w:t>
      </w:r>
      <w:r w:rsidRPr="001F5859" w:rsidR="004044AF">
        <w:rPr>
          <w:rFonts w:eastAsia="SimSun"/>
          <w:lang w:val="en-GB"/>
        </w:rPr>
        <w:t>30</w:t>
      </w:r>
      <w:r w:rsidRPr="001F5859" w:rsidR="00071FC5">
        <w:rPr>
          <w:rFonts w:eastAsia="SimSun"/>
          <w:lang w:val="en-GB"/>
        </w:rPr>
        <w:t> </w:t>
      </w:r>
      <w:r w:rsidRPr="001F5859" w:rsidR="004044AF">
        <w:rPr>
          <w:rFonts w:eastAsia="SimSun"/>
          <w:lang w:val="en-GB"/>
        </w:rPr>
        <w:t>mg/kg</w:t>
      </w:r>
      <w:r w:rsidRPr="001F5859" w:rsidR="00071FC5">
        <w:rPr>
          <w:rFonts w:eastAsia="SimSun"/>
          <w:lang w:val="en-GB"/>
        </w:rPr>
        <w:t xml:space="preserve"> group</w:t>
      </w:r>
      <w:r w:rsidRPr="001F5859" w:rsidR="004044AF">
        <w:rPr>
          <w:rFonts w:eastAsia="SimSun"/>
          <w:lang w:val="en-GB"/>
        </w:rPr>
        <w:t xml:space="preserve">) were also noted.  </w:t>
      </w:r>
      <w:r w:rsidRPr="001F5859" w:rsidR="004F5A2F">
        <w:rPr>
          <w:rFonts w:eastAsia="SimSun"/>
          <w:lang w:val="en-GB"/>
        </w:rPr>
        <w:t>Pertuzumab</w:t>
      </w:r>
      <w:r w:rsidRPr="001F5859" w:rsidR="000211CE">
        <w:rPr>
          <w:rFonts w:eastAsia="SimSun"/>
          <w:lang w:val="en-GB"/>
        </w:rPr>
        <w:t xml:space="preserve"> </w:t>
      </w:r>
      <w:r w:rsidRPr="001F5859" w:rsidR="004044AF">
        <w:rPr>
          <w:rFonts w:eastAsia="SimSun"/>
          <w:lang w:val="en-GB"/>
        </w:rPr>
        <w:t>exposure was reported in offspring from all treated groups, at levels of 29% to 40% of maternal serum levels at GD100.</w:t>
      </w:r>
      <w:r w:rsidRPr="001F5859" w:rsidR="004C6AFF">
        <w:rPr>
          <w:rFonts w:eastAsia="SimSun"/>
          <w:lang w:val="en-GB"/>
        </w:rPr>
        <w:t xml:space="preserve"> </w:t>
      </w:r>
    </w:p>
    <w:p w:rsidR="004E44C3" w:rsidRPr="001F5859" w:rsidP="00900379" w14:paraId="4F506AD6" w14:textId="77777777">
      <w:pPr>
        <w:rPr>
          <w:rFonts w:eastAsia="SimSun"/>
          <w:lang w:val="en-GB"/>
        </w:rPr>
      </w:pPr>
    </w:p>
    <w:p w:rsidR="00863CEA" w:rsidRPr="001F5859" w:rsidP="00900379" w14:paraId="5B1F73E0" w14:textId="77777777">
      <w:pPr>
        <w:rPr>
          <w:rFonts w:eastAsia="SimSun"/>
          <w:noProof/>
          <w:lang w:val="en-GB"/>
        </w:rPr>
      </w:pPr>
      <w:r w:rsidRPr="001F5859">
        <w:rPr>
          <w:rFonts w:eastAsia="SimSun"/>
          <w:lang w:val="en-GB"/>
        </w:rPr>
        <w:t xml:space="preserve">In cynomolgus monkeys, weekly </w:t>
      </w:r>
      <w:r w:rsidRPr="001F5859" w:rsidR="003D6ED9">
        <w:rPr>
          <w:rFonts w:eastAsia="SimSun"/>
          <w:lang w:val="en-GB"/>
        </w:rPr>
        <w:t>intravenous</w:t>
      </w:r>
      <w:r w:rsidRPr="001F5859">
        <w:rPr>
          <w:rFonts w:eastAsia="SimSun"/>
          <w:lang w:val="en-GB"/>
        </w:rPr>
        <w:t xml:space="preserve"> administration of </w:t>
      </w:r>
      <w:r w:rsidRPr="001F5859" w:rsidR="003D6ED9">
        <w:rPr>
          <w:rFonts w:eastAsia="SimSun"/>
          <w:lang w:val="en-GB" w:eastAsia="zh-CN"/>
        </w:rPr>
        <w:t>pertuzumab</w:t>
      </w:r>
      <w:r w:rsidRPr="001F5859">
        <w:rPr>
          <w:rFonts w:eastAsia="SimSun"/>
          <w:lang w:val="en-GB" w:eastAsia="zh-CN"/>
        </w:rPr>
        <w:t xml:space="preserve"> </w:t>
      </w:r>
      <w:r w:rsidRPr="001F5859">
        <w:rPr>
          <w:rFonts w:eastAsia="SimSun"/>
          <w:lang w:val="en-GB"/>
        </w:rPr>
        <w:t>at doses up to 150 mg/kg/dose w</w:t>
      </w:r>
      <w:r w:rsidRPr="001F5859" w:rsidR="00982E4D">
        <w:rPr>
          <w:rFonts w:eastAsia="SimSun"/>
          <w:lang w:val="en-GB"/>
        </w:rPr>
        <w:t>as</w:t>
      </w:r>
      <w:r w:rsidRPr="001F5859">
        <w:rPr>
          <w:rFonts w:eastAsia="SimSun"/>
          <w:lang w:val="en-GB"/>
        </w:rPr>
        <w:t xml:space="preserve"> generally well tolerated. With doses of 15 mg/kg and higher, intermittent mild treatment-associated diarrhoea was noted. In a subset of monkeys, chronic dosing (7 to 26 weekly doses) resulted in episodes of severe </w:t>
      </w:r>
      <w:r w:rsidRPr="001F5859" w:rsidR="000211CE">
        <w:rPr>
          <w:rFonts w:eastAsia="SimSun"/>
          <w:lang w:val="en-GB"/>
        </w:rPr>
        <w:t>secretory diarrhoea</w:t>
      </w:r>
      <w:r w:rsidRPr="001F5859">
        <w:rPr>
          <w:rFonts w:eastAsia="SimSun"/>
          <w:lang w:val="en-GB"/>
        </w:rPr>
        <w:t>. The diarrh</w:t>
      </w:r>
      <w:r w:rsidRPr="001F5859" w:rsidR="000211CE">
        <w:rPr>
          <w:rFonts w:eastAsia="SimSun"/>
          <w:lang w:val="en-GB"/>
        </w:rPr>
        <w:t>o</w:t>
      </w:r>
      <w:r w:rsidRPr="001F5859">
        <w:rPr>
          <w:rFonts w:eastAsia="SimSun"/>
          <w:lang w:val="en-GB"/>
        </w:rPr>
        <w:t xml:space="preserve">ea was managed (with </w:t>
      </w:r>
      <w:r w:rsidRPr="001F5859" w:rsidR="00BF0ABC">
        <w:rPr>
          <w:rFonts w:eastAsia="SimSun"/>
          <w:lang w:val="en-GB"/>
        </w:rPr>
        <w:t>the exception of euthanasia of one</w:t>
      </w:r>
      <w:r w:rsidRPr="001F5859" w:rsidR="001820A2">
        <w:rPr>
          <w:rFonts w:eastAsia="SimSun"/>
          <w:lang w:val="en-GB"/>
        </w:rPr>
        <w:t xml:space="preserve"> </w:t>
      </w:r>
      <w:r w:rsidRPr="001F5859">
        <w:rPr>
          <w:rFonts w:eastAsia="SimSun"/>
          <w:lang w:val="en-GB"/>
        </w:rPr>
        <w:t>animal, 50</w:t>
      </w:r>
      <w:r w:rsidRPr="001F5859" w:rsidR="00071FC5">
        <w:rPr>
          <w:rFonts w:eastAsia="SimSun"/>
          <w:lang w:val="en-GB"/>
        </w:rPr>
        <w:t> </w:t>
      </w:r>
      <w:r w:rsidRPr="001F5859">
        <w:rPr>
          <w:rFonts w:eastAsia="SimSun"/>
          <w:lang w:val="en-GB"/>
        </w:rPr>
        <w:t>mg/kg/dose) with supportive care including intravenous fluid replacement therapy.</w:t>
      </w:r>
    </w:p>
    <w:p w:rsidR="001726E4" w:rsidRPr="001F5859" w:rsidP="001726E4" w14:paraId="60AD33F0" w14:textId="77777777">
      <w:pPr>
        <w:rPr>
          <w:rFonts w:eastAsia="SimSun"/>
          <w:noProof/>
          <w:lang w:val="en-GB"/>
        </w:rPr>
      </w:pPr>
    </w:p>
    <w:p w:rsidR="00900379" w:rsidRPr="001F5859" w:rsidP="00900379" w14:paraId="6FAE56AD" w14:textId="77777777">
      <w:pPr>
        <w:rPr>
          <w:rFonts w:eastAsia="SimSun"/>
          <w:b/>
          <w:noProof/>
          <w:lang w:val="en-GB"/>
        </w:rPr>
      </w:pPr>
    </w:p>
    <w:p w:rsidR="00863CEA" w:rsidRPr="001F5859" w:rsidP="00900379" w14:paraId="0E40188C" w14:textId="77777777">
      <w:pPr>
        <w:rPr>
          <w:rFonts w:eastAsia="SimSun"/>
          <w:b/>
          <w:noProof/>
          <w:lang w:val="en-GB"/>
        </w:rPr>
      </w:pPr>
      <w:r w:rsidRPr="001F5859">
        <w:rPr>
          <w:rFonts w:eastAsia="SimSun"/>
          <w:b/>
          <w:noProof/>
          <w:lang w:val="en-GB"/>
        </w:rPr>
        <w:t>6.</w:t>
      </w:r>
      <w:r w:rsidRPr="001F5859">
        <w:rPr>
          <w:rFonts w:eastAsia="SimSun"/>
          <w:b/>
          <w:noProof/>
          <w:lang w:val="en-GB"/>
        </w:rPr>
        <w:tab/>
        <w:t>PHARMACEUTICAL PARTICULARS</w:t>
      </w:r>
    </w:p>
    <w:p w:rsidR="00863CEA" w:rsidRPr="001F5859" w:rsidP="00900379" w14:paraId="4BFA6356" w14:textId="77777777">
      <w:pPr>
        <w:rPr>
          <w:rFonts w:eastAsia="SimSun"/>
          <w:noProof/>
          <w:lang w:val="en-GB"/>
        </w:rPr>
      </w:pPr>
    </w:p>
    <w:p w:rsidR="00863CEA" w:rsidRPr="001F5859" w:rsidP="00900379" w14:paraId="5FC1C816" w14:textId="77777777">
      <w:pPr>
        <w:rPr>
          <w:rFonts w:eastAsia="SimSun"/>
          <w:b/>
          <w:noProof/>
          <w:lang w:val="en-GB"/>
        </w:rPr>
      </w:pPr>
      <w:r w:rsidRPr="001F5859">
        <w:rPr>
          <w:rFonts w:eastAsia="SimSun"/>
          <w:b/>
          <w:noProof/>
          <w:lang w:val="en-GB"/>
        </w:rPr>
        <w:t>6.1</w:t>
      </w:r>
      <w:r w:rsidRPr="001F5859">
        <w:rPr>
          <w:rFonts w:eastAsia="SimSun"/>
          <w:b/>
          <w:noProof/>
          <w:lang w:val="en-GB"/>
        </w:rPr>
        <w:tab/>
        <w:t>List of excipients</w:t>
      </w:r>
    </w:p>
    <w:p w:rsidR="00863CEA" w:rsidRPr="001F5859" w:rsidP="00900379" w14:paraId="2825D8C6" w14:textId="77777777">
      <w:pPr>
        <w:rPr>
          <w:rFonts w:eastAsia="SimSun"/>
          <w:i/>
          <w:noProof/>
          <w:lang w:val="en-GB"/>
        </w:rPr>
      </w:pPr>
    </w:p>
    <w:p w:rsidR="00863CEA" w:rsidRPr="001F5859" w:rsidP="00900379" w14:paraId="4EF9E32B" w14:textId="77777777">
      <w:pPr>
        <w:rPr>
          <w:rFonts w:eastAsia="SimSun"/>
          <w:lang w:val="en-GB"/>
        </w:rPr>
      </w:pPr>
      <w:r w:rsidRPr="001F5859">
        <w:rPr>
          <w:rFonts w:eastAsia="SimSun"/>
          <w:lang w:val="en-GB"/>
        </w:rPr>
        <w:t>Glacial acetic acid</w:t>
      </w:r>
    </w:p>
    <w:p w:rsidR="00863CEA" w:rsidRPr="001F5859" w:rsidP="00900379" w14:paraId="638CCE26" w14:textId="77777777">
      <w:pPr>
        <w:rPr>
          <w:rFonts w:eastAsia="SimSun"/>
          <w:lang w:val="en-GB"/>
        </w:rPr>
      </w:pPr>
      <w:r w:rsidRPr="001F5859">
        <w:rPr>
          <w:rFonts w:eastAsia="SimSun"/>
          <w:lang w:val="en-GB"/>
        </w:rPr>
        <w:t>L-Histidine</w:t>
      </w:r>
    </w:p>
    <w:p w:rsidR="00863CEA" w:rsidRPr="001F5859" w:rsidP="00900379" w14:paraId="2BCD665E" w14:textId="77777777">
      <w:pPr>
        <w:rPr>
          <w:rFonts w:eastAsia="SimSun"/>
          <w:lang w:val="en-GB"/>
        </w:rPr>
      </w:pPr>
      <w:r w:rsidRPr="001F5859">
        <w:rPr>
          <w:rFonts w:eastAsia="SimSun"/>
          <w:lang w:val="en-GB"/>
        </w:rPr>
        <w:t>Sucrose</w:t>
      </w:r>
    </w:p>
    <w:p w:rsidR="00863CEA" w:rsidRPr="001F5859" w:rsidP="00900379" w14:paraId="01DCE078" w14:textId="77777777">
      <w:pPr>
        <w:rPr>
          <w:rFonts w:eastAsia="SimSun"/>
          <w:lang w:val="en-GB"/>
        </w:rPr>
      </w:pPr>
      <w:r w:rsidRPr="001F5859">
        <w:rPr>
          <w:rFonts w:eastAsia="SimSun"/>
          <w:lang w:val="en-GB"/>
        </w:rPr>
        <w:t>Polysorbate 20</w:t>
      </w:r>
    </w:p>
    <w:p w:rsidR="00326F4F" w:rsidRPr="001F5859" w:rsidP="00900379" w14:paraId="119C178A" w14:textId="77777777">
      <w:pPr>
        <w:rPr>
          <w:rFonts w:eastAsia="SimSun"/>
          <w:lang w:val="en-GB"/>
        </w:rPr>
      </w:pPr>
      <w:r w:rsidRPr="001F5859">
        <w:rPr>
          <w:rFonts w:eastAsia="SimSun"/>
          <w:lang w:val="en-GB"/>
        </w:rPr>
        <w:t xml:space="preserve">Water for </w:t>
      </w:r>
      <w:r w:rsidRPr="001F5859" w:rsidR="007129E7">
        <w:rPr>
          <w:rFonts w:eastAsia="SimSun"/>
          <w:lang w:val="en-GB"/>
        </w:rPr>
        <w:t>injections</w:t>
      </w:r>
    </w:p>
    <w:p w:rsidR="00863CEA" w:rsidRPr="001F5859" w:rsidP="00900379" w14:paraId="2C3FC89A" w14:textId="77777777">
      <w:pPr>
        <w:rPr>
          <w:rFonts w:eastAsia="SimSun"/>
          <w:lang w:val="en-GB"/>
        </w:rPr>
      </w:pPr>
    </w:p>
    <w:p w:rsidR="00863CEA" w:rsidRPr="001F5859" w:rsidP="001F5859" w14:paraId="25FF80A8" w14:textId="77777777">
      <w:pPr>
        <w:keepNext/>
        <w:keepLines/>
        <w:rPr>
          <w:rFonts w:eastAsia="SimSun"/>
          <w:b/>
          <w:noProof/>
          <w:lang w:val="en-GB"/>
        </w:rPr>
      </w:pPr>
      <w:r w:rsidRPr="001F5859">
        <w:rPr>
          <w:rFonts w:eastAsia="SimSun"/>
          <w:b/>
          <w:noProof/>
          <w:lang w:val="en-GB"/>
        </w:rPr>
        <w:t>6.2</w:t>
      </w:r>
      <w:r w:rsidRPr="001F5859">
        <w:rPr>
          <w:rFonts w:eastAsia="SimSun"/>
          <w:b/>
          <w:noProof/>
          <w:lang w:val="en-GB"/>
        </w:rPr>
        <w:tab/>
        <w:t>Incompatibilities</w:t>
      </w:r>
    </w:p>
    <w:p w:rsidR="00863CEA" w:rsidRPr="001F5859" w:rsidP="001F5859" w14:paraId="55F77629" w14:textId="77777777">
      <w:pPr>
        <w:keepNext/>
        <w:keepLines/>
        <w:rPr>
          <w:rFonts w:eastAsia="SimSun"/>
          <w:noProof/>
          <w:lang w:val="en-GB"/>
        </w:rPr>
      </w:pPr>
    </w:p>
    <w:p w:rsidR="00837585" w:rsidRPr="001F5859" w:rsidP="001F5859" w14:paraId="117CE787" w14:textId="77777777">
      <w:pPr>
        <w:keepNext/>
        <w:keepLines/>
        <w:rPr>
          <w:rFonts w:eastAsia="SimSun"/>
          <w:lang w:val="en-GB"/>
        </w:rPr>
      </w:pPr>
      <w:r w:rsidRPr="001F5859">
        <w:rPr>
          <w:rFonts w:eastAsia="SimSun"/>
          <w:lang w:val="en-GB"/>
        </w:rPr>
        <w:t xml:space="preserve">Glucose (5%) solution should not be used to dilute Perjeta since </w:t>
      </w:r>
      <w:r w:rsidRPr="001F5859" w:rsidR="00F62772">
        <w:rPr>
          <w:rFonts w:eastAsia="SimSun"/>
          <w:lang w:val="en-GB"/>
        </w:rPr>
        <w:t>it is</w:t>
      </w:r>
      <w:r w:rsidRPr="001F5859">
        <w:rPr>
          <w:rFonts w:eastAsia="SimSun"/>
          <w:lang w:val="en-GB"/>
        </w:rPr>
        <w:t xml:space="preserve"> chemically and physically unstable in such solutions.</w:t>
      </w:r>
    </w:p>
    <w:p w:rsidR="00863CEA" w:rsidRPr="001F5859" w:rsidP="00900379" w14:paraId="7FCAD758" w14:textId="77777777">
      <w:pPr>
        <w:rPr>
          <w:rFonts w:eastAsia="SimSun"/>
          <w:lang w:val="en-GB"/>
        </w:rPr>
      </w:pPr>
    </w:p>
    <w:p w:rsidR="00863CEA" w:rsidRPr="001F5859" w:rsidP="00900379" w14:paraId="23B438BE" w14:textId="77777777">
      <w:pPr>
        <w:rPr>
          <w:rFonts w:eastAsia="SimSun"/>
          <w:noProof/>
          <w:lang w:val="en-GB"/>
        </w:rPr>
      </w:pPr>
      <w:r w:rsidRPr="001F5859">
        <w:rPr>
          <w:rFonts w:eastAsia="SimSun"/>
          <w:noProof/>
          <w:lang w:val="en-GB"/>
        </w:rPr>
        <w:t>This medicinal product must not be mixed with other medicinal products except those mentioned in section 6.6.</w:t>
      </w:r>
    </w:p>
    <w:p w:rsidR="00863CEA" w:rsidRPr="001F5859" w:rsidP="00900379" w14:paraId="53F1888B" w14:textId="77777777">
      <w:pPr>
        <w:rPr>
          <w:rFonts w:eastAsia="SimSun"/>
          <w:noProof/>
          <w:lang w:val="en-GB"/>
        </w:rPr>
      </w:pPr>
    </w:p>
    <w:p w:rsidR="00863CEA" w:rsidRPr="001F5859" w:rsidP="00900379" w14:paraId="74102D2F" w14:textId="77777777">
      <w:pPr>
        <w:rPr>
          <w:rFonts w:eastAsia="SimSun"/>
          <w:lang w:val="en-GB"/>
        </w:rPr>
      </w:pPr>
      <w:r w:rsidRPr="001F5859">
        <w:rPr>
          <w:rFonts w:eastAsia="SimSun"/>
          <w:b/>
          <w:bCs/>
          <w:lang w:val="en-GB"/>
        </w:rPr>
        <w:t>6.3</w:t>
      </w:r>
      <w:r w:rsidRPr="001F5859">
        <w:rPr>
          <w:rFonts w:eastAsia="SimSun"/>
          <w:b/>
          <w:bCs/>
          <w:lang w:val="en-GB"/>
        </w:rPr>
        <w:tab/>
        <w:t>Shelf life</w:t>
      </w:r>
    </w:p>
    <w:p w:rsidR="00863CEA" w:rsidRPr="001F5859" w:rsidP="00900379" w14:paraId="2BA26B79" w14:textId="77777777">
      <w:pPr>
        <w:rPr>
          <w:rFonts w:eastAsia="SimSun"/>
          <w:lang w:val="en-GB"/>
        </w:rPr>
      </w:pPr>
    </w:p>
    <w:p w:rsidR="00831544" w:rsidRPr="001F5859" w:rsidP="00330E75" w14:paraId="1101BD21" w14:textId="77777777">
      <w:pPr>
        <w:autoSpaceDE w:val="0"/>
        <w:autoSpaceDN w:val="0"/>
        <w:adjustRightInd w:val="0"/>
        <w:rPr>
          <w:color w:val="000000"/>
          <w:szCs w:val="22"/>
          <w:lang w:val="en-GB" w:eastAsia="en-GB"/>
        </w:rPr>
      </w:pPr>
      <w:r w:rsidRPr="001F5859">
        <w:rPr>
          <w:iCs/>
          <w:color w:val="000000"/>
          <w:szCs w:val="22"/>
          <w:u w:val="single"/>
          <w:lang w:val="en-GB" w:eastAsia="en-GB"/>
        </w:rPr>
        <w:t>Unopened vial</w:t>
      </w:r>
      <w:r w:rsidRPr="001F5859">
        <w:rPr>
          <w:color w:val="000000"/>
          <w:szCs w:val="22"/>
          <w:lang w:val="en-GB" w:eastAsia="en-GB"/>
        </w:rPr>
        <w:t xml:space="preserve"> </w:t>
      </w:r>
    </w:p>
    <w:p w:rsidR="007129E7" w:rsidRPr="001F5859" w:rsidP="00330E75" w14:paraId="0AC148FF" w14:textId="77777777">
      <w:pPr>
        <w:autoSpaceDE w:val="0"/>
        <w:autoSpaceDN w:val="0"/>
        <w:adjustRightInd w:val="0"/>
        <w:rPr>
          <w:noProof/>
          <w:color w:val="000000"/>
          <w:lang w:val="en-GB"/>
        </w:rPr>
      </w:pPr>
    </w:p>
    <w:p w:rsidR="00330E75" w:rsidRPr="001F5859" w:rsidP="00330E75" w14:paraId="341A2658" w14:textId="77777777">
      <w:pPr>
        <w:autoSpaceDE w:val="0"/>
        <w:autoSpaceDN w:val="0"/>
        <w:adjustRightInd w:val="0"/>
        <w:rPr>
          <w:noProof/>
          <w:color w:val="000000"/>
          <w:lang w:val="en-GB"/>
        </w:rPr>
      </w:pPr>
      <w:r w:rsidRPr="001F5859">
        <w:rPr>
          <w:noProof/>
          <w:color w:val="000000"/>
          <w:lang w:val="en-GB"/>
        </w:rPr>
        <w:t>2 years</w:t>
      </w:r>
      <w:r w:rsidRPr="001F5859">
        <w:rPr>
          <w:color w:val="000000"/>
          <w:szCs w:val="22"/>
          <w:lang w:val="en-GB" w:eastAsia="en-GB"/>
        </w:rPr>
        <w:t xml:space="preserve">. </w:t>
      </w:r>
    </w:p>
    <w:p w:rsidR="00330E75" w:rsidRPr="001F5859" w:rsidP="00330E75" w14:paraId="6A3DD149" w14:textId="77777777">
      <w:pPr>
        <w:autoSpaceDE w:val="0"/>
        <w:autoSpaceDN w:val="0"/>
        <w:adjustRightInd w:val="0"/>
        <w:rPr>
          <w:noProof/>
          <w:color w:val="000000"/>
          <w:lang w:val="en-GB"/>
        </w:rPr>
      </w:pPr>
    </w:p>
    <w:p w:rsidR="00863CEA" w:rsidRPr="001F5859" w:rsidP="00330E75" w14:paraId="6092DD1F" w14:textId="77777777">
      <w:pPr>
        <w:rPr>
          <w:rFonts w:eastAsia="SimSun"/>
          <w:u w:val="single"/>
          <w:lang w:val="en-GB"/>
        </w:rPr>
      </w:pPr>
      <w:r w:rsidRPr="001F5859">
        <w:rPr>
          <w:iCs/>
          <w:szCs w:val="22"/>
          <w:u w:val="single"/>
          <w:lang w:val="en-GB" w:eastAsia="en-GB"/>
        </w:rPr>
        <w:t>Diluted solution</w:t>
      </w:r>
    </w:p>
    <w:p w:rsidR="007129E7" w:rsidRPr="001F5859" w:rsidP="00900379" w14:paraId="7D39D4E9" w14:textId="77777777">
      <w:pPr>
        <w:rPr>
          <w:rFonts w:eastAsia="SimSun"/>
          <w:lang w:val="en-GB"/>
        </w:rPr>
      </w:pPr>
    </w:p>
    <w:p w:rsidR="001121EE" w:rsidRPr="001F5859" w:rsidP="00900379" w14:paraId="2EA9E901" w14:textId="77777777">
      <w:pPr>
        <w:rPr>
          <w:rFonts w:eastAsia="SimSun"/>
          <w:lang w:val="en-GB"/>
        </w:rPr>
      </w:pPr>
      <w:r w:rsidRPr="001F5859">
        <w:rPr>
          <w:rFonts w:eastAsia="SimSun"/>
          <w:lang w:val="en-GB"/>
        </w:rPr>
        <w:t>Chemical and physical in-use stability has been demonstrated for 24 hour</w:t>
      </w:r>
      <w:r w:rsidRPr="001F5859" w:rsidR="00982E4D">
        <w:rPr>
          <w:rFonts w:eastAsia="SimSun"/>
          <w:lang w:val="en-GB"/>
        </w:rPr>
        <w:t>s</w:t>
      </w:r>
      <w:r w:rsidRPr="001F5859">
        <w:rPr>
          <w:rFonts w:eastAsia="SimSun"/>
          <w:lang w:val="en-GB"/>
        </w:rPr>
        <w:t xml:space="preserve"> at 30°C. </w:t>
      </w:r>
    </w:p>
    <w:p w:rsidR="00330E75" w:rsidRPr="001F5859" w:rsidP="00F62772" w14:paraId="475C96AB" w14:textId="77777777">
      <w:pPr>
        <w:rPr>
          <w:rFonts w:eastAsia="SimSun"/>
          <w:i/>
          <w:noProof/>
          <w:lang w:val="en-GB"/>
        </w:rPr>
      </w:pPr>
      <w:r w:rsidRPr="001F5859">
        <w:rPr>
          <w:rFonts w:eastAsia="SimSun"/>
          <w:lang w:val="en-GB"/>
        </w:rPr>
        <w:t>From a microbiological point of view, the product should be used immediately. If not used immediately, in-use storage times and conditions prior to use are the responsibilit</w:t>
      </w:r>
      <w:r w:rsidRPr="001F5859" w:rsidR="00982E4D">
        <w:rPr>
          <w:rFonts w:eastAsia="SimSun"/>
          <w:lang w:val="en-GB"/>
        </w:rPr>
        <w:t>y</w:t>
      </w:r>
      <w:r w:rsidRPr="001F5859">
        <w:rPr>
          <w:rFonts w:eastAsia="SimSun"/>
          <w:lang w:val="en-GB"/>
        </w:rPr>
        <w:t xml:space="preserve"> of the user and would normally not be longer than 24 hours at 2</w:t>
      </w:r>
      <w:r w:rsidRPr="001F5859" w:rsidR="00CE0439">
        <w:rPr>
          <w:rFonts w:eastAsia="SimSun"/>
          <w:lang w:val="en-GB"/>
        </w:rPr>
        <w:t>°C</w:t>
      </w:r>
      <w:r w:rsidRPr="001F5859">
        <w:rPr>
          <w:rFonts w:eastAsia="SimSun"/>
          <w:lang w:val="en-GB"/>
        </w:rPr>
        <w:t xml:space="preserve"> to 8°C, unless dilution has taken place in controlled and validated aseptic conditions.</w:t>
      </w:r>
      <w:r w:rsidRPr="001F5859">
        <w:rPr>
          <w:rFonts w:eastAsia="SimSun"/>
          <w:noProof/>
          <w:lang w:val="en-GB" w:eastAsia="zh-CN"/>
        </w:rPr>
        <w:t xml:space="preserve"> </w:t>
      </w:r>
    </w:p>
    <w:p w:rsidR="00863CEA" w:rsidRPr="001F5859" w:rsidP="00900379" w14:paraId="460CE6A7" w14:textId="77777777">
      <w:pPr>
        <w:rPr>
          <w:rFonts w:eastAsia="SimSun"/>
          <w:noProof/>
          <w:lang w:val="en-GB"/>
        </w:rPr>
      </w:pPr>
    </w:p>
    <w:p w:rsidR="00863CEA" w:rsidRPr="001F5859" w:rsidP="00900379" w14:paraId="77F967E9" w14:textId="77777777">
      <w:pPr>
        <w:rPr>
          <w:rFonts w:eastAsia="SimSun"/>
          <w:b/>
          <w:noProof/>
          <w:lang w:val="en-GB"/>
        </w:rPr>
      </w:pPr>
      <w:r w:rsidRPr="001F5859">
        <w:rPr>
          <w:rFonts w:eastAsia="SimSun"/>
          <w:b/>
          <w:noProof/>
          <w:lang w:val="en-GB"/>
        </w:rPr>
        <w:t>6.4</w:t>
      </w:r>
      <w:r w:rsidRPr="001F5859">
        <w:rPr>
          <w:rFonts w:eastAsia="SimSun"/>
          <w:b/>
          <w:noProof/>
          <w:lang w:val="en-GB"/>
        </w:rPr>
        <w:tab/>
        <w:t>Special precautions for storage</w:t>
      </w:r>
    </w:p>
    <w:p w:rsidR="00863CEA" w:rsidRPr="001F5859" w:rsidP="00900379" w14:paraId="36144E48" w14:textId="77777777">
      <w:pPr>
        <w:rPr>
          <w:rFonts w:eastAsia="SimSun"/>
          <w:noProof/>
          <w:lang w:val="en-GB"/>
        </w:rPr>
      </w:pPr>
    </w:p>
    <w:p w:rsidR="00863CEA" w:rsidRPr="001F5859" w:rsidP="00900379" w14:paraId="440BE491" w14:textId="77777777">
      <w:pPr>
        <w:rPr>
          <w:rFonts w:eastAsia="SimSun"/>
          <w:lang w:val="en-GB"/>
        </w:rPr>
      </w:pPr>
      <w:r w:rsidRPr="001F5859">
        <w:rPr>
          <w:rFonts w:eastAsia="SimSun"/>
          <w:lang w:val="en-GB"/>
        </w:rPr>
        <w:t>Store in a refrigerator (2°C-8°C).</w:t>
      </w:r>
    </w:p>
    <w:p w:rsidR="00863CEA" w:rsidRPr="001F5859" w:rsidP="00900379" w14:paraId="174C624C" w14:textId="77777777">
      <w:pPr>
        <w:rPr>
          <w:rFonts w:eastAsia="SimSun"/>
          <w:lang w:val="en-GB"/>
        </w:rPr>
      </w:pPr>
    </w:p>
    <w:p w:rsidR="00FA1FB9" w:rsidRPr="001F5859" w:rsidP="00FA1FB9" w14:paraId="6863CC5B" w14:textId="77777777">
      <w:pPr>
        <w:rPr>
          <w:rFonts w:eastAsia="SimSun"/>
          <w:noProof/>
          <w:lang w:val="en-GB"/>
        </w:rPr>
      </w:pPr>
      <w:r w:rsidRPr="001F5859">
        <w:rPr>
          <w:rFonts w:eastAsia="SimSun"/>
          <w:lang w:val="en-GB"/>
        </w:rPr>
        <w:t>Do not freeze.</w:t>
      </w:r>
      <w:r w:rsidRPr="001F5859" w:rsidR="00483E07">
        <w:rPr>
          <w:rFonts w:eastAsia="SimSun"/>
          <w:lang w:val="en-GB"/>
        </w:rPr>
        <w:t xml:space="preserve"> </w:t>
      </w:r>
    </w:p>
    <w:p w:rsidR="00863CEA" w:rsidRPr="001F5859" w:rsidP="00900379" w14:paraId="57A3BB97" w14:textId="77777777">
      <w:pPr>
        <w:rPr>
          <w:rFonts w:eastAsia="SimSun"/>
          <w:lang w:val="en-GB"/>
        </w:rPr>
      </w:pPr>
    </w:p>
    <w:p w:rsidR="00863CEA" w:rsidRPr="001F5859" w:rsidP="00900379" w14:paraId="3F606559" w14:textId="77777777">
      <w:pPr>
        <w:rPr>
          <w:rFonts w:eastAsia="SimSun"/>
          <w:lang w:val="en-GB"/>
        </w:rPr>
      </w:pPr>
      <w:r w:rsidRPr="001F5859">
        <w:rPr>
          <w:rFonts w:eastAsia="SimSun"/>
          <w:lang w:val="en-GB"/>
        </w:rPr>
        <w:t>Keep the vial in the outer carton in order to protect from light.</w:t>
      </w:r>
    </w:p>
    <w:p w:rsidR="00863CEA" w:rsidRPr="001F5859" w:rsidP="00900379" w14:paraId="701CEAD6" w14:textId="77777777">
      <w:pPr>
        <w:rPr>
          <w:rFonts w:eastAsia="SimSun"/>
          <w:noProof/>
          <w:lang w:val="en-GB"/>
        </w:rPr>
      </w:pPr>
    </w:p>
    <w:p w:rsidR="00863CEA" w:rsidRPr="001F5859" w:rsidP="00900379" w14:paraId="2069F5FA" w14:textId="77777777">
      <w:pPr>
        <w:rPr>
          <w:rFonts w:eastAsia="SimSun"/>
          <w:i/>
          <w:noProof/>
          <w:lang w:val="en-GB"/>
        </w:rPr>
      </w:pPr>
      <w:r w:rsidRPr="001F5859">
        <w:rPr>
          <w:rFonts w:eastAsia="SimSun"/>
          <w:noProof/>
          <w:lang w:val="en-GB"/>
        </w:rPr>
        <w:t>For storage conditions after dilution of the medicinal product, see section 6.3.</w:t>
      </w:r>
    </w:p>
    <w:p w:rsidR="00863CEA" w:rsidRPr="001F5859" w:rsidP="00900379" w14:paraId="1C0E3065" w14:textId="77777777">
      <w:pPr>
        <w:rPr>
          <w:rFonts w:eastAsia="SimSun"/>
          <w:noProof/>
          <w:lang w:val="en-GB"/>
        </w:rPr>
      </w:pPr>
    </w:p>
    <w:p w:rsidR="00863CEA" w:rsidRPr="001F5859" w:rsidP="00900379" w14:paraId="67634B7C" w14:textId="77777777">
      <w:pPr>
        <w:rPr>
          <w:rFonts w:eastAsia="SimSun"/>
          <w:b/>
          <w:noProof/>
          <w:lang w:val="en-GB"/>
        </w:rPr>
      </w:pPr>
      <w:r w:rsidRPr="001F5859">
        <w:rPr>
          <w:rFonts w:eastAsia="SimSun"/>
          <w:b/>
          <w:noProof/>
          <w:lang w:val="en-GB"/>
        </w:rPr>
        <w:t>6.5</w:t>
      </w:r>
      <w:r w:rsidRPr="001F5859">
        <w:rPr>
          <w:rFonts w:eastAsia="SimSun"/>
          <w:b/>
          <w:noProof/>
          <w:lang w:val="en-GB"/>
        </w:rPr>
        <w:tab/>
        <w:t>Nature and contents of container</w:t>
      </w:r>
    </w:p>
    <w:p w:rsidR="00863CEA" w:rsidRPr="001F5859" w:rsidP="00900379" w14:paraId="6753C81C" w14:textId="77777777">
      <w:pPr>
        <w:rPr>
          <w:rFonts w:eastAsia="SimSun"/>
          <w:b/>
          <w:noProof/>
          <w:lang w:val="en-GB"/>
        </w:rPr>
      </w:pPr>
    </w:p>
    <w:p w:rsidR="00863CEA" w:rsidRPr="001F5859" w:rsidP="00900379" w14:paraId="1430C1E0" w14:textId="77777777">
      <w:pPr>
        <w:rPr>
          <w:rFonts w:eastAsia="SimSun"/>
          <w:noProof/>
          <w:lang w:val="en-GB"/>
        </w:rPr>
      </w:pPr>
      <w:r w:rsidRPr="001F5859">
        <w:rPr>
          <w:rFonts w:eastAsia="SimSun"/>
          <w:noProof/>
          <w:lang w:val="en-GB"/>
        </w:rPr>
        <w:t>Vial (Type I glass) with a stopper (butyl rubber) containing 14 m</w:t>
      </w:r>
      <w:r w:rsidRPr="001F5859" w:rsidR="00982E4D">
        <w:rPr>
          <w:rFonts w:eastAsia="SimSun"/>
          <w:noProof/>
          <w:lang w:val="en-GB"/>
        </w:rPr>
        <w:t>l</w:t>
      </w:r>
      <w:r w:rsidRPr="001F5859">
        <w:rPr>
          <w:rFonts w:eastAsia="SimSun"/>
          <w:noProof/>
          <w:lang w:val="en-GB"/>
        </w:rPr>
        <w:t xml:space="preserve"> of solution. </w:t>
      </w:r>
    </w:p>
    <w:p w:rsidR="001F46DC" w:rsidRPr="001F5859" w:rsidP="00900379" w14:paraId="2D8A70D6" w14:textId="77777777">
      <w:pPr>
        <w:rPr>
          <w:rFonts w:eastAsia="SimSun"/>
          <w:noProof/>
          <w:lang w:val="en-GB"/>
        </w:rPr>
      </w:pPr>
    </w:p>
    <w:p w:rsidR="00863CEA" w:rsidRPr="001F5859" w:rsidP="00900379" w14:paraId="3317A001" w14:textId="77777777">
      <w:pPr>
        <w:rPr>
          <w:rFonts w:eastAsia="SimSun"/>
          <w:noProof/>
          <w:lang w:val="en-GB"/>
        </w:rPr>
      </w:pPr>
      <w:r w:rsidRPr="001F5859">
        <w:rPr>
          <w:rFonts w:eastAsia="SimSun"/>
          <w:noProof/>
          <w:lang w:val="en-GB"/>
        </w:rPr>
        <w:t>Pack of 1 vial.</w:t>
      </w:r>
    </w:p>
    <w:p w:rsidR="00863CEA" w:rsidRPr="001F5859" w:rsidP="00900379" w14:paraId="2C620D2C" w14:textId="77777777">
      <w:pPr>
        <w:rPr>
          <w:rFonts w:eastAsia="SimSun"/>
          <w:noProof/>
          <w:lang w:val="en-GB"/>
        </w:rPr>
      </w:pPr>
    </w:p>
    <w:p w:rsidR="00863CEA" w:rsidRPr="001F5859" w:rsidP="0096375F" w14:paraId="48A01D69" w14:textId="77777777">
      <w:pPr>
        <w:keepNext/>
        <w:keepLines/>
        <w:rPr>
          <w:rFonts w:eastAsia="SimSun"/>
          <w:noProof/>
          <w:lang w:val="en-GB"/>
        </w:rPr>
      </w:pPr>
      <w:bookmarkStart w:id="0" w:name="OLE_LINK1"/>
      <w:r w:rsidRPr="001F5859">
        <w:rPr>
          <w:rFonts w:eastAsia="SimSun"/>
          <w:b/>
          <w:noProof/>
          <w:lang w:val="en-GB"/>
        </w:rPr>
        <w:t>6.6</w:t>
      </w:r>
      <w:r w:rsidRPr="001F5859">
        <w:rPr>
          <w:rFonts w:eastAsia="SimSun"/>
          <w:b/>
          <w:noProof/>
          <w:lang w:val="en-GB"/>
        </w:rPr>
        <w:tab/>
        <w:t>Special precautions for disposal and other handling</w:t>
      </w:r>
    </w:p>
    <w:p w:rsidR="001121EE" w:rsidRPr="001F5859" w:rsidP="0096375F" w14:paraId="41952979" w14:textId="77777777">
      <w:pPr>
        <w:keepNext/>
        <w:keepLines/>
        <w:rPr>
          <w:rFonts w:eastAsia="SimSun"/>
          <w:lang w:val="en-GB"/>
        </w:rPr>
      </w:pPr>
    </w:p>
    <w:p w:rsidR="00342741" w:rsidRPr="001F5859" w:rsidP="0096375F" w14:paraId="1264E91E" w14:textId="77777777">
      <w:pPr>
        <w:keepNext/>
        <w:keepLines/>
        <w:rPr>
          <w:rFonts w:eastAsia="SimSun"/>
          <w:noProof/>
          <w:lang w:val="en-GB"/>
        </w:rPr>
      </w:pPr>
      <w:r w:rsidRPr="001F5859">
        <w:rPr>
          <w:rFonts w:eastAsia="SimSun"/>
          <w:lang w:val="en-GB"/>
        </w:rPr>
        <w:t xml:space="preserve">Perjeta does not contain any antimicrobial preservative. Therefore, care must be taken to ensure the sterility of the prepared solution for infusion and should </w:t>
      </w:r>
      <w:r w:rsidRPr="001F5859">
        <w:rPr>
          <w:rFonts w:eastAsia="SimSun"/>
          <w:noProof/>
          <w:lang w:val="en-GB"/>
        </w:rPr>
        <w:t xml:space="preserve">be prepared by a healthcare professional. </w:t>
      </w:r>
    </w:p>
    <w:p w:rsidR="00342741" w:rsidRPr="001F5859" w:rsidP="0096375F" w14:paraId="444FD56D" w14:textId="77777777">
      <w:pPr>
        <w:keepNext/>
        <w:keepLines/>
        <w:rPr>
          <w:rFonts w:eastAsia="SimSun"/>
          <w:noProof/>
          <w:lang w:val="en-GB"/>
        </w:rPr>
      </w:pPr>
    </w:p>
    <w:p w:rsidR="00C814D9" w:rsidRPr="001F5859" w:rsidP="0096375F" w14:paraId="45BB92E9" w14:textId="77777777">
      <w:pPr>
        <w:keepNext/>
        <w:keepLines/>
        <w:rPr>
          <w:rFonts w:eastAsia="SimSun"/>
          <w:lang w:val="en-GB"/>
        </w:rPr>
      </w:pPr>
      <w:r w:rsidRPr="001F5859">
        <w:rPr>
          <w:rFonts w:eastAsia="SimSun"/>
          <w:lang w:val="en-GB"/>
        </w:rPr>
        <w:t>Perjeta is for single use only.</w:t>
      </w:r>
    </w:p>
    <w:p w:rsidR="00E627BE" w:rsidRPr="001F5859" w:rsidP="0096375F" w14:paraId="47FFC617" w14:textId="77777777">
      <w:pPr>
        <w:keepNext/>
        <w:keepLines/>
        <w:rPr>
          <w:rFonts w:eastAsia="SimSun"/>
          <w:lang w:val="en-GB"/>
        </w:rPr>
      </w:pPr>
    </w:p>
    <w:p w:rsidR="00863CEA" w:rsidRPr="001F5859" w:rsidP="0096375F" w14:paraId="3A5F4B34" w14:textId="77777777">
      <w:pPr>
        <w:keepNext/>
        <w:keepLines/>
        <w:rPr>
          <w:rFonts w:eastAsia="SimSun"/>
          <w:strike/>
          <w:noProof/>
          <w:lang w:val="en-GB"/>
        </w:rPr>
      </w:pPr>
      <w:r w:rsidRPr="001F5859">
        <w:rPr>
          <w:rFonts w:eastAsia="SimSun"/>
          <w:noProof/>
          <w:lang w:val="en-GB"/>
        </w:rPr>
        <w:t>The vial must not be shaken.</w:t>
      </w:r>
      <w:r w:rsidRPr="001F5859" w:rsidR="00507B5B">
        <w:rPr>
          <w:rFonts w:eastAsia="SimSun"/>
          <w:noProof/>
          <w:lang w:val="en-GB"/>
        </w:rPr>
        <w:t xml:space="preserve"> </w:t>
      </w:r>
      <w:r w:rsidRPr="001F5859" w:rsidR="006C55FF">
        <w:rPr>
          <w:rFonts w:eastAsia="SimSun"/>
          <w:noProof/>
          <w:lang w:val="en-GB"/>
        </w:rPr>
        <w:t xml:space="preserve">14 ml </w:t>
      </w:r>
      <w:r w:rsidRPr="001F5859" w:rsidR="003E693D">
        <w:rPr>
          <w:rFonts w:eastAsia="SimSun"/>
          <w:noProof/>
          <w:lang w:val="en-GB"/>
        </w:rPr>
        <w:t xml:space="preserve">of </w:t>
      </w:r>
      <w:r w:rsidRPr="001F5859" w:rsidR="0001604A">
        <w:rPr>
          <w:rFonts w:eastAsia="SimSun"/>
          <w:noProof/>
          <w:lang w:val="en-GB"/>
        </w:rPr>
        <w:t>Perjeta</w:t>
      </w:r>
      <w:r w:rsidRPr="001F5859">
        <w:rPr>
          <w:rFonts w:eastAsia="SimSun"/>
          <w:noProof/>
          <w:lang w:val="en-GB"/>
        </w:rPr>
        <w:t xml:space="preserve"> concentrate</w:t>
      </w:r>
      <w:r w:rsidRPr="001F5859" w:rsidR="006C55FF">
        <w:rPr>
          <w:rFonts w:eastAsia="SimSun"/>
          <w:noProof/>
          <w:lang w:val="en-GB"/>
        </w:rPr>
        <w:t xml:space="preserve"> should be withdrawn</w:t>
      </w:r>
      <w:r w:rsidRPr="001F5859">
        <w:rPr>
          <w:rFonts w:eastAsia="SimSun"/>
          <w:noProof/>
          <w:lang w:val="en-GB"/>
        </w:rPr>
        <w:t xml:space="preserve"> from the vial and dilute</w:t>
      </w:r>
      <w:r w:rsidRPr="001F5859" w:rsidR="00C814D9">
        <w:rPr>
          <w:rFonts w:eastAsia="SimSun"/>
          <w:noProof/>
          <w:lang w:val="en-GB"/>
        </w:rPr>
        <w:t>d</w:t>
      </w:r>
      <w:r w:rsidRPr="001F5859">
        <w:rPr>
          <w:rFonts w:eastAsia="SimSun"/>
          <w:noProof/>
          <w:lang w:val="en-GB"/>
        </w:rPr>
        <w:t xml:space="preserve"> into</w:t>
      </w:r>
      <w:r w:rsidRPr="001F5859" w:rsidR="006A67D0">
        <w:rPr>
          <w:rFonts w:eastAsia="SimSun"/>
          <w:noProof/>
          <w:lang w:val="en-GB"/>
        </w:rPr>
        <w:t xml:space="preserve"> a</w:t>
      </w:r>
      <w:r w:rsidRPr="001F5859" w:rsidR="006C7FA0">
        <w:rPr>
          <w:rFonts w:eastAsia="SimSun"/>
          <w:noProof/>
          <w:lang w:val="en-GB"/>
        </w:rPr>
        <w:t xml:space="preserve"> </w:t>
      </w:r>
      <w:r w:rsidRPr="001F5859">
        <w:rPr>
          <w:rFonts w:eastAsia="SimSun"/>
          <w:noProof/>
          <w:lang w:val="en-GB"/>
        </w:rPr>
        <w:t>250 m</w:t>
      </w:r>
      <w:r w:rsidRPr="001F5859" w:rsidR="00982E4D">
        <w:rPr>
          <w:rFonts w:eastAsia="SimSun"/>
          <w:noProof/>
          <w:lang w:val="en-GB"/>
        </w:rPr>
        <w:t>l</w:t>
      </w:r>
      <w:r w:rsidRPr="001F5859">
        <w:rPr>
          <w:rFonts w:eastAsia="SimSun"/>
          <w:noProof/>
          <w:lang w:val="en-GB"/>
        </w:rPr>
        <w:t xml:space="preserve"> PVC or non-PVC polyolefin infusion bag</w:t>
      </w:r>
      <w:r w:rsidRPr="001F5859" w:rsidR="006C7FA0">
        <w:rPr>
          <w:rFonts w:eastAsia="SimSun"/>
          <w:noProof/>
          <w:lang w:val="en-GB"/>
        </w:rPr>
        <w:t xml:space="preserve"> of sodium chloride 9</w:t>
      </w:r>
      <w:r w:rsidRPr="001F5859" w:rsidR="00081414">
        <w:rPr>
          <w:rFonts w:eastAsia="SimSun"/>
          <w:noProof/>
          <w:lang w:val="en-GB"/>
        </w:rPr>
        <w:t> </w:t>
      </w:r>
      <w:r w:rsidRPr="001F5859" w:rsidR="006C7FA0">
        <w:rPr>
          <w:rFonts w:eastAsia="SimSun"/>
          <w:noProof/>
          <w:lang w:val="en-GB"/>
        </w:rPr>
        <w:t>mg/ml (0.9%) solution for infusion</w:t>
      </w:r>
      <w:r w:rsidRPr="001F5859">
        <w:rPr>
          <w:rFonts w:eastAsia="SimSun"/>
          <w:noProof/>
          <w:lang w:val="en-GB"/>
        </w:rPr>
        <w:t xml:space="preserve">. </w:t>
      </w:r>
      <w:r w:rsidRPr="001F5859" w:rsidR="005F08A7">
        <w:rPr>
          <w:rFonts w:eastAsia="SimSun"/>
          <w:noProof/>
          <w:lang w:val="en-GB"/>
        </w:rPr>
        <w:t xml:space="preserve">After </w:t>
      </w:r>
      <w:r w:rsidRPr="001F5859" w:rsidR="002B08A4">
        <w:rPr>
          <w:rFonts w:eastAsia="SimSun"/>
          <w:noProof/>
          <w:lang w:val="en-GB"/>
        </w:rPr>
        <w:t xml:space="preserve">dilution, one ml of solution should contain </w:t>
      </w:r>
      <w:r w:rsidRPr="001F5859" w:rsidR="006C55FF">
        <w:rPr>
          <w:rFonts w:eastAsia="SimSun"/>
          <w:noProof/>
          <w:lang w:val="en-GB"/>
        </w:rPr>
        <w:t xml:space="preserve">approximately </w:t>
      </w:r>
      <w:r w:rsidRPr="001F5859" w:rsidR="00D23BD6">
        <w:rPr>
          <w:rFonts w:eastAsia="SimSun"/>
          <w:lang w:val="en-GB"/>
        </w:rPr>
        <w:t>3.02 </w:t>
      </w:r>
      <w:r w:rsidRPr="001F5859" w:rsidR="002B08A4">
        <w:rPr>
          <w:rFonts w:eastAsia="SimSun"/>
          <w:noProof/>
          <w:lang w:val="en-GB"/>
        </w:rPr>
        <w:t xml:space="preserve">mg of pertuzumab </w:t>
      </w:r>
      <w:r w:rsidRPr="001F5859" w:rsidR="00085E5A">
        <w:rPr>
          <w:rFonts w:eastAsia="SimSun"/>
          <w:lang w:val="en-GB"/>
        </w:rPr>
        <w:t>(840</w:t>
      </w:r>
      <w:r w:rsidRPr="001F5859" w:rsidR="000E617D">
        <w:rPr>
          <w:rFonts w:eastAsia="SimSun"/>
          <w:lang w:val="en-GB"/>
        </w:rPr>
        <w:t> </w:t>
      </w:r>
      <w:r w:rsidRPr="001F5859" w:rsidR="00085E5A">
        <w:rPr>
          <w:rFonts w:eastAsia="SimSun"/>
          <w:lang w:val="en-GB"/>
        </w:rPr>
        <w:t>mg/</w:t>
      </w:r>
      <w:r w:rsidRPr="001F5859" w:rsidR="00D23BD6">
        <w:rPr>
          <w:rFonts w:eastAsia="SimSun"/>
          <w:lang w:val="en-GB"/>
        </w:rPr>
        <w:t>278</w:t>
      </w:r>
      <w:r w:rsidRPr="001F5859" w:rsidR="009D3033">
        <w:rPr>
          <w:rFonts w:eastAsia="SimSun"/>
          <w:lang w:val="en-GB"/>
        </w:rPr>
        <w:t> </w:t>
      </w:r>
      <w:r w:rsidRPr="001F5859" w:rsidR="00085E5A">
        <w:rPr>
          <w:rFonts w:eastAsia="SimSun"/>
          <w:lang w:val="en-GB"/>
        </w:rPr>
        <w:t>ml</w:t>
      </w:r>
      <w:r w:rsidRPr="001F5859" w:rsidR="002B08A4">
        <w:rPr>
          <w:rFonts w:eastAsia="SimSun"/>
          <w:lang w:val="en-GB"/>
        </w:rPr>
        <w:t xml:space="preserve">) for the initial dose </w:t>
      </w:r>
      <w:r w:rsidRPr="001F5859" w:rsidR="006C55FF">
        <w:rPr>
          <w:rFonts w:eastAsia="SimSun"/>
          <w:lang w:val="en-GB"/>
        </w:rPr>
        <w:t xml:space="preserve">where two vials are required </w:t>
      </w:r>
      <w:r w:rsidRPr="001F5859" w:rsidR="002B08A4">
        <w:rPr>
          <w:rFonts w:eastAsia="SimSun"/>
          <w:lang w:val="en-GB"/>
        </w:rPr>
        <w:t>and</w:t>
      </w:r>
      <w:r w:rsidRPr="001F5859" w:rsidR="006C55FF">
        <w:rPr>
          <w:rFonts w:eastAsia="SimSun"/>
          <w:lang w:val="en-GB"/>
        </w:rPr>
        <w:t xml:space="preserve"> approximately </w:t>
      </w:r>
      <w:r w:rsidRPr="001F5859" w:rsidR="00D23BD6">
        <w:rPr>
          <w:rFonts w:eastAsia="SimSun"/>
          <w:lang w:val="en-GB"/>
        </w:rPr>
        <w:t>1.59</w:t>
      </w:r>
      <w:r w:rsidRPr="001F5859" w:rsidR="00EC2E7E">
        <w:rPr>
          <w:rFonts w:eastAsia="SimSun"/>
          <w:noProof/>
          <w:lang w:val="en-GB"/>
        </w:rPr>
        <w:t> </w:t>
      </w:r>
      <w:r w:rsidRPr="001F5859" w:rsidR="002B08A4">
        <w:rPr>
          <w:rFonts w:eastAsia="SimSun"/>
          <w:lang w:val="en-GB"/>
        </w:rPr>
        <w:t>mg of pertuzumab (420</w:t>
      </w:r>
      <w:r w:rsidRPr="001F5859" w:rsidR="00AF2D1F">
        <w:rPr>
          <w:rFonts w:eastAsia="SimSun"/>
          <w:lang w:val="en-GB"/>
        </w:rPr>
        <w:t> </w:t>
      </w:r>
      <w:r w:rsidRPr="001F5859" w:rsidR="002B08A4">
        <w:rPr>
          <w:rFonts w:eastAsia="SimSun"/>
          <w:lang w:val="en-GB"/>
        </w:rPr>
        <w:t>mg/</w:t>
      </w:r>
      <w:r w:rsidRPr="001F5859" w:rsidR="00D23BD6">
        <w:rPr>
          <w:rFonts w:eastAsia="SimSun"/>
          <w:lang w:val="en-GB"/>
        </w:rPr>
        <w:t xml:space="preserve">264 </w:t>
      </w:r>
      <w:r w:rsidRPr="001F5859" w:rsidR="00AF2D1F">
        <w:rPr>
          <w:rFonts w:eastAsia="SimSun"/>
          <w:lang w:val="en-GB"/>
        </w:rPr>
        <w:t> </w:t>
      </w:r>
      <w:r w:rsidRPr="001F5859" w:rsidR="00085E5A">
        <w:rPr>
          <w:rFonts w:eastAsia="SimSun"/>
          <w:lang w:val="en-GB"/>
        </w:rPr>
        <w:t>ml</w:t>
      </w:r>
      <w:r w:rsidRPr="001F5859" w:rsidR="002B08A4">
        <w:rPr>
          <w:rFonts w:eastAsia="SimSun"/>
          <w:lang w:val="en-GB"/>
        </w:rPr>
        <w:t>)</w:t>
      </w:r>
      <w:r w:rsidRPr="001F5859" w:rsidR="00081414">
        <w:rPr>
          <w:rFonts w:eastAsia="SimSun"/>
          <w:lang w:val="en-GB"/>
        </w:rPr>
        <w:t xml:space="preserve"> </w:t>
      </w:r>
      <w:r w:rsidRPr="001F5859" w:rsidR="002B08A4">
        <w:rPr>
          <w:rFonts w:eastAsia="SimSun"/>
          <w:lang w:val="en-GB"/>
        </w:rPr>
        <w:t>for the maintenance dose</w:t>
      </w:r>
      <w:r w:rsidRPr="001F5859" w:rsidR="006C55FF">
        <w:rPr>
          <w:rFonts w:eastAsia="SimSun"/>
          <w:lang w:val="en-GB"/>
        </w:rPr>
        <w:t xml:space="preserve"> where one vial is required</w:t>
      </w:r>
      <w:r w:rsidRPr="001F5859" w:rsidR="002B08A4">
        <w:rPr>
          <w:rFonts w:eastAsia="SimSun"/>
          <w:noProof/>
          <w:lang w:val="en-GB"/>
        </w:rPr>
        <w:t>.</w:t>
      </w:r>
      <w:r w:rsidRPr="001F5859">
        <w:rPr>
          <w:rFonts w:eastAsia="SimSun"/>
          <w:noProof/>
          <w:lang w:val="en-GB"/>
        </w:rPr>
        <w:t xml:space="preserve"> </w:t>
      </w:r>
    </w:p>
    <w:p w:rsidR="00863CEA" w:rsidRPr="001F5859" w:rsidP="00900379" w14:paraId="74D4E47A" w14:textId="77777777">
      <w:pPr>
        <w:rPr>
          <w:rFonts w:eastAsia="SimSun"/>
          <w:noProof/>
          <w:lang w:val="en-GB"/>
        </w:rPr>
      </w:pPr>
      <w:r w:rsidRPr="001F5859">
        <w:rPr>
          <w:rFonts w:eastAsia="SimSun"/>
          <w:noProof/>
          <w:lang w:val="en-GB"/>
        </w:rPr>
        <w:t>The bag should be gently inverted to mix the solution in order to avoid foaming.</w:t>
      </w:r>
    </w:p>
    <w:p w:rsidR="00863CEA" w:rsidRPr="001F5859" w:rsidP="00900379" w14:paraId="264E0D50" w14:textId="77777777">
      <w:pPr>
        <w:rPr>
          <w:rFonts w:eastAsia="SimSun"/>
          <w:noProof/>
          <w:lang w:val="en-GB"/>
        </w:rPr>
      </w:pPr>
    </w:p>
    <w:p w:rsidR="00863CEA" w:rsidRPr="001F5859" w:rsidP="00900379" w14:paraId="1B618C9B" w14:textId="77777777">
      <w:pPr>
        <w:rPr>
          <w:rFonts w:eastAsia="SimSun"/>
          <w:noProof/>
          <w:lang w:val="en-GB"/>
        </w:rPr>
      </w:pPr>
      <w:r w:rsidRPr="001F5859">
        <w:rPr>
          <w:rFonts w:eastAsia="SimSun"/>
          <w:noProof/>
          <w:lang w:val="en-GB"/>
        </w:rPr>
        <w:t xml:space="preserve">Parenteral </w:t>
      </w:r>
      <w:r w:rsidRPr="001F5859" w:rsidR="00C24D28">
        <w:rPr>
          <w:rFonts w:eastAsia="SimSun"/>
          <w:noProof/>
          <w:lang w:val="en-GB"/>
        </w:rPr>
        <w:t>medicinal</w:t>
      </w:r>
      <w:r w:rsidRPr="001F5859">
        <w:rPr>
          <w:rFonts w:eastAsia="SimSun"/>
          <w:noProof/>
          <w:lang w:val="en-GB"/>
        </w:rPr>
        <w:t xml:space="preserve"> products should be inspected visually for particulates and discolouration prior to administration.</w:t>
      </w:r>
      <w:r w:rsidRPr="001F5859" w:rsidR="00AF31BD">
        <w:rPr>
          <w:rFonts w:eastAsia="SimSun"/>
          <w:noProof/>
          <w:lang w:val="en-GB"/>
        </w:rPr>
        <w:t xml:space="preserve"> </w:t>
      </w:r>
      <w:r w:rsidRPr="001F5859" w:rsidR="00097DF8">
        <w:rPr>
          <w:rFonts w:eastAsia="SimSun"/>
          <w:noProof/>
          <w:lang w:val="en-GB"/>
        </w:rPr>
        <w:t xml:space="preserve">If particulates or discoloration </w:t>
      </w:r>
      <w:r w:rsidRPr="001F5859" w:rsidR="00071FC5">
        <w:rPr>
          <w:rFonts w:eastAsia="SimSun"/>
          <w:noProof/>
          <w:lang w:val="en-GB"/>
        </w:rPr>
        <w:t>are</w:t>
      </w:r>
      <w:r w:rsidRPr="001F5859" w:rsidR="00097DF8">
        <w:rPr>
          <w:rFonts w:eastAsia="SimSun"/>
          <w:noProof/>
          <w:lang w:val="en-GB"/>
        </w:rPr>
        <w:t xml:space="preserve"> observed, the solution should not be used. </w:t>
      </w:r>
      <w:r w:rsidRPr="001F5859">
        <w:rPr>
          <w:rFonts w:eastAsia="SimSun"/>
          <w:noProof/>
          <w:lang w:val="en-GB"/>
        </w:rPr>
        <w:t xml:space="preserve">Once the infusion is prepared it should be administered immediately (see section 6.3). </w:t>
      </w:r>
    </w:p>
    <w:p w:rsidR="00863CEA" w:rsidRPr="001F5859" w:rsidP="00900379" w14:paraId="085BE849" w14:textId="77777777">
      <w:pPr>
        <w:rPr>
          <w:rFonts w:eastAsia="SimSun"/>
          <w:noProof/>
          <w:lang w:val="en-GB"/>
        </w:rPr>
      </w:pPr>
    </w:p>
    <w:p w:rsidR="00863CEA" w:rsidRPr="001F5859" w:rsidP="00900379" w14:paraId="48EAE10E" w14:textId="77777777">
      <w:pPr>
        <w:rPr>
          <w:rFonts w:eastAsia="SimSun"/>
          <w:noProof/>
          <w:lang w:val="en-GB"/>
        </w:rPr>
      </w:pPr>
      <w:r w:rsidRPr="001F5859">
        <w:rPr>
          <w:rFonts w:eastAsia="SimSun"/>
          <w:noProof/>
          <w:lang w:val="en-GB"/>
        </w:rPr>
        <w:t>Any unused medicinal product or waste material should be disposed of in accordance with local requirements.</w:t>
      </w:r>
    </w:p>
    <w:p w:rsidR="007129E7" w:rsidRPr="001F5859" w:rsidP="007129E7" w14:paraId="75C8BA30" w14:textId="77777777">
      <w:pPr>
        <w:rPr>
          <w:rFonts w:eastAsia="SimSun"/>
          <w:noProof/>
          <w:lang w:val="en-GB"/>
        </w:rPr>
      </w:pPr>
    </w:p>
    <w:p w:rsidR="007129E7" w:rsidRPr="001F5859" w:rsidP="007129E7" w14:paraId="309BB70E" w14:textId="77777777">
      <w:pPr>
        <w:rPr>
          <w:rFonts w:eastAsia="SimSun"/>
          <w:noProof/>
          <w:lang w:val="en-GB"/>
        </w:rPr>
      </w:pPr>
      <w:r w:rsidRPr="001F5859">
        <w:rPr>
          <w:rFonts w:eastAsia="SimSun"/>
          <w:noProof/>
          <w:lang w:val="en-GB"/>
        </w:rPr>
        <w:t>Perjeta is compatible with polyvinylchloride (PVC) or non-PVC polyolefin bags including polyethylene.</w:t>
      </w:r>
    </w:p>
    <w:p w:rsidR="00863CEA" w:rsidRPr="001F5859" w:rsidP="00900379" w14:paraId="60CA520D" w14:textId="77777777">
      <w:pPr>
        <w:rPr>
          <w:rFonts w:eastAsia="SimSun"/>
          <w:noProof/>
          <w:lang w:val="en-GB"/>
        </w:rPr>
      </w:pPr>
      <w:bookmarkEnd w:id="0"/>
    </w:p>
    <w:p w:rsidR="00863CEA" w:rsidRPr="001F5859" w:rsidP="00900379" w14:paraId="4CBA9EE1" w14:textId="77777777">
      <w:pPr>
        <w:rPr>
          <w:rFonts w:eastAsia="SimSun"/>
          <w:noProof/>
          <w:lang w:val="en-GB"/>
        </w:rPr>
      </w:pPr>
    </w:p>
    <w:p w:rsidR="00863CEA" w:rsidRPr="001F5859" w:rsidP="00763EEE" w14:paraId="2E6DF5A1" w14:textId="77777777">
      <w:pPr>
        <w:keepNext/>
        <w:rPr>
          <w:rFonts w:eastAsia="SimSun"/>
          <w:noProof/>
          <w:lang w:val="en-GB"/>
        </w:rPr>
      </w:pPr>
      <w:r w:rsidRPr="00763EEE">
        <w:rPr>
          <w:rFonts w:eastAsia="SimSun"/>
          <w:b/>
          <w:noProof/>
          <w:lang w:val="en-GB"/>
        </w:rPr>
        <w:t>7.</w:t>
      </w:r>
      <w:r w:rsidRPr="001F5859">
        <w:rPr>
          <w:rFonts w:eastAsia="SimSun"/>
          <w:noProof/>
          <w:lang w:val="en-GB"/>
        </w:rPr>
        <w:tab/>
      </w:r>
      <w:r w:rsidRPr="001F5859">
        <w:rPr>
          <w:rFonts w:eastAsia="SimSun"/>
          <w:b/>
          <w:noProof/>
          <w:lang w:val="en-GB"/>
        </w:rPr>
        <w:t>MARKETING AUTHORISATION HOLDER</w:t>
      </w:r>
    </w:p>
    <w:p w:rsidR="00863CEA" w:rsidRPr="001F5859" w:rsidP="0096375F" w14:paraId="4B74FDCD" w14:textId="77777777">
      <w:pPr>
        <w:keepNext/>
        <w:keepLines/>
        <w:rPr>
          <w:rFonts w:eastAsia="SimSun"/>
          <w:noProof/>
          <w:lang w:val="en-GB"/>
        </w:rPr>
      </w:pPr>
    </w:p>
    <w:p w:rsidR="00A10617" w:rsidRPr="001F5859" w:rsidP="00A10617" w14:paraId="623972EB" w14:textId="77777777">
      <w:pPr>
        <w:rPr>
          <w:lang w:val="en-GB"/>
        </w:rPr>
      </w:pPr>
      <w:r w:rsidRPr="001F5859">
        <w:rPr>
          <w:lang w:val="en-GB"/>
        </w:rPr>
        <w:t xml:space="preserve">Roche Registration GmbH </w:t>
      </w:r>
    </w:p>
    <w:p w:rsidR="00A10617" w:rsidRPr="001F5859" w:rsidP="00A10617" w14:paraId="50FA8C38" w14:textId="77777777">
      <w:pPr>
        <w:rPr>
          <w:lang w:val="en-GB"/>
        </w:rPr>
      </w:pPr>
      <w:r w:rsidRPr="001F5859">
        <w:rPr>
          <w:lang w:val="en-GB"/>
        </w:rPr>
        <w:t>Emil-Barell-Strasse 1</w:t>
      </w:r>
    </w:p>
    <w:p w:rsidR="00A10617" w:rsidRPr="001F5859" w:rsidP="00A10617" w14:paraId="36E21AEF" w14:textId="77777777">
      <w:pPr>
        <w:rPr>
          <w:lang w:val="en-GB"/>
        </w:rPr>
      </w:pPr>
      <w:r w:rsidRPr="001F5859">
        <w:rPr>
          <w:lang w:val="en-GB"/>
        </w:rPr>
        <w:t>79639 Grenzach-Wyhlen</w:t>
      </w:r>
    </w:p>
    <w:p w:rsidR="00A10617" w:rsidRPr="001F5859" w:rsidP="00A10617" w14:paraId="1B300D75" w14:textId="77777777">
      <w:pPr>
        <w:rPr>
          <w:lang w:val="en-GB"/>
        </w:rPr>
      </w:pPr>
      <w:r w:rsidRPr="001F5859">
        <w:rPr>
          <w:lang w:val="en-GB"/>
        </w:rPr>
        <w:t>Germany</w:t>
      </w:r>
    </w:p>
    <w:p w:rsidR="00863CEA" w:rsidRPr="001F5859" w:rsidP="0096375F" w14:paraId="1D80F1AF" w14:textId="77777777">
      <w:pPr>
        <w:keepNext/>
        <w:keepLines/>
        <w:rPr>
          <w:rFonts w:eastAsia="SimSun"/>
          <w:noProof/>
          <w:lang w:val="en-GB"/>
        </w:rPr>
      </w:pPr>
    </w:p>
    <w:p w:rsidR="00863CEA" w:rsidRPr="001F5859" w:rsidP="0096375F" w14:paraId="76C4988B" w14:textId="77777777">
      <w:pPr>
        <w:keepNext/>
        <w:keepLines/>
        <w:rPr>
          <w:rFonts w:eastAsia="SimSun"/>
          <w:noProof/>
          <w:lang w:val="en-GB"/>
        </w:rPr>
      </w:pPr>
    </w:p>
    <w:p w:rsidR="00863CEA" w:rsidRPr="001F5859" w:rsidP="0096375F" w14:paraId="6F1D01C2" w14:textId="77777777">
      <w:pPr>
        <w:keepNext/>
        <w:keepLines/>
        <w:rPr>
          <w:rFonts w:eastAsia="SimSun"/>
          <w:b/>
          <w:noProof/>
          <w:lang w:val="en-GB"/>
        </w:rPr>
      </w:pPr>
      <w:r w:rsidRPr="001F5859">
        <w:rPr>
          <w:rFonts w:eastAsia="SimSun"/>
          <w:b/>
          <w:noProof/>
          <w:lang w:val="en-GB"/>
        </w:rPr>
        <w:t>8.</w:t>
      </w:r>
      <w:r w:rsidRPr="001F5859">
        <w:rPr>
          <w:rFonts w:eastAsia="SimSun"/>
          <w:b/>
          <w:noProof/>
          <w:lang w:val="en-GB"/>
        </w:rPr>
        <w:tab/>
        <w:t xml:space="preserve">MARKETING AUTHORISATION NUMBER(S) </w:t>
      </w:r>
    </w:p>
    <w:p w:rsidR="00863CEA" w:rsidRPr="001F5859" w:rsidP="00900379" w14:paraId="46D953A8" w14:textId="77777777">
      <w:pPr>
        <w:rPr>
          <w:rFonts w:eastAsia="SimSun"/>
          <w:noProof/>
          <w:lang w:val="en-GB"/>
        </w:rPr>
      </w:pPr>
    </w:p>
    <w:p w:rsidR="00830ACC" w:rsidRPr="001F5859" w:rsidP="00900379" w14:paraId="1A6B2854" w14:textId="77777777">
      <w:pPr>
        <w:rPr>
          <w:rFonts w:eastAsia="SimSun"/>
          <w:noProof/>
          <w:lang w:val="en-GB"/>
        </w:rPr>
      </w:pPr>
      <w:r w:rsidRPr="001F5859">
        <w:rPr>
          <w:rFonts w:eastAsia="SimSun"/>
          <w:noProof/>
          <w:lang w:val="en-GB"/>
        </w:rPr>
        <w:t>EU/1/13/813/001</w:t>
      </w:r>
    </w:p>
    <w:p w:rsidR="00863CEA" w:rsidRPr="001F5859" w:rsidP="00900379" w14:paraId="1BF6DF42" w14:textId="77777777">
      <w:pPr>
        <w:rPr>
          <w:rFonts w:eastAsia="SimSun"/>
          <w:noProof/>
          <w:lang w:val="en-GB"/>
        </w:rPr>
      </w:pPr>
    </w:p>
    <w:p w:rsidR="00F62767" w:rsidRPr="001F5859" w:rsidP="00900379" w14:paraId="68DF980D" w14:textId="77777777">
      <w:pPr>
        <w:rPr>
          <w:rFonts w:eastAsia="SimSun"/>
          <w:noProof/>
          <w:lang w:val="en-GB"/>
        </w:rPr>
      </w:pPr>
    </w:p>
    <w:p w:rsidR="00863CEA" w:rsidRPr="001F5859" w:rsidP="00900379" w14:paraId="64D929F3" w14:textId="77777777">
      <w:pPr>
        <w:rPr>
          <w:rFonts w:eastAsia="SimSun"/>
          <w:noProof/>
          <w:lang w:val="en-GB"/>
        </w:rPr>
      </w:pPr>
      <w:r w:rsidRPr="001F5859">
        <w:rPr>
          <w:rFonts w:eastAsia="SimSun"/>
          <w:b/>
          <w:noProof/>
          <w:lang w:val="en-GB"/>
        </w:rPr>
        <w:t>9.</w:t>
      </w:r>
      <w:r w:rsidRPr="001F5859">
        <w:rPr>
          <w:rFonts w:eastAsia="SimSun"/>
          <w:b/>
          <w:noProof/>
          <w:lang w:val="en-GB"/>
        </w:rPr>
        <w:tab/>
        <w:t>DATE OF FIRST AUTHORISATION/RENEWAL OF THE AUTHORISATION</w:t>
      </w:r>
    </w:p>
    <w:p w:rsidR="00830ACC" w:rsidRPr="001F5859" w:rsidP="00900379" w14:paraId="7A2B3973" w14:textId="77777777">
      <w:pPr>
        <w:rPr>
          <w:rFonts w:eastAsia="SimSun"/>
          <w:noProof/>
          <w:lang w:val="en-GB"/>
        </w:rPr>
      </w:pPr>
    </w:p>
    <w:p w:rsidR="00863CEA" w:rsidRPr="001F5859" w:rsidP="00900379" w14:paraId="6747D960" w14:textId="77777777">
      <w:pPr>
        <w:rPr>
          <w:rFonts w:eastAsia="SimSun"/>
          <w:noProof/>
          <w:lang w:val="en-GB"/>
        </w:rPr>
      </w:pPr>
      <w:r w:rsidRPr="001F5859">
        <w:rPr>
          <w:rFonts w:eastAsia="SimSun"/>
          <w:noProof/>
          <w:lang w:val="en-GB"/>
        </w:rPr>
        <w:t>Date of first authori</w:t>
      </w:r>
      <w:r w:rsidRPr="001F5859" w:rsidR="006F01B4">
        <w:rPr>
          <w:rFonts w:eastAsia="SimSun"/>
          <w:noProof/>
          <w:lang w:val="en-GB"/>
        </w:rPr>
        <w:t>s</w:t>
      </w:r>
      <w:r w:rsidRPr="001F5859">
        <w:rPr>
          <w:rFonts w:eastAsia="SimSun"/>
          <w:noProof/>
          <w:lang w:val="en-GB"/>
        </w:rPr>
        <w:t>ation: 4</w:t>
      </w:r>
      <w:r w:rsidRPr="001F5859">
        <w:rPr>
          <w:rFonts w:eastAsia="SimSun"/>
          <w:noProof/>
          <w:vertAlign w:val="superscript"/>
          <w:lang w:val="en-GB"/>
        </w:rPr>
        <w:t>th</w:t>
      </w:r>
      <w:r w:rsidRPr="001F5859">
        <w:rPr>
          <w:rFonts w:eastAsia="SimSun"/>
          <w:noProof/>
          <w:lang w:val="en-GB"/>
        </w:rPr>
        <w:t xml:space="preserve"> March 2013</w:t>
      </w:r>
    </w:p>
    <w:p w:rsidR="005A0CF8" w:rsidP="005A0CF8" w14:paraId="4A6B2798" w14:textId="77777777">
      <w:pPr>
        <w:rPr>
          <w:rFonts w:eastAsia="SimSun"/>
          <w:lang w:val="en-GB"/>
        </w:rPr>
      </w:pPr>
      <w:r w:rsidRPr="001F5859">
        <w:rPr>
          <w:rFonts w:eastAsia="SimSun"/>
          <w:noProof/>
          <w:lang w:val="en-GB"/>
        </w:rPr>
        <w:t>Date of latest renewal: 8</w:t>
      </w:r>
      <w:r w:rsidRPr="001F5859">
        <w:rPr>
          <w:rFonts w:eastAsia="SimSun"/>
          <w:noProof/>
          <w:vertAlign w:val="superscript"/>
          <w:lang w:val="en-GB"/>
        </w:rPr>
        <w:t>th</w:t>
      </w:r>
      <w:r w:rsidRPr="001F5859">
        <w:rPr>
          <w:rFonts w:eastAsia="SimSun"/>
          <w:noProof/>
          <w:lang w:val="en-GB"/>
        </w:rPr>
        <w:t xml:space="preserve"> December 2017</w:t>
      </w:r>
    </w:p>
    <w:p w:rsidR="00863CEA" w:rsidRPr="000D28E6" w:rsidP="00900379" w14:paraId="0BDAC565" w14:textId="77777777">
      <w:pPr>
        <w:rPr>
          <w:rFonts w:eastAsia="SimSun"/>
          <w:b/>
          <w:noProof/>
          <w:lang w:val="en-GB"/>
        </w:rPr>
      </w:pPr>
    </w:p>
    <w:p w:rsidR="00F62767" w:rsidRPr="000D28E6" w:rsidP="00900379" w14:paraId="62D358A1" w14:textId="77777777">
      <w:pPr>
        <w:rPr>
          <w:rFonts w:eastAsia="SimSun"/>
          <w:b/>
          <w:noProof/>
          <w:lang w:val="en-GB"/>
        </w:rPr>
      </w:pPr>
    </w:p>
    <w:p w:rsidR="00863CEA" w:rsidRPr="000D28E6" w:rsidP="0096375F" w14:paraId="60FC0761" w14:textId="77777777">
      <w:pPr>
        <w:keepNext/>
        <w:keepLines/>
        <w:rPr>
          <w:rFonts w:eastAsia="SimSun"/>
          <w:b/>
          <w:noProof/>
          <w:lang w:val="en-GB"/>
        </w:rPr>
      </w:pPr>
      <w:r w:rsidRPr="000D28E6">
        <w:rPr>
          <w:rFonts w:eastAsia="SimSun"/>
          <w:b/>
          <w:noProof/>
          <w:lang w:val="en-GB"/>
        </w:rPr>
        <w:t>10.</w:t>
      </w:r>
      <w:r w:rsidRPr="000D28E6">
        <w:rPr>
          <w:rFonts w:eastAsia="SimSun"/>
          <w:b/>
          <w:noProof/>
          <w:lang w:val="en-GB"/>
        </w:rPr>
        <w:tab/>
        <w:t>DATE OF REVISION OF THE TEXT</w:t>
      </w:r>
    </w:p>
    <w:p w:rsidR="00863CEA" w:rsidRPr="000D28E6" w:rsidP="0096375F" w14:paraId="3FB40DD9" w14:textId="77777777">
      <w:pPr>
        <w:keepNext/>
        <w:keepLines/>
        <w:rPr>
          <w:rFonts w:eastAsia="SimSun"/>
          <w:iCs/>
          <w:noProof/>
          <w:lang w:val="en-GB"/>
        </w:rPr>
      </w:pPr>
    </w:p>
    <w:p w:rsidR="00863CEA" w:rsidRPr="000D28E6" w:rsidP="0096375F" w14:paraId="7984101A" w14:textId="77777777">
      <w:pPr>
        <w:keepNext/>
        <w:keepLines/>
        <w:rPr>
          <w:rFonts w:eastAsia="SimSun"/>
          <w:noProof/>
          <w:lang w:val="en-GB"/>
        </w:rPr>
      </w:pPr>
      <w:r w:rsidRPr="000D28E6">
        <w:rPr>
          <w:rFonts w:eastAsia="SimSun"/>
          <w:iCs/>
          <w:noProof/>
          <w:lang w:val="en-GB"/>
        </w:rPr>
        <w:t xml:space="preserve">Detailed information on this medicinal product </w:t>
      </w:r>
      <w:r w:rsidRPr="000D28E6">
        <w:rPr>
          <w:rFonts w:eastAsia="SimSun"/>
          <w:noProof/>
          <w:lang w:val="en-GB"/>
        </w:rPr>
        <w:t xml:space="preserve">is available on the website of the European Medicines Agency </w:t>
      </w:r>
      <w:r>
        <w:fldChar w:fldCharType="begin"/>
      </w:r>
      <w:r>
        <w:instrText xml:space="preserve"> HYPERLINK "http://www.ema.europa.eu" </w:instrText>
      </w:r>
      <w:r>
        <w:fldChar w:fldCharType="separate"/>
      </w:r>
      <w:r w:rsidRPr="00BF2495" w:rsidR="006F3F1A">
        <w:rPr>
          <w:noProof/>
          <w:color w:val="0000FF"/>
          <w:u w:val="single"/>
          <w:lang w:val="en-GB"/>
        </w:rPr>
        <w:t>http://www.ema.europa.eu</w:t>
      </w:r>
      <w:r>
        <w:fldChar w:fldCharType="end"/>
      </w:r>
      <w:r w:rsidRPr="000D28E6">
        <w:rPr>
          <w:rFonts w:eastAsia="SimSun"/>
          <w:noProof/>
          <w:color w:val="0000FF"/>
          <w:lang w:val="en-GB"/>
        </w:rPr>
        <w:t>.</w:t>
      </w:r>
    </w:p>
    <w:p w:rsidR="005A70D0" w:rsidRPr="000D28E6" w:rsidP="005A70D0" w14:paraId="5A6AA038" w14:textId="77777777">
      <w:pPr>
        <w:rPr>
          <w:noProof/>
          <w:lang w:val="en-GB"/>
        </w:rPr>
      </w:pPr>
      <w:r w:rsidRPr="000D28E6">
        <w:rPr>
          <w:b/>
          <w:noProof/>
          <w:lang w:val="en-GB"/>
        </w:rPr>
        <w:br w:type="page"/>
      </w:r>
    </w:p>
    <w:p w:rsidR="005A70D0" w:rsidRPr="000D28E6" w:rsidP="005A70D0" w14:paraId="4791580A" w14:textId="77777777">
      <w:pPr>
        <w:jc w:val="center"/>
        <w:rPr>
          <w:noProof/>
          <w:lang w:val="en-GB"/>
        </w:rPr>
      </w:pPr>
    </w:p>
    <w:p w:rsidR="005A70D0" w:rsidRPr="000D28E6" w:rsidP="005A70D0" w14:paraId="2DEB4D5A" w14:textId="77777777">
      <w:pPr>
        <w:jc w:val="center"/>
        <w:rPr>
          <w:noProof/>
          <w:lang w:val="en-GB"/>
        </w:rPr>
      </w:pPr>
    </w:p>
    <w:p w:rsidR="005A70D0" w:rsidRPr="000D28E6" w:rsidP="005A70D0" w14:paraId="370347BE" w14:textId="77777777">
      <w:pPr>
        <w:jc w:val="center"/>
        <w:rPr>
          <w:noProof/>
          <w:lang w:val="en-GB"/>
        </w:rPr>
      </w:pPr>
    </w:p>
    <w:p w:rsidR="005A70D0" w:rsidRPr="000D28E6" w:rsidP="005A70D0" w14:paraId="13E419E5" w14:textId="77777777">
      <w:pPr>
        <w:jc w:val="center"/>
        <w:rPr>
          <w:noProof/>
          <w:lang w:val="en-GB"/>
        </w:rPr>
      </w:pPr>
    </w:p>
    <w:p w:rsidR="005A70D0" w:rsidRPr="000D28E6" w:rsidP="005A70D0" w14:paraId="30C21FD0" w14:textId="77777777">
      <w:pPr>
        <w:jc w:val="center"/>
        <w:rPr>
          <w:noProof/>
          <w:lang w:val="en-GB"/>
        </w:rPr>
      </w:pPr>
    </w:p>
    <w:p w:rsidR="005A70D0" w:rsidRPr="000D28E6" w:rsidP="005A70D0" w14:paraId="224B3C31" w14:textId="77777777">
      <w:pPr>
        <w:jc w:val="center"/>
        <w:rPr>
          <w:noProof/>
          <w:lang w:val="en-GB"/>
        </w:rPr>
      </w:pPr>
    </w:p>
    <w:p w:rsidR="005A70D0" w:rsidRPr="000D28E6" w:rsidP="005A70D0" w14:paraId="3B50DE2C" w14:textId="77777777">
      <w:pPr>
        <w:jc w:val="center"/>
        <w:rPr>
          <w:noProof/>
          <w:lang w:val="en-GB"/>
        </w:rPr>
      </w:pPr>
    </w:p>
    <w:p w:rsidR="005A70D0" w:rsidRPr="000D28E6" w:rsidP="005A70D0" w14:paraId="28680492" w14:textId="77777777">
      <w:pPr>
        <w:jc w:val="center"/>
        <w:rPr>
          <w:noProof/>
          <w:lang w:val="en-GB"/>
        </w:rPr>
      </w:pPr>
    </w:p>
    <w:p w:rsidR="005A70D0" w:rsidRPr="000D28E6" w:rsidP="005A70D0" w14:paraId="39840C90" w14:textId="77777777">
      <w:pPr>
        <w:jc w:val="center"/>
        <w:rPr>
          <w:noProof/>
          <w:lang w:val="en-GB"/>
        </w:rPr>
      </w:pPr>
    </w:p>
    <w:p w:rsidR="005A70D0" w:rsidRPr="000D28E6" w:rsidP="005A70D0" w14:paraId="19E2BAA5" w14:textId="77777777">
      <w:pPr>
        <w:jc w:val="center"/>
        <w:rPr>
          <w:noProof/>
          <w:lang w:val="en-GB"/>
        </w:rPr>
      </w:pPr>
    </w:p>
    <w:p w:rsidR="005A70D0" w:rsidRPr="000D28E6" w:rsidP="005A70D0" w14:paraId="2A1F069D" w14:textId="77777777">
      <w:pPr>
        <w:jc w:val="center"/>
        <w:rPr>
          <w:noProof/>
          <w:lang w:val="en-GB"/>
        </w:rPr>
      </w:pPr>
    </w:p>
    <w:p w:rsidR="005A70D0" w:rsidRPr="000D28E6" w:rsidP="005A70D0" w14:paraId="034D7122" w14:textId="77777777">
      <w:pPr>
        <w:jc w:val="center"/>
        <w:rPr>
          <w:noProof/>
          <w:lang w:val="en-GB"/>
        </w:rPr>
      </w:pPr>
    </w:p>
    <w:p w:rsidR="005A70D0" w:rsidRPr="000D28E6" w:rsidP="005A70D0" w14:paraId="4CF9CC64" w14:textId="77777777">
      <w:pPr>
        <w:jc w:val="center"/>
        <w:rPr>
          <w:noProof/>
          <w:lang w:val="en-GB"/>
        </w:rPr>
      </w:pPr>
    </w:p>
    <w:p w:rsidR="005A70D0" w:rsidRPr="000D28E6" w:rsidP="005A70D0" w14:paraId="2622E429" w14:textId="77777777">
      <w:pPr>
        <w:jc w:val="center"/>
        <w:rPr>
          <w:noProof/>
          <w:lang w:val="en-GB"/>
        </w:rPr>
      </w:pPr>
    </w:p>
    <w:p w:rsidR="005A70D0" w:rsidRPr="000D28E6" w:rsidP="005A70D0" w14:paraId="2397BC7B" w14:textId="77777777">
      <w:pPr>
        <w:jc w:val="center"/>
        <w:rPr>
          <w:noProof/>
          <w:lang w:val="en-GB"/>
        </w:rPr>
      </w:pPr>
    </w:p>
    <w:p w:rsidR="005A70D0" w:rsidRPr="000D28E6" w:rsidP="005A70D0" w14:paraId="0F268E62" w14:textId="77777777">
      <w:pPr>
        <w:jc w:val="center"/>
        <w:rPr>
          <w:noProof/>
          <w:lang w:val="en-GB"/>
        </w:rPr>
      </w:pPr>
    </w:p>
    <w:p w:rsidR="005A70D0" w:rsidRPr="000D28E6" w:rsidP="005A70D0" w14:paraId="5530F4F5" w14:textId="77777777">
      <w:pPr>
        <w:jc w:val="center"/>
        <w:rPr>
          <w:noProof/>
          <w:lang w:val="en-GB"/>
        </w:rPr>
      </w:pPr>
    </w:p>
    <w:p w:rsidR="005A70D0" w:rsidRPr="000D28E6" w:rsidP="005A70D0" w14:paraId="52322D0D" w14:textId="77777777">
      <w:pPr>
        <w:jc w:val="center"/>
        <w:rPr>
          <w:noProof/>
          <w:lang w:val="en-GB"/>
        </w:rPr>
      </w:pPr>
    </w:p>
    <w:p w:rsidR="005A70D0" w:rsidRPr="000D28E6" w:rsidP="005A70D0" w14:paraId="69F72197" w14:textId="77777777">
      <w:pPr>
        <w:jc w:val="center"/>
        <w:rPr>
          <w:noProof/>
          <w:lang w:val="en-GB"/>
        </w:rPr>
      </w:pPr>
    </w:p>
    <w:p w:rsidR="005A70D0" w:rsidRPr="000D28E6" w:rsidP="005A70D0" w14:paraId="48D07DD7" w14:textId="77777777">
      <w:pPr>
        <w:jc w:val="center"/>
        <w:rPr>
          <w:noProof/>
          <w:lang w:val="en-GB"/>
        </w:rPr>
      </w:pPr>
    </w:p>
    <w:p w:rsidR="005A70D0" w:rsidRPr="000D28E6" w:rsidP="005A70D0" w14:paraId="01786EBC" w14:textId="77777777">
      <w:pPr>
        <w:jc w:val="center"/>
        <w:rPr>
          <w:noProof/>
          <w:lang w:val="en-GB"/>
        </w:rPr>
      </w:pPr>
    </w:p>
    <w:p w:rsidR="005A70D0" w:rsidRPr="000D28E6" w:rsidP="005A70D0" w14:paraId="043CDCAC" w14:textId="77777777">
      <w:pPr>
        <w:jc w:val="center"/>
        <w:rPr>
          <w:noProof/>
          <w:lang w:val="en-GB"/>
        </w:rPr>
      </w:pPr>
    </w:p>
    <w:p w:rsidR="004F2053" w:rsidP="00890590" w14:paraId="2DEA52B5" w14:textId="77777777">
      <w:pPr>
        <w:jc w:val="center"/>
        <w:rPr>
          <w:b/>
          <w:noProof/>
          <w:lang w:val="en-GB"/>
        </w:rPr>
      </w:pPr>
    </w:p>
    <w:p w:rsidR="005A70D0" w:rsidRPr="000D28E6" w:rsidP="00890590" w14:paraId="1173ACC8" w14:textId="77777777">
      <w:pPr>
        <w:jc w:val="center"/>
        <w:rPr>
          <w:rFonts w:eastAsia="SimSun"/>
          <w:b/>
          <w:noProof/>
          <w:lang w:val="en-GB"/>
        </w:rPr>
      </w:pPr>
      <w:r w:rsidRPr="00BF2495">
        <w:rPr>
          <w:b/>
          <w:noProof/>
          <w:lang w:val="en-GB"/>
        </w:rPr>
        <w:t>ANNEX</w:t>
      </w:r>
      <w:r w:rsidRPr="000D28E6">
        <w:rPr>
          <w:rFonts w:eastAsia="SimSun"/>
          <w:b/>
          <w:noProof/>
          <w:lang w:val="en-GB"/>
        </w:rPr>
        <w:t xml:space="preserve"> II</w:t>
      </w:r>
    </w:p>
    <w:p w:rsidR="005A70D0" w:rsidRPr="000D28E6" w:rsidP="00365A21" w14:paraId="1DB82746" w14:textId="77777777">
      <w:pPr>
        <w:jc w:val="center"/>
        <w:rPr>
          <w:noProof/>
          <w:lang w:val="en-GB"/>
        </w:rPr>
      </w:pPr>
    </w:p>
    <w:p w:rsidR="005A70D0" w:rsidRPr="000D28E6" w:rsidP="0096375F" w14:paraId="3CC76383" w14:textId="77777777">
      <w:pPr>
        <w:ind w:left="1701" w:right="1418" w:hanging="567"/>
        <w:rPr>
          <w:b/>
          <w:noProof/>
          <w:lang w:val="en-GB"/>
        </w:rPr>
      </w:pPr>
      <w:r w:rsidRPr="000D28E6">
        <w:rPr>
          <w:b/>
          <w:noProof/>
          <w:lang w:val="en-GB"/>
        </w:rPr>
        <w:t>A.</w:t>
      </w:r>
      <w:r w:rsidRPr="000D28E6">
        <w:rPr>
          <w:b/>
          <w:noProof/>
          <w:lang w:val="en-GB"/>
        </w:rPr>
        <w:tab/>
      </w:r>
      <w:r w:rsidRPr="000D28E6" w:rsidR="00365A21">
        <w:rPr>
          <w:b/>
          <w:noProof/>
          <w:lang w:val="en-GB"/>
        </w:rPr>
        <w:t xml:space="preserve">MANUFACTURER OF THE BIOLOGICAL ACTIVE SUBSTANCE AND MANUFACTURER RESPONSIBLE FOR BATCH RELEASE </w:t>
      </w:r>
    </w:p>
    <w:p w:rsidR="005A70D0" w:rsidRPr="000D28E6" w:rsidP="0096375F" w14:paraId="484167D4" w14:textId="77777777">
      <w:pPr>
        <w:ind w:left="1701" w:right="1418" w:hanging="567"/>
        <w:rPr>
          <w:b/>
          <w:noProof/>
          <w:lang w:val="en-GB"/>
        </w:rPr>
      </w:pPr>
    </w:p>
    <w:p w:rsidR="005A70D0" w:rsidRPr="000D28E6" w:rsidP="0096375F" w14:paraId="1038F9F9" w14:textId="77777777">
      <w:pPr>
        <w:ind w:left="1701" w:right="1418" w:hanging="567"/>
        <w:rPr>
          <w:b/>
          <w:noProof/>
          <w:lang w:val="en-GB"/>
        </w:rPr>
      </w:pPr>
      <w:r w:rsidRPr="000D28E6">
        <w:rPr>
          <w:b/>
          <w:noProof/>
          <w:lang w:val="en-GB"/>
        </w:rPr>
        <w:t>B.</w:t>
      </w:r>
      <w:r w:rsidRPr="000D28E6">
        <w:rPr>
          <w:b/>
          <w:noProof/>
          <w:lang w:val="en-GB"/>
        </w:rPr>
        <w:tab/>
        <w:t>CONDITIONS OR RESTRICTIONS REGARDING SUPPLY AND USE</w:t>
      </w:r>
    </w:p>
    <w:p w:rsidR="005A70D0" w:rsidRPr="000D28E6" w:rsidP="0096375F" w14:paraId="74DA83A5" w14:textId="77777777">
      <w:pPr>
        <w:ind w:left="1701" w:right="1418" w:hanging="567"/>
        <w:rPr>
          <w:b/>
          <w:noProof/>
          <w:lang w:val="en-GB"/>
        </w:rPr>
      </w:pPr>
    </w:p>
    <w:p w:rsidR="005A70D0" w:rsidRPr="000D28E6" w:rsidP="0096375F" w14:paraId="7DF94800" w14:textId="77777777">
      <w:pPr>
        <w:ind w:left="1701" w:right="1418" w:hanging="567"/>
        <w:rPr>
          <w:b/>
          <w:noProof/>
          <w:lang w:val="en-GB"/>
        </w:rPr>
      </w:pPr>
      <w:r w:rsidRPr="000D28E6">
        <w:rPr>
          <w:b/>
          <w:noProof/>
          <w:lang w:val="en-GB"/>
        </w:rPr>
        <w:t>C.</w:t>
      </w:r>
      <w:r w:rsidRPr="000D28E6">
        <w:rPr>
          <w:b/>
          <w:noProof/>
          <w:lang w:val="en-GB"/>
        </w:rPr>
        <w:tab/>
        <w:t>OTHER CONDITIONS AND REQUIREMENTS OF THE MARKETING AUTHORISATION</w:t>
      </w:r>
    </w:p>
    <w:p w:rsidR="00365A21" w:rsidRPr="000D28E6" w:rsidP="0096375F" w14:paraId="5F4C19F7" w14:textId="77777777">
      <w:pPr>
        <w:ind w:left="1701" w:right="1418" w:hanging="567"/>
        <w:rPr>
          <w:b/>
          <w:noProof/>
          <w:lang w:val="en-GB"/>
        </w:rPr>
      </w:pPr>
    </w:p>
    <w:p w:rsidR="005A70D0" w:rsidRPr="000D28E6" w:rsidP="0096375F" w14:paraId="058CFD37" w14:textId="77777777">
      <w:pPr>
        <w:ind w:left="1701" w:right="1418" w:hanging="567"/>
        <w:rPr>
          <w:b/>
          <w:noProof/>
          <w:lang w:val="en-GB"/>
        </w:rPr>
      </w:pPr>
      <w:r w:rsidRPr="000D28E6">
        <w:rPr>
          <w:b/>
          <w:noProof/>
          <w:lang w:val="en-GB"/>
        </w:rPr>
        <w:t>D.</w:t>
      </w:r>
      <w:r w:rsidRPr="000D28E6">
        <w:rPr>
          <w:b/>
          <w:noProof/>
          <w:lang w:val="en-GB"/>
        </w:rPr>
        <w:tab/>
        <w:t>CONDITIONS OR RESTRICTIONS WITH REGARD TO THE SAFE AND EFFECTIVE USE OF THE MEDICINAL PRODUCT</w:t>
      </w:r>
    </w:p>
    <w:p w:rsidR="005A70D0" w:rsidRPr="000D28E6" w:rsidP="00365A21" w14:paraId="0CDACA5A" w14:textId="77777777">
      <w:pPr>
        <w:jc w:val="center"/>
        <w:rPr>
          <w:noProof/>
          <w:lang w:val="en-GB"/>
        </w:rPr>
      </w:pPr>
    </w:p>
    <w:p w:rsidR="005A70D0" w:rsidRPr="000D28E6" w:rsidP="00365A21" w14:paraId="409187FB" w14:textId="77777777">
      <w:pPr>
        <w:jc w:val="center"/>
        <w:rPr>
          <w:noProof/>
          <w:lang w:val="en-GB"/>
        </w:rPr>
      </w:pPr>
    </w:p>
    <w:p w:rsidR="005A70D0" w:rsidRPr="000D28E6" w:rsidP="00365A21" w14:paraId="2A1A853F" w14:textId="77777777">
      <w:pPr>
        <w:pStyle w:val="AnnexHeading"/>
        <w:rPr>
          <w:noProof/>
          <w:szCs w:val="22"/>
          <w:lang w:val="en-GB"/>
        </w:rPr>
      </w:pPr>
      <w:r w:rsidRPr="000D28E6">
        <w:rPr>
          <w:noProof/>
          <w:szCs w:val="22"/>
          <w:lang w:val="en-GB"/>
        </w:rPr>
        <w:br w:type="page"/>
      </w:r>
      <w:r w:rsidRPr="000D28E6" w:rsidR="00365A21">
        <w:rPr>
          <w:noProof/>
          <w:szCs w:val="22"/>
          <w:lang w:val="en-GB"/>
        </w:rPr>
        <w:t>A</w:t>
      </w:r>
      <w:r w:rsidRPr="000D28E6" w:rsidR="00193B3C">
        <w:rPr>
          <w:noProof/>
          <w:szCs w:val="22"/>
          <w:lang w:val="en-GB"/>
        </w:rPr>
        <w:t>.</w:t>
      </w:r>
      <w:r w:rsidRPr="000D28E6" w:rsidR="00365A21">
        <w:rPr>
          <w:noProof/>
          <w:szCs w:val="22"/>
          <w:lang w:val="en-GB"/>
        </w:rPr>
        <w:tab/>
      </w:r>
      <w:r w:rsidRPr="000D28E6">
        <w:rPr>
          <w:noProof/>
          <w:lang w:val="en-GB"/>
        </w:rPr>
        <w:t>MANUFACTURER OF THE BIOLOGICAL ACTIVE SUBSTANCE AND MANUFACTURER RESPONSIBLE FOR BATCH RELEASE</w:t>
      </w:r>
    </w:p>
    <w:p w:rsidR="005A70D0" w:rsidRPr="000D28E6" w:rsidP="001F5859" w14:paraId="56768C4A" w14:textId="77777777">
      <w:pPr>
        <w:spacing w:line="200" w:lineRule="exact"/>
        <w:ind w:left="720" w:hanging="720"/>
        <w:rPr>
          <w:b/>
          <w:noProof/>
          <w:lang w:val="en-GB"/>
        </w:rPr>
      </w:pPr>
    </w:p>
    <w:p w:rsidR="005A70D0" w:rsidRPr="000D28E6" w:rsidP="00365A21" w14:paraId="1CF0DAE3" w14:textId="77777777">
      <w:pPr>
        <w:ind w:left="720" w:hanging="720"/>
        <w:rPr>
          <w:noProof/>
          <w:u w:val="single"/>
          <w:lang w:val="en-GB"/>
        </w:rPr>
      </w:pPr>
      <w:r w:rsidRPr="000D28E6">
        <w:rPr>
          <w:noProof/>
          <w:u w:val="single"/>
          <w:lang w:val="en-GB"/>
        </w:rPr>
        <w:t xml:space="preserve">Name and address of the manufacturer of the biological active substance(s) </w:t>
      </w:r>
    </w:p>
    <w:p w:rsidR="005A70D0" w:rsidRPr="000D28E6" w:rsidP="00365A21" w14:paraId="5F09EE6F" w14:textId="77777777">
      <w:pPr>
        <w:rPr>
          <w:noProof/>
          <w:lang w:val="en-GB"/>
        </w:rPr>
      </w:pPr>
      <w:r w:rsidRPr="000D28E6">
        <w:rPr>
          <w:noProof/>
          <w:lang w:val="en-GB"/>
        </w:rPr>
        <w:t>Genentech, Inc.</w:t>
      </w:r>
    </w:p>
    <w:p w:rsidR="005A70D0" w:rsidRPr="000D28E6" w:rsidP="00365A21" w14:paraId="1B0D0C77" w14:textId="77777777">
      <w:pPr>
        <w:rPr>
          <w:noProof/>
          <w:lang w:val="en-GB"/>
        </w:rPr>
      </w:pPr>
      <w:r w:rsidRPr="000D28E6">
        <w:rPr>
          <w:noProof/>
          <w:lang w:val="en-GB"/>
        </w:rPr>
        <w:t>1000 New Horizons Way</w:t>
      </w:r>
    </w:p>
    <w:p w:rsidR="005A70D0" w:rsidRPr="000D28E6" w:rsidP="00365A21" w14:paraId="5EA3F989" w14:textId="77777777">
      <w:pPr>
        <w:rPr>
          <w:noProof/>
          <w:lang w:val="en-GB"/>
        </w:rPr>
      </w:pPr>
      <w:r w:rsidRPr="000D28E6">
        <w:rPr>
          <w:noProof/>
          <w:lang w:val="en-GB"/>
        </w:rPr>
        <w:t>Vacaville, CA 95688-9431</w:t>
      </w:r>
    </w:p>
    <w:p w:rsidR="005A70D0" w:rsidRPr="000D28E6" w:rsidP="00365A21" w14:paraId="53A8E179" w14:textId="77777777">
      <w:pPr>
        <w:rPr>
          <w:noProof/>
          <w:lang w:val="en-GB"/>
        </w:rPr>
      </w:pPr>
      <w:r w:rsidRPr="000D28E6">
        <w:rPr>
          <w:noProof/>
          <w:lang w:val="en-GB"/>
        </w:rPr>
        <w:t>USA</w:t>
      </w:r>
    </w:p>
    <w:p w:rsidR="005A70D0" w:rsidRPr="000D28E6" w:rsidP="00365A21" w14:paraId="10DEBD98" w14:textId="77777777">
      <w:pPr>
        <w:rPr>
          <w:noProof/>
          <w:lang w:val="en-GB"/>
        </w:rPr>
      </w:pPr>
    </w:p>
    <w:p w:rsidR="005A70D0" w:rsidRPr="000D28E6" w:rsidP="00365A21" w14:paraId="4C1C3381" w14:textId="77777777">
      <w:pPr>
        <w:ind w:left="720" w:hanging="720"/>
        <w:rPr>
          <w:noProof/>
          <w:u w:val="single"/>
          <w:lang w:val="en-GB"/>
        </w:rPr>
      </w:pPr>
      <w:r w:rsidRPr="000D28E6">
        <w:rPr>
          <w:noProof/>
          <w:u w:val="single"/>
          <w:lang w:val="en-GB"/>
        </w:rPr>
        <w:t>Name and address of the manufacturer responsible for batch release</w:t>
      </w:r>
    </w:p>
    <w:p w:rsidR="005A70D0" w:rsidRPr="0096375F" w:rsidP="00234346" w14:paraId="70F0BA0C" w14:textId="77777777">
      <w:pPr>
        <w:rPr>
          <w:lang w:val="de-CH"/>
        </w:rPr>
      </w:pPr>
      <w:r w:rsidRPr="0096375F">
        <w:rPr>
          <w:lang w:val="de-CH"/>
        </w:rPr>
        <w:t>Roche Pharma AG</w:t>
      </w:r>
    </w:p>
    <w:p w:rsidR="005A70D0" w:rsidRPr="0096375F" w:rsidP="00234346" w14:paraId="5E1E448F" w14:textId="77777777">
      <w:pPr>
        <w:rPr>
          <w:lang w:val="de-CH"/>
        </w:rPr>
      </w:pPr>
      <w:r w:rsidRPr="0096375F">
        <w:rPr>
          <w:lang w:val="de-CH"/>
        </w:rPr>
        <w:t>Emil-Barell-Strasse 1</w:t>
      </w:r>
    </w:p>
    <w:p w:rsidR="005A70D0" w:rsidRPr="000D28E6" w:rsidP="00234346" w14:paraId="4A3918DC" w14:textId="77777777">
      <w:pPr>
        <w:rPr>
          <w:noProof/>
          <w:lang w:val="en-GB"/>
        </w:rPr>
      </w:pPr>
      <w:r w:rsidRPr="000D28E6">
        <w:rPr>
          <w:noProof/>
          <w:lang w:val="en-GB"/>
        </w:rPr>
        <w:t>D-79639 Grenzach-Whylen</w:t>
      </w:r>
    </w:p>
    <w:p w:rsidR="005A70D0" w:rsidRPr="000D28E6" w:rsidP="00234346" w14:paraId="0B7B93E1" w14:textId="77777777">
      <w:pPr>
        <w:rPr>
          <w:noProof/>
          <w:lang w:val="en-GB"/>
        </w:rPr>
      </w:pPr>
      <w:r w:rsidRPr="000D28E6">
        <w:rPr>
          <w:noProof/>
          <w:lang w:val="en-GB"/>
        </w:rPr>
        <w:t>Germany</w:t>
      </w:r>
    </w:p>
    <w:p w:rsidR="005A70D0" w:rsidRPr="000D28E6" w:rsidP="001F5859" w14:paraId="1EE4DE0E" w14:textId="77777777">
      <w:pPr>
        <w:spacing w:line="200" w:lineRule="exact"/>
        <w:rPr>
          <w:noProof/>
          <w:lang w:val="en-GB"/>
        </w:rPr>
      </w:pPr>
    </w:p>
    <w:p w:rsidR="005A70D0" w:rsidRPr="000D28E6" w:rsidP="001F5859" w14:paraId="4D278538" w14:textId="77777777">
      <w:pPr>
        <w:spacing w:line="200" w:lineRule="exact"/>
        <w:rPr>
          <w:noProof/>
          <w:lang w:val="en-GB"/>
        </w:rPr>
      </w:pPr>
    </w:p>
    <w:p w:rsidR="005A70D0" w:rsidRPr="000D28E6" w:rsidP="00234346" w14:paraId="002E8FC9" w14:textId="77777777">
      <w:pPr>
        <w:pStyle w:val="AnnexHeading"/>
        <w:rPr>
          <w:noProof/>
          <w:szCs w:val="22"/>
          <w:lang w:val="en-GB"/>
        </w:rPr>
      </w:pPr>
      <w:r w:rsidRPr="000D28E6">
        <w:rPr>
          <w:noProof/>
          <w:szCs w:val="22"/>
          <w:lang w:val="en-GB"/>
        </w:rPr>
        <w:t>B.</w:t>
      </w:r>
      <w:r w:rsidRPr="000D28E6">
        <w:rPr>
          <w:noProof/>
          <w:szCs w:val="22"/>
          <w:lang w:val="en-GB"/>
        </w:rPr>
        <w:tab/>
      </w:r>
      <w:r w:rsidRPr="000D28E6" w:rsidR="000D1BF7">
        <w:rPr>
          <w:noProof/>
          <w:szCs w:val="22"/>
          <w:lang w:val="en-GB"/>
        </w:rPr>
        <w:t>CONDITIONS OR RESTRICTIONS REGARDING SUPPLY AND USE</w:t>
      </w:r>
    </w:p>
    <w:p w:rsidR="005A70D0" w:rsidRPr="000D28E6" w:rsidP="00234346" w14:paraId="154ECEB7" w14:textId="77777777">
      <w:pPr>
        <w:rPr>
          <w:noProof/>
          <w:lang w:val="en-GB"/>
        </w:rPr>
      </w:pPr>
    </w:p>
    <w:p w:rsidR="005A70D0" w:rsidRPr="000D28E6" w:rsidP="00234346" w14:paraId="0B5CFAE8" w14:textId="77777777">
      <w:pPr>
        <w:rPr>
          <w:noProof/>
          <w:lang w:val="en-GB"/>
        </w:rPr>
      </w:pPr>
      <w:r w:rsidRPr="000D28E6">
        <w:rPr>
          <w:noProof/>
          <w:lang w:val="en-GB"/>
        </w:rPr>
        <w:t>Medicinal product subject to restricted medical prescription (see Annex I: Summary of Product Characteristics, section 4.2).</w:t>
      </w:r>
    </w:p>
    <w:p w:rsidR="005A70D0" w:rsidRPr="000D28E6" w:rsidP="00234346" w14:paraId="09124F83" w14:textId="77777777">
      <w:pPr>
        <w:rPr>
          <w:noProof/>
          <w:lang w:val="en-GB"/>
        </w:rPr>
      </w:pPr>
    </w:p>
    <w:p w:rsidR="005A70D0" w:rsidRPr="000D28E6" w:rsidP="001F5859" w14:paraId="1E81073A" w14:textId="77777777">
      <w:pPr>
        <w:spacing w:line="200" w:lineRule="exact"/>
        <w:rPr>
          <w:noProof/>
          <w:lang w:val="en-GB"/>
        </w:rPr>
      </w:pPr>
    </w:p>
    <w:p w:rsidR="005A70D0" w:rsidRPr="000D28E6" w:rsidP="00234346" w14:paraId="56FEEF4D" w14:textId="77777777">
      <w:pPr>
        <w:pStyle w:val="AnnexHeading"/>
        <w:rPr>
          <w:noProof/>
          <w:szCs w:val="22"/>
          <w:lang w:val="en-GB"/>
        </w:rPr>
      </w:pPr>
      <w:r w:rsidRPr="000D28E6">
        <w:rPr>
          <w:noProof/>
          <w:szCs w:val="22"/>
          <w:lang w:val="en-GB"/>
        </w:rPr>
        <w:t xml:space="preserve">C. </w:t>
      </w:r>
      <w:r w:rsidRPr="000D28E6">
        <w:rPr>
          <w:noProof/>
          <w:szCs w:val="22"/>
          <w:lang w:val="en-GB"/>
        </w:rPr>
        <w:tab/>
        <w:t xml:space="preserve">OTHER CONDITIONS AND REQUIREMENTS OF THE MARKETING AUTHORISATION </w:t>
      </w:r>
    </w:p>
    <w:p w:rsidR="005A70D0" w:rsidRPr="000D28E6" w:rsidP="001F5859" w14:paraId="0D2F47F9" w14:textId="77777777">
      <w:pPr>
        <w:spacing w:line="200" w:lineRule="exact"/>
        <w:rPr>
          <w:noProof/>
          <w:lang w:val="en-GB"/>
        </w:rPr>
      </w:pPr>
    </w:p>
    <w:p w:rsidR="005A70D0" w:rsidRPr="000D28E6" w:rsidP="00234346" w14:paraId="69E8DD9E" w14:textId="77777777">
      <w:pPr>
        <w:suppressLineNumbers/>
        <w:tabs>
          <w:tab w:val="left" w:pos="567"/>
        </w:tabs>
        <w:spacing w:line="260" w:lineRule="exact"/>
        <w:ind w:right="-1"/>
        <w:rPr>
          <w:b/>
          <w:noProof/>
          <w:lang w:val="en-GB"/>
        </w:rPr>
      </w:pPr>
      <w:r w:rsidRPr="000D28E6">
        <w:rPr>
          <w:rFonts w:ascii="Symbol" w:eastAsia="SimSun" w:hAnsi="Symbol"/>
          <w:lang w:val="en-GB"/>
        </w:rPr>
        <w:sym w:font="Symbol" w:char="F0B7"/>
      </w:r>
      <w:r w:rsidRPr="000D28E6">
        <w:rPr>
          <w:rFonts w:eastAsia="SimSun"/>
          <w:lang w:val="en-GB"/>
        </w:rPr>
        <w:tab/>
      </w:r>
      <w:r w:rsidRPr="000D28E6">
        <w:rPr>
          <w:b/>
          <w:noProof/>
          <w:lang w:val="en-GB"/>
        </w:rPr>
        <w:t xml:space="preserve">Periodic safety update reports </w:t>
      </w:r>
    </w:p>
    <w:p w:rsidR="005A70D0" w:rsidRPr="000D28E6" w:rsidP="005A70D0" w14:paraId="258ADF26" w14:textId="77777777">
      <w:pPr>
        <w:suppressLineNumbers/>
        <w:tabs>
          <w:tab w:val="left" w:pos="0"/>
          <w:tab w:val="left" w:pos="567"/>
        </w:tabs>
        <w:spacing w:line="260" w:lineRule="exact"/>
        <w:ind w:right="567"/>
        <w:rPr>
          <w:noProof/>
          <w:lang w:val="en-GB"/>
        </w:rPr>
      </w:pPr>
    </w:p>
    <w:p w:rsidR="005A70D0" w:rsidRPr="000D28E6" w:rsidP="005A70D0" w14:paraId="5B9F8C18" w14:textId="77777777">
      <w:pPr>
        <w:spacing w:line="280" w:lineRule="atLeast"/>
        <w:rPr>
          <w:noProof/>
          <w:lang w:val="en-GB"/>
        </w:rPr>
      </w:pPr>
      <w:r w:rsidRPr="000A705B">
        <w:rPr>
          <w:szCs w:val="22"/>
        </w:rPr>
        <w:t xml:space="preserve">The requirements for submission of periodic safety update reports for this medicinal product are </w:t>
      </w:r>
      <w:r w:rsidRPr="000D28E6">
        <w:rPr>
          <w:noProof/>
          <w:lang w:val="en-GB"/>
        </w:rPr>
        <w:t xml:space="preserve">set out in the list of Union reference dates (EURD list) provided for under Article 107c(7) of Directive 2001/83/EC and </w:t>
      </w:r>
      <w:r w:rsidR="00FF3814">
        <w:rPr>
          <w:noProof/>
          <w:lang w:val="en-GB"/>
        </w:rPr>
        <w:t xml:space="preserve">any subsquent updates </w:t>
      </w:r>
      <w:r w:rsidRPr="000D28E6">
        <w:rPr>
          <w:noProof/>
          <w:lang w:val="en-GB"/>
        </w:rPr>
        <w:t>published on the European medicines web-portal.</w:t>
      </w:r>
    </w:p>
    <w:p w:rsidR="005A70D0" w:rsidRPr="000D28E6" w:rsidP="005A70D0" w14:paraId="12CE6603" w14:textId="77777777">
      <w:pPr>
        <w:suppressLineNumbers/>
        <w:tabs>
          <w:tab w:val="left" w:pos="0"/>
          <w:tab w:val="left" w:pos="567"/>
        </w:tabs>
        <w:spacing w:line="260" w:lineRule="exact"/>
        <w:ind w:right="567"/>
        <w:rPr>
          <w:iCs/>
          <w:szCs w:val="22"/>
          <w:lang w:val="en-GB" w:eastAsia="en-US"/>
        </w:rPr>
      </w:pPr>
    </w:p>
    <w:p w:rsidR="005A70D0" w:rsidRPr="000D28E6" w:rsidP="00234346" w14:paraId="132C4D25" w14:textId="77777777">
      <w:pPr>
        <w:suppressLineNumbers/>
        <w:tabs>
          <w:tab w:val="left" w:pos="0"/>
          <w:tab w:val="left" w:pos="567"/>
        </w:tabs>
        <w:spacing w:line="260" w:lineRule="exact"/>
        <w:ind w:right="567"/>
        <w:rPr>
          <w:iCs/>
          <w:szCs w:val="22"/>
          <w:lang w:val="en-GB" w:eastAsia="en-US"/>
        </w:rPr>
      </w:pPr>
    </w:p>
    <w:p w:rsidR="005A70D0" w:rsidRPr="000D28E6" w:rsidP="00234346" w14:paraId="259845EE" w14:textId="77777777">
      <w:pPr>
        <w:pStyle w:val="AnnexHeading"/>
        <w:rPr>
          <w:noProof/>
          <w:szCs w:val="22"/>
          <w:lang w:val="en-GB"/>
        </w:rPr>
      </w:pPr>
      <w:r w:rsidRPr="000D28E6">
        <w:rPr>
          <w:noProof/>
          <w:szCs w:val="22"/>
          <w:lang w:val="en-GB"/>
        </w:rPr>
        <w:t>D.</w:t>
      </w:r>
      <w:r w:rsidRPr="000D28E6">
        <w:rPr>
          <w:noProof/>
          <w:szCs w:val="22"/>
          <w:lang w:val="en-GB"/>
        </w:rPr>
        <w:tab/>
        <w:t>CONDITIONS OR RESTRICTIONS WITH REGARD TO THE SAFE AND EFFECTIVE  USE OF THE MEDICINAL PRODUCT</w:t>
      </w:r>
    </w:p>
    <w:p w:rsidR="005A70D0" w:rsidRPr="000D28E6" w:rsidP="001F5859" w14:paraId="5DBF8BDC" w14:textId="77777777">
      <w:pPr>
        <w:suppressLineNumbers/>
        <w:tabs>
          <w:tab w:val="left" w:pos="0"/>
          <w:tab w:val="left" w:pos="567"/>
        </w:tabs>
        <w:spacing w:line="220" w:lineRule="exact"/>
        <w:ind w:right="567"/>
        <w:rPr>
          <w:iCs/>
          <w:szCs w:val="22"/>
          <w:lang w:val="en-GB" w:eastAsia="en-US"/>
        </w:rPr>
      </w:pPr>
    </w:p>
    <w:p w:rsidR="005A70D0" w:rsidRPr="000D28E6" w:rsidP="00234346" w14:paraId="18654CF1" w14:textId="77777777">
      <w:pPr>
        <w:suppressLineNumbers/>
        <w:tabs>
          <w:tab w:val="left" w:pos="567"/>
        </w:tabs>
        <w:spacing w:line="260" w:lineRule="exact"/>
        <w:ind w:right="-1"/>
        <w:rPr>
          <w:b/>
          <w:szCs w:val="18"/>
          <w:lang w:val="en-GB" w:eastAsia="en-US"/>
        </w:rPr>
      </w:pPr>
      <w:r w:rsidRPr="000D28E6">
        <w:rPr>
          <w:rFonts w:ascii="Symbol" w:eastAsia="SimSun" w:hAnsi="Symbol"/>
          <w:lang w:val="en-GB"/>
        </w:rPr>
        <w:sym w:font="Symbol" w:char="F0B7"/>
      </w:r>
      <w:r w:rsidRPr="000D28E6">
        <w:rPr>
          <w:rFonts w:eastAsia="SimSun"/>
          <w:lang w:val="en-GB"/>
        </w:rPr>
        <w:tab/>
      </w:r>
      <w:r w:rsidRPr="000D28E6">
        <w:rPr>
          <w:b/>
          <w:lang w:val="en-GB" w:eastAsia="en-US"/>
        </w:rPr>
        <w:t>Risk Management Plan (RMP)</w:t>
      </w:r>
    </w:p>
    <w:p w:rsidR="005A70D0" w:rsidRPr="000D28E6" w:rsidP="005A70D0" w14:paraId="0145811D" w14:textId="77777777">
      <w:pPr>
        <w:suppressLineNumbers/>
        <w:tabs>
          <w:tab w:val="left" w:pos="567"/>
        </w:tabs>
        <w:spacing w:line="260" w:lineRule="exact"/>
        <w:ind w:left="720" w:right="-1"/>
        <w:rPr>
          <w:b/>
          <w:noProof/>
          <w:lang w:val="en-GB"/>
        </w:rPr>
      </w:pPr>
    </w:p>
    <w:p w:rsidR="005A70D0" w:rsidRPr="000D28E6" w:rsidP="005A70D0" w14:paraId="6276D48E" w14:textId="77777777">
      <w:pPr>
        <w:suppressLineNumbers/>
        <w:tabs>
          <w:tab w:val="left" w:pos="0"/>
          <w:tab w:val="left" w:pos="567"/>
        </w:tabs>
        <w:spacing w:line="260" w:lineRule="exact"/>
        <w:ind w:right="567"/>
        <w:rPr>
          <w:noProof/>
          <w:lang w:val="en-GB"/>
        </w:rPr>
      </w:pPr>
      <w:r w:rsidRPr="000D28E6">
        <w:rPr>
          <w:noProof/>
          <w:lang w:val="en-GB"/>
        </w:rPr>
        <w:t>The MAH shall perform the required  pharmacovigilance activities and interventions detailed in the  agreed RMP presented in Module 1.8.2 of the Marketing Authorisation and any agreeed  subsequent updates of the RMP.</w:t>
      </w:r>
    </w:p>
    <w:p w:rsidR="005A70D0" w:rsidRPr="000D28E6" w:rsidP="005A70D0" w14:paraId="03C52D13" w14:textId="77777777">
      <w:pPr>
        <w:suppressLineNumbers/>
        <w:tabs>
          <w:tab w:val="left" w:pos="567"/>
        </w:tabs>
        <w:spacing w:line="260" w:lineRule="exact"/>
        <w:ind w:right="-1"/>
        <w:rPr>
          <w:noProof/>
          <w:lang w:val="en-GB"/>
        </w:rPr>
      </w:pPr>
      <w:r>
        <w:rPr>
          <w:noProof/>
          <w:lang w:val="en-GB"/>
        </w:rPr>
        <w:t>A</w:t>
      </w:r>
      <w:r w:rsidRPr="000D28E6">
        <w:rPr>
          <w:noProof/>
          <w:lang w:val="en-GB"/>
        </w:rPr>
        <w:t>n updated RMP should be submitted:</w:t>
      </w:r>
    </w:p>
    <w:p w:rsidR="005A70D0" w:rsidRPr="000D28E6" w:rsidP="00234346" w14:paraId="3E5ED68B" w14:textId="77777777">
      <w:pPr>
        <w:suppressLineNumbers/>
        <w:tabs>
          <w:tab w:val="left" w:pos="567"/>
        </w:tabs>
        <w:spacing w:line="260" w:lineRule="exact"/>
        <w:ind w:left="284" w:right="-1"/>
        <w:rPr>
          <w:noProof/>
          <w:lang w:val="en-GB"/>
        </w:rPr>
      </w:pPr>
      <w:r w:rsidRPr="000D28E6">
        <w:rPr>
          <w:rFonts w:ascii="Symbol" w:eastAsia="SimSun" w:hAnsi="Symbol"/>
          <w:lang w:val="en-GB"/>
        </w:rPr>
        <w:sym w:font="Symbol" w:char="F0B7"/>
      </w:r>
      <w:r w:rsidRPr="000D28E6">
        <w:rPr>
          <w:rFonts w:eastAsia="SimSun"/>
          <w:lang w:val="en-GB"/>
        </w:rPr>
        <w:tab/>
      </w:r>
      <w:r w:rsidRPr="000D28E6">
        <w:rPr>
          <w:noProof/>
          <w:lang w:val="en-GB"/>
        </w:rPr>
        <w:t>At the request of the European Medicines Agency;</w:t>
      </w:r>
    </w:p>
    <w:p w:rsidR="005A70D0" w:rsidRPr="000D28E6" w:rsidP="00234346" w14:paraId="57596584" w14:textId="77777777">
      <w:pPr>
        <w:suppressLineNumbers/>
        <w:tabs>
          <w:tab w:val="left" w:pos="540"/>
        </w:tabs>
        <w:spacing w:line="260" w:lineRule="exact"/>
        <w:ind w:left="540" w:hanging="256"/>
        <w:rPr>
          <w:rFonts w:eastAsia="SimSun"/>
          <w:lang w:val="en-GB"/>
        </w:rPr>
      </w:pPr>
      <w:r w:rsidRPr="000D28E6">
        <w:rPr>
          <w:rFonts w:ascii="Symbol" w:eastAsia="SimSun" w:hAnsi="Symbol"/>
          <w:lang w:val="en-GB"/>
        </w:rPr>
        <w:sym w:font="Symbol" w:char="F0B7"/>
      </w:r>
      <w:r w:rsidRPr="000D28E6">
        <w:rPr>
          <w:rFonts w:eastAsia="SimSun"/>
          <w:lang w:val="en-GB"/>
        </w:rPr>
        <w:tab/>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rsidR="005A70D0" w:rsidRPr="000D28E6" w:rsidP="00234346" w14:paraId="1B985CAF" w14:textId="77777777">
      <w:pPr>
        <w:suppressLineNumbers/>
        <w:tabs>
          <w:tab w:val="left" w:pos="0"/>
          <w:tab w:val="left" w:pos="567"/>
        </w:tabs>
        <w:spacing w:line="260" w:lineRule="exact"/>
        <w:ind w:right="567"/>
        <w:rPr>
          <w:iCs/>
          <w:szCs w:val="22"/>
          <w:lang w:val="en-GB" w:eastAsia="en-US"/>
        </w:rPr>
      </w:pPr>
    </w:p>
    <w:p w:rsidR="005A70D0" w:rsidP="008B308C" w14:paraId="3F287659" w14:textId="77777777">
      <w:pPr>
        <w:keepNext/>
        <w:keepLines/>
        <w:suppressLineNumbers/>
        <w:tabs>
          <w:tab w:val="left" w:pos="567"/>
        </w:tabs>
        <w:spacing w:line="260" w:lineRule="exact"/>
        <w:ind w:right="-1"/>
        <w:rPr>
          <w:b/>
          <w:lang w:val="en-GB" w:eastAsia="en-US"/>
        </w:rPr>
      </w:pPr>
      <w:r w:rsidRPr="000D28E6">
        <w:rPr>
          <w:rFonts w:ascii="Symbol" w:eastAsia="SimSun" w:hAnsi="Symbol"/>
          <w:lang w:val="en-GB"/>
        </w:rPr>
        <w:sym w:font="Symbol" w:char="F0B7"/>
      </w:r>
      <w:r w:rsidRPr="000D28E6">
        <w:rPr>
          <w:rFonts w:eastAsia="SimSun"/>
          <w:lang w:val="en-GB"/>
        </w:rPr>
        <w:tab/>
      </w:r>
      <w:r w:rsidRPr="000D28E6">
        <w:rPr>
          <w:b/>
          <w:lang w:val="en-GB" w:eastAsia="en-US"/>
        </w:rPr>
        <w:t>Obligation to conduct post-authorisation measures</w:t>
      </w:r>
    </w:p>
    <w:p w:rsidR="00DB6DA6" w:rsidRPr="000D28E6" w:rsidP="008B308C" w14:paraId="0E5106D5" w14:textId="77777777">
      <w:pPr>
        <w:keepNext/>
        <w:keepLines/>
        <w:suppressLineNumbers/>
        <w:tabs>
          <w:tab w:val="left" w:pos="567"/>
        </w:tabs>
        <w:spacing w:line="260" w:lineRule="exact"/>
        <w:ind w:right="-1"/>
        <w:rPr>
          <w:b/>
          <w:szCs w:val="22"/>
          <w:lang w:val="en-GB" w:eastAsia="en-US"/>
        </w:rPr>
      </w:pPr>
    </w:p>
    <w:p w:rsidR="005A70D0" w:rsidRPr="000D28E6" w:rsidP="008B308C" w14:paraId="557FCC54" w14:textId="77777777">
      <w:pPr>
        <w:keepNext/>
        <w:keepLines/>
        <w:suppressLineNumbers/>
        <w:tabs>
          <w:tab w:val="left" w:pos="0"/>
          <w:tab w:val="left" w:pos="567"/>
        </w:tabs>
        <w:spacing w:line="260" w:lineRule="exact"/>
        <w:ind w:right="567"/>
        <w:rPr>
          <w:iCs/>
          <w:szCs w:val="22"/>
          <w:lang w:val="en-GB" w:eastAsia="en-US"/>
        </w:rPr>
      </w:pPr>
      <w:r w:rsidRPr="000D28E6">
        <w:rPr>
          <w:iCs/>
          <w:szCs w:val="22"/>
          <w:lang w:val="en-GB" w:eastAsia="en-US"/>
        </w:rPr>
        <w:t>The MAH shall complete, within the stated timeframe, the following measures:</w:t>
      </w:r>
    </w:p>
    <w:p w:rsidR="00FC53A3" w:rsidRPr="000D28E6" w:rsidP="0096375F" w14:paraId="22CEA023" w14:textId="77777777">
      <w:pPr>
        <w:keepNext/>
        <w:keepLines/>
        <w:suppressLineNumbers/>
        <w:tabs>
          <w:tab w:val="left" w:pos="0"/>
          <w:tab w:val="left" w:pos="567"/>
        </w:tabs>
        <w:spacing w:line="260" w:lineRule="exact"/>
        <w:ind w:right="567"/>
        <w:rPr>
          <w:iCs/>
          <w:szCs w:val="22"/>
          <w:lang w:val="en-GB" w:eastAsia="en-US"/>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10"/>
        <w:gridCol w:w="1491"/>
      </w:tblGrid>
      <w:tr w14:paraId="3B90C6FC" w14:textId="77777777" w:rsidTr="0096375F">
        <w:tblPrEx>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181" w:type="pct"/>
          </w:tcPr>
          <w:p w:rsidR="005A70D0" w:rsidRPr="000D28E6" w:rsidP="00FC53A3" w14:paraId="6BE22E96" w14:textId="77777777">
            <w:pPr>
              <w:suppressLineNumbers/>
              <w:ind w:right="-1"/>
              <w:rPr>
                <w:i/>
                <w:noProof/>
                <w:lang w:val="en-GB"/>
              </w:rPr>
            </w:pPr>
            <w:r w:rsidRPr="000D28E6">
              <w:rPr>
                <w:rFonts w:eastAsia="SimSun"/>
                <w:b/>
                <w:noProof/>
                <w:szCs w:val="22"/>
                <w:lang w:val="en-GB"/>
              </w:rPr>
              <w:t>Description</w:t>
            </w:r>
          </w:p>
        </w:tc>
        <w:tc>
          <w:tcPr>
            <w:tcW w:w="819" w:type="pct"/>
          </w:tcPr>
          <w:p w:rsidR="005A70D0" w:rsidRPr="000D28E6" w14:paraId="5F222275" w14:textId="77777777">
            <w:pPr>
              <w:pStyle w:val="BodyText"/>
              <w:rPr>
                <w:rFonts w:eastAsia="Times New Roman"/>
                <w:i w:val="0"/>
                <w:noProof/>
                <w:color w:val="auto"/>
                <w:lang w:val="en-GB"/>
              </w:rPr>
            </w:pPr>
            <w:r w:rsidRPr="000D28E6">
              <w:rPr>
                <w:b/>
                <w:i w:val="0"/>
                <w:noProof/>
                <w:color w:val="auto"/>
                <w:szCs w:val="22"/>
                <w:lang w:val="en-GB"/>
              </w:rPr>
              <w:t>Due date</w:t>
            </w:r>
          </w:p>
        </w:tc>
      </w:tr>
      <w:tr w14:paraId="51340F30" w14:textId="77777777" w:rsidTr="0096375F">
        <w:tblPrEx>
          <w:tblW w:w="4900" w:type="pct"/>
          <w:tblLook w:val="01E0"/>
        </w:tblPrEx>
        <w:tc>
          <w:tcPr>
            <w:tcW w:w="4181" w:type="pct"/>
          </w:tcPr>
          <w:p w:rsidR="005A70D0" w:rsidRPr="000D28E6" w:rsidP="00FC53A3" w14:paraId="3C2E7B47" w14:textId="77777777">
            <w:pPr>
              <w:spacing w:line="280" w:lineRule="exact"/>
              <w:rPr>
                <w:noProof/>
                <w:lang w:val="en-GB"/>
              </w:rPr>
            </w:pPr>
            <w:r w:rsidRPr="000D28E6">
              <w:rPr>
                <w:noProof/>
                <w:lang w:val="en-GB"/>
              </w:rPr>
              <w:t xml:space="preserve">MO28047 (PERUSE) </w:t>
            </w:r>
          </w:p>
          <w:p w:rsidR="005A70D0" w:rsidRPr="000D28E6" w14:paraId="5E3C2271" w14:textId="77777777">
            <w:pPr>
              <w:spacing w:line="280" w:lineRule="exact"/>
              <w:rPr>
                <w:noProof/>
                <w:lang w:val="en-GB"/>
              </w:rPr>
            </w:pPr>
            <w:r w:rsidRPr="000D28E6">
              <w:rPr>
                <w:noProof/>
                <w:lang w:val="en-GB"/>
              </w:rPr>
              <w:t>A multicenter, open-label, single-arm study of pertuzumab in combination with trastuzumab and a taxane in first line treatment of patients with HER2- positive advanced (metastatic or locally recurrent) breast cancer</w:t>
            </w:r>
          </w:p>
          <w:p w:rsidR="005A70D0" w:rsidRPr="0096375F" w14:paraId="4402261D" w14:textId="77777777">
            <w:pPr>
              <w:spacing w:line="280" w:lineRule="exact"/>
              <w:rPr>
                <w:rFonts w:ascii="Verdana" w:hAnsi="Verdana"/>
                <w:sz w:val="18"/>
                <w:lang w:val="en-GB"/>
              </w:rPr>
            </w:pPr>
          </w:p>
        </w:tc>
        <w:tc>
          <w:tcPr>
            <w:tcW w:w="819" w:type="pct"/>
          </w:tcPr>
          <w:p w:rsidR="005A70D0" w:rsidRPr="000D28E6" w14:paraId="217CF0F1" w14:textId="77777777">
            <w:pPr>
              <w:spacing w:line="280" w:lineRule="exact"/>
              <w:rPr>
                <w:rFonts w:ascii="Verdana" w:hAnsi="Verdana" w:cs="Verdana"/>
                <w:sz w:val="18"/>
                <w:szCs w:val="18"/>
                <w:lang w:val="en-GB" w:eastAsia="zh-CN"/>
              </w:rPr>
            </w:pPr>
            <w:r>
              <w:rPr>
                <w:lang w:val="en-GB"/>
              </w:rPr>
              <w:t>September 2020</w:t>
            </w:r>
          </w:p>
        </w:tc>
      </w:tr>
    </w:tbl>
    <w:p w:rsidR="00DB6DA6" w14:paraId="553782C5" w14:textId="77777777">
      <w:pPr>
        <w:rPr>
          <w:rFonts w:eastAsia="SimSun"/>
          <w:noProof/>
          <w:szCs w:val="22"/>
          <w:lang w:val="en-GB"/>
        </w:rPr>
      </w:pPr>
      <w:r>
        <w:rPr>
          <w:rFonts w:eastAsia="SimSun"/>
          <w:noProof/>
          <w:szCs w:val="22"/>
          <w:lang w:val="en-GB"/>
        </w:rPr>
        <w:br w:type="page"/>
      </w:r>
    </w:p>
    <w:p w:rsidR="00863CEA" w:rsidRPr="00B208DF" w:rsidP="00B208DF" w14:paraId="4DA0B3B4" w14:textId="77777777">
      <w:pPr>
        <w:rPr>
          <w:rFonts w:eastAsia="SimSun"/>
          <w:noProof/>
          <w:szCs w:val="22"/>
          <w:lang w:val="en-GB"/>
        </w:rPr>
      </w:pPr>
    </w:p>
    <w:p w:rsidR="00863CEA" w:rsidRPr="00B208DF" w:rsidP="00B208DF" w14:paraId="291AEF10" w14:textId="77777777">
      <w:pPr>
        <w:rPr>
          <w:rFonts w:eastAsia="SimSun"/>
          <w:noProof/>
          <w:szCs w:val="22"/>
          <w:lang w:val="en-GB"/>
        </w:rPr>
      </w:pPr>
    </w:p>
    <w:p w:rsidR="00863CEA" w:rsidRPr="00B208DF" w:rsidP="00B208DF" w14:paraId="0951F728" w14:textId="77777777">
      <w:pPr>
        <w:rPr>
          <w:rFonts w:eastAsia="SimSun"/>
          <w:noProof/>
          <w:szCs w:val="22"/>
          <w:lang w:val="en-GB"/>
        </w:rPr>
      </w:pPr>
    </w:p>
    <w:p w:rsidR="00863CEA" w:rsidRPr="00B208DF" w:rsidP="00B208DF" w14:paraId="288371CE" w14:textId="77777777">
      <w:pPr>
        <w:rPr>
          <w:rFonts w:eastAsia="SimSun"/>
          <w:noProof/>
          <w:szCs w:val="22"/>
          <w:lang w:val="en-GB"/>
        </w:rPr>
      </w:pPr>
    </w:p>
    <w:p w:rsidR="00863CEA" w:rsidRPr="00B208DF" w:rsidP="00B208DF" w14:paraId="55B1AF1F" w14:textId="77777777">
      <w:pPr>
        <w:rPr>
          <w:rFonts w:eastAsia="SimSun"/>
          <w:noProof/>
          <w:szCs w:val="22"/>
          <w:lang w:val="en-GB"/>
        </w:rPr>
      </w:pPr>
    </w:p>
    <w:p w:rsidR="00863CEA" w:rsidRPr="00B208DF" w:rsidP="00B208DF" w14:paraId="1C981673" w14:textId="77777777">
      <w:pPr>
        <w:rPr>
          <w:rFonts w:eastAsia="SimSun"/>
          <w:noProof/>
          <w:szCs w:val="22"/>
          <w:lang w:val="en-GB"/>
        </w:rPr>
      </w:pPr>
    </w:p>
    <w:p w:rsidR="00863CEA" w:rsidRPr="00B208DF" w:rsidP="00B208DF" w14:paraId="11A1F99F" w14:textId="77777777">
      <w:pPr>
        <w:rPr>
          <w:rFonts w:eastAsia="SimSun"/>
          <w:noProof/>
          <w:szCs w:val="22"/>
          <w:lang w:val="en-GB"/>
        </w:rPr>
      </w:pPr>
    </w:p>
    <w:p w:rsidR="00863CEA" w:rsidRPr="00B208DF" w:rsidP="00B208DF" w14:paraId="0DF1F2F3" w14:textId="77777777">
      <w:pPr>
        <w:rPr>
          <w:rFonts w:eastAsia="SimSun"/>
          <w:noProof/>
          <w:szCs w:val="22"/>
          <w:lang w:val="en-GB"/>
        </w:rPr>
      </w:pPr>
    </w:p>
    <w:p w:rsidR="00863CEA" w:rsidRPr="00B208DF" w:rsidP="00B208DF" w14:paraId="160211DF" w14:textId="77777777">
      <w:pPr>
        <w:rPr>
          <w:rFonts w:eastAsia="SimSun"/>
          <w:noProof/>
          <w:szCs w:val="22"/>
          <w:lang w:val="en-GB"/>
        </w:rPr>
      </w:pPr>
    </w:p>
    <w:p w:rsidR="00863CEA" w:rsidRPr="00B208DF" w:rsidP="00B208DF" w14:paraId="68745753" w14:textId="77777777">
      <w:pPr>
        <w:rPr>
          <w:rFonts w:eastAsia="SimSun"/>
          <w:noProof/>
          <w:szCs w:val="22"/>
          <w:lang w:val="en-GB"/>
        </w:rPr>
      </w:pPr>
    </w:p>
    <w:p w:rsidR="00863CEA" w:rsidRPr="00B208DF" w:rsidP="00B208DF" w14:paraId="5246F7A6" w14:textId="77777777">
      <w:pPr>
        <w:rPr>
          <w:rFonts w:eastAsia="SimSun"/>
          <w:noProof/>
          <w:szCs w:val="22"/>
          <w:lang w:val="en-GB"/>
        </w:rPr>
      </w:pPr>
    </w:p>
    <w:p w:rsidR="00863CEA" w:rsidRPr="00B208DF" w:rsidP="00B208DF" w14:paraId="079775BF" w14:textId="77777777">
      <w:pPr>
        <w:rPr>
          <w:rFonts w:eastAsia="SimSun"/>
          <w:noProof/>
          <w:szCs w:val="22"/>
          <w:lang w:val="en-GB"/>
        </w:rPr>
      </w:pPr>
    </w:p>
    <w:p w:rsidR="00863CEA" w:rsidRPr="00B208DF" w:rsidP="00B208DF" w14:paraId="588CDD14" w14:textId="77777777">
      <w:pPr>
        <w:rPr>
          <w:rFonts w:eastAsia="SimSun"/>
          <w:noProof/>
          <w:szCs w:val="22"/>
          <w:lang w:val="en-GB"/>
        </w:rPr>
      </w:pPr>
    </w:p>
    <w:p w:rsidR="00863CEA" w:rsidRPr="00B208DF" w:rsidP="00B208DF" w14:paraId="2F0A270D" w14:textId="77777777">
      <w:pPr>
        <w:rPr>
          <w:rFonts w:eastAsia="SimSun"/>
          <w:noProof/>
          <w:szCs w:val="22"/>
          <w:lang w:val="en-GB"/>
        </w:rPr>
      </w:pPr>
    </w:p>
    <w:p w:rsidR="00863CEA" w:rsidRPr="00B208DF" w:rsidP="00B208DF" w14:paraId="3388EEF2" w14:textId="77777777">
      <w:pPr>
        <w:rPr>
          <w:rFonts w:eastAsia="SimSun"/>
          <w:noProof/>
          <w:szCs w:val="22"/>
          <w:lang w:val="en-GB"/>
        </w:rPr>
      </w:pPr>
    </w:p>
    <w:p w:rsidR="00863CEA" w:rsidRPr="00B208DF" w:rsidP="00B208DF" w14:paraId="27438FDC" w14:textId="77777777">
      <w:pPr>
        <w:rPr>
          <w:rFonts w:eastAsia="SimSun"/>
          <w:noProof/>
          <w:szCs w:val="22"/>
          <w:lang w:val="en-GB"/>
        </w:rPr>
      </w:pPr>
    </w:p>
    <w:p w:rsidR="00863CEA" w:rsidRPr="00B208DF" w:rsidP="00B208DF" w14:paraId="65F2AB82" w14:textId="77777777">
      <w:pPr>
        <w:rPr>
          <w:rFonts w:eastAsia="SimSun"/>
          <w:noProof/>
          <w:szCs w:val="22"/>
          <w:lang w:val="en-GB"/>
        </w:rPr>
      </w:pPr>
    </w:p>
    <w:p w:rsidR="00863CEA" w:rsidRPr="00B208DF" w:rsidP="00B208DF" w14:paraId="29AA8A19" w14:textId="77777777">
      <w:pPr>
        <w:rPr>
          <w:rFonts w:eastAsia="SimSun"/>
          <w:noProof/>
          <w:szCs w:val="22"/>
          <w:lang w:val="en-GB"/>
        </w:rPr>
      </w:pPr>
    </w:p>
    <w:p w:rsidR="00863CEA" w:rsidP="00B208DF" w14:paraId="0E809BD4" w14:textId="77777777">
      <w:pPr>
        <w:rPr>
          <w:rFonts w:eastAsia="SimSun"/>
          <w:noProof/>
          <w:szCs w:val="22"/>
          <w:lang w:val="en-GB"/>
        </w:rPr>
      </w:pPr>
    </w:p>
    <w:p w:rsidR="0059486B" w:rsidRPr="00B208DF" w:rsidP="00B208DF" w14:paraId="76E6D713" w14:textId="77777777">
      <w:pPr>
        <w:rPr>
          <w:rFonts w:eastAsia="SimSun"/>
          <w:noProof/>
          <w:szCs w:val="22"/>
          <w:lang w:val="en-GB"/>
        </w:rPr>
      </w:pPr>
    </w:p>
    <w:p w:rsidR="00863CEA" w:rsidRPr="00B208DF" w:rsidP="00B208DF" w14:paraId="10D5E38C" w14:textId="77777777">
      <w:pPr>
        <w:rPr>
          <w:rFonts w:eastAsia="SimSun"/>
          <w:noProof/>
          <w:szCs w:val="22"/>
          <w:lang w:val="en-GB"/>
        </w:rPr>
      </w:pPr>
    </w:p>
    <w:p w:rsidR="00863CEA" w:rsidRPr="00B208DF" w:rsidP="00B208DF" w14:paraId="78873E0F" w14:textId="77777777">
      <w:pPr>
        <w:rPr>
          <w:rFonts w:eastAsia="SimSun"/>
          <w:noProof/>
          <w:szCs w:val="22"/>
          <w:lang w:val="en-GB"/>
        </w:rPr>
      </w:pPr>
    </w:p>
    <w:p w:rsidR="00863CEA" w:rsidRPr="00B208DF" w:rsidP="00B208DF" w14:paraId="7764BB3C" w14:textId="77777777">
      <w:pPr>
        <w:rPr>
          <w:rFonts w:eastAsia="SimSun"/>
          <w:noProof/>
          <w:szCs w:val="22"/>
          <w:lang w:val="en-GB"/>
        </w:rPr>
      </w:pPr>
    </w:p>
    <w:p w:rsidR="00863CEA" w:rsidRPr="000D28E6" w:rsidP="00900379" w14:paraId="6E6FDB50" w14:textId="77777777">
      <w:pPr>
        <w:jc w:val="center"/>
        <w:rPr>
          <w:rFonts w:eastAsia="SimSun"/>
          <w:b/>
          <w:noProof/>
          <w:lang w:val="en-GB"/>
        </w:rPr>
      </w:pPr>
      <w:r w:rsidRPr="000D28E6">
        <w:rPr>
          <w:rFonts w:eastAsia="SimSun"/>
          <w:b/>
          <w:noProof/>
          <w:lang w:val="en-GB"/>
        </w:rPr>
        <w:t>ANNEX III</w:t>
      </w:r>
    </w:p>
    <w:p w:rsidR="00863CEA" w:rsidRPr="000D28E6" w:rsidP="00900379" w14:paraId="543D8944" w14:textId="77777777">
      <w:pPr>
        <w:jc w:val="center"/>
        <w:rPr>
          <w:rFonts w:eastAsia="SimSun"/>
          <w:b/>
          <w:noProof/>
          <w:lang w:val="en-GB"/>
        </w:rPr>
      </w:pPr>
    </w:p>
    <w:p w:rsidR="00863CEA" w:rsidRPr="000D28E6" w:rsidP="00900379" w14:paraId="57C7E39F" w14:textId="77777777">
      <w:pPr>
        <w:jc w:val="center"/>
        <w:rPr>
          <w:rFonts w:eastAsia="SimSun"/>
          <w:b/>
          <w:noProof/>
          <w:lang w:val="en-GB"/>
        </w:rPr>
      </w:pPr>
      <w:r w:rsidRPr="000D28E6">
        <w:rPr>
          <w:rFonts w:eastAsia="SimSun"/>
          <w:b/>
          <w:noProof/>
          <w:lang w:val="en-GB"/>
        </w:rPr>
        <w:t>LABELLING AND PACKAGE LEAFLET</w:t>
      </w:r>
    </w:p>
    <w:p w:rsidR="00863CEA" w:rsidRPr="000D28E6" w:rsidP="00900379" w14:paraId="2A743683" w14:textId="77777777">
      <w:pPr>
        <w:jc w:val="center"/>
        <w:rPr>
          <w:rFonts w:eastAsia="SimSun"/>
          <w:b/>
          <w:noProof/>
          <w:lang w:val="en-GB"/>
        </w:rPr>
      </w:pPr>
      <w:r w:rsidRPr="000D28E6">
        <w:rPr>
          <w:rFonts w:eastAsia="SimSun"/>
          <w:b/>
          <w:noProof/>
          <w:lang w:val="en-GB"/>
        </w:rPr>
        <w:br w:type="page"/>
      </w:r>
    </w:p>
    <w:p w:rsidR="00863CEA" w:rsidRPr="000D28E6" w:rsidP="00900379" w14:paraId="475BFAB5" w14:textId="77777777">
      <w:pPr>
        <w:jc w:val="center"/>
        <w:rPr>
          <w:rFonts w:eastAsia="SimSun"/>
          <w:noProof/>
          <w:lang w:val="en-GB"/>
        </w:rPr>
      </w:pPr>
    </w:p>
    <w:p w:rsidR="00863CEA" w:rsidRPr="000D28E6" w:rsidP="00900379" w14:paraId="2EADD7A8" w14:textId="77777777">
      <w:pPr>
        <w:jc w:val="center"/>
        <w:rPr>
          <w:rFonts w:eastAsia="SimSun"/>
          <w:noProof/>
          <w:lang w:val="en-GB"/>
        </w:rPr>
      </w:pPr>
    </w:p>
    <w:p w:rsidR="00863CEA" w:rsidRPr="000D28E6" w:rsidP="00900379" w14:paraId="5E372311" w14:textId="77777777">
      <w:pPr>
        <w:jc w:val="center"/>
        <w:rPr>
          <w:rFonts w:eastAsia="SimSun"/>
          <w:noProof/>
          <w:lang w:val="en-GB"/>
        </w:rPr>
      </w:pPr>
    </w:p>
    <w:p w:rsidR="00863CEA" w:rsidRPr="000D28E6" w:rsidP="00900379" w14:paraId="0449379E" w14:textId="77777777">
      <w:pPr>
        <w:jc w:val="center"/>
        <w:rPr>
          <w:rFonts w:eastAsia="SimSun"/>
          <w:noProof/>
          <w:lang w:val="en-GB"/>
        </w:rPr>
      </w:pPr>
    </w:p>
    <w:p w:rsidR="00863CEA" w:rsidRPr="000D28E6" w:rsidP="00900379" w14:paraId="07E76638" w14:textId="77777777">
      <w:pPr>
        <w:jc w:val="center"/>
        <w:rPr>
          <w:rFonts w:eastAsia="SimSun"/>
          <w:noProof/>
          <w:lang w:val="en-GB"/>
        </w:rPr>
      </w:pPr>
    </w:p>
    <w:p w:rsidR="00863CEA" w:rsidRPr="000D28E6" w:rsidP="00900379" w14:paraId="53492033" w14:textId="77777777">
      <w:pPr>
        <w:jc w:val="center"/>
        <w:rPr>
          <w:rFonts w:eastAsia="SimSun"/>
          <w:noProof/>
          <w:lang w:val="en-GB"/>
        </w:rPr>
      </w:pPr>
    </w:p>
    <w:p w:rsidR="00863CEA" w:rsidRPr="000D28E6" w:rsidP="00900379" w14:paraId="376524A9" w14:textId="77777777">
      <w:pPr>
        <w:jc w:val="center"/>
        <w:rPr>
          <w:rFonts w:eastAsia="SimSun"/>
          <w:noProof/>
          <w:lang w:val="en-GB"/>
        </w:rPr>
      </w:pPr>
    </w:p>
    <w:p w:rsidR="00863CEA" w:rsidRPr="000D28E6" w:rsidP="00900379" w14:paraId="3E3C42F5" w14:textId="77777777">
      <w:pPr>
        <w:jc w:val="center"/>
        <w:rPr>
          <w:rFonts w:eastAsia="SimSun"/>
          <w:noProof/>
          <w:lang w:val="en-GB"/>
        </w:rPr>
      </w:pPr>
    </w:p>
    <w:p w:rsidR="00863CEA" w:rsidRPr="000D28E6" w:rsidP="00900379" w14:paraId="28E1897F" w14:textId="77777777">
      <w:pPr>
        <w:jc w:val="center"/>
        <w:rPr>
          <w:rFonts w:eastAsia="SimSun"/>
          <w:noProof/>
          <w:lang w:val="en-GB"/>
        </w:rPr>
      </w:pPr>
    </w:p>
    <w:p w:rsidR="00863CEA" w:rsidRPr="000D28E6" w:rsidP="00900379" w14:paraId="6F649477" w14:textId="77777777">
      <w:pPr>
        <w:jc w:val="center"/>
        <w:rPr>
          <w:rFonts w:eastAsia="SimSun"/>
          <w:noProof/>
          <w:lang w:val="en-GB"/>
        </w:rPr>
      </w:pPr>
    </w:p>
    <w:p w:rsidR="00863CEA" w:rsidRPr="000D28E6" w:rsidP="00900379" w14:paraId="00A09671" w14:textId="77777777">
      <w:pPr>
        <w:jc w:val="center"/>
        <w:rPr>
          <w:rFonts w:eastAsia="SimSun"/>
          <w:noProof/>
          <w:lang w:val="en-GB"/>
        </w:rPr>
      </w:pPr>
    </w:p>
    <w:p w:rsidR="00863CEA" w:rsidRPr="000D28E6" w:rsidP="00900379" w14:paraId="2BB80E3F" w14:textId="77777777">
      <w:pPr>
        <w:jc w:val="center"/>
        <w:rPr>
          <w:rFonts w:eastAsia="SimSun"/>
          <w:noProof/>
          <w:lang w:val="en-GB"/>
        </w:rPr>
      </w:pPr>
    </w:p>
    <w:p w:rsidR="00863CEA" w:rsidRPr="000D28E6" w:rsidP="00900379" w14:paraId="4F074C45" w14:textId="77777777">
      <w:pPr>
        <w:jc w:val="center"/>
        <w:rPr>
          <w:rFonts w:eastAsia="SimSun"/>
          <w:noProof/>
          <w:lang w:val="en-GB"/>
        </w:rPr>
      </w:pPr>
    </w:p>
    <w:p w:rsidR="00863CEA" w:rsidP="00900379" w14:paraId="6605E00C" w14:textId="77777777">
      <w:pPr>
        <w:jc w:val="center"/>
        <w:rPr>
          <w:rFonts w:eastAsia="SimSun"/>
          <w:noProof/>
          <w:lang w:val="en-GB"/>
        </w:rPr>
      </w:pPr>
    </w:p>
    <w:p w:rsidR="00B6268D" w:rsidRPr="000D28E6" w:rsidP="00900379" w14:paraId="0A7120F4" w14:textId="77777777">
      <w:pPr>
        <w:jc w:val="center"/>
        <w:rPr>
          <w:rFonts w:eastAsia="SimSun"/>
          <w:noProof/>
          <w:lang w:val="en-GB"/>
        </w:rPr>
      </w:pPr>
    </w:p>
    <w:p w:rsidR="00863CEA" w:rsidRPr="000D28E6" w:rsidP="00900379" w14:paraId="3109D608" w14:textId="77777777">
      <w:pPr>
        <w:jc w:val="center"/>
        <w:rPr>
          <w:rFonts w:eastAsia="SimSun"/>
          <w:noProof/>
          <w:lang w:val="en-GB"/>
        </w:rPr>
      </w:pPr>
    </w:p>
    <w:p w:rsidR="00863CEA" w:rsidRPr="000D28E6" w:rsidP="00900379" w14:paraId="6164BCE2" w14:textId="77777777">
      <w:pPr>
        <w:jc w:val="center"/>
        <w:rPr>
          <w:rFonts w:eastAsia="SimSun"/>
          <w:noProof/>
          <w:lang w:val="en-GB"/>
        </w:rPr>
      </w:pPr>
    </w:p>
    <w:p w:rsidR="00863CEA" w:rsidRPr="000D28E6" w:rsidP="00900379" w14:paraId="70AF0AFB" w14:textId="77777777">
      <w:pPr>
        <w:jc w:val="center"/>
        <w:rPr>
          <w:rFonts w:eastAsia="SimSun"/>
          <w:noProof/>
          <w:lang w:val="en-GB"/>
        </w:rPr>
      </w:pPr>
    </w:p>
    <w:p w:rsidR="00863CEA" w:rsidRPr="000D28E6" w:rsidP="00900379" w14:paraId="06453A12" w14:textId="77777777">
      <w:pPr>
        <w:jc w:val="center"/>
        <w:rPr>
          <w:rFonts w:eastAsia="SimSun"/>
          <w:noProof/>
          <w:lang w:val="en-GB"/>
        </w:rPr>
      </w:pPr>
    </w:p>
    <w:p w:rsidR="00863CEA" w:rsidRPr="000D28E6" w:rsidP="00900379" w14:paraId="28D173D2" w14:textId="77777777">
      <w:pPr>
        <w:jc w:val="center"/>
        <w:rPr>
          <w:rFonts w:eastAsia="SimSun"/>
          <w:noProof/>
          <w:lang w:val="en-GB"/>
        </w:rPr>
      </w:pPr>
    </w:p>
    <w:p w:rsidR="00863CEA" w:rsidRPr="000D28E6" w:rsidP="00900379" w14:paraId="06550A5F" w14:textId="77777777">
      <w:pPr>
        <w:jc w:val="center"/>
        <w:rPr>
          <w:rFonts w:eastAsia="SimSun"/>
          <w:noProof/>
          <w:sz w:val="20"/>
          <w:lang w:val="en-GB"/>
        </w:rPr>
      </w:pPr>
    </w:p>
    <w:p w:rsidR="00863CEA" w:rsidRPr="000D28E6" w:rsidP="00900379" w14:paraId="077B9224" w14:textId="77777777">
      <w:pPr>
        <w:jc w:val="center"/>
        <w:rPr>
          <w:rFonts w:eastAsia="SimSun"/>
          <w:noProof/>
          <w:sz w:val="20"/>
          <w:lang w:val="en-GB"/>
        </w:rPr>
      </w:pPr>
    </w:p>
    <w:p w:rsidR="00863CEA" w:rsidRPr="000D28E6" w:rsidP="00900379" w14:paraId="2AA22853" w14:textId="77777777">
      <w:pPr>
        <w:jc w:val="center"/>
        <w:rPr>
          <w:rFonts w:eastAsia="SimSun"/>
          <w:noProof/>
          <w:sz w:val="20"/>
          <w:lang w:val="en-GB"/>
        </w:rPr>
      </w:pPr>
    </w:p>
    <w:p w:rsidR="00863CEA" w:rsidRPr="000D28E6" w:rsidP="00E34917" w14:paraId="29F1C94D" w14:textId="77777777">
      <w:pPr>
        <w:pStyle w:val="Annex"/>
        <w:rPr>
          <w:rFonts w:eastAsia="SimSun"/>
          <w:noProof/>
          <w:lang w:val="en-GB"/>
        </w:rPr>
      </w:pPr>
      <w:r w:rsidRPr="000D28E6">
        <w:rPr>
          <w:rFonts w:eastAsia="SimSun"/>
          <w:noProof/>
          <w:lang w:val="en-GB"/>
        </w:rPr>
        <w:t>A. LABELLING</w:t>
      </w:r>
    </w:p>
    <w:p w:rsidR="00863CEA" w:rsidRPr="000D28E6" w:rsidP="00900379" w14:paraId="3BC45DF3" w14:textId="77777777">
      <w:pPr>
        <w:rPr>
          <w:rFonts w:eastAsia="SimSun"/>
          <w:noProof/>
          <w:lang w:val="en-GB"/>
        </w:rPr>
      </w:pPr>
      <w:r w:rsidRPr="000D28E6">
        <w:rPr>
          <w:rFonts w:eastAsia="SimSun"/>
          <w:noProof/>
          <w:lang w:val="en-GB"/>
        </w:rPr>
        <w:br w:type="page"/>
      </w:r>
    </w:p>
    <w:p w:rsidR="00863CEA" w:rsidRPr="000D28E6" w:rsidP="00900379" w14:paraId="7754F7FC"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PARTICULARS TO APPEAR ON THE OUTER PACKAGING</w:t>
      </w:r>
    </w:p>
    <w:p w:rsidR="00863CEA" w:rsidRPr="000D28E6" w:rsidP="00900379" w14:paraId="11BA6E0B" w14:textId="77777777">
      <w:pPr>
        <w:pBdr>
          <w:top w:val="single" w:sz="4" w:space="1" w:color="auto"/>
          <w:left w:val="single" w:sz="4" w:space="4" w:color="auto"/>
          <w:bottom w:val="single" w:sz="4" w:space="1" w:color="auto"/>
          <w:right w:val="single" w:sz="4" w:space="4" w:color="auto"/>
        </w:pBdr>
        <w:rPr>
          <w:rFonts w:eastAsia="SimSun"/>
          <w:b/>
          <w:noProof/>
          <w:lang w:val="en-GB"/>
        </w:rPr>
      </w:pPr>
    </w:p>
    <w:p w:rsidR="00863CEA" w:rsidRPr="000D28E6" w:rsidP="00900379" w14:paraId="381C5A43"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CARTON</w:t>
      </w:r>
    </w:p>
    <w:p w:rsidR="00863CEA" w:rsidRPr="000D28E6" w:rsidP="00900379" w14:paraId="32BF9402" w14:textId="77777777">
      <w:pPr>
        <w:rPr>
          <w:rFonts w:eastAsia="SimSun"/>
          <w:noProof/>
          <w:lang w:val="en-GB"/>
        </w:rPr>
      </w:pPr>
    </w:p>
    <w:p w:rsidR="00863CEA" w:rsidRPr="000D28E6" w:rsidP="00900379" w14:paraId="7A9DD821" w14:textId="77777777">
      <w:pPr>
        <w:rPr>
          <w:rFonts w:eastAsia="SimSun"/>
          <w:noProof/>
          <w:lang w:val="en-GB"/>
        </w:rPr>
      </w:pPr>
    </w:p>
    <w:p w:rsidR="00863CEA" w:rsidRPr="000D28E6" w:rsidP="00900379" w14:paraId="14796E2A"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1.</w:t>
      </w:r>
      <w:r w:rsidRPr="000D28E6">
        <w:rPr>
          <w:rFonts w:eastAsia="SimSun"/>
          <w:b/>
          <w:noProof/>
          <w:lang w:val="en-GB"/>
        </w:rPr>
        <w:tab/>
        <w:t>NAME OF THE MEDICINAL PRODUCT</w:t>
      </w:r>
    </w:p>
    <w:p w:rsidR="00863CEA" w:rsidRPr="000D28E6" w:rsidP="00900379" w14:paraId="1184049F" w14:textId="77777777">
      <w:pPr>
        <w:rPr>
          <w:rFonts w:eastAsia="SimSun"/>
          <w:noProof/>
          <w:lang w:val="en-GB"/>
        </w:rPr>
      </w:pPr>
    </w:p>
    <w:p w:rsidR="0055631F" w:rsidRPr="000D28E6" w:rsidP="00900379" w14:paraId="10B2068E" w14:textId="77777777">
      <w:pPr>
        <w:rPr>
          <w:rFonts w:eastAsia="SimSun"/>
          <w:noProof/>
          <w:lang w:val="en-GB"/>
        </w:rPr>
      </w:pPr>
      <w:r w:rsidRPr="000D28E6">
        <w:rPr>
          <w:rFonts w:eastAsia="SimSun"/>
          <w:noProof/>
          <w:lang w:val="en-GB"/>
        </w:rPr>
        <w:t>Perjeta</w:t>
      </w:r>
      <w:r w:rsidRPr="000D28E6" w:rsidR="00863CEA">
        <w:rPr>
          <w:rFonts w:eastAsia="SimSun"/>
          <w:noProof/>
          <w:lang w:val="en-GB"/>
        </w:rPr>
        <w:t xml:space="preserve"> 420 mg concentrate for solution for infusion</w:t>
      </w:r>
    </w:p>
    <w:p w:rsidR="00863CEA" w:rsidRPr="000D28E6" w:rsidP="00900379" w14:paraId="18B2314E" w14:textId="77777777">
      <w:pPr>
        <w:rPr>
          <w:rFonts w:eastAsia="SimSun"/>
          <w:noProof/>
          <w:lang w:val="en-GB"/>
        </w:rPr>
      </w:pPr>
      <w:r w:rsidRPr="000D28E6">
        <w:rPr>
          <w:rFonts w:eastAsia="SimSun"/>
          <w:noProof/>
          <w:lang w:val="en-GB"/>
        </w:rPr>
        <w:t>pertuzumab</w:t>
      </w:r>
    </w:p>
    <w:p w:rsidR="00863CEA" w:rsidRPr="000D28E6" w:rsidP="00900379" w14:paraId="071A4E43" w14:textId="77777777">
      <w:pPr>
        <w:rPr>
          <w:rFonts w:eastAsia="SimSun"/>
          <w:noProof/>
          <w:lang w:val="en-GB"/>
        </w:rPr>
      </w:pPr>
    </w:p>
    <w:p w:rsidR="00863CEA" w:rsidRPr="000D28E6" w:rsidP="00900379" w14:paraId="17391A69" w14:textId="77777777">
      <w:pPr>
        <w:rPr>
          <w:rFonts w:eastAsia="SimSun"/>
          <w:noProof/>
          <w:lang w:val="en-GB"/>
        </w:rPr>
      </w:pPr>
    </w:p>
    <w:p w:rsidR="00863CEA" w:rsidRPr="000D28E6" w:rsidP="00900379" w14:paraId="04B6FF39"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2.</w:t>
      </w:r>
      <w:r w:rsidRPr="000D28E6">
        <w:rPr>
          <w:rFonts w:eastAsia="SimSun"/>
          <w:b/>
          <w:noProof/>
          <w:lang w:val="en-GB"/>
        </w:rPr>
        <w:tab/>
        <w:t>STATEMENT OF ACTIVE SUBSTANCE(S)</w:t>
      </w:r>
    </w:p>
    <w:p w:rsidR="00863CEA" w:rsidRPr="000D28E6" w:rsidP="00900379" w14:paraId="7B69CF59" w14:textId="77777777">
      <w:pPr>
        <w:rPr>
          <w:rFonts w:eastAsia="SimSun"/>
          <w:i/>
          <w:noProof/>
          <w:lang w:val="en-GB"/>
        </w:rPr>
      </w:pPr>
    </w:p>
    <w:p w:rsidR="0055631F" w:rsidRPr="0096375F" w:rsidP="00900379" w14:paraId="25447887" w14:textId="77777777">
      <w:pPr>
        <w:rPr>
          <w:lang w:val="en-GB"/>
        </w:rPr>
      </w:pPr>
      <w:r w:rsidRPr="0096375F">
        <w:rPr>
          <w:lang w:val="en-GB"/>
        </w:rPr>
        <w:t>One 14</w:t>
      </w:r>
      <w:r w:rsidRPr="0096375F" w:rsidR="007B0B5F">
        <w:rPr>
          <w:lang w:val="en-GB"/>
        </w:rPr>
        <w:t> </w:t>
      </w:r>
      <w:r w:rsidRPr="0096375F">
        <w:rPr>
          <w:lang w:val="en-GB"/>
        </w:rPr>
        <w:t>ml vial contains 420</w:t>
      </w:r>
      <w:r w:rsidRPr="0096375F" w:rsidR="007B0B5F">
        <w:rPr>
          <w:lang w:val="en-GB"/>
        </w:rPr>
        <w:t> </w:t>
      </w:r>
      <w:r w:rsidRPr="0096375F">
        <w:rPr>
          <w:lang w:val="en-GB"/>
        </w:rPr>
        <w:t xml:space="preserve">mg of pertuzumab </w:t>
      </w:r>
      <w:r w:rsidRPr="0096375F" w:rsidR="00D93C5E">
        <w:rPr>
          <w:lang w:val="en-GB"/>
        </w:rPr>
        <w:t xml:space="preserve">at a </w:t>
      </w:r>
      <w:r w:rsidRPr="0096375F">
        <w:rPr>
          <w:lang w:val="en-GB"/>
        </w:rPr>
        <w:t>concentration of 30</w:t>
      </w:r>
      <w:r w:rsidRPr="0096375F" w:rsidR="007B0B5F">
        <w:rPr>
          <w:lang w:val="en-GB"/>
        </w:rPr>
        <w:t> </w:t>
      </w:r>
      <w:r w:rsidRPr="0096375F">
        <w:rPr>
          <w:lang w:val="en-GB"/>
        </w:rPr>
        <w:t>mg/ml.</w:t>
      </w:r>
    </w:p>
    <w:p w:rsidR="00863CEA" w:rsidRPr="000D28E6" w:rsidP="00900379" w14:paraId="4ED09BCC" w14:textId="77777777">
      <w:pPr>
        <w:rPr>
          <w:rFonts w:eastAsia="SimSun"/>
          <w:noProof/>
          <w:lang w:val="en-GB"/>
        </w:rPr>
      </w:pPr>
    </w:p>
    <w:p w:rsidR="00863CEA" w:rsidRPr="000D28E6" w:rsidP="00900379" w14:paraId="33F5C943" w14:textId="77777777">
      <w:pPr>
        <w:rPr>
          <w:rFonts w:eastAsia="SimSun"/>
          <w:noProof/>
          <w:lang w:val="en-GB"/>
        </w:rPr>
      </w:pPr>
    </w:p>
    <w:p w:rsidR="00863CEA" w:rsidRPr="000D28E6" w:rsidP="00900379" w14:paraId="7736D53F"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3.</w:t>
      </w:r>
      <w:r w:rsidRPr="000D28E6">
        <w:rPr>
          <w:rFonts w:eastAsia="SimSun"/>
          <w:b/>
          <w:noProof/>
          <w:lang w:val="en-GB"/>
        </w:rPr>
        <w:tab/>
        <w:t>LIST OF EXCIPIENTS</w:t>
      </w:r>
    </w:p>
    <w:p w:rsidR="00863CEA" w:rsidRPr="000D28E6" w:rsidP="00900379" w14:paraId="0D9FBDC9" w14:textId="77777777">
      <w:pPr>
        <w:rPr>
          <w:rFonts w:eastAsia="SimSun"/>
          <w:noProof/>
          <w:lang w:val="en-GB"/>
        </w:rPr>
      </w:pPr>
    </w:p>
    <w:p w:rsidR="00863CEA" w:rsidRPr="000D28E6" w:rsidP="00900379" w14:paraId="44409113" w14:textId="77777777">
      <w:pPr>
        <w:rPr>
          <w:rFonts w:eastAsia="SimSun"/>
          <w:lang w:val="en-GB"/>
        </w:rPr>
      </w:pPr>
      <w:r>
        <w:rPr>
          <w:rFonts w:eastAsia="SimSun"/>
          <w:lang w:val="en-GB"/>
        </w:rPr>
        <w:t>Glacial a</w:t>
      </w:r>
      <w:r w:rsidRPr="000D28E6">
        <w:rPr>
          <w:rFonts w:eastAsia="SimSun"/>
          <w:lang w:val="en-GB"/>
        </w:rPr>
        <w:t>cetic acid, L-</w:t>
      </w:r>
      <w:r>
        <w:rPr>
          <w:rFonts w:eastAsia="SimSun"/>
          <w:lang w:val="en-GB"/>
        </w:rPr>
        <w:t>h</w:t>
      </w:r>
      <w:r w:rsidRPr="000D28E6">
        <w:rPr>
          <w:rFonts w:eastAsia="SimSun"/>
          <w:lang w:val="en-GB"/>
        </w:rPr>
        <w:t xml:space="preserve">istidine, </w:t>
      </w:r>
      <w:r>
        <w:rPr>
          <w:rFonts w:eastAsia="SimSun"/>
          <w:lang w:val="en-GB"/>
        </w:rPr>
        <w:t>s</w:t>
      </w:r>
      <w:r w:rsidRPr="000D28E6">
        <w:rPr>
          <w:rFonts w:eastAsia="SimSun"/>
          <w:lang w:val="en-GB"/>
        </w:rPr>
        <w:t xml:space="preserve">ucrose and </w:t>
      </w:r>
      <w:r>
        <w:rPr>
          <w:rFonts w:eastAsia="SimSun"/>
          <w:lang w:val="en-GB"/>
        </w:rPr>
        <w:t>p</w:t>
      </w:r>
      <w:r w:rsidRPr="000D28E6">
        <w:rPr>
          <w:rFonts w:eastAsia="SimSun"/>
          <w:lang w:val="en-GB"/>
        </w:rPr>
        <w:t>olysorbate 20.</w:t>
      </w:r>
    </w:p>
    <w:p w:rsidR="00326F4F" w:rsidRPr="000D28E6" w:rsidP="00900379" w14:paraId="7C0A638F" w14:textId="77777777">
      <w:pPr>
        <w:rPr>
          <w:rFonts w:eastAsia="SimSun"/>
          <w:lang w:val="en-GB"/>
        </w:rPr>
      </w:pPr>
      <w:r w:rsidRPr="000D28E6">
        <w:rPr>
          <w:rFonts w:eastAsia="SimSun"/>
          <w:lang w:val="en-GB"/>
        </w:rPr>
        <w:t xml:space="preserve">Water for </w:t>
      </w:r>
      <w:r w:rsidR="007129E7">
        <w:rPr>
          <w:rFonts w:eastAsia="SimSun"/>
          <w:lang w:val="en-GB"/>
        </w:rPr>
        <w:t>i</w:t>
      </w:r>
      <w:r w:rsidRPr="000D28E6" w:rsidR="007129E7">
        <w:rPr>
          <w:rFonts w:eastAsia="SimSun"/>
          <w:lang w:val="en-GB"/>
        </w:rPr>
        <w:t>njections</w:t>
      </w:r>
    </w:p>
    <w:p w:rsidR="00863CEA" w:rsidRPr="000D28E6" w:rsidP="00900379" w14:paraId="359A671A" w14:textId="77777777">
      <w:pPr>
        <w:rPr>
          <w:rFonts w:eastAsia="SimSun"/>
          <w:noProof/>
          <w:lang w:val="en-GB"/>
        </w:rPr>
      </w:pPr>
    </w:p>
    <w:p w:rsidR="00863CEA" w:rsidRPr="000D28E6" w:rsidP="00900379" w14:paraId="7F72178C" w14:textId="77777777">
      <w:pPr>
        <w:rPr>
          <w:rFonts w:eastAsia="SimSun"/>
          <w:noProof/>
          <w:lang w:val="en-GB"/>
        </w:rPr>
      </w:pPr>
    </w:p>
    <w:p w:rsidR="00863CEA" w:rsidRPr="000D28E6" w:rsidP="00900379" w14:paraId="56FE6486"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4.</w:t>
      </w:r>
      <w:r w:rsidRPr="000D28E6">
        <w:rPr>
          <w:rFonts w:eastAsia="SimSun"/>
          <w:b/>
          <w:noProof/>
          <w:lang w:val="en-GB"/>
        </w:rPr>
        <w:tab/>
        <w:t>PHARMACEUTICAL FORM AND CONTENTS</w:t>
      </w:r>
    </w:p>
    <w:p w:rsidR="00863CEA" w:rsidRPr="000D28E6" w:rsidP="00900379" w14:paraId="78633C85" w14:textId="77777777">
      <w:pPr>
        <w:rPr>
          <w:rFonts w:eastAsia="SimSun"/>
          <w:lang w:val="en-GB"/>
        </w:rPr>
      </w:pPr>
    </w:p>
    <w:p w:rsidR="00863CEA" w:rsidRPr="000D28E6" w:rsidP="00900379" w14:paraId="1215C456" w14:textId="77777777">
      <w:pPr>
        <w:rPr>
          <w:rFonts w:eastAsia="SimSun"/>
          <w:lang w:val="en-GB"/>
        </w:rPr>
      </w:pPr>
      <w:r w:rsidRPr="000D28E6">
        <w:rPr>
          <w:rFonts w:eastAsia="SimSun"/>
          <w:lang w:val="en-GB"/>
        </w:rPr>
        <w:t>Concentrate for solution for infusion</w:t>
      </w:r>
    </w:p>
    <w:p w:rsidR="004E6F5A" w:rsidRPr="000D28E6" w:rsidP="00900379" w14:paraId="6819E10B" w14:textId="77777777">
      <w:pPr>
        <w:rPr>
          <w:rFonts w:eastAsia="SimSun"/>
          <w:lang w:val="en-GB"/>
        </w:rPr>
      </w:pPr>
      <w:r w:rsidRPr="000D28E6">
        <w:rPr>
          <w:rFonts w:eastAsia="SimSun"/>
          <w:lang w:val="en-GB"/>
        </w:rPr>
        <w:t>420</w:t>
      </w:r>
      <w:r w:rsidRPr="000D28E6" w:rsidR="007B0B5F">
        <w:rPr>
          <w:rFonts w:eastAsia="SimSun"/>
          <w:lang w:val="en-GB"/>
        </w:rPr>
        <w:t> </w:t>
      </w:r>
      <w:r w:rsidRPr="000D28E6">
        <w:rPr>
          <w:rFonts w:eastAsia="SimSun"/>
          <w:lang w:val="en-GB"/>
        </w:rPr>
        <w:t>mg/14</w:t>
      </w:r>
      <w:r w:rsidRPr="000D28E6" w:rsidR="007B0B5F">
        <w:rPr>
          <w:rFonts w:eastAsia="SimSun"/>
          <w:lang w:val="en-GB"/>
        </w:rPr>
        <w:t> </w:t>
      </w:r>
      <w:r w:rsidRPr="000D28E6">
        <w:rPr>
          <w:rFonts w:eastAsia="SimSun"/>
          <w:lang w:val="en-GB"/>
        </w:rPr>
        <w:t>m</w:t>
      </w:r>
      <w:r w:rsidRPr="000D28E6" w:rsidR="00982E4D">
        <w:rPr>
          <w:rFonts w:eastAsia="SimSun"/>
          <w:lang w:val="en-GB"/>
        </w:rPr>
        <w:t>l</w:t>
      </w:r>
    </w:p>
    <w:p w:rsidR="00863CEA" w:rsidRPr="000D28E6" w:rsidP="00900379" w14:paraId="43DB5FFA" w14:textId="77777777">
      <w:pPr>
        <w:rPr>
          <w:rFonts w:eastAsia="SimSun"/>
          <w:lang w:val="en-GB"/>
        </w:rPr>
      </w:pPr>
      <w:r w:rsidRPr="000D28E6">
        <w:rPr>
          <w:rFonts w:eastAsia="SimSun"/>
          <w:lang w:val="en-GB"/>
        </w:rPr>
        <w:t>1</w:t>
      </w:r>
      <w:r w:rsidRPr="000D28E6" w:rsidR="004B015B">
        <w:rPr>
          <w:rFonts w:eastAsia="SimSun"/>
          <w:lang w:val="en-GB"/>
        </w:rPr>
        <w:t xml:space="preserve"> x </w:t>
      </w:r>
      <w:r w:rsidRPr="000D28E6">
        <w:rPr>
          <w:rFonts w:eastAsia="SimSun"/>
          <w:lang w:val="en-GB"/>
        </w:rPr>
        <w:t>14 m</w:t>
      </w:r>
      <w:r w:rsidRPr="000D28E6" w:rsidR="00982E4D">
        <w:rPr>
          <w:rFonts w:eastAsia="SimSun"/>
          <w:lang w:val="en-GB"/>
        </w:rPr>
        <w:t>l</w:t>
      </w:r>
    </w:p>
    <w:p w:rsidR="00863CEA" w:rsidRPr="000D28E6" w:rsidP="00900379" w14:paraId="51FDD2C2" w14:textId="77777777">
      <w:pPr>
        <w:rPr>
          <w:rFonts w:eastAsia="SimSun"/>
          <w:noProof/>
          <w:lang w:val="en-GB"/>
        </w:rPr>
      </w:pPr>
    </w:p>
    <w:p w:rsidR="00863CEA" w:rsidRPr="000D28E6" w:rsidP="00900379" w14:paraId="118B4D9F" w14:textId="77777777">
      <w:pPr>
        <w:rPr>
          <w:rFonts w:eastAsia="SimSun"/>
          <w:noProof/>
          <w:lang w:val="en-GB"/>
        </w:rPr>
      </w:pPr>
    </w:p>
    <w:p w:rsidR="00863CEA" w:rsidRPr="000D28E6" w:rsidP="00900379" w14:paraId="282D8AE1"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5.</w:t>
      </w:r>
      <w:r w:rsidRPr="000D28E6">
        <w:rPr>
          <w:rFonts w:eastAsia="SimSun"/>
          <w:b/>
          <w:noProof/>
          <w:lang w:val="en-GB"/>
        </w:rPr>
        <w:tab/>
        <w:t>METHOD AND ROUTE(S) OF ADMINISTRATION</w:t>
      </w:r>
    </w:p>
    <w:p w:rsidR="00863CEA" w:rsidRPr="000D28E6" w:rsidP="00900379" w14:paraId="7635A377" w14:textId="77777777">
      <w:pPr>
        <w:rPr>
          <w:rFonts w:eastAsia="SimSun"/>
          <w:noProof/>
          <w:lang w:val="en-GB"/>
        </w:rPr>
      </w:pPr>
    </w:p>
    <w:p w:rsidR="00863CEA" w:rsidRPr="000D28E6" w:rsidP="00900379" w14:paraId="02CD023F" w14:textId="77777777">
      <w:pPr>
        <w:rPr>
          <w:rFonts w:eastAsia="SimSun"/>
          <w:lang w:val="en-GB"/>
        </w:rPr>
      </w:pPr>
      <w:r w:rsidRPr="000D28E6">
        <w:rPr>
          <w:rFonts w:eastAsia="SimSun"/>
          <w:lang w:val="en-GB"/>
        </w:rPr>
        <w:t>For intravenous use after dilution</w:t>
      </w:r>
    </w:p>
    <w:p w:rsidR="00CA6771" w:rsidRPr="000D28E6" w:rsidP="00900379" w14:paraId="0DDBE1AA" w14:textId="77777777">
      <w:pPr>
        <w:rPr>
          <w:lang w:val="en-GB"/>
        </w:rPr>
      </w:pPr>
      <w:r w:rsidRPr="000D28E6">
        <w:rPr>
          <w:lang w:val="en-GB"/>
        </w:rPr>
        <w:t>Do not shake</w:t>
      </w:r>
    </w:p>
    <w:p w:rsidR="00863CEA" w:rsidRPr="000D28E6" w:rsidP="00900379" w14:paraId="476CE1C5" w14:textId="77777777">
      <w:pPr>
        <w:rPr>
          <w:rFonts w:eastAsia="SimSun"/>
          <w:noProof/>
          <w:lang w:val="en-GB"/>
        </w:rPr>
      </w:pPr>
      <w:r w:rsidRPr="000D28E6">
        <w:rPr>
          <w:rFonts w:eastAsia="SimSun"/>
          <w:noProof/>
          <w:lang w:val="en-GB"/>
        </w:rPr>
        <w:t>Read the package leaflet before use</w:t>
      </w:r>
    </w:p>
    <w:p w:rsidR="00863CEA" w:rsidRPr="000D28E6" w:rsidP="00900379" w14:paraId="371E1716" w14:textId="77777777">
      <w:pPr>
        <w:rPr>
          <w:rFonts w:eastAsia="SimSun"/>
          <w:lang w:val="en-GB"/>
        </w:rPr>
      </w:pPr>
    </w:p>
    <w:p w:rsidR="00863CEA" w:rsidRPr="000D28E6" w:rsidP="00900379" w14:paraId="18687CA3" w14:textId="77777777">
      <w:pPr>
        <w:rPr>
          <w:rFonts w:eastAsia="SimSun"/>
          <w:lang w:val="en-GB"/>
        </w:rPr>
      </w:pPr>
    </w:p>
    <w:p w:rsidR="00863CEA" w:rsidRPr="000D28E6" w:rsidP="00900379" w14:paraId="7B82444A" w14:textId="77777777">
      <w:pPr>
        <w:pBdr>
          <w:top w:val="single" w:sz="4" w:space="1" w:color="auto"/>
          <w:left w:val="single" w:sz="4" w:space="4" w:color="auto"/>
          <w:bottom w:val="single" w:sz="4" w:space="1" w:color="auto"/>
          <w:right w:val="single" w:sz="4" w:space="4" w:color="auto"/>
        </w:pBdr>
        <w:ind w:left="720" w:hanging="720"/>
        <w:rPr>
          <w:rFonts w:eastAsia="SimSun"/>
          <w:noProof/>
          <w:lang w:val="en-GB"/>
        </w:rPr>
      </w:pPr>
      <w:r w:rsidRPr="000D28E6">
        <w:rPr>
          <w:rFonts w:eastAsia="SimSun"/>
          <w:b/>
          <w:noProof/>
          <w:lang w:val="en-GB"/>
        </w:rPr>
        <w:t>6.</w:t>
      </w:r>
      <w:r w:rsidRPr="000D28E6">
        <w:rPr>
          <w:rFonts w:eastAsia="SimSun"/>
          <w:b/>
          <w:noProof/>
          <w:lang w:val="en-GB"/>
        </w:rPr>
        <w:tab/>
        <w:t>SPECIAL WARNING THAT THE MEDICINAL PRODUCT MUST BE STORED OUT OF THE SIGHT AND REACH OF CHILDREN</w:t>
      </w:r>
    </w:p>
    <w:p w:rsidR="00863CEA" w:rsidRPr="000D28E6" w:rsidP="00900379" w14:paraId="4F82CB3C" w14:textId="77777777">
      <w:pPr>
        <w:rPr>
          <w:rFonts w:eastAsia="SimSun"/>
          <w:noProof/>
          <w:lang w:val="en-GB"/>
        </w:rPr>
      </w:pPr>
    </w:p>
    <w:p w:rsidR="00863CEA" w:rsidRPr="000D28E6" w:rsidP="00900379" w14:paraId="67BB9C7A" w14:textId="77777777">
      <w:pPr>
        <w:rPr>
          <w:rFonts w:eastAsia="SimSun"/>
          <w:noProof/>
          <w:lang w:val="en-GB"/>
        </w:rPr>
      </w:pPr>
      <w:r w:rsidRPr="000D28E6">
        <w:rPr>
          <w:rFonts w:eastAsia="SimSun"/>
          <w:noProof/>
          <w:lang w:val="en-GB"/>
        </w:rPr>
        <w:t>Keep out of the sight and reach of children</w:t>
      </w:r>
    </w:p>
    <w:p w:rsidR="00863CEA" w:rsidRPr="000D28E6" w:rsidP="00900379" w14:paraId="236EF2CD" w14:textId="77777777">
      <w:pPr>
        <w:rPr>
          <w:rFonts w:eastAsia="SimSun"/>
          <w:noProof/>
          <w:lang w:val="en-GB"/>
        </w:rPr>
      </w:pPr>
    </w:p>
    <w:p w:rsidR="00863CEA" w:rsidRPr="000D28E6" w:rsidP="00900379" w14:paraId="72656D53" w14:textId="77777777">
      <w:pPr>
        <w:rPr>
          <w:rFonts w:eastAsia="SimSun"/>
          <w:noProof/>
          <w:lang w:val="en-GB"/>
        </w:rPr>
      </w:pPr>
    </w:p>
    <w:p w:rsidR="00863CEA" w:rsidRPr="000D28E6" w:rsidP="00900379" w14:paraId="381FF49A"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7.</w:t>
      </w:r>
      <w:r w:rsidRPr="000D28E6">
        <w:rPr>
          <w:rFonts w:eastAsia="SimSun"/>
          <w:b/>
          <w:noProof/>
          <w:lang w:val="en-GB"/>
        </w:rPr>
        <w:tab/>
        <w:t>OTHER SPECIAL WARNING(S), IF NECESSARY</w:t>
      </w:r>
    </w:p>
    <w:p w:rsidR="00863CEA" w:rsidRPr="000D28E6" w:rsidP="00900379" w14:paraId="3CF77D8E" w14:textId="77777777">
      <w:pPr>
        <w:rPr>
          <w:rFonts w:eastAsia="SimSun"/>
          <w:noProof/>
          <w:lang w:val="en-GB"/>
        </w:rPr>
      </w:pPr>
    </w:p>
    <w:p w:rsidR="00863CEA" w:rsidRPr="000D28E6" w:rsidP="00900379" w14:paraId="7D98809B" w14:textId="77777777">
      <w:pPr>
        <w:rPr>
          <w:rFonts w:eastAsia="SimSun"/>
          <w:noProof/>
          <w:lang w:val="en-GB"/>
        </w:rPr>
      </w:pPr>
    </w:p>
    <w:p w:rsidR="00863CEA" w:rsidRPr="000D28E6" w:rsidP="00900379" w14:paraId="5E8ABA36"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8.</w:t>
      </w:r>
      <w:r w:rsidRPr="000D28E6">
        <w:rPr>
          <w:rFonts w:eastAsia="SimSun"/>
          <w:b/>
          <w:noProof/>
          <w:lang w:val="en-GB"/>
        </w:rPr>
        <w:tab/>
        <w:t>EXPIRY DATE</w:t>
      </w:r>
    </w:p>
    <w:p w:rsidR="00863CEA" w:rsidRPr="000D28E6" w:rsidP="00900379" w14:paraId="0B1685DC" w14:textId="77777777">
      <w:pPr>
        <w:rPr>
          <w:rFonts w:eastAsia="SimSun"/>
          <w:lang w:val="en-GB"/>
        </w:rPr>
      </w:pPr>
    </w:p>
    <w:p w:rsidR="00863CEA" w:rsidRPr="000D28E6" w:rsidP="00900379" w14:paraId="7A19ED09" w14:textId="77777777">
      <w:pPr>
        <w:rPr>
          <w:rFonts w:eastAsia="SimSun"/>
          <w:lang w:val="en-GB"/>
        </w:rPr>
      </w:pPr>
      <w:r w:rsidRPr="000D28E6">
        <w:rPr>
          <w:rFonts w:eastAsia="SimSun"/>
          <w:lang w:val="en-GB"/>
        </w:rPr>
        <w:t xml:space="preserve">EXP </w:t>
      </w:r>
    </w:p>
    <w:p w:rsidR="00863CEA" w:rsidRPr="000D28E6" w:rsidP="00900379" w14:paraId="4FA7613D" w14:textId="77777777">
      <w:pPr>
        <w:rPr>
          <w:rFonts w:eastAsia="SimSun"/>
          <w:noProof/>
          <w:lang w:val="en-GB"/>
        </w:rPr>
      </w:pPr>
    </w:p>
    <w:p w:rsidR="00863CEA" w:rsidRPr="000D28E6" w:rsidP="00900379" w14:paraId="634A3B72" w14:textId="77777777">
      <w:pPr>
        <w:rPr>
          <w:rFonts w:eastAsia="SimSun"/>
          <w:noProof/>
          <w:lang w:val="en-GB"/>
        </w:rPr>
      </w:pPr>
    </w:p>
    <w:p w:rsidR="00863CEA" w:rsidRPr="000D28E6" w:rsidP="00F62767" w14:paraId="31D77FE6" w14:textId="77777777">
      <w:pPr>
        <w:keepNext/>
        <w:keepLines/>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9.</w:t>
      </w:r>
      <w:r w:rsidRPr="000D28E6">
        <w:rPr>
          <w:rFonts w:eastAsia="SimSun"/>
          <w:b/>
          <w:noProof/>
          <w:lang w:val="en-GB"/>
        </w:rPr>
        <w:tab/>
        <w:t>SPECIAL STORAGE CONDITIONS</w:t>
      </w:r>
    </w:p>
    <w:p w:rsidR="00863CEA" w:rsidRPr="000D28E6" w:rsidP="008B308C" w14:paraId="33525B38" w14:textId="77777777">
      <w:pPr>
        <w:keepNext/>
        <w:keepLines/>
        <w:rPr>
          <w:rFonts w:eastAsia="SimSun"/>
          <w:noProof/>
          <w:lang w:val="en-GB"/>
        </w:rPr>
      </w:pPr>
    </w:p>
    <w:p w:rsidR="00863CEA" w:rsidRPr="000D28E6" w:rsidP="008B308C" w14:paraId="798243D0" w14:textId="77777777">
      <w:pPr>
        <w:keepNext/>
        <w:keepLines/>
        <w:rPr>
          <w:rFonts w:eastAsia="SimSun"/>
          <w:lang w:val="en-GB"/>
        </w:rPr>
      </w:pPr>
      <w:r w:rsidRPr="000D28E6">
        <w:rPr>
          <w:rFonts w:eastAsia="SimSun"/>
          <w:lang w:val="en-GB"/>
        </w:rPr>
        <w:t>Store</w:t>
      </w:r>
      <w:r w:rsidRPr="000D28E6" w:rsidR="00B25F43">
        <w:rPr>
          <w:rFonts w:eastAsia="SimSun"/>
          <w:lang w:val="en-GB"/>
        </w:rPr>
        <w:t xml:space="preserve"> in a refrigerator</w:t>
      </w:r>
    </w:p>
    <w:p w:rsidR="00CA6771" w:rsidRPr="000D28E6" w:rsidP="008B308C" w14:paraId="157085EA" w14:textId="77777777">
      <w:pPr>
        <w:keepNext/>
        <w:keepLines/>
        <w:rPr>
          <w:lang w:val="en-GB"/>
        </w:rPr>
      </w:pPr>
      <w:r w:rsidRPr="000D28E6">
        <w:rPr>
          <w:lang w:val="en-GB"/>
        </w:rPr>
        <w:t>Do not freeze</w:t>
      </w:r>
    </w:p>
    <w:p w:rsidR="00B25F43" w:rsidRPr="000D28E6" w:rsidP="00900379" w14:paraId="18CE2585" w14:textId="77777777">
      <w:pPr>
        <w:rPr>
          <w:rFonts w:eastAsia="SimSun"/>
          <w:lang w:val="en-GB"/>
        </w:rPr>
      </w:pPr>
      <w:r w:rsidRPr="000D28E6">
        <w:rPr>
          <w:lang w:val="en-GB"/>
        </w:rPr>
        <w:t xml:space="preserve">Keep the vial in the outer carton in order to protect from light </w:t>
      </w:r>
    </w:p>
    <w:p w:rsidR="00863CEA" w:rsidRPr="000D28E6" w:rsidP="00900379" w14:paraId="37822C0B" w14:textId="77777777">
      <w:pPr>
        <w:rPr>
          <w:rFonts w:eastAsia="SimSun"/>
          <w:noProof/>
          <w:lang w:val="en-GB"/>
        </w:rPr>
      </w:pPr>
    </w:p>
    <w:p w:rsidR="00863CEA" w:rsidRPr="000D28E6" w:rsidP="00900379" w14:paraId="17E07BD6" w14:textId="77777777">
      <w:pPr>
        <w:rPr>
          <w:rFonts w:eastAsia="SimSun"/>
          <w:noProof/>
          <w:lang w:val="en-GB"/>
        </w:rPr>
      </w:pPr>
    </w:p>
    <w:p w:rsidR="00863CEA" w:rsidRPr="000D28E6" w:rsidP="00900379" w14:paraId="19FB926B" w14:textId="77777777">
      <w:pPr>
        <w:pBdr>
          <w:top w:val="single" w:sz="4" w:space="1" w:color="auto"/>
          <w:left w:val="single" w:sz="4" w:space="4" w:color="auto"/>
          <w:bottom w:val="single" w:sz="4" w:space="1" w:color="auto"/>
          <w:right w:val="single" w:sz="4" w:space="4" w:color="auto"/>
        </w:pBdr>
        <w:ind w:left="720" w:hanging="720"/>
        <w:rPr>
          <w:rFonts w:eastAsia="SimSun"/>
          <w:b/>
          <w:noProof/>
          <w:lang w:val="en-GB"/>
        </w:rPr>
      </w:pPr>
      <w:r w:rsidRPr="000D28E6">
        <w:rPr>
          <w:rFonts w:eastAsia="SimSun"/>
          <w:b/>
          <w:noProof/>
          <w:lang w:val="en-GB"/>
        </w:rPr>
        <w:t>10.</w:t>
      </w:r>
      <w:r w:rsidRPr="000D28E6">
        <w:rPr>
          <w:rFonts w:eastAsia="SimSun"/>
          <w:b/>
          <w:noProof/>
          <w:lang w:val="en-GB"/>
        </w:rPr>
        <w:tab/>
        <w:t>SPECIAL PRECAUTIONS FOR DISPOSAL OF UNUSED MEDICINAL PRODUCTS OR WASTE MATERIALS DERIVED FROM SUCH MEDICINAL PRODUCTS, IF APPROPRIATE</w:t>
      </w:r>
    </w:p>
    <w:p w:rsidR="00863CEA" w:rsidRPr="000D28E6" w:rsidP="00900379" w14:paraId="632CC5E5" w14:textId="77777777">
      <w:pPr>
        <w:rPr>
          <w:rFonts w:eastAsia="SimSun"/>
          <w:noProof/>
          <w:lang w:val="en-GB"/>
        </w:rPr>
      </w:pPr>
    </w:p>
    <w:p w:rsidR="00863CEA" w:rsidRPr="000D28E6" w:rsidP="00900379" w14:paraId="47B0D6C8" w14:textId="77777777">
      <w:pPr>
        <w:rPr>
          <w:rFonts w:eastAsia="SimSun"/>
          <w:noProof/>
          <w:lang w:val="en-GB"/>
        </w:rPr>
      </w:pPr>
    </w:p>
    <w:p w:rsidR="00863CEA" w:rsidRPr="000D28E6" w:rsidP="00112CF4" w14:paraId="662C8268"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11.</w:t>
      </w:r>
      <w:r w:rsidRPr="000D28E6">
        <w:rPr>
          <w:rFonts w:eastAsia="SimSun"/>
          <w:b/>
          <w:noProof/>
          <w:lang w:val="en-GB"/>
        </w:rPr>
        <w:tab/>
        <w:t>NAME AND ADDRESS OF THE MARKETING AUTHORISATION HOLDER</w:t>
      </w:r>
    </w:p>
    <w:p w:rsidR="00863CEA" w:rsidRPr="000D28E6" w:rsidP="00900379" w14:paraId="5493C21F" w14:textId="77777777">
      <w:pPr>
        <w:rPr>
          <w:rFonts w:eastAsia="SimSun"/>
          <w:noProof/>
          <w:lang w:val="en-GB"/>
        </w:rPr>
      </w:pPr>
    </w:p>
    <w:p w:rsidR="00A10617" w:rsidRPr="001F5859" w:rsidP="00A10617" w14:paraId="438B0025" w14:textId="77777777">
      <w:pPr>
        <w:rPr>
          <w:lang w:val="de-CH"/>
        </w:rPr>
      </w:pPr>
      <w:r w:rsidRPr="001F5859">
        <w:rPr>
          <w:lang w:val="de-CH"/>
        </w:rPr>
        <w:t xml:space="preserve">Roche Registration GmbH </w:t>
      </w:r>
    </w:p>
    <w:p w:rsidR="00A10617" w:rsidRPr="001F5859" w:rsidP="00A10617" w14:paraId="46915FF6" w14:textId="77777777">
      <w:pPr>
        <w:rPr>
          <w:lang w:val="de-CH"/>
        </w:rPr>
      </w:pPr>
      <w:r w:rsidRPr="001F5859">
        <w:rPr>
          <w:lang w:val="de-CH"/>
        </w:rPr>
        <w:t>Emil-Barell-Strasse 1</w:t>
      </w:r>
    </w:p>
    <w:p w:rsidR="00A10617" w:rsidRPr="006962E6" w:rsidP="00A10617" w14:paraId="521B3602" w14:textId="77777777">
      <w:pPr>
        <w:rPr>
          <w:lang w:val="de-DE"/>
        </w:rPr>
      </w:pPr>
      <w:r w:rsidRPr="006962E6">
        <w:rPr>
          <w:lang w:val="de-DE"/>
        </w:rPr>
        <w:t>79639 Grenzach-Wyhlen</w:t>
      </w:r>
    </w:p>
    <w:p w:rsidR="00A10617" w:rsidRPr="001F5859" w:rsidP="00A10617" w14:paraId="78F3DC2A" w14:textId="77777777">
      <w:pPr>
        <w:rPr>
          <w:lang w:val="en-GB"/>
        </w:rPr>
      </w:pPr>
      <w:r w:rsidRPr="001F5859">
        <w:rPr>
          <w:lang w:val="en-GB"/>
        </w:rPr>
        <w:t>Germany</w:t>
      </w:r>
    </w:p>
    <w:p w:rsidR="00863CEA" w:rsidRPr="000D28E6" w:rsidP="00112CF4" w14:paraId="3E52379C" w14:textId="77777777">
      <w:pPr>
        <w:rPr>
          <w:rFonts w:eastAsia="SimSun"/>
          <w:noProof/>
          <w:lang w:val="en-GB"/>
        </w:rPr>
      </w:pPr>
    </w:p>
    <w:p w:rsidR="00863CEA" w:rsidRPr="000D28E6" w:rsidP="00112CF4" w14:paraId="732C3B5A" w14:textId="77777777">
      <w:pPr>
        <w:rPr>
          <w:rFonts w:eastAsia="SimSun"/>
          <w:noProof/>
          <w:lang w:val="en-GB"/>
        </w:rPr>
      </w:pPr>
    </w:p>
    <w:p w:rsidR="00863CEA" w:rsidRPr="000D28E6" w:rsidP="00112CF4" w14:paraId="02EDEA2E"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12.</w:t>
      </w:r>
      <w:r w:rsidRPr="000D28E6">
        <w:rPr>
          <w:rFonts w:eastAsia="SimSun"/>
          <w:b/>
          <w:noProof/>
          <w:lang w:val="en-GB"/>
        </w:rPr>
        <w:tab/>
        <w:t xml:space="preserve">MARKETING AUTHORISATION NUMBER(S) </w:t>
      </w:r>
    </w:p>
    <w:p w:rsidR="00863CEA" w:rsidRPr="000D28E6" w:rsidP="00112CF4" w14:paraId="7C3D8B33" w14:textId="77777777">
      <w:pPr>
        <w:rPr>
          <w:rFonts w:eastAsia="SimSun"/>
          <w:noProof/>
          <w:lang w:val="en-GB"/>
        </w:rPr>
      </w:pPr>
    </w:p>
    <w:p w:rsidR="009C4758" w:rsidRPr="000D28E6" w:rsidP="009C4758" w14:paraId="60120EFA" w14:textId="77777777">
      <w:pPr>
        <w:rPr>
          <w:rFonts w:eastAsia="SimSun"/>
          <w:noProof/>
          <w:lang w:val="en-GB"/>
        </w:rPr>
      </w:pPr>
      <w:r w:rsidRPr="000D28E6">
        <w:rPr>
          <w:rFonts w:eastAsia="SimSun"/>
          <w:noProof/>
          <w:lang w:val="en-GB"/>
        </w:rPr>
        <w:t>EU/1/13/813/001</w:t>
      </w:r>
    </w:p>
    <w:p w:rsidR="00863CEA" w:rsidRPr="000D28E6" w:rsidP="00112CF4" w14:paraId="2FD5695C" w14:textId="77777777">
      <w:pPr>
        <w:rPr>
          <w:rFonts w:eastAsia="SimSun"/>
          <w:noProof/>
          <w:lang w:val="en-GB"/>
        </w:rPr>
      </w:pPr>
    </w:p>
    <w:p w:rsidR="009C4758" w:rsidRPr="000D28E6" w:rsidP="00112CF4" w14:paraId="2937AE6A" w14:textId="77777777">
      <w:pPr>
        <w:rPr>
          <w:rFonts w:eastAsia="SimSun"/>
          <w:noProof/>
          <w:lang w:val="en-GB"/>
        </w:rPr>
      </w:pPr>
    </w:p>
    <w:p w:rsidR="00863CEA" w:rsidRPr="000D28E6" w:rsidP="00112CF4" w14:paraId="582AD0A1"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13.</w:t>
      </w:r>
      <w:r w:rsidRPr="000D28E6">
        <w:rPr>
          <w:rFonts w:eastAsia="SimSun"/>
          <w:b/>
          <w:noProof/>
          <w:lang w:val="en-GB"/>
        </w:rPr>
        <w:tab/>
        <w:t>BATCH NUMBER</w:t>
      </w:r>
    </w:p>
    <w:p w:rsidR="00863CEA" w:rsidRPr="000D28E6" w:rsidP="00112CF4" w14:paraId="7D928C32" w14:textId="77777777">
      <w:pPr>
        <w:rPr>
          <w:rFonts w:eastAsia="SimSun"/>
          <w:noProof/>
          <w:lang w:val="en-GB"/>
        </w:rPr>
      </w:pPr>
    </w:p>
    <w:p w:rsidR="00863CEA" w:rsidRPr="000D28E6" w:rsidP="00112CF4" w14:paraId="7A1966F3" w14:textId="77777777">
      <w:pPr>
        <w:rPr>
          <w:rFonts w:eastAsia="SimSun"/>
          <w:noProof/>
          <w:lang w:val="en-GB"/>
        </w:rPr>
      </w:pPr>
      <w:r w:rsidRPr="000D28E6">
        <w:rPr>
          <w:rFonts w:eastAsia="SimSun"/>
          <w:noProof/>
          <w:lang w:val="en-GB"/>
        </w:rPr>
        <w:t>Batch</w:t>
      </w:r>
    </w:p>
    <w:p w:rsidR="00863CEA" w:rsidRPr="000D28E6" w:rsidP="00112CF4" w14:paraId="3B8F842B" w14:textId="77777777">
      <w:pPr>
        <w:rPr>
          <w:rFonts w:eastAsia="SimSun"/>
          <w:noProof/>
          <w:lang w:val="en-GB"/>
        </w:rPr>
      </w:pPr>
    </w:p>
    <w:p w:rsidR="00863CEA" w:rsidRPr="000D28E6" w:rsidP="00112CF4" w14:paraId="0BCE4442" w14:textId="77777777">
      <w:pPr>
        <w:rPr>
          <w:rFonts w:eastAsia="SimSun"/>
          <w:noProof/>
          <w:lang w:val="en-GB"/>
        </w:rPr>
      </w:pPr>
    </w:p>
    <w:p w:rsidR="00863CEA" w:rsidRPr="000D28E6" w:rsidP="00112CF4" w14:paraId="031D5B44"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14.</w:t>
      </w:r>
      <w:r w:rsidRPr="000D28E6">
        <w:rPr>
          <w:rFonts w:eastAsia="SimSun"/>
          <w:b/>
          <w:noProof/>
          <w:lang w:val="en-GB"/>
        </w:rPr>
        <w:tab/>
        <w:t>GENERAL CLASSIFICATION FOR SUPPLY</w:t>
      </w:r>
    </w:p>
    <w:p w:rsidR="00863CEA" w:rsidRPr="000D28E6" w:rsidP="00112CF4" w14:paraId="1842F787" w14:textId="77777777">
      <w:pPr>
        <w:rPr>
          <w:rFonts w:eastAsia="SimSun"/>
          <w:i/>
          <w:noProof/>
          <w:lang w:val="en-GB"/>
        </w:rPr>
      </w:pPr>
    </w:p>
    <w:p w:rsidR="00863CEA" w:rsidRPr="000D28E6" w:rsidP="00112CF4" w14:paraId="5C1EB5E2" w14:textId="77777777">
      <w:pPr>
        <w:rPr>
          <w:rFonts w:eastAsia="SimSun"/>
          <w:noProof/>
          <w:lang w:val="en-GB"/>
        </w:rPr>
      </w:pPr>
      <w:r w:rsidRPr="000D28E6">
        <w:rPr>
          <w:rFonts w:eastAsia="SimSun"/>
          <w:noProof/>
          <w:lang w:val="en-GB"/>
        </w:rPr>
        <w:t xml:space="preserve">Medicinal product </w:t>
      </w:r>
      <w:r w:rsidRPr="000D28E6" w:rsidR="00E12CCE">
        <w:rPr>
          <w:rFonts w:eastAsia="SimSun"/>
          <w:noProof/>
          <w:lang w:val="en-GB"/>
        </w:rPr>
        <w:t>subject</w:t>
      </w:r>
      <w:r w:rsidRPr="000D28E6" w:rsidR="00514196">
        <w:rPr>
          <w:rFonts w:eastAsia="SimSun"/>
          <w:noProof/>
          <w:lang w:val="en-GB"/>
        </w:rPr>
        <w:t xml:space="preserve"> </w:t>
      </w:r>
      <w:r w:rsidRPr="000D28E6">
        <w:rPr>
          <w:rFonts w:eastAsia="SimSun"/>
          <w:noProof/>
          <w:lang w:val="en-GB"/>
        </w:rPr>
        <w:t>to medical prescription</w:t>
      </w:r>
    </w:p>
    <w:p w:rsidR="00863CEA" w:rsidRPr="000D28E6" w:rsidP="00112CF4" w14:paraId="213486A8" w14:textId="77777777">
      <w:pPr>
        <w:rPr>
          <w:rFonts w:eastAsia="SimSun"/>
          <w:noProof/>
          <w:lang w:val="en-GB"/>
        </w:rPr>
      </w:pPr>
    </w:p>
    <w:p w:rsidR="00863CEA" w:rsidRPr="000D28E6" w:rsidP="00112CF4" w14:paraId="771E8F8E" w14:textId="77777777">
      <w:pPr>
        <w:rPr>
          <w:rFonts w:eastAsia="SimSun"/>
          <w:noProof/>
          <w:lang w:val="en-GB"/>
        </w:rPr>
      </w:pPr>
    </w:p>
    <w:p w:rsidR="00863CEA" w:rsidRPr="000D28E6" w:rsidP="00112CF4" w14:paraId="6A762116"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15.</w:t>
      </w:r>
      <w:r w:rsidRPr="000D28E6">
        <w:rPr>
          <w:rFonts w:eastAsia="SimSun"/>
          <w:b/>
          <w:noProof/>
          <w:lang w:val="en-GB"/>
        </w:rPr>
        <w:tab/>
        <w:t>INSTRUCTIONS ON USE</w:t>
      </w:r>
    </w:p>
    <w:p w:rsidR="00863CEA" w:rsidRPr="000D28E6" w:rsidP="00112CF4" w14:paraId="50E0356A" w14:textId="77777777">
      <w:pPr>
        <w:rPr>
          <w:rFonts w:eastAsia="SimSun"/>
          <w:noProof/>
          <w:lang w:val="en-GB"/>
        </w:rPr>
      </w:pPr>
    </w:p>
    <w:p w:rsidR="00863CEA" w:rsidRPr="000D28E6" w:rsidP="00112CF4" w14:paraId="446DF6FA" w14:textId="77777777">
      <w:pPr>
        <w:rPr>
          <w:rFonts w:eastAsia="SimSun"/>
          <w:noProof/>
          <w:lang w:val="en-GB"/>
        </w:rPr>
      </w:pPr>
    </w:p>
    <w:p w:rsidR="00863CEA" w:rsidRPr="000D28E6" w:rsidP="00112CF4" w14:paraId="49A8BBFF" w14:textId="77777777">
      <w:pPr>
        <w:pBdr>
          <w:top w:val="single" w:sz="4" w:space="1" w:color="auto"/>
          <w:left w:val="single" w:sz="4" w:space="4" w:color="auto"/>
          <w:bottom w:val="single" w:sz="4" w:space="1" w:color="auto"/>
          <w:right w:val="single" w:sz="4" w:space="4" w:color="auto"/>
        </w:pBdr>
        <w:rPr>
          <w:rFonts w:eastAsia="SimSun"/>
          <w:noProof/>
          <w:lang w:val="en-GB"/>
        </w:rPr>
      </w:pPr>
      <w:r w:rsidRPr="000D28E6">
        <w:rPr>
          <w:rFonts w:eastAsia="SimSun"/>
          <w:b/>
          <w:noProof/>
          <w:lang w:val="en-GB"/>
        </w:rPr>
        <w:t>16.</w:t>
      </w:r>
      <w:r w:rsidRPr="000D28E6">
        <w:rPr>
          <w:rFonts w:eastAsia="SimSun"/>
          <w:b/>
          <w:noProof/>
          <w:lang w:val="en-GB"/>
        </w:rPr>
        <w:tab/>
        <w:t>INFORMATION IN BRAILLE</w:t>
      </w:r>
    </w:p>
    <w:p w:rsidR="00863CEA" w:rsidRPr="000D28E6" w:rsidP="00112CF4" w14:paraId="6941040B" w14:textId="77777777">
      <w:pPr>
        <w:rPr>
          <w:rFonts w:eastAsia="SimSun"/>
          <w:noProof/>
          <w:lang w:val="en-GB"/>
        </w:rPr>
      </w:pPr>
    </w:p>
    <w:p w:rsidR="002206A9" w:rsidP="00112CF4" w14:paraId="7E45151A" w14:textId="77777777">
      <w:pPr>
        <w:rPr>
          <w:rFonts w:eastAsia="SimSun"/>
          <w:noProof/>
          <w:lang w:val="en-GB"/>
        </w:rPr>
      </w:pPr>
      <w:r w:rsidRPr="00194952">
        <w:rPr>
          <w:szCs w:val="22"/>
          <w:shd w:val="pct15" w:color="auto" w:fill="FFFFFF"/>
        </w:rPr>
        <w:t>Justification for not including Braille accepted</w:t>
      </w:r>
      <w:r w:rsidRPr="000D28E6">
        <w:rPr>
          <w:rFonts w:eastAsia="SimSun"/>
          <w:noProof/>
          <w:lang w:val="en-GB"/>
        </w:rPr>
        <w:t xml:space="preserve"> </w:t>
      </w:r>
    </w:p>
    <w:p w:rsidR="002206A9" w:rsidP="00112CF4" w14:paraId="3B4770FE" w14:textId="77777777">
      <w:pPr>
        <w:rPr>
          <w:rFonts w:eastAsia="SimSun"/>
          <w:noProof/>
          <w:lang w:val="en-GB"/>
        </w:rPr>
      </w:pPr>
    </w:p>
    <w:p w:rsidR="002206A9" w:rsidP="00112CF4" w14:paraId="3EC6A55A" w14:textId="77777777">
      <w:pPr>
        <w:rPr>
          <w:rFonts w:eastAsia="SimSun"/>
          <w:noProof/>
          <w:lang w:val="en-GB"/>
        </w:rPr>
      </w:pPr>
    </w:p>
    <w:p w:rsidR="002206A9" w:rsidRPr="00C937E7" w:rsidP="002206A9" w14:paraId="65C248CE" w14:textId="77777777">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2206A9" w:rsidRPr="00C937E7" w:rsidP="002206A9" w14:paraId="6970023E" w14:textId="77777777">
      <w:pPr>
        <w:rPr>
          <w:noProof/>
        </w:rPr>
      </w:pPr>
    </w:p>
    <w:p w:rsidR="002206A9" w:rsidRPr="00C937E7" w:rsidP="002206A9" w14:paraId="0912E496" w14:textId="77777777">
      <w:pPr>
        <w:rPr>
          <w:noProof/>
          <w:szCs w:val="22"/>
          <w:shd w:val="clear" w:color="auto" w:fill="CCCCCC"/>
        </w:rPr>
      </w:pPr>
      <w:r w:rsidRPr="00FD3EC2">
        <w:rPr>
          <w:noProof/>
          <w:highlight w:val="lightGray"/>
        </w:rPr>
        <w:t>2D barcode carrying the unique identifier included.</w:t>
      </w:r>
    </w:p>
    <w:p w:rsidR="002206A9" w:rsidRPr="00C937E7" w:rsidP="002206A9" w14:paraId="34D7FCB9" w14:textId="77777777">
      <w:pPr>
        <w:rPr>
          <w:noProof/>
          <w:szCs w:val="22"/>
          <w:shd w:val="clear" w:color="auto" w:fill="CCCCCC"/>
        </w:rPr>
      </w:pPr>
    </w:p>
    <w:p w:rsidR="002206A9" w:rsidRPr="00C937E7" w:rsidP="002206A9" w14:paraId="5D0721D1" w14:textId="77777777">
      <w:pPr>
        <w:rPr>
          <w:noProof/>
        </w:rPr>
      </w:pPr>
    </w:p>
    <w:p w:rsidR="002206A9" w:rsidRPr="00C937E7" w:rsidP="002206A9" w14:paraId="75A93C3E" w14:textId="77777777">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2206A9" w:rsidRPr="00C937E7" w:rsidP="002206A9" w14:paraId="7879173F" w14:textId="77777777">
      <w:pPr>
        <w:rPr>
          <w:noProof/>
        </w:rPr>
      </w:pPr>
    </w:p>
    <w:p w:rsidR="002206A9" w:rsidP="002206A9" w14:paraId="587DCE56" w14:textId="77777777">
      <w:pPr>
        <w:rPr>
          <w:szCs w:val="22"/>
        </w:rPr>
      </w:pPr>
      <w:r w:rsidRPr="00C937E7">
        <w:rPr>
          <w:szCs w:val="22"/>
        </w:rPr>
        <w:t>PC:</w:t>
      </w:r>
      <w:r>
        <w:rPr>
          <w:szCs w:val="22"/>
        </w:rPr>
        <w:t xml:space="preserve"> </w:t>
      </w:r>
    </w:p>
    <w:p w:rsidR="002206A9" w:rsidRPr="00C937E7" w:rsidP="002206A9" w14:paraId="6D619C38" w14:textId="77777777">
      <w:pPr>
        <w:rPr>
          <w:szCs w:val="22"/>
        </w:rPr>
      </w:pPr>
      <w:r w:rsidRPr="00C937E7">
        <w:rPr>
          <w:szCs w:val="22"/>
        </w:rPr>
        <w:t xml:space="preserve">SN: </w:t>
      </w:r>
    </w:p>
    <w:p w:rsidR="002206A9" w:rsidRPr="00C937E7" w:rsidP="002206A9" w14:paraId="54B30E86" w14:textId="77777777">
      <w:pPr>
        <w:rPr>
          <w:szCs w:val="22"/>
        </w:rPr>
      </w:pPr>
      <w:r w:rsidRPr="00C51DEE">
        <w:rPr>
          <w:szCs w:val="22"/>
        </w:rPr>
        <w:t xml:space="preserve">NN: </w:t>
      </w:r>
    </w:p>
    <w:p w:rsidR="00863CEA" w:rsidRPr="000D28E6" w:rsidP="00112CF4" w14:paraId="74410005" w14:textId="77777777">
      <w:pPr>
        <w:rPr>
          <w:rFonts w:eastAsia="SimSun"/>
          <w:noProof/>
          <w:lang w:val="en-GB"/>
        </w:rPr>
      </w:pPr>
      <w:r w:rsidRPr="000D28E6">
        <w:rPr>
          <w:rFonts w:eastAsia="SimSun"/>
          <w:noProof/>
          <w:lang w:val="en-GB"/>
        </w:rPr>
        <w:br w:type="page"/>
      </w:r>
    </w:p>
    <w:p w:rsidR="00863CEA" w:rsidRPr="000D28E6" w:rsidP="00112CF4" w14:paraId="7CAABBBF"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MINIMUM PARTICULARS TO APPEAR ON SMALL IMMEDIATE PACKAGING UNITS</w:t>
      </w:r>
    </w:p>
    <w:p w:rsidR="00863CEA" w:rsidRPr="000D28E6" w:rsidP="00112CF4" w14:paraId="3CF178DC" w14:textId="77777777">
      <w:pPr>
        <w:pBdr>
          <w:top w:val="single" w:sz="4" w:space="1" w:color="auto"/>
          <w:left w:val="single" w:sz="4" w:space="4" w:color="auto"/>
          <w:bottom w:val="single" w:sz="4" w:space="1" w:color="auto"/>
          <w:right w:val="single" w:sz="4" w:space="4" w:color="auto"/>
        </w:pBdr>
        <w:rPr>
          <w:rFonts w:eastAsia="SimSun"/>
          <w:b/>
          <w:noProof/>
          <w:lang w:val="en-GB"/>
        </w:rPr>
      </w:pPr>
    </w:p>
    <w:p w:rsidR="00863CEA" w:rsidRPr="000D28E6" w:rsidP="00112CF4" w14:paraId="16B66E1C"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VIAL LABEL</w:t>
      </w:r>
    </w:p>
    <w:p w:rsidR="00863CEA" w:rsidRPr="000D28E6" w:rsidP="00112CF4" w14:paraId="6FAAE802" w14:textId="77777777">
      <w:pPr>
        <w:rPr>
          <w:rFonts w:eastAsia="SimSun"/>
          <w:b/>
          <w:noProof/>
          <w:lang w:val="en-GB"/>
        </w:rPr>
      </w:pPr>
    </w:p>
    <w:p w:rsidR="00863CEA" w:rsidRPr="000D28E6" w:rsidP="00112CF4" w14:paraId="0A938BA4" w14:textId="77777777">
      <w:pPr>
        <w:rPr>
          <w:rFonts w:eastAsia="SimSun"/>
          <w:b/>
          <w:noProof/>
          <w:lang w:val="en-GB"/>
        </w:rPr>
      </w:pPr>
    </w:p>
    <w:p w:rsidR="00863CEA" w:rsidRPr="000D28E6" w:rsidP="00112CF4" w14:paraId="5960D03E"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1.</w:t>
      </w:r>
      <w:r w:rsidRPr="000D28E6">
        <w:rPr>
          <w:rFonts w:eastAsia="SimSun"/>
          <w:b/>
          <w:noProof/>
          <w:lang w:val="en-GB"/>
        </w:rPr>
        <w:tab/>
        <w:t>NAME OF THE MEDICINAL PRODUCT AND ROUTE(S) OF ADMINISTRATION</w:t>
      </w:r>
    </w:p>
    <w:p w:rsidR="00863CEA" w:rsidRPr="000D28E6" w:rsidP="00112CF4" w14:paraId="7221C72B" w14:textId="77777777">
      <w:pPr>
        <w:rPr>
          <w:rFonts w:eastAsia="SimSun"/>
          <w:noProof/>
          <w:lang w:val="en-GB"/>
        </w:rPr>
      </w:pPr>
    </w:p>
    <w:p w:rsidR="00863CEA" w:rsidRPr="000D28E6" w:rsidP="00112CF4" w14:paraId="14E2A500" w14:textId="77777777">
      <w:pPr>
        <w:rPr>
          <w:rFonts w:eastAsia="SimSun"/>
          <w:noProof/>
          <w:lang w:val="en-GB"/>
        </w:rPr>
      </w:pPr>
      <w:r w:rsidRPr="000D28E6">
        <w:rPr>
          <w:rFonts w:eastAsia="SimSun"/>
          <w:noProof/>
          <w:lang w:val="en-GB"/>
        </w:rPr>
        <w:t>Perjeta 420 mg concentrate for solution for infusion</w:t>
      </w:r>
    </w:p>
    <w:p w:rsidR="00863CEA" w:rsidRPr="000D28E6" w:rsidP="00112CF4" w14:paraId="55E0A586" w14:textId="77777777">
      <w:pPr>
        <w:rPr>
          <w:rFonts w:eastAsia="SimSun"/>
          <w:noProof/>
          <w:lang w:val="en-GB"/>
        </w:rPr>
      </w:pPr>
      <w:r w:rsidRPr="000D28E6">
        <w:rPr>
          <w:rFonts w:eastAsia="SimSun"/>
          <w:noProof/>
          <w:lang w:val="en-GB"/>
        </w:rPr>
        <w:t>pertuzumab</w:t>
      </w:r>
    </w:p>
    <w:p w:rsidR="00797A89" w:rsidRPr="000D28E6" w:rsidP="00112CF4" w14:paraId="263AEC2F" w14:textId="77777777">
      <w:pPr>
        <w:rPr>
          <w:rFonts w:eastAsia="SimSun"/>
          <w:noProof/>
          <w:lang w:val="en-GB"/>
        </w:rPr>
      </w:pPr>
      <w:r w:rsidRPr="00194952">
        <w:rPr>
          <w:szCs w:val="22"/>
          <w:shd w:val="pct15" w:color="auto" w:fill="FFFFFF"/>
        </w:rPr>
        <w:t>IV</w:t>
      </w:r>
    </w:p>
    <w:p w:rsidR="00112CF4" w:rsidRPr="000D28E6" w:rsidP="00112CF4" w14:paraId="3D838D22" w14:textId="77777777">
      <w:pPr>
        <w:rPr>
          <w:rFonts w:eastAsia="SimSun"/>
          <w:noProof/>
          <w:lang w:val="en-GB"/>
        </w:rPr>
      </w:pPr>
    </w:p>
    <w:p w:rsidR="00010452" w:rsidRPr="000D28E6" w:rsidP="00112CF4" w14:paraId="7ACA24D2" w14:textId="77777777">
      <w:pPr>
        <w:rPr>
          <w:rFonts w:eastAsia="SimSun"/>
          <w:noProof/>
          <w:lang w:val="en-GB"/>
        </w:rPr>
      </w:pPr>
    </w:p>
    <w:p w:rsidR="00863CEA" w:rsidRPr="000D28E6" w:rsidP="00112CF4" w14:paraId="37F37377"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2.</w:t>
      </w:r>
      <w:r w:rsidRPr="000D28E6">
        <w:rPr>
          <w:rFonts w:eastAsia="SimSun"/>
          <w:b/>
          <w:noProof/>
          <w:lang w:val="en-GB"/>
        </w:rPr>
        <w:tab/>
        <w:t>METHOD OF ADMINISTRATION</w:t>
      </w:r>
    </w:p>
    <w:p w:rsidR="007A7CCB" w:rsidRPr="000D28E6" w:rsidP="007A7CCB" w14:paraId="11A17AB8" w14:textId="77777777">
      <w:pPr>
        <w:rPr>
          <w:rFonts w:eastAsia="SimSun"/>
          <w:noProof/>
          <w:lang w:val="en-GB"/>
        </w:rPr>
      </w:pPr>
    </w:p>
    <w:p w:rsidR="007A7CCB" w:rsidRPr="000D28E6" w:rsidP="007A7CCB" w14:paraId="7AED9A30" w14:textId="77777777">
      <w:pPr>
        <w:rPr>
          <w:rFonts w:eastAsia="SimSun"/>
          <w:noProof/>
          <w:lang w:val="en-GB"/>
        </w:rPr>
      </w:pPr>
      <w:r w:rsidRPr="000D28E6">
        <w:rPr>
          <w:rFonts w:eastAsia="SimSun"/>
          <w:noProof/>
          <w:lang w:val="en-GB"/>
        </w:rPr>
        <w:t>For intravenous use after dilution</w:t>
      </w:r>
    </w:p>
    <w:p w:rsidR="00863CEA" w:rsidRPr="000D28E6" w:rsidP="00863CEA" w14:paraId="0841303B" w14:textId="77777777">
      <w:pPr>
        <w:rPr>
          <w:rFonts w:eastAsia="SimSun"/>
          <w:lang w:val="en-GB"/>
        </w:rPr>
      </w:pPr>
    </w:p>
    <w:p w:rsidR="00863CEA" w:rsidRPr="000D28E6" w:rsidP="00112CF4" w14:paraId="47E40699" w14:textId="77777777">
      <w:pPr>
        <w:rPr>
          <w:rFonts w:eastAsia="SimSun"/>
          <w:noProof/>
          <w:lang w:val="en-GB"/>
        </w:rPr>
      </w:pPr>
    </w:p>
    <w:p w:rsidR="00863CEA" w:rsidRPr="000D28E6" w:rsidP="00112CF4" w14:paraId="11DDFA25"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3.</w:t>
      </w:r>
      <w:r w:rsidRPr="000D28E6">
        <w:rPr>
          <w:rFonts w:eastAsia="SimSun"/>
          <w:b/>
          <w:noProof/>
          <w:lang w:val="en-GB"/>
        </w:rPr>
        <w:tab/>
        <w:t>EXPIRY DATE</w:t>
      </w:r>
    </w:p>
    <w:p w:rsidR="00863CEA" w:rsidRPr="000D28E6" w:rsidP="00112CF4" w14:paraId="0BD219C3" w14:textId="77777777">
      <w:pPr>
        <w:rPr>
          <w:rFonts w:eastAsia="SimSun"/>
          <w:noProof/>
          <w:lang w:val="en-GB"/>
        </w:rPr>
      </w:pPr>
    </w:p>
    <w:p w:rsidR="00863CEA" w:rsidRPr="000D28E6" w:rsidP="00112CF4" w14:paraId="163309C9" w14:textId="77777777">
      <w:pPr>
        <w:rPr>
          <w:rFonts w:eastAsia="SimSun"/>
          <w:noProof/>
          <w:lang w:val="en-GB"/>
        </w:rPr>
      </w:pPr>
      <w:r w:rsidRPr="000D28E6">
        <w:rPr>
          <w:rFonts w:eastAsia="SimSun"/>
          <w:noProof/>
          <w:lang w:val="en-GB"/>
        </w:rPr>
        <w:t>EXP</w:t>
      </w:r>
    </w:p>
    <w:p w:rsidR="00863CEA" w:rsidRPr="000D28E6" w:rsidP="00112CF4" w14:paraId="3F0B237C" w14:textId="77777777">
      <w:pPr>
        <w:rPr>
          <w:rFonts w:eastAsia="SimSun"/>
          <w:noProof/>
          <w:lang w:val="en-GB"/>
        </w:rPr>
      </w:pPr>
    </w:p>
    <w:p w:rsidR="00863CEA" w:rsidRPr="000D28E6" w:rsidP="00112CF4" w14:paraId="295D201E" w14:textId="77777777">
      <w:pPr>
        <w:rPr>
          <w:rFonts w:eastAsia="SimSun"/>
          <w:noProof/>
          <w:lang w:val="en-GB"/>
        </w:rPr>
      </w:pPr>
    </w:p>
    <w:p w:rsidR="00863CEA" w:rsidRPr="000D28E6" w:rsidP="00112CF4" w14:paraId="74A5F118"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4.</w:t>
      </w:r>
      <w:r w:rsidRPr="000D28E6">
        <w:rPr>
          <w:rFonts w:eastAsia="SimSun"/>
          <w:b/>
          <w:noProof/>
          <w:lang w:val="en-GB"/>
        </w:rPr>
        <w:tab/>
        <w:t>BATCH NUMBER</w:t>
      </w:r>
    </w:p>
    <w:p w:rsidR="00863CEA" w:rsidRPr="000D28E6" w:rsidP="00112CF4" w14:paraId="1D1F0987" w14:textId="77777777">
      <w:pPr>
        <w:rPr>
          <w:rFonts w:eastAsia="SimSun"/>
          <w:noProof/>
          <w:lang w:val="en-GB"/>
        </w:rPr>
      </w:pPr>
    </w:p>
    <w:p w:rsidR="00863CEA" w:rsidRPr="000D28E6" w:rsidP="00112CF4" w14:paraId="4ABD316C" w14:textId="77777777">
      <w:pPr>
        <w:rPr>
          <w:rFonts w:eastAsia="SimSun"/>
          <w:noProof/>
          <w:lang w:val="en-GB"/>
        </w:rPr>
      </w:pPr>
      <w:r w:rsidRPr="000D28E6">
        <w:rPr>
          <w:rFonts w:eastAsia="SimSun"/>
          <w:noProof/>
          <w:lang w:val="en-GB"/>
        </w:rPr>
        <w:t>Lot</w:t>
      </w:r>
    </w:p>
    <w:p w:rsidR="00863CEA" w:rsidRPr="000D28E6" w:rsidP="00112CF4" w14:paraId="571DCA9C" w14:textId="77777777">
      <w:pPr>
        <w:rPr>
          <w:rFonts w:eastAsia="SimSun"/>
          <w:noProof/>
          <w:lang w:val="en-GB"/>
        </w:rPr>
      </w:pPr>
    </w:p>
    <w:p w:rsidR="00863CEA" w:rsidRPr="000D28E6" w:rsidP="00112CF4" w14:paraId="2CF29C5D" w14:textId="77777777">
      <w:pPr>
        <w:rPr>
          <w:rFonts w:eastAsia="SimSun"/>
          <w:noProof/>
          <w:lang w:val="en-GB"/>
        </w:rPr>
      </w:pPr>
    </w:p>
    <w:p w:rsidR="00863CEA" w:rsidRPr="000D28E6" w:rsidP="00112CF4" w14:paraId="72655F85"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5.</w:t>
      </w:r>
      <w:r w:rsidRPr="000D28E6">
        <w:rPr>
          <w:rFonts w:eastAsia="SimSun"/>
          <w:b/>
          <w:noProof/>
          <w:lang w:val="en-GB"/>
        </w:rPr>
        <w:tab/>
        <w:t>CONTENTS BY WEIGHT, BY VOLUME OR BY UNIT</w:t>
      </w:r>
    </w:p>
    <w:p w:rsidR="00863CEA" w:rsidRPr="000D28E6" w:rsidP="00112CF4" w14:paraId="360E52F3" w14:textId="77777777">
      <w:pPr>
        <w:rPr>
          <w:rFonts w:eastAsia="SimSun"/>
          <w:noProof/>
          <w:lang w:val="en-GB"/>
        </w:rPr>
      </w:pPr>
    </w:p>
    <w:p w:rsidR="00863CEA" w:rsidRPr="000D28E6" w:rsidP="00112CF4" w14:paraId="5E9101D4" w14:textId="77777777">
      <w:pPr>
        <w:rPr>
          <w:rFonts w:eastAsia="SimSun"/>
          <w:noProof/>
          <w:lang w:val="en-GB"/>
        </w:rPr>
      </w:pPr>
      <w:r w:rsidRPr="000D28E6">
        <w:rPr>
          <w:rFonts w:eastAsia="SimSun"/>
          <w:noProof/>
          <w:lang w:val="en-GB"/>
        </w:rPr>
        <w:t>420 mg/14 m</w:t>
      </w:r>
      <w:r w:rsidRPr="000D28E6" w:rsidR="00982E4D">
        <w:rPr>
          <w:rFonts w:eastAsia="SimSun"/>
          <w:noProof/>
          <w:lang w:val="en-GB"/>
        </w:rPr>
        <w:t>l</w:t>
      </w:r>
    </w:p>
    <w:p w:rsidR="00863CEA" w:rsidRPr="000D28E6" w:rsidP="00112CF4" w14:paraId="7BFFFBC7" w14:textId="77777777">
      <w:pPr>
        <w:rPr>
          <w:rFonts w:eastAsia="SimSun"/>
          <w:noProof/>
          <w:lang w:val="en-GB"/>
        </w:rPr>
      </w:pPr>
    </w:p>
    <w:p w:rsidR="00863CEA" w:rsidRPr="000D28E6" w:rsidP="00112CF4" w14:paraId="266AF25D" w14:textId="77777777">
      <w:pPr>
        <w:rPr>
          <w:rFonts w:eastAsia="SimSun"/>
          <w:noProof/>
          <w:lang w:val="en-GB"/>
        </w:rPr>
      </w:pPr>
    </w:p>
    <w:p w:rsidR="00863CEA" w:rsidRPr="000D28E6" w:rsidP="00112CF4" w14:paraId="6FE09101" w14:textId="77777777">
      <w:pPr>
        <w:pBdr>
          <w:top w:val="single" w:sz="4" w:space="1" w:color="auto"/>
          <w:left w:val="single" w:sz="4" w:space="4" w:color="auto"/>
          <w:bottom w:val="single" w:sz="4" w:space="1" w:color="auto"/>
          <w:right w:val="single" w:sz="4" w:space="4" w:color="auto"/>
        </w:pBdr>
        <w:rPr>
          <w:rFonts w:eastAsia="SimSun"/>
          <w:b/>
          <w:noProof/>
          <w:lang w:val="en-GB"/>
        </w:rPr>
      </w:pPr>
      <w:r w:rsidRPr="000D28E6">
        <w:rPr>
          <w:rFonts w:eastAsia="SimSun"/>
          <w:b/>
          <w:noProof/>
          <w:lang w:val="en-GB"/>
        </w:rPr>
        <w:t>6.</w:t>
      </w:r>
      <w:r w:rsidRPr="000D28E6">
        <w:rPr>
          <w:rFonts w:eastAsia="SimSun"/>
          <w:b/>
          <w:noProof/>
          <w:lang w:val="en-GB"/>
        </w:rPr>
        <w:tab/>
        <w:t>OTHER</w:t>
      </w:r>
    </w:p>
    <w:p w:rsidR="00947764" w:rsidP="00947764" w14:paraId="1527CE8C" w14:textId="77777777">
      <w:pPr>
        <w:rPr>
          <w:rFonts w:eastAsia="SimSun"/>
          <w:noProof/>
          <w:lang w:val="en-GB"/>
        </w:rPr>
      </w:pPr>
    </w:p>
    <w:p w:rsidR="00863CEA" w:rsidRPr="000D28E6" w:rsidP="00112CF4" w14:paraId="332B9C03" w14:textId="77777777">
      <w:pPr>
        <w:jc w:val="center"/>
        <w:rPr>
          <w:rFonts w:eastAsia="SimSun"/>
          <w:noProof/>
          <w:lang w:val="en-GB"/>
        </w:rPr>
      </w:pPr>
      <w:r w:rsidRPr="000D28E6">
        <w:rPr>
          <w:rFonts w:eastAsia="SimSun"/>
          <w:noProof/>
          <w:lang w:val="en-GB"/>
        </w:rPr>
        <w:br w:type="page"/>
      </w:r>
    </w:p>
    <w:p w:rsidR="00863CEA" w:rsidRPr="000D28E6" w:rsidP="00112CF4" w14:paraId="2B0D000C" w14:textId="77777777">
      <w:pPr>
        <w:jc w:val="center"/>
        <w:rPr>
          <w:rFonts w:eastAsia="SimSun"/>
          <w:noProof/>
          <w:lang w:val="en-GB"/>
        </w:rPr>
      </w:pPr>
    </w:p>
    <w:p w:rsidR="00863CEA" w:rsidRPr="000D28E6" w:rsidP="00112CF4" w14:paraId="2CC7A7D9" w14:textId="77777777">
      <w:pPr>
        <w:jc w:val="center"/>
        <w:rPr>
          <w:rFonts w:eastAsia="SimSun"/>
          <w:noProof/>
          <w:lang w:val="en-GB"/>
        </w:rPr>
      </w:pPr>
    </w:p>
    <w:p w:rsidR="00863CEA" w:rsidRPr="000D28E6" w:rsidP="00112CF4" w14:paraId="027F015C" w14:textId="77777777">
      <w:pPr>
        <w:jc w:val="center"/>
        <w:rPr>
          <w:rFonts w:eastAsia="SimSun"/>
          <w:noProof/>
          <w:lang w:val="en-GB"/>
        </w:rPr>
      </w:pPr>
    </w:p>
    <w:p w:rsidR="00863CEA" w:rsidRPr="000D28E6" w:rsidP="00112CF4" w14:paraId="5D63CB83" w14:textId="77777777">
      <w:pPr>
        <w:jc w:val="center"/>
        <w:rPr>
          <w:rFonts w:eastAsia="SimSun"/>
          <w:noProof/>
          <w:lang w:val="en-GB"/>
        </w:rPr>
      </w:pPr>
    </w:p>
    <w:p w:rsidR="00863CEA" w:rsidRPr="000D28E6" w:rsidP="00112CF4" w14:paraId="5883370F" w14:textId="77777777">
      <w:pPr>
        <w:jc w:val="center"/>
        <w:rPr>
          <w:rFonts w:eastAsia="SimSun"/>
          <w:noProof/>
          <w:lang w:val="en-GB"/>
        </w:rPr>
      </w:pPr>
    </w:p>
    <w:p w:rsidR="00863CEA" w:rsidRPr="000D28E6" w:rsidP="00112CF4" w14:paraId="3CE41C75" w14:textId="77777777">
      <w:pPr>
        <w:jc w:val="center"/>
        <w:rPr>
          <w:rFonts w:eastAsia="SimSun"/>
          <w:noProof/>
          <w:lang w:val="en-GB"/>
        </w:rPr>
      </w:pPr>
    </w:p>
    <w:p w:rsidR="00863CEA" w:rsidRPr="000D28E6" w:rsidP="00112CF4" w14:paraId="16247E76" w14:textId="77777777">
      <w:pPr>
        <w:jc w:val="center"/>
        <w:rPr>
          <w:rFonts w:eastAsia="SimSun"/>
          <w:noProof/>
          <w:lang w:val="en-GB"/>
        </w:rPr>
      </w:pPr>
    </w:p>
    <w:p w:rsidR="00863CEA" w:rsidRPr="000D28E6" w:rsidP="00112CF4" w14:paraId="11143310" w14:textId="77777777">
      <w:pPr>
        <w:jc w:val="center"/>
        <w:rPr>
          <w:rFonts w:eastAsia="SimSun"/>
          <w:noProof/>
          <w:lang w:val="en-GB"/>
        </w:rPr>
      </w:pPr>
    </w:p>
    <w:p w:rsidR="00863CEA" w:rsidRPr="000D28E6" w:rsidP="00112CF4" w14:paraId="4EF79725" w14:textId="77777777">
      <w:pPr>
        <w:jc w:val="center"/>
        <w:rPr>
          <w:rFonts w:eastAsia="SimSun"/>
          <w:noProof/>
          <w:lang w:val="en-GB"/>
        </w:rPr>
      </w:pPr>
    </w:p>
    <w:p w:rsidR="00863CEA" w:rsidRPr="000D28E6" w:rsidP="00112CF4" w14:paraId="0B6E5856" w14:textId="77777777">
      <w:pPr>
        <w:jc w:val="center"/>
        <w:rPr>
          <w:rFonts w:eastAsia="SimSun"/>
          <w:noProof/>
          <w:lang w:val="en-GB"/>
        </w:rPr>
      </w:pPr>
    </w:p>
    <w:p w:rsidR="00863CEA" w:rsidRPr="000D28E6" w:rsidP="00112CF4" w14:paraId="233F9251" w14:textId="77777777">
      <w:pPr>
        <w:jc w:val="center"/>
        <w:rPr>
          <w:rFonts w:eastAsia="SimSun"/>
          <w:noProof/>
          <w:lang w:val="en-GB"/>
        </w:rPr>
      </w:pPr>
    </w:p>
    <w:p w:rsidR="00863CEA" w:rsidRPr="000D28E6" w:rsidP="00112CF4" w14:paraId="58DCF44F" w14:textId="77777777">
      <w:pPr>
        <w:jc w:val="center"/>
        <w:rPr>
          <w:rFonts w:eastAsia="SimSun"/>
          <w:noProof/>
          <w:lang w:val="en-GB"/>
        </w:rPr>
      </w:pPr>
    </w:p>
    <w:p w:rsidR="00863CEA" w:rsidRPr="000D28E6" w:rsidP="00112CF4" w14:paraId="2F954E19" w14:textId="77777777">
      <w:pPr>
        <w:jc w:val="center"/>
        <w:rPr>
          <w:rFonts w:eastAsia="SimSun"/>
          <w:noProof/>
          <w:lang w:val="en-GB"/>
        </w:rPr>
      </w:pPr>
    </w:p>
    <w:p w:rsidR="00863CEA" w:rsidRPr="000D28E6" w:rsidP="00112CF4" w14:paraId="0DE1CEEE" w14:textId="77777777">
      <w:pPr>
        <w:jc w:val="center"/>
        <w:rPr>
          <w:rFonts w:eastAsia="SimSun"/>
          <w:noProof/>
          <w:lang w:val="en-GB"/>
        </w:rPr>
      </w:pPr>
    </w:p>
    <w:p w:rsidR="00863CEA" w:rsidRPr="000D28E6" w:rsidP="00112CF4" w14:paraId="2ACC3CA1" w14:textId="77777777">
      <w:pPr>
        <w:jc w:val="center"/>
        <w:rPr>
          <w:rFonts w:eastAsia="SimSun"/>
          <w:noProof/>
          <w:lang w:val="en-GB"/>
        </w:rPr>
      </w:pPr>
    </w:p>
    <w:p w:rsidR="00863CEA" w:rsidRPr="000D28E6" w:rsidP="00112CF4" w14:paraId="783EC0DB" w14:textId="77777777">
      <w:pPr>
        <w:jc w:val="center"/>
        <w:rPr>
          <w:rFonts w:eastAsia="SimSun"/>
          <w:noProof/>
          <w:lang w:val="en-GB"/>
        </w:rPr>
      </w:pPr>
    </w:p>
    <w:p w:rsidR="00863CEA" w:rsidRPr="000D28E6" w:rsidP="00112CF4" w14:paraId="1A797FA2" w14:textId="77777777">
      <w:pPr>
        <w:jc w:val="center"/>
        <w:rPr>
          <w:rFonts w:eastAsia="SimSun"/>
          <w:noProof/>
          <w:lang w:val="en-GB"/>
        </w:rPr>
      </w:pPr>
    </w:p>
    <w:p w:rsidR="00863CEA" w:rsidRPr="000D28E6" w:rsidP="00112CF4" w14:paraId="422216E2" w14:textId="77777777">
      <w:pPr>
        <w:jc w:val="center"/>
        <w:rPr>
          <w:rFonts w:eastAsia="SimSun"/>
          <w:noProof/>
          <w:lang w:val="en-GB"/>
        </w:rPr>
      </w:pPr>
    </w:p>
    <w:p w:rsidR="00863CEA" w:rsidRPr="000D28E6" w:rsidP="00112CF4" w14:paraId="30D4BC50" w14:textId="77777777">
      <w:pPr>
        <w:jc w:val="center"/>
        <w:rPr>
          <w:rFonts w:eastAsia="SimSun"/>
          <w:noProof/>
          <w:lang w:val="en-GB"/>
        </w:rPr>
      </w:pPr>
    </w:p>
    <w:p w:rsidR="00863CEA" w:rsidRPr="000D28E6" w:rsidP="00112CF4" w14:paraId="6C49053A" w14:textId="77777777">
      <w:pPr>
        <w:jc w:val="center"/>
        <w:rPr>
          <w:rFonts w:eastAsia="SimSun"/>
          <w:noProof/>
          <w:lang w:val="en-GB"/>
        </w:rPr>
      </w:pPr>
    </w:p>
    <w:p w:rsidR="00863CEA" w:rsidRPr="000D28E6" w:rsidP="00112CF4" w14:paraId="485A7CCD" w14:textId="77777777">
      <w:pPr>
        <w:jc w:val="center"/>
        <w:rPr>
          <w:rFonts w:eastAsia="SimSun"/>
          <w:noProof/>
          <w:lang w:val="en-GB"/>
        </w:rPr>
      </w:pPr>
    </w:p>
    <w:p w:rsidR="00863CEA" w:rsidP="00112CF4" w14:paraId="5272B28B" w14:textId="77777777">
      <w:pPr>
        <w:jc w:val="center"/>
        <w:rPr>
          <w:rFonts w:eastAsia="SimSun"/>
          <w:noProof/>
          <w:lang w:val="en-GB"/>
        </w:rPr>
      </w:pPr>
    </w:p>
    <w:p w:rsidR="00B6268D" w:rsidRPr="000D28E6" w:rsidP="00112CF4" w14:paraId="153851D2" w14:textId="77777777">
      <w:pPr>
        <w:jc w:val="center"/>
        <w:rPr>
          <w:rFonts w:eastAsia="SimSun"/>
          <w:noProof/>
          <w:lang w:val="en-GB"/>
        </w:rPr>
      </w:pPr>
    </w:p>
    <w:p w:rsidR="00863CEA" w:rsidRPr="000D28E6" w:rsidP="00E34917" w14:paraId="2CA7982B" w14:textId="77777777">
      <w:pPr>
        <w:pStyle w:val="Annex"/>
        <w:rPr>
          <w:rFonts w:eastAsia="SimSun"/>
          <w:noProof/>
          <w:lang w:val="en-GB"/>
        </w:rPr>
      </w:pPr>
      <w:r w:rsidRPr="000D28E6">
        <w:rPr>
          <w:rFonts w:eastAsia="SimSun"/>
          <w:noProof/>
          <w:lang w:val="en-GB"/>
        </w:rPr>
        <w:t>B. PACKAGE LEAFLET</w:t>
      </w:r>
    </w:p>
    <w:p w:rsidR="00863CEA" w:rsidRPr="000D28E6" w:rsidP="00863CEA" w14:paraId="348569E9" w14:textId="77777777">
      <w:pPr>
        <w:jc w:val="center"/>
        <w:outlineLvl w:val="0"/>
        <w:rPr>
          <w:rFonts w:eastAsia="SimSun"/>
          <w:b/>
          <w:lang w:val="en-GB"/>
        </w:rPr>
      </w:pPr>
      <w:r w:rsidRPr="000D28E6">
        <w:rPr>
          <w:rFonts w:eastAsia="SimSun"/>
          <w:b/>
          <w:lang w:val="en-GB"/>
        </w:rPr>
        <w:br w:type="page"/>
      </w:r>
      <w:r w:rsidRPr="000D28E6">
        <w:rPr>
          <w:rFonts w:eastAsia="SimSun"/>
          <w:b/>
          <w:lang w:val="en-GB"/>
        </w:rPr>
        <w:t>Package Leaflet: Information for the user</w:t>
      </w:r>
    </w:p>
    <w:p w:rsidR="00863CEA" w:rsidRPr="000D28E6" w:rsidP="00863CEA" w14:paraId="7D3CE3A3" w14:textId="77777777">
      <w:pPr>
        <w:jc w:val="center"/>
        <w:outlineLvl w:val="0"/>
        <w:rPr>
          <w:rFonts w:eastAsia="SimSun"/>
          <w:b/>
          <w:lang w:val="en-GB"/>
        </w:rPr>
      </w:pPr>
    </w:p>
    <w:p w:rsidR="00863CEA" w:rsidRPr="000D28E6" w:rsidP="00863CEA" w14:paraId="23F5D5CF" w14:textId="77777777">
      <w:pPr>
        <w:jc w:val="center"/>
        <w:outlineLvl w:val="0"/>
        <w:rPr>
          <w:rFonts w:eastAsia="SimSun"/>
          <w:b/>
          <w:bCs/>
          <w:lang w:val="en-GB"/>
        </w:rPr>
      </w:pPr>
      <w:r w:rsidRPr="000D28E6">
        <w:rPr>
          <w:rFonts w:eastAsia="SimSun"/>
          <w:b/>
          <w:bCs/>
          <w:lang w:val="en-GB"/>
        </w:rPr>
        <w:t>Perjeta 420 mg concentrate for solution for infusion</w:t>
      </w:r>
    </w:p>
    <w:p w:rsidR="00863CEA" w:rsidRPr="000D28E6" w:rsidP="00863CEA" w14:paraId="291827C3" w14:textId="77777777">
      <w:pPr>
        <w:numPr>
          <w:ilvl w:val="12"/>
          <w:numId w:val="0"/>
        </w:numPr>
        <w:jc w:val="center"/>
        <w:rPr>
          <w:rFonts w:eastAsia="SimSun"/>
          <w:lang w:val="en-GB"/>
        </w:rPr>
      </w:pPr>
      <w:r>
        <w:rPr>
          <w:rFonts w:eastAsia="SimSun"/>
          <w:lang w:val="en-GB"/>
        </w:rPr>
        <w:t>p</w:t>
      </w:r>
      <w:r w:rsidRPr="000D28E6">
        <w:rPr>
          <w:rFonts w:eastAsia="SimSun"/>
          <w:lang w:val="en-GB"/>
        </w:rPr>
        <w:t>ertuzumab</w:t>
      </w:r>
    </w:p>
    <w:p w:rsidR="00197320" w:rsidRPr="000D28E6" w:rsidP="001F5859" w14:paraId="1EBA3B35" w14:textId="77777777">
      <w:pPr>
        <w:numPr>
          <w:ilvl w:val="12"/>
          <w:numId w:val="0"/>
        </w:numPr>
        <w:spacing w:line="240" w:lineRule="exact"/>
        <w:jc w:val="center"/>
        <w:rPr>
          <w:rFonts w:eastAsia="SimSun"/>
          <w:lang w:val="en-GB"/>
        </w:rPr>
      </w:pPr>
    </w:p>
    <w:p w:rsidR="00863CEA" w:rsidRPr="000D28E6" w:rsidP="001F5859" w14:paraId="697E3226" w14:textId="77777777">
      <w:pPr>
        <w:suppressAutoHyphens/>
        <w:rPr>
          <w:rFonts w:eastAsia="SimSun"/>
          <w:lang w:val="en-GB"/>
        </w:rPr>
      </w:pPr>
      <w:r w:rsidRPr="000D28E6">
        <w:rPr>
          <w:rFonts w:eastAsia="SimSun"/>
          <w:b/>
          <w:lang w:val="en-GB"/>
        </w:rPr>
        <w:t>Read all of this leaflet carefully before you start being given this medicine because it contains important information for you.</w:t>
      </w:r>
    </w:p>
    <w:p w:rsidR="00863CEA" w:rsidRPr="000D28E6" w:rsidP="00863CEA" w14:paraId="2956CA1A" w14:textId="77777777">
      <w:pPr>
        <w:ind w:left="562" w:hanging="562"/>
        <w:rPr>
          <w:rFonts w:eastAsia="SimSun"/>
          <w:lang w:val="en-GB"/>
        </w:rPr>
      </w:pPr>
      <w:r w:rsidRPr="000D28E6">
        <w:rPr>
          <w:rFonts w:ascii="Symbol" w:eastAsia="SimSun" w:hAnsi="Symbol"/>
          <w:lang w:val="en-GB"/>
        </w:rPr>
        <w:sym w:font="Symbol" w:char="F0B7"/>
      </w:r>
      <w:r w:rsidRPr="000D28E6">
        <w:rPr>
          <w:rFonts w:eastAsia="SimSun"/>
          <w:lang w:val="en-GB"/>
        </w:rPr>
        <w:tab/>
        <w:t>Keep this leaflet. You may need to read it again.</w:t>
      </w:r>
    </w:p>
    <w:p w:rsidR="00863CEA" w:rsidRPr="000D28E6" w:rsidP="00863CEA" w14:paraId="01940950" w14:textId="77777777">
      <w:pPr>
        <w:ind w:left="562" w:hanging="562"/>
        <w:rPr>
          <w:rFonts w:eastAsia="SimSun"/>
          <w:lang w:val="en-GB"/>
        </w:rPr>
      </w:pPr>
      <w:r w:rsidRPr="000D28E6">
        <w:rPr>
          <w:rFonts w:ascii="Symbol" w:eastAsia="SimSun" w:hAnsi="Symbol"/>
          <w:lang w:val="en-GB"/>
        </w:rPr>
        <w:sym w:font="Symbol" w:char="F0B7"/>
      </w:r>
      <w:r w:rsidRPr="000D28E6">
        <w:rPr>
          <w:rFonts w:eastAsia="SimSun"/>
          <w:lang w:val="en-GB"/>
        </w:rPr>
        <w:tab/>
        <w:t xml:space="preserve">If you have any further questions, ask your doctor or nurse. </w:t>
      </w:r>
    </w:p>
    <w:p w:rsidR="00863CEA" w:rsidRPr="000D28E6" w:rsidP="00863CEA" w14:paraId="2735E894" w14:textId="77777777">
      <w:pPr>
        <w:ind w:left="562" w:hanging="562"/>
        <w:rPr>
          <w:rFonts w:eastAsia="SimSun"/>
          <w:lang w:val="en-GB"/>
        </w:rPr>
      </w:pPr>
      <w:r w:rsidRPr="000D28E6">
        <w:rPr>
          <w:rFonts w:ascii="Symbol" w:eastAsia="SimSun" w:hAnsi="Symbol"/>
          <w:lang w:val="en-GB"/>
        </w:rPr>
        <w:sym w:font="Symbol" w:char="F0B7"/>
      </w:r>
      <w:r w:rsidRPr="000D28E6">
        <w:rPr>
          <w:rFonts w:eastAsia="SimSun"/>
          <w:lang w:val="en-GB"/>
        </w:rPr>
        <w:tab/>
        <w:t>If you get any side effects, talk to your doctor or nurse. This includes any possible side effects not listed in this leaflet.</w:t>
      </w:r>
      <w:r w:rsidRPr="000D28E6" w:rsidR="009E2C4A">
        <w:rPr>
          <w:rFonts w:eastAsia="SimSun"/>
          <w:lang w:val="en-GB"/>
        </w:rPr>
        <w:t xml:space="preserve"> See section 4.</w:t>
      </w:r>
    </w:p>
    <w:p w:rsidR="00010452" w:rsidRPr="000D28E6" w:rsidP="00B47DBE" w14:paraId="5A28372E" w14:textId="77777777">
      <w:pPr>
        <w:rPr>
          <w:rFonts w:eastAsia="SimSun"/>
          <w:lang w:val="en-GB"/>
        </w:rPr>
      </w:pPr>
    </w:p>
    <w:p w:rsidR="00863CEA" w:rsidRPr="000D28E6" w:rsidP="00B47DBE" w14:paraId="53D9B4A4" w14:textId="77777777">
      <w:pPr>
        <w:rPr>
          <w:rFonts w:eastAsia="SimSun"/>
          <w:lang w:val="en-GB"/>
        </w:rPr>
      </w:pPr>
      <w:r w:rsidRPr="000D28E6">
        <w:rPr>
          <w:rFonts w:eastAsia="SimSun"/>
          <w:b/>
          <w:lang w:val="en-GB"/>
        </w:rPr>
        <w:t>What is in this leaflet</w:t>
      </w:r>
      <w:r w:rsidRPr="000D28E6">
        <w:rPr>
          <w:rFonts w:eastAsia="SimSun"/>
          <w:lang w:val="en-GB"/>
        </w:rPr>
        <w:t xml:space="preserve">: </w:t>
      </w:r>
    </w:p>
    <w:p w:rsidR="00B47DBE" w:rsidRPr="000D28E6" w:rsidP="00B47DBE" w14:paraId="61F3E067" w14:textId="77777777">
      <w:pPr>
        <w:rPr>
          <w:rFonts w:eastAsia="SimSun"/>
          <w:lang w:val="en-GB"/>
        </w:rPr>
      </w:pPr>
    </w:p>
    <w:p w:rsidR="00863CEA" w:rsidRPr="000D28E6" w:rsidP="00863CEA" w14:paraId="63F4ADAD" w14:textId="77777777">
      <w:pPr>
        <w:numPr>
          <w:ilvl w:val="12"/>
          <w:numId w:val="0"/>
        </w:numPr>
        <w:ind w:left="567" w:right="-29" w:hanging="567"/>
        <w:rPr>
          <w:rFonts w:eastAsia="SimSun"/>
          <w:lang w:val="en-GB"/>
        </w:rPr>
      </w:pPr>
      <w:r w:rsidRPr="000D28E6">
        <w:rPr>
          <w:rFonts w:eastAsia="SimSun"/>
          <w:lang w:val="en-GB"/>
        </w:rPr>
        <w:t>1.</w:t>
      </w:r>
      <w:r w:rsidRPr="000D28E6">
        <w:rPr>
          <w:rFonts w:eastAsia="SimSun"/>
          <w:lang w:val="en-GB"/>
        </w:rPr>
        <w:tab/>
        <w:t xml:space="preserve">What </w:t>
      </w:r>
      <w:r w:rsidRPr="000D28E6" w:rsidR="0001604A">
        <w:rPr>
          <w:rFonts w:eastAsia="SimSun"/>
          <w:bCs/>
          <w:lang w:val="en-GB"/>
        </w:rPr>
        <w:t>Perjeta</w:t>
      </w:r>
      <w:r w:rsidRPr="000D28E6">
        <w:rPr>
          <w:rFonts w:eastAsia="SimSun"/>
          <w:b/>
          <w:lang w:val="en-GB"/>
        </w:rPr>
        <w:t xml:space="preserve"> </w:t>
      </w:r>
      <w:r w:rsidRPr="000D28E6">
        <w:rPr>
          <w:rFonts w:eastAsia="SimSun"/>
          <w:lang w:val="en-GB"/>
        </w:rPr>
        <w:t>is and what it is used for</w:t>
      </w:r>
    </w:p>
    <w:p w:rsidR="00863CEA" w:rsidRPr="000D28E6" w:rsidP="00863CEA" w14:paraId="3CB7B305" w14:textId="77777777">
      <w:pPr>
        <w:numPr>
          <w:ilvl w:val="12"/>
          <w:numId w:val="0"/>
        </w:numPr>
        <w:ind w:left="567" w:right="-29" w:hanging="567"/>
        <w:rPr>
          <w:rFonts w:eastAsia="SimSun"/>
          <w:lang w:val="en-GB"/>
        </w:rPr>
      </w:pPr>
      <w:r w:rsidRPr="000D28E6">
        <w:rPr>
          <w:rFonts w:eastAsia="SimSun"/>
          <w:lang w:val="en-GB"/>
        </w:rPr>
        <w:t>2.</w:t>
      </w:r>
      <w:r w:rsidRPr="000D28E6">
        <w:rPr>
          <w:rFonts w:eastAsia="SimSun"/>
          <w:lang w:val="en-GB"/>
        </w:rPr>
        <w:tab/>
        <w:t xml:space="preserve">What you need to know before you are given </w:t>
      </w:r>
      <w:r w:rsidRPr="000D28E6" w:rsidR="0001604A">
        <w:rPr>
          <w:rFonts w:eastAsia="SimSun"/>
          <w:bCs/>
          <w:lang w:val="en-GB"/>
        </w:rPr>
        <w:t>Perjeta</w:t>
      </w:r>
    </w:p>
    <w:p w:rsidR="00863CEA" w:rsidRPr="000D28E6" w:rsidP="00863CEA" w14:paraId="6E5B933E" w14:textId="77777777">
      <w:pPr>
        <w:numPr>
          <w:ilvl w:val="12"/>
          <w:numId w:val="0"/>
        </w:numPr>
        <w:ind w:left="567" w:right="-29" w:hanging="567"/>
        <w:rPr>
          <w:rFonts w:eastAsia="SimSun"/>
          <w:lang w:val="en-GB"/>
        </w:rPr>
      </w:pPr>
      <w:r w:rsidRPr="000D28E6">
        <w:rPr>
          <w:rFonts w:eastAsia="SimSun"/>
          <w:lang w:val="en-GB"/>
        </w:rPr>
        <w:t>3.</w:t>
      </w:r>
      <w:r w:rsidRPr="000D28E6">
        <w:rPr>
          <w:rFonts w:eastAsia="SimSun"/>
          <w:lang w:val="en-GB"/>
        </w:rPr>
        <w:tab/>
        <w:t xml:space="preserve">How you are given </w:t>
      </w:r>
      <w:r w:rsidRPr="000D28E6" w:rsidR="0001604A">
        <w:rPr>
          <w:rFonts w:eastAsia="SimSun"/>
          <w:bCs/>
          <w:lang w:val="en-GB"/>
        </w:rPr>
        <w:t>Perjeta</w:t>
      </w:r>
      <w:r w:rsidRPr="000D28E6">
        <w:rPr>
          <w:rFonts w:eastAsia="SimSun"/>
          <w:bCs/>
          <w:lang w:val="en-GB"/>
        </w:rPr>
        <w:t xml:space="preserve"> </w:t>
      </w:r>
    </w:p>
    <w:p w:rsidR="00863CEA" w:rsidRPr="000D28E6" w:rsidP="00863CEA" w14:paraId="4A2C95DA" w14:textId="77777777">
      <w:pPr>
        <w:numPr>
          <w:ilvl w:val="12"/>
          <w:numId w:val="0"/>
        </w:numPr>
        <w:ind w:left="567" w:right="-29" w:hanging="567"/>
        <w:rPr>
          <w:rFonts w:eastAsia="SimSun"/>
          <w:lang w:val="en-GB"/>
        </w:rPr>
      </w:pPr>
      <w:r w:rsidRPr="000D28E6">
        <w:rPr>
          <w:rFonts w:eastAsia="SimSun"/>
          <w:lang w:val="en-GB"/>
        </w:rPr>
        <w:t>4.</w:t>
      </w:r>
      <w:r w:rsidRPr="000D28E6">
        <w:rPr>
          <w:rFonts w:eastAsia="SimSun"/>
          <w:lang w:val="en-GB"/>
        </w:rPr>
        <w:tab/>
        <w:t>Possible side effects</w:t>
      </w:r>
    </w:p>
    <w:p w:rsidR="00863CEA" w:rsidRPr="000D28E6" w:rsidP="00863CEA" w14:paraId="2B7DAE6E" w14:textId="77777777">
      <w:pPr>
        <w:ind w:left="567" w:right="-29" w:hanging="567"/>
        <w:rPr>
          <w:rFonts w:eastAsia="SimSun"/>
          <w:lang w:val="en-GB"/>
        </w:rPr>
      </w:pPr>
      <w:r w:rsidRPr="000D28E6">
        <w:rPr>
          <w:rFonts w:eastAsia="SimSun"/>
          <w:lang w:val="en-GB"/>
        </w:rPr>
        <w:t>5.</w:t>
      </w:r>
      <w:r w:rsidRPr="000D28E6">
        <w:rPr>
          <w:rFonts w:eastAsia="SimSun"/>
          <w:lang w:val="en-GB"/>
        </w:rPr>
        <w:tab/>
        <w:t xml:space="preserve">How to store </w:t>
      </w:r>
      <w:r w:rsidRPr="000D28E6" w:rsidR="0001604A">
        <w:rPr>
          <w:rFonts w:eastAsia="SimSun"/>
          <w:bCs/>
          <w:lang w:val="en-GB"/>
        </w:rPr>
        <w:t>Perjeta</w:t>
      </w:r>
    </w:p>
    <w:p w:rsidR="00010452" w:rsidRPr="000D28E6" w:rsidP="00C1079D" w14:paraId="0F996A76" w14:textId="77777777">
      <w:pPr>
        <w:ind w:left="567" w:right="-29" w:hanging="567"/>
        <w:rPr>
          <w:rFonts w:eastAsia="SimSun"/>
          <w:lang w:val="en-GB"/>
        </w:rPr>
      </w:pPr>
      <w:r w:rsidRPr="000D28E6">
        <w:rPr>
          <w:rFonts w:eastAsia="SimSun"/>
          <w:lang w:val="en-GB"/>
        </w:rPr>
        <w:t>6.</w:t>
      </w:r>
      <w:r w:rsidRPr="000D28E6">
        <w:rPr>
          <w:rFonts w:eastAsia="SimSun"/>
          <w:lang w:val="en-GB"/>
        </w:rPr>
        <w:tab/>
        <w:t>Contents of</w:t>
      </w:r>
      <w:r w:rsidRPr="000D28E6" w:rsidR="00C1079D">
        <w:rPr>
          <w:rFonts w:eastAsia="SimSun"/>
          <w:lang w:val="en-GB"/>
        </w:rPr>
        <w:t xml:space="preserve"> the pack and other information</w:t>
      </w:r>
    </w:p>
    <w:p w:rsidR="006F3F1A" w:rsidRPr="00BF2495" w:rsidP="00863CEA" w14:paraId="0B95E2B3" w14:textId="77777777">
      <w:pPr>
        <w:numPr>
          <w:ilvl w:val="12"/>
          <w:numId w:val="0"/>
        </w:numPr>
        <w:rPr>
          <w:lang w:val="en-GB"/>
        </w:rPr>
      </w:pPr>
    </w:p>
    <w:p w:rsidR="006F3F1A" w:rsidRPr="00BF2495" w:rsidP="00863CEA" w14:paraId="1026987D" w14:textId="77777777">
      <w:pPr>
        <w:numPr>
          <w:ilvl w:val="12"/>
          <w:numId w:val="0"/>
        </w:numPr>
        <w:rPr>
          <w:lang w:val="en-GB"/>
        </w:rPr>
      </w:pPr>
    </w:p>
    <w:p w:rsidR="00863CEA" w:rsidRPr="000D28E6" w:rsidP="00112CF4" w14:paraId="33B4B460" w14:textId="77777777">
      <w:pPr>
        <w:rPr>
          <w:rFonts w:eastAsia="SimSun"/>
          <w:b/>
          <w:noProof/>
          <w:lang w:val="en-GB"/>
        </w:rPr>
      </w:pPr>
      <w:r w:rsidRPr="000D28E6">
        <w:rPr>
          <w:rFonts w:eastAsia="SimSun"/>
          <w:b/>
          <w:noProof/>
          <w:lang w:val="en-GB"/>
        </w:rPr>
        <w:t>1.</w:t>
      </w:r>
      <w:r w:rsidRPr="000D28E6">
        <w:rPr>
          <w:rFonts w:eastAsia="SimSun"/>
          <w:b/>
          <w:noProof/>
          <w:lang w:val="en-GB"/>
        </w:rPr>
        <w:tab/>
        <w:t xml:space="preserve">What </w:t>
      </w:r>
      <w:r w:rsidRPr="000D28E6" w:rsidR="0001604A">
        <w:rPr>
          <w:rFonts w:eastAsia="SimSun"/>
          <w:b/>
          <w:noProof/>
          <w:lang w:val="en-GB"/>
        </w:rPr>
        <w:t>Perjeta</w:t>
      </w:r>
      <w:r w:rsidRPr="000D28E6">
        <w:rPr>
          <w:rFonts w:eastAsia="SimSun"/>
          <w:b/>
          <w:noProof/>
          <w:lang w:val="en-GB"/>
        </w:rPr>
        <w:t xml:space="preserve"> is and what it is used for</w:t>
      </w:r>
    </w:p>
    <w:p w:rsidR="003428EB" w:rsidRPr="000D28E6" w:rsidP="003428EB" w14:paraId="36788CDC" w14:textId="77777777">
      <w:pPr>
        <w:rPr>
          <w:rFonts w:eastAsia="SimSun"/>
          <w:b/>
          <w:lang w:val="en-GB"/>
        </w:rPr>
      </w:pPr>
    </w:p>
    <w:p w:rsidR="00863CEA" w:rsidRPr="000D28E6" w:rsidP="00112CF4" w14:paraId="49C0A06C" w14:textId="77777777">
      <w:pPr>
        <w:rPr>
          <w:rFonts w:eastAsia="SimSun"/>
          <w:lang w:val="en-GB"/>
        </w:rPr>
      </w:pPr>
      <w:r w:rsidRPr="000D28E6">
        <w:rPr>
          <w:rFonts w:eastAsia="SimSun"/>
          <w:lang w:val="en-GB"/>
        </w:rPr>
        <w:t>Perjeta contains the active substance pertuzumab and is used to treat adult patients with breast cancer when:</w:t>
      </w:r>
    </w:p>
    <w:p w:rsidR="00863CEA" w:rsidRPr="000D28E6" w:rsidP="00B47DBE" w14:paraId="7DD73A87"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Pr="000D28E6" w:rsidR="00200008">
        <w:rPr>
          <w:rFonts w:eastAsia="SimSun"/>
          <w:lang w:val="en-GB"/>
        </w:rPr>
        <w:t>T</w:t>
      </w:r>
      <w:r w:rsidRPr="000D28E6" w:rsidR="005322AC">
        <w:rPr>
          <w:rFonts w:eastAsia="SimSun"/>
          <w:lang w:val="en-GB"/>
        </w:rPr>
        <w:t xml:space="preserve">he breast cancer has been identified to be of the </w:t>
      </w:r>
      <w:r w:rsidRPr="000D28E6">
        <w:rPr>
          <w:rFonts w:eastAsia="SimSun"/>
          <w:lang w:val="en-GB"/>
        </w:rPr>
        <w:t xml:space="preserve">“HER2-positive” </w:t>
      </w:r>
      <w:r w:rsidRPr="000D28E6" w:rsidR="005322AC">
        <w:rPr>
          <w:rFonts w:eastAsia="SimSun"/>
          <w:lang w:val="en-GB"/>
        </w:rPr>
        <w:t>form</w:t>
      </w:r>
      <w:r w:rsidRPr="000D28E6" w:rsidR="006A67D0">
        <w:rPr>
          <w:rFonts w:eastAsia="SimSun"/>
          <w:lang w:val="en-GB"/>
        </w:rPr>
        <w:t xml:space="preserve"> </w:t>
      </w:r>
      <w:r w:rsidRPr="000D28E6">
        <w:rPr>
          <w:rFonts w:eastAsia="SimSun"/>
          <w:lang w:val="en-GB"/>
        </w:rPr>
        <w:t>– your doctor will test you for this.</w:t>
      </w:r>
    </w:p>
    <w:p w:rsidR="00605DA5" w:rsidRPr="000D28E6" w:rsidP="00234346" w14:paraId="44ED5171"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 xml:space="preserve">The cancer has spread to other parts of the body </w:t>
      </w:r>
      <w:r w:rsidR="005A0CF8">
        <w:rPr>
          <w:rFonts w:eastAsia="SimSun"/>
          <w:lang w:val="en-GB"/>
        </w:rPr>
        <w:t xml:space="preserve">such as the lungs or liver </w:t>
      </w:r>
      <w:r w:rsidRPr="000D28E6">
        <w:rPr>
          <w:rFonts w:eastAsia="SimSun"/>
          <w:lang w:val="en-GB"/>
        </w:rPr>
        <w:t>(metastasised) and has not previously been treated with anticancer medicines (chemotherapy) or other medicines designed to attach to HER2, or else the cancer has come back in the breast after previous treatment.</w:t>
      </w:r>
    </w:p>
    <w:p w:rsidR="00240D34" w:rsidRPr="001F5859" w:rsidP="001F5859" w14:paraId="5F5A3464"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t>The cancer has not spread to other parts of the body and treatment is going to be given before surgery takes place (treatment before surgery is called neoadjuvant therapy)</w:t>
      </w:r>
    </w:p>
    <w:p w:rsidR="00240D34" w:rsidRPr="001F5859" w:rsidP="001F5859" w14:paraId="2298C017" w14:textId="77777777">
      <w:pPr>
        <w:ind w:left="720" w:hanging="720"/>
        <w:rPr>
          <w:rFonts w:eastAsia="SimSun"/>
          <w:lang w:val="en-GB"/>
        </w:rPr>
      </w:pPr>
      <w:r w:rsidRPr="000D28E6">
        <w:rPr>
          <w:rFonts w:ascii="Symbol" w:eastAsia="SimSun" w:hAnsi="Symbol"/>
          <w:lang w:val="en-GB"/>
        </w:rPr>
        <w:sym w:font="Symbol" w:char="F0B7"/>
      </w:r>
      <w:r>
        <w:rPr>
          <w:rFonts w:eastAsia="SimSun"/>
          <w:lang w:val="en-GB"/>
        </w:rPr>
        <w:tab/>
      </w:r>
      <w:r w:rsidRPr="001F5859">
        <w:rPr>
          <w:rFonts w:eastAsia="SimSun"/>
          <w:lang w:val="en-GB"/>
        </w:rPr>
        <w:t>The cancer has not spread to other parts of the body and treatment is going to be given after surgery (treatment after surgery is called adjuvant therapy)</w:t>
      </w:r>
    </w:p>
    <w:p w:rsidR="005A0CF8" w:rsidRPr="00BF2495" w:rsidP="00B47DBE" w14:paraId="590DEB13" w14:textId="77777777">
      <w:pPr>
        <w:rPr>
          <w:lang w:val="en-GB"/>
        </w:rPr>
      </w:pPr>
    </w:p>
    <w:p w:rsidR="00863CEA" w:rsidRPr="000D28E6" w:rsidP="00B47DBE" w14:paraId="06002500" w14:textId="77777777">
      <w:pPr>
        <w:rPr>
          <w:rFonts w:eastAsia="SimSun"/>
          <w:lang w:val="en-GB"/>
        </w:rPr>
      </w:pPr>
      <w:r w:rsidRPr="000D28E6">
        <w:rPr>
          <w:rFonts w:eastAsia="SimSun"/>
          <w:lang w:val="en-GB"/>
        </w:rPr>
        <w:t xml:space="preserve">As well as </w:t>
      </w:r>
      <w:r w:rsidRPr="000D28E6" w:rsidR="0001604A">
        <w:rPr>
          <w:rFonts w:eastAsia="SimSun"/>
          <w:lang w:val="en-GB"/>
        </w:rPr>
        <w:t>Perjeta</w:t>
      </w:r>
      <w:r w:rsidRPr="000D28E6">
        <w:rPr>
          <w:rFonts w:eastAsia="SimSun"/>
          <w:lang w:val="en-GB"/>
        </w:rPr>
        <w:t xml:space="preserve"> you will also receive </w:t>
      </w:r>
      <w:r w:rsidRPr="000D28E6" w:rsidR="000904F4">
        <w:rPr>
          <w:rFonts w:eastAsia="SimSun"/>
          <w:lang w:val="en-GB"/>
        </w:rPr>
        <w:t>trastuzumab</w:t>
      </w:r>
      <w:r w:rsidRPr="000D28E6">
        <w:rPr>
          <w:rFonts w:eastAsia="SimSun"/>
          <w:lang w:val="en-GB"/>
        </w:rPr>
        <w:t xml:space="preserve"> and medicine</w:t>
      </w:r>
      <w:r w:rsidR="000E5912">
        <w:rPr>
          <w:rFonts w:eastAsia="SimSun"/>
          <w:lang w:val="en-GB"/>
        </w:rPr>
        <w:t>s called chemotherapy</w:t>
      </w:r>
      <w:r w:rsidRPr="000D28E6">
        <w:rPr>
          <w:rFonts w:eastAsia="SimSun"/>
          <w:lang w:val="en-GB"/>
        </w:rPr>
        <w:t xml:space="preserve"> Information about these medicines is described in separate </w:t>
      </w:r>
      <w:r w:rsidRPr="000D28E6" w:rsidR="00A049B9">
        <w:rPr>
          <w:rFonts w:eastAsia="SimSun"/>
          <w:lang w:val="en-GB"/>
        </w:rPr>
        <w:t xml:space="preserve">package </w:t>
      </w:r>
      <w:r w:rsidRPr="000D28E6">
        <w:rPr>
          <w:rFonts w:eastAsia="SimSun"/>
          <w:lang w:val="en-GB"/>
        </w:rPr>
        <w:t>leaflets. Ask your doctor or nurse to give you information about these other medicines.</w:t>
      </w:r>
    </w:p>
    <w:p w:rsidR="00112CF4" w:rsidRPr="000D28E6" w:rsidP="00112CF4" w14:paraId="4E983675" w14:textId="77777777">
      <w:pPr>
        <w:rPr>
          <w:rFonts w:eastAsia="SimSun"/>
          <w:lang w:val="en-GB"/>
        </w:rPr>
      </w:pPr>
    </w:p>
    <w:p w:rsidR="00863CEA" w:rsidRPr="000D28E6" w:rsidP="0096375F" w14:paraId="406E0EF4" w14:textId="77777777">
      <w:pPr>
        <w:keepNext/>
        <w:keepLines/>
        <w:rPr>
          <w:rFonts w:eastAsia="SimSun"/>
          <w:b/>
          <w:lang w:val="en-GB"/>
        </w:rPr>
      </w:pPr>
      <w:r w:rsidRPr="000D28E6">
        <w:rPr>
          <w:rFonts w:eastAsia="SimSun"/>
          <w:b/>
          <w:lang w:val="en-GB"/>
        </w:rPr>
        <w:t xml:space="preserve">How </w:t>
      </w:r>
      <w:r w:rsidRPr="000D28E6" w:rsidR="0001604A">
        <w:rPr>
          <w:rFonts w:eastAsia="SimSun"/>
          <w:b/>
          <w:lang w:val="en-GB"/>
        </w:rPr>
        <w:t>Perjeta</w:t>
      </w:r>
      <w:r w:rsidRPr="000D28E6">
        <w:rPr>
          <w:rFonts w:eastAsia="SimSun"/>
          <w:b/>
          <w:lang w:val="en-GB"/>
        </w:rPr>
        <w:t xml:space="preserve"> works</w:t>
      </w:r>
    </w:p>
    <w:p w:rsidR="00112CF4" w:rsidRPr="000D28E6" w:rsidP="0096375F" w14:paraId="5940886C" w14:textId="77777777">
      <w:pPr>
        <w:keepNext/>
        <w:keepLines/>
        <w:rPr>
          <w:rFonts w:eastAsia="SimSun"/>
          <w:b/>
          <w:lang w:val="en-GB"/>
        </w:rPr>
      </w:pPr>
    </w:p>
    <w:p w:rsidR="00863CEA" w:rsidRPr="000D28E6" w:rsidP="0096375F" w14:paraId="1BBE72A6" w14:textId="77777777">
      <w:pPr>
        <w:keepNext/>
        <w:keepLines/>
        <w:rPr>
          <w:rFonts w:eastAsia="SimSun"/>
          <w:b/>
          <w:bCs/>
          <w:lang w:val="en-GB"/>
        </w:rPr>
      </w:pPr>
      <w:r w:rsidRPr="000D28E6">
        <w:rPr>
          <w:rFonts w:eastAsia="SimSun"/>
          <w:lang w:val="en-GB"/>
        </w:rPr>
        <w:t>Perjeta is a type of medicine called a “monoclonal antibody” which attaches itself to specific targets in your body</w:t>
      </w:r>
      <w:r w:rsidRPr="000D28E6" w:rsidR="005322AC">
        <w:rPr>
          <w:rFonts w:eastAsia="SimSun"/>
          <w:lang w:val="en-GB"/>
        </w:rPr>
        <w:t xml:space="preserve"> and on the cancer cells.</w:t>
      </w:r>
      <w:r w:rsidRPr="000D28E6">
        <w:rPr>
          <w:rFonts w:eastAsia="SimSun"/>
          <w:b/>
          <w:bCs/>
          <w:lang w:val="en-GB"/>
        </w:rPr>
        <w:t xml:space="preserve"> </w:t>
      </w:r>
    </w:p>
    <w:p w:rsidR="00112CF4" w:rsidRPr="000D28E6" w:rsidP="0096375F" w14:paraId="744114DB" w14:textId="77777777">
      <w:pPr>
        <w:keepNext/>
        <w:keepLines/>
        <w:rPr>
          <w:rFonts w:eastAsia="SimSun"/>
          <w:b/>
          <w:bCs/>
          <w:lang w:val="en-GB"/>
        </w:rPr>
      </w:pPr>
    </w:p>
    <w:p w:rsidR="00863CEA" w:rsidRPr="000D28E6" w:rsidP="0096375F" w14:paraId="7FCA0B7E" w14:textId="77777777">
      <w:pPr>
        <w:keepNext/>
        <w:keepLines/>
        <w:rPr>
          <w:rFonts w:eastAsia="SimSun"/>
          <w:lang w:val="en-GB"/>
        </w:rPr>
      </w:pPr>
      <w:r w:rsidRPr="000D28E6">
        <w:rPr>
          <w:rFonts w:eastAsia="SimSun"/>
          <w:lang w:val="en-GB"/>
        </w:rPr>
        <w:t>Perjeta recogni</w:t>
      </w:r>
      <w:r w:rsidRPr="000D28E6" w:rsidR="00982E4D">
        <w:rPr>
          <w:rFonts w:eastAsia="SimSun"/>
          <w:lang w:val="en-GB"/>
        </w:rPr>
        <w:t>s</w:t>
      </w:r>
      <w:r w:rsidRPr="000D28E6">
        <w:rPr>
          <w:rFonts w:eastAsia="SimSun"/>
          <w:lang w:val="en-GB"/>
        </w:rPr>
        <w:t>es and attaches to a target called “human epidermal growth factor</w:t>
      </w:r>
      <w:r w:rsidRPr="000D28E6" w:rsidR="00081414">
        <w:rPr>
          <w:rFonts w:eastAsia="SimSun"/>
          <w:lang w:val="en-GB"/>
        </w:rPr>
        <w:t> </w:t>
      </w:r>
      <w:r w:rsidRPr="000D28E6" w:rsidR="00A049B9">
        <w:rPr>
          <w:rFonts w:eastAsia="SimSun"/>
          <w:lang w:val="en-GB"/>
        </w:rPr>
        <w:t xml:space="preserve">receptor </w:t>
      </w:r>
      <w:r w:rsidRPr="000D28E6">
        <w:rPr>
          <w:rFonts w:eastAsia="SimSun"/>
          <w:lang w:val="en-GB"/>
        </w:rPr>
        <w:t xml:space="preserve">2” </w:t>
      </w:r>
      <w:r w:rsidRPr="000D28E6" w:rsidR="00A049B9">
        <w:rPr>
          <w:rFonts w:eastAsia="SimSun"/>
          <w:lang w:val="en-GB"/>
        </w:rPr>
        <w:t>(</w:t>
      </w:r>
      <w:r w:rsidRPr="000D28E6">
        <w:rPr>
          <w:rFonts w:eastAsia="SimSun"/>
          <w:lang w:val="en-GB"/>
        </w:rPr>
        <w:t>HER2</w:t>
      </w:r>
      <w:r w:rsidRPr="000D28E6" w:rsidR="00A049B9">
        <w:rPr>
          <w:rFonts w:eastAsia="SimSun"/>
          <w:lang w:val="en-GB"/>
        </w:rPr>
        <w:t>)</w:t>
      </w:r>
      <w:r w:rsidRPr="000D28E6">
        <w:rPr>
          <w:rFonts w:eastAsia="SimSun"/>
          <w:lang w:val="en-GB"/>
        </w:rPr>
        <w:t>. HER2 is found in large amounts on the surface of some cancer cells where it stimulates their growth. When Perjeta attaches to the HER2 cancer cells, it may slow or stop the cancer cells from growing, or may kill them.</w:t>
      </w:r>
    </w:p>
    <w:p w:rsidR="00863CEA" w:rsidRPr="000D28E6" w:rsidP="00112CF4" w14:paraId="0527DD3C" w14:textId="77777777">
      <w:pPr>
        <w:rPr>
          <w:rFonts w:eastAsia="SimSun"/>
          <w:lang w:val="en-GB"/>
        </w:rPr>
      </w:pPr>
    </w:p>
    <w:p w:rsidR="00863CEA" w:rsidRPr="000D28E6" w:rsidP="00F62767" w14:paraId="655EEF08" w14:textId="77777777">
      <w:pPr>
        <w:rPr>
          <w:rFonts w:eastAsia="SimSun"/>
          <w:lang w:val="en-GB"/>
        </w:rPr>
      </w:pPr>
    </w:p>
    <w:p w:rsidR="00863CEA" w:rsidRPr="000D28E6" w:rsidP="00F62767" w14:paraId="0604F481" w14:textId="77777777">
      <w:pPr>
        <w:keepNext/>
        <w:keepLines/>
        <w:rPr>
          <w:rFonts w:eastAsia="SimSun"/>
          <w:b/>
          <w:noProof/>
          <w:lang w:val="en-GB"/>
        </w:rPr>
      </w:pPr>
      <w:r w:rsidRPr="000D28E6">
        <w:rPr>
          <w:rFonts w:eastAsia="SimSun"/>
          <w:b/>
          <w:noProof/>
          <w:lang w:val="en-GB"/>
        </w:rPr>
        <w:t>2.</w:t>
      </w:r>
      <w:r w:rsidRPr="000D28E6">
        <w:rPr>
          <w:rFonts w:eastAsia="SimSun"/>
          <w:b/>
          <w:noProof/>
          <w:lang w:val="en-GB"/>
        </w:rPr>
        <w:tab/>
        <w:t xml:space="preserve">What you need to know before you are given </w:t>
      </w:r>
      <w:r w:rsidRPr="000D28E6" w:rsidR="0001604A">
        <w:rPr>
          <w:rFonts w:eastAsia="SimSun"/>
          <w:b/>
          <w:noProof/>
          <w:lang w:val="en-GB"/>
        </w:rPr>
        <w:t>Perjeta</w:t>
      </w:r>
    </w:p>
    <w:p w:rsidR="00B47DBE" w:rsidRPr="000D28E6" w:rsidP="00F62767" w14:paraId="0724B03D" w14:textId="77777777">
      <w:pPr>
        <w:keepNext/>
        <w:keepLines/>
        <w:rPr>
          <w:rFonts w:eastAsia="SimSun"/>
          <w:noProof/>
          <w:lang w:val="en-GB"/>
        </w:rPr>
      </w:pPr>
    </w:p>
    <w:p w:rsidR="00863CEA" w:rsidRPr="000D28E6" w:rsidP="00F62767" w14:paraId="2589D08E" w14:textId="77777777">
      <w:pPr>
        <w:keepNext/>
        <w:keepLines/>
        <w:rPr>
          <w:rFonts w:eastAsia="SimSun"/>
          <w:b/>
          <w:noProof/>
          <w:lang w:val="en-GB"/>
        </w:rPr>
      </w:pPr>
      <w:r w:rsidRPr="000D28E6">
        <w:rPr>
          <w:rFonts w:eastAsia="SimSun"/>
          <w:b/>
          <w:lang w:val="en-GB"/>
        </w:rPr>
        <w:t xml:space="preserve">You </w:t>
      </w:r>
      <w:r w:rsidRPr="000D28E6" w:rsidR="000E7EFD">
        <w:rPr>
          <w:rFonts w:eastAsia="SimSun"/>
          <w:b/>
          <w:lang w:val="en-GB"/>
        </w:rPr>
        <w:t>must</w:t>
      </w:r>
      <w:r w:rsidRPr="000D28E6">
        <w:rPr>
          <w:rFonts w:eastAsia="SimSun"/>
          <w:b/>
          <w:lang w:val="en-GB"/>
        </w:rPr>
        <w:t xml:space="preserve"> not be given </w:t>
      </w:r>
      <w:r w:rsidRPr="000D28E6" w:rsidR="0001604A">
        <w:rPr>
          <w:rFonts w:eastAsia="SimSun"/>
          <w:b/>
          <w:bCs/>
          <w:lang w:val="en-GB"/>
        </w:rPr>
        <w:t>Perjeta</w:t>
      </w:r>
    </w:p>
    <w:p w:rsidR="00B47DBE" w:rsidRPr="000D28E6" w:rsidP="00F62767" w14:paraId="33129A7F" w14:textId="77777777">
      <w:pPr>
        <w:keepNext/>
        <w:keepLines/>
        <w:rPr>
          <w:rFonts w:eastAsia="SimSun"/>
          <w:lang w:val="en-GB"/>
        </w:rPr>
      </w:pPr>
    </w:p>
    <w:p w:rsidR="00863CEA" w:rsidRPr="000D28E6" w:rsidP="00B47DBE" w14:paraId="6BBDDBD7"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Pr="000D28E6" w:rsidR="00200008">
        <w:rPr>
          <w:rFonts w:eastAsia="SimSun"/>
          <w:lang w:val="en-GB"/>
        </w:rPr>
        <w:t>I</w:t>
      </w:r>
      <w:r w:rsidRPr="000D28E6" w:rsidR="00046FD7">
        <w:rPr>
          <w:rFonts w:eastAsia="SimSun"/>
          <w:lang w:val="en-GB"/>
        </w:rPr>
        <w:t xml:space="preserve">f </w:t>
      </w:r>
      <w:r w:rsidRPr="000D28E6">
        <w:rPr>
          <w:rFonts w:eastAsia="SimSun"/>
          <w:lang w:val="en-GB"/>
        </w:rPr>
        <w:t xml:space="preserve">you are allergic to pertuzumab, or to any of the other ingredients of this medicine (listed in </w:t>
      </w:r>
      <w:r w:rsidRPr="000D28E6" w:rsidR="008D6810">
        <w:rPr>
          <w:rFonts w:eastAsia="SimSun"/>
          <w:lang w:val="en-GB"/>
        </w:rPr>
        <w:t>s</w:t>
      </w:r>
      <w:r w:rsidRPr="000D28E6">
        <w:rPr>
          <w:rFonts w:eastAsia="SimSun"/>
          <w:lang w:val="en-GB"/>
        </w:rPr>
        <w:t>ection 6).</w:t>
      </w:r>
    </w:p>
    <w:p w:rsidR="00B47DBE" w:rsidRPr="000D28E6" w:rsidP="00B47DBE" w14:paraId="6DA7C1E9" w14:textId="77777777">
      <w:pPr>
        <w:ind w:left="720" w:hanging="720"/>
        <w:rPr>
          <w:rFonts w:eastAsia="SimSun"/>
          <w:lang w:val="en-GB"/>
        </w:rPr>
      </w:pPr>
    </w:p>
    <w:p w:rsidR="00863CEA" w:rsidRPr="000D28E6" w:rsidP="00B47DBE" w14:paraId="57C6FCC2" w14:textId="77777777">
      <w:pPr>
        <w:rPr>
          <w:rFonts w:eastAsia="SimSun"/>
          <w:lang w:val="en-GB"/>
        </w:rPr>
      </w:pPr>
      <w:r w:rsidRPr="000D28E6">
        <w:rPr>
          <w:rFonts w:eastAsia="SimSun"/>
          <w:lang w:val="en-GB"/>
        </w:rPr>
        <w:t xml:space="preserve">If you are not sure, talk to your doctor or nurse before you are given </w:t>
      </w:r>
      <w:r w:rsidRPr="000D28E6" w:rsidR="0001604A">
        <w:rPr>
          <w:rFonts w:eastAsia="SimSun"/>
          <w:lang w:val="en-GB"/>
        </w:rPr>
        <w:t>Perjeta</w:t>
      </w:r>
      <w:r w:rsidRPr="000D28E6">
        <w:rPr>
          <w:rFonts w:eastAsia="SimSun"/>
          <w:lang w:val="en-GB"/>
        </w:rPr>
        <w:t>.</w:t>
      </w:r>
    </w:p>
    <w:p w:rsidR="00B47DBE" w:rsidRPr="000D28E6" w:rsidP="00B47DBE" w14:paraId="07DB74B9" w14:textId="77777777">
      <w:pPr>
        <w:rPr>
          <w:rFonts w:eastAsia="SimSun"/>
          <w:lang w:val="en-GB"/>
        </w:rPr>
      </w:pPr>
    </w:p>
    <w:p w:rsidR="00863CEA" w:rsidRPr="000D28E6" w:rsidP="00010452" w14:paraId="0919934F" w14:textId="77777777">
      <w:pPr>
        <w:keepNext/>
        <w:keepLines/>
        <w:rPr>
          <w:rFonts w:eastAsia="SimSun"/>
          <w:b/>
          <w:lang w:val="en-GB"/>
        </w:rPr>
      </w:pPr>
      <w:r w:rsidRPr="000D28E6">
        <w:rPr>
          <w:rFonts w:eastAsia="SimSun"/>
          <w:b/>
          <w:lang w:val="en-GB"/>
        </w:rPr>
        <w:t>Warnings and precautions</w:t>
      </w:r>
    </w:p>
    <w:p w:rsidR="007129E7" w:rsidRPr="000D28E6" w:rsidP="00B47DBE" w14:paraId="3534F6B8" w14:textId="77777777">
      <w:pPr>
        <w:rPr>
          <w:rFonts w:eastAsia="SimSun"/>
          <w:b/>
          <w:lang w:val="en-GB"/>
        </w:rPr>
      </w:pPr>
    </w:p>
    <w:p w:rsidR="00863CEA" w:rsidRPr="000D28E6" w:rsidP="00B47DBE" w14:paraId="4BE9D373" w14:textId="77777777">
      <w:pPr>
        <w:rPr>
          <w:rFonts w:eastAsia="SimSun"/>
          <w:lang w:val="en-GB"/>
        </w:rPr>
      </w:pPr>
      <w:r w:rsidRPr="00A47A92">
        <w:rPr>
          <w:rFonts w:eastAsia="SimSun"/>
          <w:lang w:val="en-GB"/>
        </w:rPr>
        <w:t>Treatment with Perjeta may affect the heart.</w:t>
      </w:r>
      <w:r w:rsidRPr="000D28E6">
        <w:rPr>
          <w:rFonts w:eastAsia="SimSun"/>
          <w:lang w:val="en-GB"/>
        </w:rPr>
        <w:t xml:space="preserve"> </w:t>
      </w:r>
      <w:r>
        <w:rPr>
          <w:rFonts w:eastAsia="SimSun"/>
          <w:lang w:val="en-GB"/>
        </w:rPr>
        <w:t xml:space="preserve"> </w:t>
      </w:r>
      <w:r w:rsidRPr="000D28E6">
        <w:rPr>
          <w:rFonts w:eastAsia="SimSun"/>
          <w:lang w:val="en-GB"/>
        </w:rPr>
        <w:t xml:space="preserve">Talk to your doctor or nurse before you are given </w:t>
      </w:r>
      <w:r w:rsidRPr="000D28E6" w:rsidR="0001604A">
        <w:rPr>
          <w:rFonts w:eastAsia="SimSun"/>
          <w:lang w:val="en-GB"/>
        </w:rPr>
        <w:t>Perjeta</w:t>
      </w:r>
      <w:r w:rsidRPr="000D28E6">
        <w:rPr>
          <w:rFonts w:eastAsia="SimSun"/>
          <w:lang w:val="en-GB"/>
        </w:rPr>
        <w:t>:</w:t>
      </w:r>
    </w:p>
    <w:p w:rsidR="00863CEA" w:rsidRPr="000D28E6" w:rsidP="00B47DBE" w14:paraId="6461BE1D"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007129E7">
        <w:rPr>
          <w:rFonts w:eastAsia="SimSun"/>
          <w:lang w:val="en-GB"/>
        </w:rPr>
        <w:t>If y</w:t>
      </w:r>
      <w:r w:rsidRPr="000D28E6">
        <w:rPr>
          <w:rFonts w:eastAsia="SimSun"/>
          <w:lang w:val="en-GB"/>
        </w:rPr>
        <w:t>ou have ever had heart problems</w:t>
      </w:r>
      <w:r w:rsidRPr="000D28E6">
        <w:rPr>
          <w:rFonts w:eastAsia="SimSun"/>
          <w:noProof/>
          <w:lang w:val="en-GB"/>
        </w:rPr>
        <w:t xml:space="preserve"> </w:t>
      </w:r>
      <w:r w:rsidRPr="000D28E6">
        <w:rPr>
          <w:rFonts w:eastAsia="SimSun"/>
          <w:lang w:val="en-GB"/>
        </w:rPr>
        <w:t>(such as heart failure, treatment for serious irregular heartbeats, uncontrolled high blood pressure, recent heart attack)</w:t>
      </w:r>
      <w:r w:rsidRPr="000D28E6" w:rsidR="007129E7">
        <w:rPr>
          <w:rFonts w:eastAsia="SimSun"/>
          <w:lang w:val="en-GB"/>
        </w:rPr>
        <w:t>, your heart function will be checked before and during treatment with Perjeta</w:t>
      </w:r>
      <w:r w:rsidRPr="000D28E6">
        <w:rPr>
          <w:rFonts w:eastAsia="SimSun"/>
          <w:lang w:val="en-GB"/>
        </w:rPr>
        <w:t xml:space="preserve"> </w:t>
      </w:r>
      <w:r w:rsidR="007129E7">
        <w:rPr>
          <w:rFonts w:eastAsia="SimSun"/>
          <w:lang w:val="en-GB"/>
        </w:rPr>
        <w:t>and</w:t>
      </w:r>
      <w:r w:rsidRPr="000D28E6">
        <w:rPr>
          <w:rFonts w:eastAsia="SimSun"/>
          <w:lang w:val="en-GB"/>
        </w:rPr>
        <w:t xml:space="preserve"> your doctor will run tests to check if your heart is working properly</w:t>
      </w:r>
      <w:r w:rsidRPr="000D28E6" w:rsidR="00A049B9">
        <w:rPr>
          <w:rFonts w:eastAsia="SimSun"/>
          <w:lang w:val="en-GB"/>
        </w:rPr>
        <w:t>.</w:t>
      </w:r>
      <w:r w:rsidRPr="000D28E6">
        <w:rPr>
          <w:rFonts w:eastAsia="SimSun"/>
          <w:lang w:val="en-GB"/>
        </w:rPr>
        <w:t xml:space="preserve"> </w:t>
      </w:r>
    </w:p>
    <w:p w:rsidR="00863CEA" w:rsidRPr="000D28E6" w:rsidP="00B47DBE" w14:paraId="14C7487D"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007129E7">
        <w:rPr>
          <w:rFonts w:eastAsia="SimSun"/>
          <w:lang w:val="en-GB"/>
        </w:rPr>
        <w:t>If y</w:t>
      </w:r>
      <w:r w:rsidRPr="000D28E6">
        <w:rPr>
          <w:rFonts w:eastAsia="SimSun"/>
          <w:lang w:val="en-GB"/>
        </w:rPr>
        <w:t>ou have ever had heart problems</w:t>
      </w:r>
      <w:r w:rsidRPr="000D28E6" w:rsidR="006A67D0">
        <w:rPr>
          <w:rFonts w:eastAsia="SimSun"/>
          <w:lang w:val="en-GB"/>
        </w:rPr>
        <w:t xml:space="preserve"> during previous treatment with</w:t>
      </w:r>
      <w:r w:rsidRPr="000D28E6" w:rsidR="000904F4">
        <w:rPr>
          <w:rFonts w:eastAsia="SimSun"/>
          <w:lang w:val="en-GB"/>
        </w:rPr>
        <w:t xml:space="preserve"> trastuzumab</w:t>
      </w:r>
      <w:r w:rsidRPr="000D28E6" w:rsidR="00A049B9">
        <w:rPr>
          <w:rFonts w:eastAsia="SimSun"/>
          <w:lang w:val="en-GB"/>
        </w:rPr>
        <w:t>.</w:t>
      </w:r>
    </w:p>
    <w:p w:rsidR="00863CEA" w:rsidRPr="000D28E6" w:rsidP="00B47DBE" w14:paraId="3C3490BE"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007129E7">
        <w:rPr>
          <w:rFonts w:eastAsia="SimSun"/>
          <w:lang w:val="en-GB"/>
        </w:rPr>
        <w:t>If y</w:t>
      </w:r>
      <w:r w:rsidRPr="000D28E6">
        <w:rPr>
          <w:rFonts w:eastAsia="SimSun"/>
          <w:lang w:val="en-GB"/>
        </w:rPr>
        <w:t>ou have ever had a chemotherapy medicine from the class called anthracycline</w:t>
      </w:r>
      <w:r w:rsidRPr="000D28E6" w:rsidR="005322AC">
        <w:rPr>
          <w:rFonts w:eastAsia="SimSun"/>
          <w:lang w:val="en-GB"/>
        </w:rPr>
        <w:t>s</w:t>
      </w:r>
      <w:r w:rsidRPr="000D28E6">
        <w:rPr>
          <w:rFonts w:eastAsia="SimSun"/>
          <w:lang w:val="en-GB"/>
        </w:rPr>
        <w:t xml:space="preserve">, e.g. doxorubicin </w:t>
      </w:r>
      <w:r w:rsidRPr="000D28E6" w:rsidR="005322AC">
        <w:rPr>
          <w:rFonts w:eastAsia="SimSun"/>
          <w:lang w:val="en-GB"/>
        </w:rPr>
        <w:t xml:space="preserve">or epirubicin </w:t>
      </w:r>
      <w:r w:rsidRPr="000D28E6">
        <w:rPr>
          <w:rFonts w:eastAsia="SimSun"/>
          <w:lang w:val="en-GB"/>
        </w:rPr>
        <w:t xml:space="preserve">– these medicines can damage heart muscle and increase the risk of heart problems with </w:t>
      </w:r>
      <w:r w:rsidRPr="000D28E6" w:rsidR="0001604A">
        <w:rPr>
          <w:rFonts w:eastAsia="SimSun"/>
          <w:lang w:val="en-GB"/>
        </w:rPr>
        <w:t>Perjeta</w:t>
      </w:r>
      <w:r w:rsidRPr="000D28E6" w:rsidR="006F2C38">
        <w:rPr>
          <w:rFonts w:eastAsia="SimSun"/>
          <w:lang w:val="en-GB"/>
        </w:rPr>
        <w:t>.</w:t>
      </w:r>
    </w:p>
    <w:p w:rsidR="00B47DBE" w:rsidRPr="000D28E6" w:rsidP="00B47DBE" w14:paraId="47A19EBE" w14:textId="77777777">
      <w:pPr>
        <w:ind w:left="720" w:hanging="720"/>
        <w:rPr>
          <w:rFonts w:eastAsia="SimSun"/>
          <w:lang w:val="en-GB"/>
        </w:rPr>
      </w:pPr>
    </w:p>
    <w:p w:rsidR="00863CEA" w:rsidRPr="000D28E6" w:rsidP="00B47DBE" w14:paraId="1E53B113" w14:textId="77777777">
      <w:pPr>
        <w:rPr>
          <w:rFonts w:eastAsia="SimSun"/>
          <w:lang w:val="en-GB"/>
        </w:rPr>
      </w:pPr>
      <w:r w:rsidRPr="000D28E6">
        <w:rPr>
          <w:rFonts w:eastAsia="SimSun"/>
          <w:lang w:val="en-GB"/>
        </w:rPr>
        <w:t xml:space="preserve">If any of the above applies to you (or you are not sure), talk to your doctor or nurse before you are given </w:t>
      </w:r>
      <w:r w:rsidRPr="000D28E6" w:rsidR="0001604A">
        <w:rPr>
          <w:rFonts w:eastAsia="SimSun"/>
          <w:lang w:val="en-GB"/>
        </w:rPr>
        <w:t>Perjeta</w:t>
      </w:r>
      <w:r w:rsidRPr="000D28E6">
        <w:rPr>
          <w:rFonts w:eastAsia="SimSun"/>
          <w:lang w:val="en-GB"/>
        </w:rPr>
        <w:t xml:space="preserve">. </w:t>
      </w:r>
      <w:r w:rsidRPr="000D28E6" w:rsidR="00696FE4">
        <w:rPr>
          <w:rFonts w:eastAsia="SimSun"/>
          <w:lang w:val="en-GB"/>
        </w:rPr>
        <w:t>See section 4 “Serious side effects” for more details about signs of heart problems to look out for</w:t>
      </w:r>
      <w:r w:rsidR="00696FE4">
        <w:rPr>
          <w:rFonts w:eastAsia="SimSun"/>
          <w:lang w:val="en-GB"/>
        </w:rPr>
        <w:t>.</w:t>
      </w:r>
    </w:p>
    <w:p w:rsidR="00B47DBE" w:rsidRPr="000D28E6" w:rsidP="00B47DBE" w14:paraId="0BBCD569" w14:textId="77777777">
      <w:pPr>
        <w:rPr>
          <w:rFonts w:eastAsia="SimSun"/>
          <w:lang w:val="en-GB"/>
        </w:rPr>
      </w:pPr>
    </w:p>
    <w:p w:rsidR="00863CEA" w:rsidRPr="00567D04" w:rsidP="00B47DBE" w14:paraId="6653D6C3" w14:textId="77777777">
      <w:pPr>
        <w:rPr>
          <w:rFonts w:eastAsia="SimSun"/>
          <w:u w:val="single"/>
          <w:lang w:val="en-GB"/>
        </w:rPr>
      </w:pPr>
      <w:r w:rsidRPr="00567D04">
        <w:rPr>
          <w:rFonts w:eastAsia="SimSun"/>
          <w:u w:val="single"/>
          <w:lang w:val="en-GB"/>
        </w:rPr>
        <w:t>Infusion reactions</w:t>
      </w:r>
    </w:p>
    <w:p w:rsidR="00863CEA" w:rsidRPr="000D28E6" w:rsidP="00B47DBE" w14:paraId="3962EAD4" w14:textId="77777777">
      <w:pPr>
        <w:rPr>
          <w:rFonts w:eastAsia="SimSun"/>
          <w:lang w:val="en-GB"/>
        </w:rPr>
      </w:pPr>
      <w:r w:rsidRPr="000D28E6">
        <w:rPr>
          <w:rFonts w:eastAsia="SimSun"/>
          <w:lang w:val="en-GB"/>
        </w:rPr>
        <w:t>Infusion reactions</w:t>
      </w:r>
      <w:r w:rsidRPr="000D28E6" w:rsidR="00843753">
        <w:rPr>
          <w:rFonts w:eastAsia="SimSun"/>
          <w:lang w:val="en-GB"/>
        </w:rPr>
        <w:t>,</w:t>
      </w:r>
      <w:r w:rsidRPr="000D28E6">
        <w:rPr>
          <w:rFonts w:eastAsia="SimSun"/>
          <w:lang w:val="en-GB"/>
        </w:rPr>
        <w:t xml:space="preserve"> allergic or anaphylactic</w:t>
      </w:r>
      <w:r w:rsidRPr="000D28E6" w:rsidR="00A049B9">
        <w:rPr>
          <w:rFonts w:eastAsia="SimSun"/>
          <w:lang w:val="en-GB"/>
        </w:rPr>
        <w:t xml:space="preserve"> (more severe allergic)</w:t>
      </w:r>
      <w:r w:rsidRPr="000D28E6">
        <w:rPr>
          <w:rFonts w:eastAsia="SimSun"/>
          <w:lang w:val="en-GB"/>
        </w:rPr>
        <w:t xml:space="preserve"> reactions can happen. Your doctor or nurse will check for side effects during your infusion and for 30 to 60 minutes afterwards. </w:t>
      </w:r>
      <w:r w:rsidRPr="000D28E6" w:rsidR="00481CE7">
        <w:rPr>
          <w:rFonts w:eastAsia="SimSun"/>
          <w:lang w:val="en-GB"/>
        </w:rPr>
        <w:t xml:space="preserve">If you get any serious reaction, your doctor may stop treatment with Perjeta. </w:t>
      </w:r>
      <w:r w:rsidRPr="003C7BE9" w:rsidR="00773DFF">
        <w:rPr>
          <w:rFonts w:eastAsia="SimSun"/>
          <w:lang w:val="en-GB"/>
        </w:rPr>
        <w:t>Very rarely, patients have died due to anaphylactic reactions during Perjeta infusion.</w:t>
      </w:r>
      <w:r w:rsidR="00773DFF">
        <w:rPr>
          <w:rFonts w:eastAsia="SimSun"/>
          <w:lang w:val="en-GB"/>
        </w:rPr>
        <w:t xml:space="preserve"> </w:t>
      </w:r>
      <w:r w:rsidRPr="000D28E6" w:rsidR="008D6810">
        <w:rPr>
          <w:rFonts w:eastAsia="SimSun"/>
          <w:lang w:val="en-GB"/>
        </w:rPr>
        <w:t>See s</w:t>
      </w:r>
      <w:r w:rsidRPr="000D28E6">
        <w:rPr>
          <w:rFonts w:eastAsia="SimSun"/>
          <w:lang w:val="en-GB"/>
        </w:rPr>
        <w:t>ection 4 “Serious side effects” f</w:t>
      </w:r>
      <w:r w:rsidRPr="000D28E6" w:rsidR="00B51693">
        <w:rPr>
          <w:rFonts w:eastAsia="SimSun"/>
          <w:lang w:val="en-GB"/>
        </w:rPr>
        <w:t xml:space="preserve">or more details about infusion </w:t>
      </w:r>
      <w:r w:rsidRPr="000D28E6">
        <w:rPr>
          <w:rFonts w:eastAsia="SimSun"/>
          <w:lang w:val="en-GB"/>
        </w:rPr>
        <w:t xml:space="preserve">reactions to look out for during the infusion and thereafter. </w:t>
      </w:r>
    </w:p>
    <w:p w:rsidR="00B47DBE" w:rsidRPr="000D28E6" w:rsidP="00B47DBE" w14:paraId="22D7A7C0" w14:textId="77777777">
      <w:pPr>
        <w:rPr>
          <w:rFonts w:eastAsia="SimSun"/>
          <w:lang w:val="en-GB"/>
        </w:rPr>
      </w:pPr>
    </w:p>
    <w:p w:rsidR="00FF6B7B" w:rsidRPr="00567D04" w:rsidP="00FF6B7B" w14:paraId="464B3755" w14:textId="77777777">
      <w:pPr>
        <w:rPr>
          <w:rFonts w:eastAsia="SimSun"/>
          <w:u w:val="single"/>
          <w:lang w:val="en-GB"/>
        </w:rPr>
      </w:pPr>
      <w:r w:rsidRPr="00567D04">
        <w:rPr>
          <w:rFonts w:eastAsia="SimSun"/>
          <w:u w:val="single"/>
          <w:lang w:val="en-GB"/>
        </w:rPr>
        <w:t>Febrile neutropenia (</w:t>
      </w:r>
      <w:r w:rsidRPr="00567D04" w:rsidR="000E5EA5">
        <w:rPr>
          <w:rFonts w:eastAsia="SimSun"/>
          <w:u w:val="single"/>
          <w:lang w:val="en-GB"/>
        </w:rPr>
        <w:t>Low white blood cells with fever)</w:t>
      </w:r>
    </w:p>
    <w:p w:rsidR="00136814" w:rsidRPr="000D28E6" w:rsidP="00136814" w14:paraId="4E9695C3" w14:textId="77777777">
      <w:pPr>
        <w:rPr>
          <w:rFonts w:eastAsia="SimSun"/>
          <w:lang w:val="en-GB"/>
        </w:rPr>
      </w:pPr>
      <w:r w:rsidRPr="000D28E6">
        <w:rPr>
          <w:rFonts w:eastAsia="SimSun"/>
          <w:lang w:val="en-GB"/>
        </w:rPr>
        <w:t xml:space="preserve">When Perjeta is given with other </w:t>
      </w:r>
      <w:r w:rsidRPr="000D28E6" w:rsidR="00FF6B7B">
        <w:rPr>
          <w:rFonts w:eastAsia="SimSun"/>
          <w:lang w:val="en-GB"/>
        </w:rPr>
        <w:t xml:space="preserve">cancer treatments (trastuzumab and </w:t>
      </w:r>
      <w:r w:rsidR="006D65A0">
        <w:rPr>
          <w:rFonts w:eastAsia="SimSun"/>
          <w:lang w:val="en-GB"/>
        </w:rPr>
        <w:t>chemotherapy</w:t>
      </w:r>
      <w:r w:rsidRPr="000D28E6">
        <w:rPr>
          <w:rFonts w:eastAsia="SimSun"/>
          <w:lang w:val="en-GB"/>
        </w:rPr>
        <w:t xml:space="preserve">), </w:t>
      </w:r>
      <w:r w:rsidRPr="000D28E6" w:rsidR="00FF6B7B">
        <w:rPr>
          <w:rFonts w:eastAsia="SimSun"/>
          <w:lang w:val="en-GB"/>
        </w:rPr>
        <w:t>the number of white blood cells may</w:t>
      </w:r>
      <w:r w:rsidRPr="000D28E6">
        <w:rPr>
          <w:rFonts w:eastAsia="SimSun"/>
          <w:lang w:val="en-GB"/>
        </w:rPr>
        <w:t xml:space="preserve"> drop and fever (raised temperature) may develop. If you have inflammation of the digestive tract (e.g.sore mouth or </w:t>
      </w:r>
      <w:r w:rsidRPr="000D28E6" w:rsidR="00A049B9">
        <w:rPr>
          <w:rFonts w:eastAsia="SimSun"/>
          <w:lang w:val="en-GB"/>
        </w:rPr>
        <w:t>diarrhoea</w:t>
      </w:r>
      <w:r w:rsidRPr="000D28E6">
        <w:rPr>
          <w:rFonts w:eastAsia="SimSun"/>
          <w:lang w:val="en-GB"/>
        </w:rPr>
        <w:t>) you may be more likely to develop this side effect.</w:t>
      </w:r>
    </w:p>
    <w:p w:rsidR="00136814" w:rsidP="00136814" w14:paraId="01FC4A89" w14:textId="77777777">
      <w:pPr>
        <w:rPr>
          <w:rFonts w:eastAsia="SimSun"/>
          <w:noProof/>
          <w:lang w:val="en-GB" w:eastAsia="zh-CN"/>
        </w:rPr>
      </w:pPr>
    </w:p>
    <w:p w:rsidR="00637C25" w:rsidRPr="00567D04" w:rsidP="00637C25" w14:paraId="46C42470" w14:textId="77777777">
      <w:pPr>
        <w:rPr>
          <w:rFonts w:eastAsia="SimSun"/>
          <w:u w:val="single"/>
          <w:lang w:val="en-GB"/>
        </w:rPr>
      </w:pPr>
      <w:r w:rsidRPr="00567D04">
        <w:rPr>
          <w:rFonts w:eastAsia="SimSun"/>
          <w:u w:val="single"/>
          <w:lang w:val="en-GB"/>
        </w:rPr>
        <w:t>Diarrhoea</w:t>
      </w:r>
    </w:p>
    <w:p w:rsidR="00637C25" w:rsidP="00637C25" w14:paraId="6DB6BF25" w14:textId="57539C2A">
      <w:pPr>
        <w:rPr>
          <w:rFonts w:eastAsia="SimSun"/>
          <w:lang w:val="en-GB"/>
        </w:rPr>
      </w:pPr>
      <w:r>
        <w:rPr>
          <w:rFonts w:eastAsia="SimSun"/>
          <w:lang w:val="en-GB"/>
        </w:rPr>
        <w:t xml:space="preserve">Treatment with Perjeta may cause severe diarrhoea. </w:t>
      </w:r>
      <w:bookmarkStart w:id="1" w:name="_GoBack"/>
      <w:r w:rsidR="0028477C">
        <w:rPr>
          <w:rFonts w:eastAsia="SimSun"/>
          <w:lang w:val="en-GB"/>
        </w:rPr>
        <w:t>Patients over 65 </w:t>
      </w:r>
      <w:r w:rsidRPr="00C75307" w:rsidR="0028477C">
        <w:rPr>
          <w:rFonts w:eastAsia="SimSun"/>
          <w:lang w:val="en-GB"/>
        </w:rPr>
        <w:t>years of age have a higher risk of diarrhoea</w:t>
      </w:r>
      <w:r w:rsidR="0028477C">
        <w:rPr>
          <w:rFonts w:eastAsia="SimSun"/>
          <w:lang w:val="en-GB"/>
        </w:rPr>
        <w:t xml:space="preserve"> </w:t>
      </w:r>
      <w:r w:rsidRPr="00C75307" w:rsidR="0028477C">
        <w:rPr>
          <w:rFonts w:eastAsia="SimSun"/>
          <w:lang w:val="en-GB"/>
        </w:rPr>
        <w:t>compared with patients younger than 65 years of age.</w:t>
      </w:r>
      <w:r w:rsidRPr="00C75307" w:rsidR="0028477C">
        <w:rPr>
          <w:szCs w:val="22"/>
          <w:shd w:val="clear" w:color="auto" w:fill="FFFFFF"/>
        </w:rPr>
        <w:t xml:space="preserve"> </w:t>
      </w:r>
      <w:bookmarkEnd w:id="1"/>
      <w:r>
        <w:rPr>
          <w:rFonts w:eastAsia="SimSun"/>
          <w:lang w:val="en-GB"/>
        </w:rPr>
        <w:t xml:space="preserve">Diarrhoea is a condition where your body produces more watery stools than normal. If you experience severe diarrhoea while receiving your anti-cancer treatment, your doctor may start you on anti-diarrhoeal treatment and may stop your treatment with Perjeta until the diarrhoea is under control. </w:t>
      </w:r>
    </w:p>
    <w:p w:rsidR="00637C25" w:rsidRPr="000D28E6" w:rsidP="00136814" w14:paraId="16CFD2D9" w14:textId="77777777">
      <w:pPr>
        <w:rPr>
          <w:rFonts w:eastAsia="SimSun"/>
          <w:noProof/>
          <w:lang w:val="en-GB" w:eastAsia="zh-CN"/>
        </w:rPr>
      </w:pPr>
    </w:p>
    <w:p w:rsidR="00863CEA" w:rsidRPr="000D28E6" w:rsidP="00136814" w14:paraId="3DD89198" w14:textId="77777777">
      <w:pPr>
        <w:rPr>
          <w:rFonts w:eastAsia="SimSun"/>
          <w:b/>
          <w:bCs/>
          <w:lang w:val="en-GB"/>
        </w:rPr>
      </w:pPr>
      <w:r w:rsidRPr="000D28E6">
        <w:rPr>
          <w:rFonts w:eastAsia="SimSun"/>
          <w:b/>
          <w:bCs/>
          <w:lang w:val="en-GB"/>
        </w:rPr>
        <w:t>Use in children</w:t>
      </w:r>
      <w:r w:rsidRPr="000D28E6" w:rsidR="000E7EFD">
        <w:rPr>
          <w:rFonts w:eastAsia="SimSun"/>
          <w:b/>
          <w:bCs/>
          <w:lang w:val="en-GB"/>
        </w:rPr>
        <w:t xml:space="preserve"> and adolescents</w:t>
      </w:r>
    </w:p>
    <w:p w:rsidR="00863CEA" w:rsidP="00B47DBE" w14:paraId="385647FD" w14:textId="77777777">
      <w:pPr>
        <w:rPr>
          <w:rFonts w:eastAsia="SimSun"/>
          <w:lang w:val="en-GB"/>
        </w:rPr>
      </w:pPr>
      <w:r w:rsidRPr="000D28E6">
        <w:rPr>
          <w:rFonts w:eastAsia="SimSun"/>
          <w:lang w:val="en-GB"/>
        </w:rPr>
        <w:t xml:space="preserve">Perjeta </w:t>
      </w:r>
      <w:r w:rsidRPr="000D28E6" w:rsidR="008331A0">
        <w:rPr>
          <w:rFonts w:eastAsia="SimSun"/>
          <w:lang w:val="en-GB"/>
        </w:rPr>
        <w:t xml:space="preserve">should not be given to patients </w:t>
      </w:r>
      <w:r w:rsidRPr="000D28E6">
        <w:rPr>
          <w:rFonts w:eastAsia="SimSun"/>
          <w:lang w:val="en-GB"/>
        </w:rPr>
        <w:t>under the age of 18 years because there is no information on how it works in this age group.</w:t>
      </w:r>
    </w:p>
    <w:p w:rsidR="0028477C" w:rsidP="00B47DBE" w14:paraId="103F8A10" w14:textId="1A321CD2">
      <w:pPr>
        <w:rPr>
          <w:rFonts w:eastAsia="SimSun"/>
          <w:lang w:val="en-GB"/>
        </w:rPr>
      </w:pPr>
    </w:p>
    <w:p w:rsidR="0028477C" w:rsidRPr="00830CE2" w:rsidP="0028477C" w14:paraId="0DA27F14" w14:textId="77777777">
      <w:pPr>
        <w:shd w:val="clear" w:color="auto" w:fill="FFFFFF"/>
        <w:rPr>
          <w:szCs w:val="22"/>
          <w:lang w:eastAsia="en-US"/>
        </w:rPr>
      </w:pPr>
      <w:r w:rsidRPr="00830CE2">
        <w:rPr>
          <w:b/>
          <w:bCs/>
          <w:szCs w:val="22"/>
          <w:lang w:val="en-GB" w:eastAsia="en-US"/>
        </w:rPr>
        <w:t>Use in the elderly</w:t>
      </w:r>
    </w:p>
    <w:p w:rsidR="0028477C" w:rsidRPr="000D28E6" w:rsidP="0028477C" w14:paraId="29FE41E1" w14:textId="32F7BC4E">
      <w:pPr>
        <w:shd w:val="clear" w:color="auto" w:fill="FFFFFF"/>
        <w:rPr>
          <w:rFonts w:eastAsia="SimSun"/>
          <w:lang w:val="en-GB"/>
        </w:rPr>
      </w:pPr>
      <w:r w:rsidRPr="00830CE2">
        <w:rPr>
          <w:szCs w:val="22"/>
          <w:lang w:val="en-GB" w:eastAsia="en-US"/>
        </w:rPr>
        <w:t>Patients over 65 years of age who are treated with Perjeta are more likely to experience side effects such as reduced appetite, decrease in the number of red blood cells, weight loss, feeling tired, loss or altered taste, weak, numb, tingling or prickling sensations mainly affecting the feet and legs and diarrhoea, compared to patients younger than 65 years of age.</w:t>
      </w:r>
    </w:p>
    <w:p w:rsidR="00B47DBE" w:rsidRPr="000D28E6" w:rsidP="00B47DBE" w14:paraId="61149198" w14:textId="77777777">
      <w:pPr>
        <w:rPr>
          <w:rFonts w:eastAsia="SimSun"/>
          <w:lang w:val="en-GB"/>
        </w:rPr>
      </w:pPr>
    </w:p>
    <w:p w:rsidR="00863CEA" w:rsidRPr="000D28E6" w:rsidP="00B47DBE" w14:paraId="6D226881" w14:textId="77777777">
      <w:pPr>
        <w:rPr>
          <w:rFonts w:eastAsia="SimSun"/>
          <w:lang w:val="en-GB"/>
        </w:rPr>
      </w:pPr>
      <w:r w:rsidRPr="000D28E6">
        <w:rPr>
          <w:rFonts w:eastAsia="SimSun"/>
          <w:b/>
          <w:lang w:val="en-GB"/>
        </w:rPr>
        <w:t xml:space="preserve">Other medicines and </w:t>
      </w:r>
      <w:r w:rsidRPr="000D28E6" w:rsidR="0001604A">
        <w:rPr>
          <w:rFonts w:eastAsia="SimSun"/>
          <w:b/>
          <w:lang w:val="en-GB"/>
        </w:rPr>
        <w:t>Perjeta</w:t>
      </w:r>
    </w:p>
    <w:p w:rsidR="00863CEA" w:rsidRPr="000D28E6" w:rsidP="00B47DBE" w14:paraId="5C101978" w14:textId="77777777">
      <w:pPr>
        <w:rPr>
          <w:rFonts w:eastAsia="SimSun"/>
          <w:lang w:val="en-GB"/>
        </w:rPr>
      </w:pPr>
      <w:r w:rsidRPr="000D28E6">
        <w:rPr>
          <w:rFonts w:eastAsia="SimSun"/>
          <w:lang w:val="en-GB"/>
        </w:rPr>
        <w:t xml:space="preserve">Tell your doctor or nurse if you are taking, have recently taken or might take any other medicines. </w:t>
      </w:r>
    </w:p>
    <w:p w:rsidR="00B47DBE" w:rsidRPr="000D28E6" w:rsidP="00B47DBE" w14:paraId="70ADED21" w14:textId="77777777">
      <w:pPr>
        <w:rPr>
          <w:rFonts w:eastAsia="SimSun"/>
          <w:lang w:val="en-GB"/>
        </w:rPr>
      </w:pPr>
    </w:p>
    <w:p w:rsidR="00863CEA" w:rsidRPr="000D28E6" w:rsidP="00010452" w14:paraId="5B6EF157" w14:textId="77777777">
      <w:pPr>
        <w:keepNext/>
        <w:keepLines/>
        <w:rPr>
          <w:rFonts w:eastAsia="SimSun"/>
          <w:b/>
          <w:lang w:val="en-GB"/>
        </w:rPr>
      </w:pPr>
      <w:r w:rsidRPr="000D28E6">
        <w:rPr>
          <w:rFonts w:eastAsia="SimSun"/>
          <w:b/>
          <w:lang w:val="en-GB"/>
        </w:rPr>
        <w:t>Pregnancy and breast-</w:t>
      </w:r>
      <w:r w:rsidRPr="000D28E6" w:rsidR="00E30924">
        <w:rPr>
          <w:rFonts w:eastAsia="SimSun"/>
          <w:b/>
          <w:lang w:val="en-GB"/>
        </w:rPr>
        <w:t>feeding</w:t>
      </w:r>
    </w:p>
    <w:p w:rsidR="00863CEA" w:rsidRPr="000D28E6" w:rsidP="00B47DBE" w14:paraId="4A2D7517" w14:textId="77777777">
      <w:pPr>
        <w:rPr>
          <w:rFonts w:eastAsia="SimSun"/>
          <w:lang w:val="en-GB"/>
        </w:rPr>
      </w:pPr>
      <w:r w:rsidRPr="000D28E6">
        <w:rPr>
          <w:rFonts w:eastAsia="SimSun"/>
          <w:lang w:val="en-GB"/>
        </w:rPr>
        <w:t xml:space="preserve">Before starting treatment, you must tell your doctor or nurse if you are pregnant or breast-feeding, </w:t>
      </w:r>
      <w:r w:rsidRPr="00BF2495" w:rsidR="006F3F1A">
        <w:rPr>
          <w:lang w:val="en-GB"/>
        </w:rPr>
        <w:t xml:space="preserve">or if you </w:t>
      </w:r>
      <w:r w:rsidRPr="000D28E6">
        <w:rPr>
          <w:rFonts w:eastAsia="SimSun"/>
          <w:lang w:val="en-GB"/>
        </w:rPr>
        <w:t>think you may be pregnant</w:t>
      </w:r>
      <w:r w:rsidRPr="000D28E6">
        <w:rPr>
          <w:rFonts w:eastAsia="SimSun"/>
          <w:b/>
          <w:lang w:val="en-GB"/>
        </w:rPr>
        <w:t xml:space="preserve"> </w:t>
      </w:r>
      <w:r w:rsidRPr="000D28E6">
        <w:rPr>
          <w:rFonts w:eastAsia="SimSun"/>
          <w:lang w:val="en-GB"/>
        </w:rPr>
        <w:t xml:space="preserve">or are planning to have a baby. They will advise you about the benefits and risks for you and your baby of taking </w:t>
      </w:r>
      <w:r w:rsidRPr="000D28E6" w:rsidR="0001604A">
        <w:rPr>
          <w:rFonts w:eastAsia="SimSun"/>
          <w:lang w:val="en-GB"/>
        </w:rPr>
        <w:t>Perjeta</w:t>
      </w:r>
      <w:r w:rsidRPr="000D28E6">
        <w:rPr>
          <w:rFonts w:eastAsia="SimSun"/>
          <w:lang w:val="en-GB"/>
        </w:rPr>
        <w:t xml:space="preserve"> while you are pregnant.</w:t>
      </w:r>
    </w:p>
    <w:p w:rsidR="00B47DBE" w:rsidRPr="000D28E6" w:rsidP="00B47DBE" w14:paraId="4CF1CF11" w14:textId="77777777">
      <w:pPr>
        <w:rPr>
          <w:rFonts w:eastAsia="SimSun"/>
          <w:lang w:val="en-GB"/>
        </w:rPr>
      </w:pPr>
    </w:p>
    <w:p w:rsidR="00863CEA" w:rsidRPr="000D28E6" w:rsidP="00B47DBE" w14:paraId="73A1A59A"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Tell your doctor straight away,</w:t>
      </w:r>
      <w:r w:rsidRPr="000D28E6">
        <w:rPr>
          <w:rFonts w:eastAsia="SimSun"/>
          <w:b/>
          <w:lang w:val="en-GB"/>
        </w:rPr>
        <w:t xml:space="preserve"> </w:t>
      </w:r>
      <w:r w:rsidRPr="000D28E6">
        <w:rPr>
          <w:rFonts w:eastAsia="SimSun"/>
          <w:lang w:val="en-GB"/>
        </w:rPr>
        <w:t>if you get pregnant during treatment with</w:t>
      </w:r>
      <w:r w:rsidRPr="000D28E6">
        <w:rPr>
          <w:rFonts w:eastAsia="SimSun"/>
          <w:b/>
          <w:lang w:val="en-GB"/>
        </w:rPr>
        <w:t xml:space="preserve"> </w:t>
      </w:r>
      <w:r w:rsidRPr="000D28E6" w:rsidR="0001604A">
        <w:rPr>
          <w:rFonts w:eastAsia="SimSun"/>
          <w:lang w:val="en-GB"/>
        </w:rPr>
        <w:t>Perjeta</w:t>
      </w:r>
      <w:r w:rsidRPr="000D28E6">
        <w:rPr>
          <w:rFonts w:eastAsia="SimSun"/>
          <w:lang w:val="en-GB"/>
        </w:rPr>
        <w:t xml:space="preserve"> or during the 6 months after stopping treatment.</w:t>
      </w:r>
    </w:p>
    <w:p w:rsidR="00863CEA" w:rsidRPr="000D28E6" w:rsidP="00B47DBE" w14:paraId="1B5AEA67"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 xml:space="preserve">Ask your doctor about whether you can breast-feed during or after treatment with </w:t>
      </w:r>
      <w:r w:rsidRPr="000D28E6" w:rsidR="0001604A">
        <w:rPr>
          <w:rFonts w:eastAsia="SimSun"/>
          <w:lang w:val="en-GB"/>
        </w:rPr>
        <w:t>Perjeta</w:t>
      </w:r>
      <w:r w:rsidRPr="000D28E6">
        <w:rPr>
          <w:rFonts w:eastAsia="SimSun"/>
          <w:lang w:val="en-GB"/>
        </w:rPr>
        <w:t>.</w:t>
      </w:r>
    </w:p>
    <w:p w:rsidR="00863CEA" w:rsidRPr="000D28E6" w:rsidP="00B47DBE" w14:paraId="09DF22A6" w14:textId="77777777">
      <w:pPr>
        <w:rPr>
          <w:rFonts w:eastAsia="SimSun"/>
          <w:lang w:val="en-GB"/>
        </w:rPr>
      </w:pPr>
    </w:p>
    <w:p w:rsidR="00863CEA" w:rsidRPr="000D28E6" w:rsidP="00B47DBE" w14:paraId="5040FABE" w14:textId="77777777">
      <w:pPr>
        <w:rPr>
          <w:rFonts w:eastAsia="SimSun"/>
          <w:lang w:val="en-GB"/>
        </w:rPr>
      </w:pPr>
      <w:r w:rsidRPr="000D28E6">
        <w:rPr>
          <w:rFonts w:eastAsia="SimSun"/>
          <w:lang w:val="en-GB"/>
        </w:rPr>
        <w:t>Perjeta may harm the unborn baby. You should use effective contraception during treatment with Perjeta and for 6 months after stopping treatment. Talk to your doctor about the best contraception for you.</w:t>
      </w:r>
    </w:p>
    <w:p w:rsidR="00B47DBE" w:rsidRPr="000D28E6" w:rsidP="00B47DBE" w14:paraId="67E02CF4" w14:textId="77777777">
      <w:pPr>
        <w:rPr>
          <w:rFonts w:eastAsia="SimSun"/>
          <w:lang w:val="en-GB"/>
        </w:rPr>
      </w:pPr>
    </w:p>
    <w:p w:rsidR="00863CEA" w:rsidRPr="000D28E6" w:rsidP="00B47DBE" w14:paraId="1E2975FE" w14:textId="77777777">
      <w:pPr>
        <w:rPr>
          <w:rFonts w:eastAsia="SimSun"/>
          <w:b/>
          <w:noProof/>
          <w:lang w:val="en-GB"/>
        </w:rPr>
      </w:pPr>
      <w:r w:rsidRPr="000D28E6">
        <w:rPr>
          <w:rFonts w:eastAsia="SimSun"/>
          <w:b/>
          <w:lang w:val="en-GB"/>
        </w:rPr>
        <w:t>Driving and using machines</w:t>
      </w:r>
    </w:p>
    <w:p w:rsidR="0098793A" w:rsidRPr="000D28E6" w:rsidP="00B47DBE" w14:paraId="37A05396" w14:textId="2BAB0B49">
      <w:pPr>
        <w:rPr>
          <w:rFonts w:eastAsia="SimSun"/>
          <w:lang w:val="en-GB"/>
        </w:rPr>
      </w:pPr>
      <w:r w:rsidRPr="000D28E6">
        <w:rPr>
          <w:rFonts w:eastAsia="SimSun"/>
          <w:lang w:val="en-GB"/>
        </w:rPr>
        <w:t>Perjeta</w:t>
      </w:r>
      <w:r w:rsidRPr="000D28E6" w:rsidR="00863CEA">
        <w:rPr>
          <w:rFonts w:eastAsia="SimSun"/>
          <w:lang w:val="en-GB"/>
        </w:rPr>
        <w:t xml:space="preserve"> </w:t>
      </w:r>
      <w:r w:rsidR="0028477C">
        <w:rPr>
          <w:rFonts w:eastAsia="SimSun"/>
          <w:lang w:val="en-GB"/>
        </w:rPr>
        <w:t>may have a minor e</w:t>
      </w:r>
      <w:r w:rsidRPr="000D28E6" w:rsidR="00863CEA">
        <w:rPr>
          <w:rFonts w:eastAsia="SimSun"/>
          <w:lang w:val="en-GB"/>
        </w:rPr>
        <w:t>ffect</w:t>
      </w:r>
      <w:r w:rsidR="0028477C">
        <w:rPr>
          <w:rFonts w:eastAsia="SimSun"/>
          <w:lang w:val="en-GB"/>
        </w:rPr>
        <w:t xml:space="preserve"> on</w:t>
      </w:r>
      <w:r w:rsidRPr="000D28E6" w:rsidR="00863CEA">
        <w:rPr>
          <w:rFonts w:eastAsia="SimSun"/>
          <w:lang w:val="en-GB"/>
        </w:rPr>
        <w:t xml:space="preserve"> you being able to drive or use machines. </w:t>
      </w:r>
      <w:r w:rsidRPr="000D28E6" w:rsidR="00B44BE4">
        <w:rPr>
          <w:rFonts w:eastAsia="SimSun"/>
          <w:lang w:val="en-GB"/>
        </w:rPr>
        <w:t>However</w:t>
      </w:r>
      <w:r w:rsidRPr="000D28E6" w:rsidR="00863ED5">
        <w:rPr>
          <w:rFonts w:eastAsia="SimSun"/>
          <w:lang w:val="en-GB"/>
        </w:rPr>
        <w:t xml:space="preserve">, </w:t>
      </w:r>
      <w:r w:rsidRPr="000D28E6" w:rsidR="00B44BE4">
        <w:rPr>
          <w:rFonts w:eastAsia="SimSun"/>
          <w:lang w:val="en-GB"/>
        </w:rPr>
        <w:t>i</w:t>
      </w:r>
      <w:r w:rsidRPr="000D28E6">
        <w:rPr>
          <w:rFonts w:eastAsia="SimSun"/>
          <w:lang w:val="en-GB"/>
        </w:rPr>
        <w:t xml:space="preserve">f you get any </w:t>
      </w:r>
      <w:r w:rsidR="0028477C">
        <w:rPr>
          <w:rFonts w:eastAsia="SimSun"/>
          <w:lang w:val="en-GB"/>
        </w:rPr>
        <w:t xml:space="preserve">dizziness, </w:t>
      </w:r>
      <w:r w:rsidRPr="000D28E6">
        <w:rPr>
          <w:rFonts w:eastAsia="SimSun"/>
          <w:lang w:val="en-GB"/>
        </w:rPr>
        <w:t>infusion reactions</w:t>
      </w:r>
      <w:r w:rsidRPr="000D28E6" w:rsidR="00843753">
        <w:rPr>
          <w:rFonts w:eastAsia="SimSun"/>
          <w:lang w:val="en-GB"/>
        </w:rPr>
        <w:t xml:space="preserve">, </w:t>
      </w:r>
      <w:r w:rsidRPr="000D28E6" w:rsidR="00D96BE8">
        <w:rPr>
          <w:rFonts w:eastAsia="SimSun"/>
          <w:lang w:val="en-GB"/>
        </w:rPr>
        <w:t>allergic or anaphylactic reactions</w:t>
      </w:r>
      <w:r w:rsidRPr="000D28E6">
        <w:rPr>
          <w:rFonts w:eastAsia="SimSun"/>
          <w:lang w:val="en-GB"/>
        </w:rPr>
        <w:t>, wait until these have gone away before driving or using machines.</w:t>
      </w:r>
    </w:p>
    <w:p w:rsidR="00863CEA" w:rsidP="00B47DBE" w14:paraId="1CB371D1" w14:textId="77777777">
      <w:pPr>
        <w:rPr>
          <w:rFonts w:eastAsia="SimSun"/>
          <w:lang w:val="en-GB"/>
        </w:rPr>
      </w:pPr>
    </w:p>
    <w:p w:rsidR="0028477C" w:rsidP="0028477C" w14:paraId="42DEB0E0" w14:textId="77777777">
      <w:r w:rsidRPr="00830CE2">
        <w:rPr>
          <w:b/>
        </w:rPr>
        <w:t>Sodium</w:t>
      </w:r>
      <w:r>
        <w:t xml:space="preserve"> </w:t>
      </w:r>
    </w:p>
    <w:p w:rsidR="0028477C" w:rsidP="0028477C" w14:paraId="74346135" w14:textId="77777777">
      <w:pPr>
        <w:rPr>
          <w:rFonts w:eastAsia="SimSun"/>
          <w:lang w:val="en-GB"/>
        </w:rPr>
      </w:pPr>
      <w:r>
        <w:t>Perjeta contains less than 1 mmol of sodium per dose, i.e. it is essentially sodium</w:t>
      </w:r>
      <w:r>
        <w:noBreakHyphen/>
        <w:t>free.</w:t>
      </w:r>
    </w:p>
    <w:p w:rsidR="0028477C" w:rsidRPr="000D28E6" w:rsidP="00B47DBE" w14:paraId="2E06CD2F" w14:textId="77777777">
      <w:pPr>
        <w:rPr>
          <w:rFonts w:eastAsia="SimSun"/>
          <w:lang w:val="en-GB"/>
        </w:rPr>
      </w:pPr>
    </w:p>
    <w:p w:rsidR="00010452" w:rsidRPr="000D28E6" w:rsidP="00B47DBE" w14:paraId="2B222DFA" w14:textId="77777777">
      <w:pPr>
        <w:rPr>
          <w:rFonts w:eastAsia="SimSun"/>
          <w:lang w:val="en-GB"/>
        </w:rPr>
      </w:pPr>
    </w:p>
    <w:p w:rsidR="00863CEA" w:rsidRPr="000D28E6" w:rsidP="004804E7" w14:paraId="594A9B7F" w14:textId="77777777">
      <w:pPr>
        <w:keepNext/>
        <w:keepLines/>
        <w:rPr>
          <w:rFonts w:eastAsia="SimSun"/>
          <w:b/>
          <w:noProof/>
          <w:lang w:val="en-GB"/>
        </w:rPr>
      </w:pPr>
      <w:r w:rsidRPr="000D28E6">
        <w:rPr>
          <w:rFonts w:eastAsia="SimSun"/>
          <w:b/>
          <w:noProof/>
          <w:lang w:val="en-GB"/>
        </w:rPr>
        <w:t>3.</w:t>
      </w:r>
      <w:r w:rsidRPr="000D28E6">
        <w:rPr>
          <w:rFonts w:eastAsia="SimSun"/>
          <w:b/>
          <w:noProof/>
          <w:lang w:val="en-GB"/>
        </w:rPr>
        <w:tab/>
        <w:t xml:space="preserve">How you are given </w:t>
      </w:r>
      <w:r w:rsidRPr="000D28E6" w:rsidR="0001604A">
        <w:rPr>
          <w:rFonts w:eastAsia="SimSun"/>
          <w:b/>
          <w:noProof/>
          <w:lang w:val="en-GB"/>
        </w:rPr>
        <w:t>Perjeta</w:t>
      </w:r>
    </w:p>
    <w:p w:rsidR="00B47DBE" w:rsidRPr="000D28E6" w:rsidP="004804E7" w14:paraId="1E3C4283" w14:textId="77777777">
      <w:pPr>
        <w:keepNext/>
        <w:keepLines/>
        <w:rPr>
          <w:rFonts w:eastAsia="SimSun"/>
          <w:b/>
          <w:noProof/>
          <w:lang w:val="en-GB"/>
        </w:rPr>
      </w:pPr>
    </w:p>
    <w:p w:rsidR="00863CEA" w:rsidRPr="000D28E6" w:rsidP="004804E7" w14:paraId="08D05A3C" w14:textId="77777777">
      <w:pPr>
        <w:keepNext/>
        <w:keepLines/>
        <w:rPr>
          <w:rFonts w:eastAsia="SimSun"/>
          <w:b/>
          <w:lang w:val="en-GB"/>
        </w:rPr>
      </w:pPr>
      <w:r w:rsidRPr="000D28E6">
        <w:rPr>
          <w:rFonts w:eastAsia="SimSun"/>
          <w:b/>
          <w:lang w:val="en-GB"/>
        </w:rPr>
        <w:t>Being given this medicine</w:t>
      </w:r>
    </w:p>
    <w:p w:rsidR="00B47DBE" w:rsidRPr="000D28E6" w:rsidP="004804E7" w14:paraId="3C225D94" w14:textId="77777777">
      <w:pPr>
        <w:keepNext/>
        <w:keepLines/>
        <w:rPr>
          <w:rFonts w:eastAsia="SimSun"/>
          <w:b/>
          <w:lang w:val="en-GB"/>
        </w:rPr>
      </w:pPr>
    </w:p>
    <w:p w:rsidR="00863CEA" w:rsidRPr="000D28E6" w:rsidP="004804E7" w14:paraId="0D6CCFEF" w14:textId="77777777">
      <w:pPr>
        <w:keepNext/>
        <w:keepLines/>
        <w:ind w:right="-2"/>
        <w:rPr>
          <w:rFonts w:eastAsia="SimSun"/>
          <w:lang w:val="en-GB"/>
        </w:rPr>
      </w:pPr>
      <w:r w:rsidRPr="000D28E6">
        <w:rPr>
          <w:rFonts w:eastAsia="SimSun"/>
          <w:bCs/>
          <w:lang w:val="en-GB"/>
        </w:rPr>
        <w:t>Perjeta</w:t>
      </w:r>
      <w:r w:rsidRPr="000D28E6">
        <w:rPr>
          <w:rFonts w:eastAsia="SimSun"/>
          <w:lang w:val="en-GB"/>
        </w:rPr>
        <w:t xml:space="preserve"> will be given to you by a doctor or nurse in a hospital or clinic.</w:t>
      </w:r>
    </w:p>
    <w:p w:rsidR="00863CEA" w:rsidRPr="000D28E6" w:rsidP="00B47DBE" w14:paraId="2271BD26"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It is given by a drip into a vein (intravenous infusion) once every three weeks.</w:t>
      </w:r>
    </w:p>
    <w:p w:rsidR="00863CEA" w:rsidRPr="000D28E6" w:rsidP="00B47DBE" w14:paraId="00720C90"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The amount of medicine you are given and how long the infusion will last are different for the first</w:t>
      </w:r>
      <w:r w:rsidRPr="000D28E6" w:rsidR="00D50486">
        <w:rPr>
          <w:rFonts w:eastAsia="SimSun"/>
          <w:lang w:val="en-GB"/>
        </w:rPr>
        <w:t xml:space="preserve"> dose</w:t>
      </w:r>
      <w:r w:rsidRPr="000D28E6">
        <w:rPr>
          <w:rFonts w:eastAsia="SimSun"/>
          <w:lang w:val="en-GB"/>
        </w:rPr>
        <w:t xml:space="preserve"> and following doses. </w:t>
      </w:r>
    </w:p>
    <w:p w:rsidR="00863CEA" w:rsidRPr="000D28E6" w:rsidP="00B47DBE" w14:paraId="325894CE"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The number of infusions you will be given depends on how you respond to treatment</w:t>
      </w:r>
      <w:r w:rsidRPr="00BF2495" w:rsidR="006F3F1A">
        <w:rPr>
          <w:lang w:val="en-GB"/>
        </w:rPr>
        <w:t xml:space="preserve"> and whether you are receiving treatment before </w:t>
      </w:r>
      <w:r w:rsidR="000E5912">
        <w:rPr>
          <w:lang w:val="en-GB"/>
        </w:rPr>
        <w:t xml:space="preserve">or after </w:t>
      </w:r>
      <w:r w:rsidRPr="00BF2495" w:rsidR="006F3F1A">
        <w:rPr>
          <w:lang w:val="en-GB"/>
        </w:rPr>
        <w:t xml:space="preserve">surgery (neoadjuvant </w:t>
      </w:r>
      <w:r w:rsidR="000E5912">
        <w:rPr>
          <w:lang w:val="en-GB"/>
        </w:rPr>
        <w:t xml:space="preserve">or adjuvant </w:t>
      </w:r>
      <w:r w:rsidRPr="00BF2495" w:rsidR="006F3F1A">
        <w:rPr>
          <w:lang w:val="en-GB"/>
        </w:rPr>
        <w:t>therapy) or for disease which has spread</w:t>
      </w:r>
      <w:r w:rsidRPr="000D28E6">
        <w:rPr>
          <w:rFonts w:eastAsia="SimSun"/>
          <w:lang w:val="en-GB"/>
        </w:rPr>
        <w:t>.</w:t>
      </w:r>
    </w:p>
    <w:p w:rsidR="00863CEA" w:rsidRPr="000D28E6" w:rsidP="00B47DBE" w14:paraId="0B5167ED" w14:textId="77777777">
      <w:pPr>
        <w:rPr>
          <w:rFonts w:eastAsia="SimSun"/>
          <w:lang w:val="en-GB"/>
        </w:rPr>
      </w:pPr>
      <w:r w:rsidRPr="000D28E6">
        <w:rPr>
          <w:rFonts w:ascii="Symbol" w:eastAsia="SimSun" w:hAnsi="Symbol"/>
          <w:lang w:val="en-GB"/>
        </w:rPr>
        <w:sym w:font="Symbol" w:char="F0B7"/>
      </w:r>
      <w:r w:rsidRPr="000D28E6">
        <w:rPr>
          <w:rFonts w:eastAsia="SimSun"/>
          <w:lang w:val="en-GB"/>
        </w:rPr>
        <w:tab/>
      </w:r>
      <w:r w:rsidRPr="000D28E6" w:rsidR="0001604A">
        <w:rPr>
          <w:rFonts w:eastAsia="SimSun"/>
          <w:lang w:val="en-GB"/>
        </w:rPr>
        <w:t>Perjeta</w:t>
      </w:r>
      <w:r w:rsidRPr="000D28E6">
        <w:rPr>
          <w:rFonts w:eastAsia="SimSun"/>
          <w:lang w:val="en-GB"/>
        </w:rPr>
        <w:t xml:space="preserve"> is give</w:t>
      </w:r>
      <w:r w:rsidRPr="000D28E6" w:rsidR="006A67D0">
        <w:rPr>
          <w:rFonts w:eastAsia="SimSun"/>
          <w:lang w:val="en-GB"/>
        </w:rPr>
        <w:t>n with other cancer treatments (</w:t>
      </w:r>
      <w:r w:rsidRPr="000D28E6" w:rsidR="000904F4">
        <w:rPr>
          <w:rFonts w:eastAsia="SimSun"/>
          <w:lang w:val="en-GB"/>
        </w:rPr>
        <w:t xml:space="preserve">trastuzumab </w:t>
      </w:r>
      <w:r w:rsidRPr="000D28E6">
        <w:rPr>
          <w:rFonts w:eastAsia="SimSun"/>
          <w:lang w:val="en-GB"/>
        </w:rPr>
        <w:t>and</w:t>
      </w:r>
      <w:r w:rsidR="006D65A0">
        <w:rPr>
          <w:rFonts w:eastAsia="SimSun"/>
          <w:lang w:val="en-GB"/>
        </w:rPr>
        <w:t>chemotherapy</w:t>
      </w:r>
      <w:r w:rsidRPr="000D28E6">
        <w:rPr>
          <w:rFonts w:eastAsia="SimSun"/>
          <w:lang w:val="en-GB"/>
        </w:rPr>
        <w:t>).</w:t>
      </w:r>
    </w:p>
    <w:p w:rsidR="00B47DBE" w:rsidRPr="000D28E6" w:rsidP="00B47DBE" w14:paraId="4D0C99D8" w14:textId="77777777">
      <w:pPr>
        <w:rPr>
          <w:rFonts w:eastAsia="SimSun"/>
          <w:lang w:val="en-GB"/>
        </w:rPr>
      </w:pPr>
    </w:p>
    <w:p w:rsidR="00863CEA" w:rsidRPr="000D28E6" w:rsidP="00B47DBE" w14:paraId="7776D223" w14:textId="77777777">
      <w:pPr>
        <w:rPr>
          <w:rFonts w:eastAsia="SimSun"/>
          <w:lang w:val="en-GB"/>
        </w:rPr>
      </w:pPr>
      <w:r w:rsidRPr="000D28E6">
        <w:rPr>
          <w:rFonts w:eastAsia="SimSun"/>
          <w:b/>
          <w:lang w:val="en-GB"/>
        </w:rPr>
        <w:t>For the</w:t>
      </w:r>
      <w:r w:rsidRPr="000D28E6">
        <w:rPr>
          <w:rFonts w:eastAsia="SimSun"/>
          <w:lang w:val="en-GB"/>
        </w:rPr>
        <w:t xml:space="preserve"> </w:t>
      </w:r>
      <w:r w:rsidRPr="000D28E6">
        <w:rPr>
          <w:rFonts w:eastAsia="SimSun"/>
          <w:b/>
          <w:lang w:val="en-GB"/>
        </w:rPr>
        <w:t>first infusion</w:t>
      </w:r>
      <w:r w:rsidRPr="000D28E6">
        <w:rPr>
          <w:rFonts w:eastAsia="SimSun"/>
          <w:lang w:val="en-GB"/>
        </w:rPr>
        <w:t>:</w:t>
      </w:r>
    </w:p>
    <w:p w:rsidR="0098793A" w:rsidRPr="000D28E6" w:rsidP="00B47DBE" w14:paraId="24688912"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Pr="000D28E6" w:rsidR="00200008">
        <w:rPr>
          <w:rFonts w:eastAsia="SimSun"/>
          <w:lang w:val="en-GB"/>
        </w:rPr>
        <w:t>Y</w:t>
      </w:r>
      <w:r w:rsidRPr="000D28E6">
        <w:rPr>
          <w:rFonts w:eastAsia="SimSun"/>
          <w:lang w:val="en-GB"/>
        </w:rPr>
        <w:t xml:space="preserve">ou will be given 840 mg of </w:t>
      </w:r>
      <w:r w:rsidRPr="000D28E6" w:rsidR="0001604A">
        <w:rPr>
          <w:rFonts w:eastAsia="SimSun"/>
          <w:lang w:val="en-GB"/>
        </w:rPr>
        <w:t>Perjeta</w:t>
      </w:r>
      <w:r w:rsidRPr="000D28E6">
        <w:rPr>
          <w:rFonts w:eastAsia="SimSun"/>
          <w:lang w:val="en-GB"/>
        </w:rPr>
        <w:t xml:space="preserve"> over 60 minutes</w:t>
      </w:r>
      <w:r w:rsidRPr="000D28E6" w:rsidR="00200008">
        <w:rPr>
          <w:rFonts w:eastAsia="SimSun"/>
          <w:lang w:val="en-GB"/>
        </w:rPr>
        <w:t>. Y</w:t>
      </w:r>
      <w:r w:rsidRPr="000D28E6">
        <w:rPr>
          <w:rFonts w:eastAsia="SimSun"/>
          <w:lang w:val="en-GB"/>
        </w:rPr>
        <w:t>our doctor or nurse will check for side effects during your infusion and for 60 minutes afterwards</w:t>
      </w:r>
      <w:r w:rsidRPr="000D28E6" w:rsidR="00C9141B">
        <w:rPr>
          <w:rFonts w:eastAsia="SimSun"/>
          <w:lang w:val="en-GB"/>
        </w:rPr>
        <w:t>.</w:t>
      </w:r>
    </w:p>
    <w:p w:rsidR="00863CEA" w:rsidRPr="000D28E6" w:rsidP="00B47DBE" w14:paraId="595F30DC"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Pr="000D28E6" w:rsidR="00200008">
        <w:rPr>
          <w:rFonts w:eastAsia="SimSun"/>
          <w:lang w:val="en-GB"/>
        </w:rPr>
        <w:t>Y</w:t>
      </w:r>
      <w:r w:rsidRPr="000D28E6">
        <w:rPr>
          <w:rFonts w:eastAsia="SimSun"/>
          <w:lang w:val="en-GB"/>
        </w:rPr>
        <w:t xml:space="preserve">ou will also be given </w:t>
      </w:r>
      <w:r w:rsidRPr="000D28E6" w:rsidR="002C3FA8">
        <w:rPr>
          <w:rFonts w:eastAsia="SimSun"/>
          <w:lang w:val="en-GB"/>
        </w:rPr>
        <w:t xml:space="preserve">trastuzumab </w:t>
      </w:r>
      <w:r w:rsidRPr="000D28E6">
        <w:rPr>
          <w:rFonts w:eastAsia="SimSun"/>
          <w:lang w:val="en-GB"/>
        </w:rPr>
        <w:t xml:space="preserve">and </w:t>
      </w:r>
      <w:r w:rsidR="00A251F0">
        <w:rPr>
          <w:rFonts w:eastAsia="SimSun"/>
          <w:lang w:val="en-GB"/>
        </w:rPr>
        <w:t>chemotherapy</w:t>
      </w:r>
      <w:r w:rsidRPr="000D28E6">
        <w:rPr>
          <w:rFonts w:eastAsia="SimSun"/>
          <w:lang w:val="en-GB"/>
        </w:rPr>
        <w:t>l</w:t>
      </w:r>
      <w:r w:rsidRPr="000D28E6" w:rsidR="00C9141B">
        <w:rPr>
          <w:rFonts w:eastAsia="SimSun"/>
          <w:lang w:val="en-GB"/>
        </w:rPr>
        <w:t>.</w:t>
      </w:r>
    </w:p>
    <w:p w:rsidR="00863CEA" w:rsidRPr="000D28E6" w:rsidP="00B47DBE" w14:paraId="33E2400A" w14:textId="77777777">
      <w:pPr>
        <w:rPr>
          <w:rFonts w:eastAsia="SimSun"/>
          <w:lang w:val="en-GB"/>
        </w:rPr>
      </w:pPr>
    </w:p>
    <w:p w:rsidR="00863CEA" w:rsidRPr="000D28E6" w:rsidP="0096375F" w14:paraId="09BF8A7D" w14:textId="77777777">
      <w:pPr>
        <w:keepNext/>
        <w:keepLines/>
        <w:rPr>
          <w:rFonts w:eastAsia="SimSun"/>
          <w:lang w:val="en-GB"/>
        </w:rPr>
      </w:pPr>
      <w:r w:rsidRPr="000D28E6">
        <w:rPr>
          <w:rFonts w:eastAsia="SimSun"/>
          <w:b/>
          <w:lang w:val="en-GB"/>
        </w:rPr>
        <w:t>For all following infusions</w:t>
      </w:r>
      <w:r w:rsidRPr="000D28E6">
        <w:rPr>
          <w:rFonts w:eastAsia="SimSun"/>
          <w:lang w:val="en-GB"/>
        </w:rPr>
        <w:t>, if the first infusion was well tolerated:</w:t>
      </w:r>
    </w:p>
    <w:p w:rsidR="00D50486" w:rsidRPr="000D28E6" w:rsidP="0096375F" w14:paraId="1430A27F" w14:textId="77777777">
      <w:pPr>
        <w:keepNext/>
        <w:keepLines/>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Pr="000D28E6" w:rsidR="00200008">
        <w:rPr>
          <w:rFonts w:eastAsia="SimSun"/>
          <w:lang w:val="en-GB"/>
        </w:rPr>
        <w:t>Y</w:t>
      </w:r>
      <w:r w:rsidRPr="000D28E6">
        <w:rPr>
          <w:rFonts w:eastAsia="SimSun"/>
          <w:lang w:val="en-GB"/>
        </w:rPr>
        <w:t xml:space="preserve">ou will be given 420 mg of </w:t>
      </w:r>
      <w:r w:rsidRPr="000D28E6" w:rsidR="0001604A">
        <w:rPr>
          <w:rFonts w:eastAsia="SimSun"/>
          <w:lang w:val="en-GB"/>
        </w:rPr>
        <w:t>Perjeta</w:t>
      </w:r>
      <w:r w:rsidRPr="000D28E6">
        <w:rPr>
          <w:rFonts w:eastAsia="SimSun"/>
          <w:lang w:val="en-GB"/>
        </w:rPr>
        <w:t xml:space="preserve"> over 30 to 60 minutes. Your doctor or nurse will check for side effects during your infusion and for 30 to 60 minutes afterwards.</w:t>
      </w:r>
    </w:p>
    <w:p w:rsidR="00863CEA" w:rsidRPr="000D28E6" w:rsidP="0096375F" w14:paraId="28D6A7BF" w14:textId="77777777">
      <w:pPr>
        <w:keepNext/>
        <w:keepLines/>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r>
      <w:r w:rsidRPr="000D28E6" w:rsidR="00200008">
        <w:rPr>
          <w:rFonts w:eastAsia="SimSun"/>
          <w:lang w:val="en-GB"/>
        </w:rPr>
        <w:t>Y</w:t>
      </w:r>
      <w:r w:rsidRPr="000D28E6">
        <w:rPr>
          <w:rFonts w:eastAsia="SimSun"/>
          <w:lang w:val="en-GB"/>
        </w:rPr>
        <w:t xml:space="preserve">ou will also be given </w:t>
      </w:r>
      <w:r w:rsidRPr="000D28E6" w:rsidR="002C3FA8">
        <w:rPr>
          <w:rFonts w:eastAsia="SimSun"/>
          <w:lang w:val="en-GB"/>
        </w:rPr>
        <w:t xml:space="preserve">trastuzumab </w:t>
      </w:r>
      <w:r w:rsidRPr="000D28E6">
        <w:rPr>
          <w:rFonts w:eastAsia="SimSun"/>
          <w:lang w:val="en-GB"/>
        </w:rPr>
        <w:t xml:space="preserve">and </w:t>
      </w:r>
      <w:r w:rsidR="006D65A0">
        <w:rPr>
          <w:rFonts w:eastAsia="SimSun"/>
          <w:lang w:val="en-GB"/>
        </w:rPr>
        <w:t>chemotherapy</w:t>
      </w:r>
      <w:r w:rsidRPr="000D28E6" w:rsidR="00C9141B">
        <w:rPr>
          <w:rFonts w:eastAsia="SimSun"/>
          <w:lang w:val="en-GB"/>
        </w:rPr>
        <w:t>.</w:t>
      </w:r>
    </w:p>
    <w:p w:rsidR="00863CEA" w:rsidRPr="000D28E6" w:rsidP="00B47DBE" w14:paraId="4DEE1A69" w14:textId="77777777">
      <w:pPr>
        <w:rPr>
          <w:rFonts w:eastAsia="SimSun"/>
          <w:lang w:val="en-GB"/>
        </w:rPr>
      </w:pPr>
    </w:p>
    <w:p w:rsidR="00863CEA" w:rsidRPr="000D28E6" w:rsidP="00B47DBE" w14:paraId="427807AF" w14:textId="77777777">
      <w:pPr>
        <w:rPr>
          <w:rFonts w:eastAsia="SimSun"/>
          <w:lang w:val="en-GB"/>
        </w:rPr>
      </w:pPr>
      <w:r w:rsidRPr="000D28E6">
        <w:rPr>
          <w:rFonts w:eastAsia="SimSun"/>
          <w:lang w:val="en-GB"/>
        </w:rPr>
        <w:t xml:space="preserve">For further information on dosing of </w:t>
      </w:r>
      <w:r w:rsidRPr="000D28E6" w:rsidR="002C3FA8">
        <w:rPr>
          <w:rFonts w:eastAsia="SimSun"/>
          <w:lang w:val="en-GB"/>
        </w:rPr>
        <w:t xml:space="preserve">trastuzumab </w:t>
      </w:r>
      <w:r w:rsidRPr="000D28E6">
        <w:rPr>
          <w:rFonts w:eastAsia="SimSun"/>
          <w:lang w:val="en-GB"/>
        </w:rPr>
        <w:t xml:space="preserve">and </w:t>
      </w:r>
      <w:r w:rsidR="00A251F0">
        <w:rPr>
          <w:rFonts w:eastAsia="SimSun"/>
          <w:lang w:val="en-GB"/>
        </w:rPr>
        <w:t>chemotherapy</w:t>
      </w:r>
      <w:r w:rsidRPr="000D28E6">
        <w:rPr>
          <w:rFonts w:eastAsia="SimSun"/>
          <w:lang w:val="en-GB"/>
        </w:rPr>
        <w:t xml:space="preserve"> (which can cause side effects as well), please refer to the </w:t>
      </w:r>
      <w:r w:rsidRPr="000D28E6" w:rsidR="00326F4F">
        <w:rPr>
          <w:rFonts w:eastAsia="SimSun"/>
          <w:lang w:val="en-GB"/>
        </w:rPr>
        <w:t>package</w:t>
      </w:r>
      <w:r w:rsidRPr="000D28E6">
        <w:rPr>
          <w:rFonts w:eastAsia="SimSun"/>
          <w:lang w:val="en-GB"/>
        </w:rPr>
        <w:t xml:space="preserve"> leaflet for these products. If you have questions about these </w:t>
      </w:r>
      <w:r w:rsidRPr="000D28E6" w:rsidR="004121D6">
        <w:rPr>
          <w:rFonts w:eastAsia="SimSun"/>
          <w:lang w:val="en-GB"/>
        </w:rPr>
        <w:t>medicines</w:t>
      </w:r>
      <w:r w:rsidRPr="000D28E6">
        <w:rPr>
          <w:rFonts w:eastAsia="SimSun"/>
          <w:lang w:val="en-GB"/>
        </w:rPr>
        <w:t>, please ask your doctor</w:t>
      </w:r>
      <w:r w:rsidRPr="000D28E6" w:rsidR="00D50486">
        <w:rPr>
          <w:rFonts w:eastAsia="SimSun"/>
          <w:lang w:val="en-GB"/>
        </w:rPr>
        <w:t xml:space="preserve"> or nurse</w:t>
      </w:r>
      <w:r w:rsidRPr="000D28E6">
        <w:rPr>
          <w:rFonts w:eastAsia="SimSun"/>
          <w:lang w:val="en-GB"/>
        </w:rPr>
        <w:t xml:space="preserve">. </w:t>
      </w:r>
    </w:p>
    <w:p w:rsidR="00863CEA" w:rsidRPr="000D28E6" w:rsidP="00B47DBE" w14:paraId="11CBA0BD" w14:textId="77777777">
      <w:pPr>
        <w:rPr>
          <w:rFonts w:eastAsia="SimSun"/>
          <w:lang w:val="en-GB"/>
        </w:rPr>
      </w:pPr>
    </w:p>
    <w:p w:rsidR="00863CEA" w:rsidRPr="000D28E6" w:rsidP="00B47DBE" w14:paraId="4BE2362C" w14:textId="77777777">
      <w:pPr>
        <w:rPr>
          <w:rFonts w:eastAsia="SimSun"/>
          <w:b/>
          <w:lang w:val="en-GB"/>
        </w:rPr>
      </w:pPr>
      <w:r w:rsidRPr="000D28E6">
        <w:rPr>
          <w:rFonts w:eastAsia="SimSun"/>
          <w:b/>
          <w:lang w:val="en-GB"/>
        </w:rPr>
        <w:t xml:space="preserve">If you forget to have </w:t>
      </w:r>
      <w:r w:rsidRPr="000D28E6" w:rsidR="0001604A">
        <w:rPr>
          <w:rFonts w:eastAsia="SimSun"/>
          <w:b/>
          <w:lang w:val="en-GB"/>
        </w:rPr>
        <w:t>Perjeta</w:t>
      </w:r>
    </w:p>
    <w:p w:rsidR="00863CEA" w:rsidRPr="000D28E6" w:rsidP="00B47DBE" w14:paraId="404502B6" w14:textId="77777777">
      <w:pPr>
        <w:rPr>
          <w:rFonts w:eastAsia="SimSun" w:cs="Arial"/>
          <w:lang w:val="en-GB"/>
        </w:rPr>
      </w:pPr>
      <w:r w:rsidRPr="000D28E6">
        <w:rPr>
          <w:rFonts w:eastAsia="SimSun" w:cs="Arial"/>
          <w:lang w:val="en-GB"/>
        </w:rPr>
        <w:t xml:space="preserve">If you forget or miss your appointment to receive </w:t>
      </w:r>
      <w:r w:rsidRPr="000D28E6" w:rsidR="0001604A">
        <w:rPr>
          <w:rFonts w:eastAsia="SimSun" w:cs="Arial"/>
          <w:lang w:val="en-GB"/>
        </w:rPr>
        <w:t>Perjeta</w:t>
      </w:r>
      <w:r w:rsidRPr="000D28E6">
        <w:rPr>
          <w:rFonts w:eastAsia="SimSun"/>
          <w:lang w:val="en-GB"/>
        </w:rPr>
        <w:t xml:space="preserve"> </w:t>
      </w:r>
      <w:r w:rsidRPr="000D28E6">
        <w:rPr>
          <w:rFonts w:eastAsia="SimSun" w:cs="Arial"/>
          <w:lang w:val="en-GB"/>
        </w:rPr>
        <w:t>make another appointment as soon as possible. If it has been 6 weeks or more since your last visit</w:t>
      </w:r>
      <w:r w:rsidRPr="00BF2495" w:rsidR="006F3F1A">
        <w:rPr>
          <w:rFonts w:cs="Arial"/>
          <w:lang w:val="en-GB"/>
        </w:rPr>
        <w:t xml:space="preserve"> a </w:t>
      </w:r>
      <w:r w:rsidRPr="00BF2495" w:rsidR="006F3F1A">
        <w:rPr>
          <w:lang w:val="en-GB"/>
        </w:rPr>
        <w:t>higher Perjeta dose of 840 mg will be given to you.</w:t>
      </w:r>
    </w:p>
    <w:p w:rsidR="00BD3372" w:rsidRPr="000D28E6" w:rsidP="00BD3372" w14:paraId="3285D9F5" w14:textId="77777777">
      <w:pPr>
        <w:rPr>
          <w:rFonts w:eastAsia="SimSun"/>
          <w:lang w:val="en-GB"/>
        </w:rPr>
      </w:pPr>
    </w:p>
    <w:p w:rsidR="00863CEA" w:rsidRPr="000D28E6" w:rsidP="00BD3372" w14:paraId="54075DAD" w14:textId="77777777">
      <w:pPr>
        <w:rPr>
          <w:rFonts w:eastAsia="SimSun"/>
          <w:b/>
          <w:lang w:val="en-GB"/>
        </w:rPr>
      </w:pPr>
      <w:r w:rsidRPr="000D28E6">
        <w:rPr>
          <w:rFonts w:eastAsia="SimSun"/>
          <w:b/>
          <w:lang w:val="en-GB"/>
        </w:rPr>
        <w:t xml:space="preserve">If you stop having </w:t>
      </w:r>
      <w:r w:rsidRPr="000D28E6" w:rsidR="0001604A">
        <w:rPr>
          <w:rFonts w:eastAsia="SimSun"/>
          <w:b/>
          <w:lang w:val="en-GB"/>
        </w:rPr>
        <w:t>Perjeta</w:t>
      </w:r>
    </w:p>
    <w:p w:rsidR="00863CEA" w:rsidRPr="000D28E6" w:rsidP="00BD3372" w14:paraId="39A18F3D" w14:textId="77777777">
      <w:pPr>
        <w:rPr>
          <w:rFonts w:eastAsia="SimSun"/>
          <w:noProof/>
          <w:lang w:val="en-GB"/>
        </w:rPr>
      </w:pPr>
      <w:r w:rsidRPr="000D28E6">
        <w:rPr>
          <w:rFonts w:eastAsia="SimSun"/>
          <w:noProof/>
          <w:lang w:val="en-GB"/>
        </w:rPr>
        <w:t>Do not stop having this medicine without talking to your doctor first.</w:t>
      </w:r>
      <w:r w:rsidRPr="000D28E6" w:rsidR="00D7636D">
        <w:rPr>
          <w:rFonts w:eastAsia="SimSun"/>
          <w:noProof/>
          <w:lang w:val="en-GB"/>
        </w:rPr>
        <w:t xml:space="preserve"> It is important that you are given all the infusions that have been recommended.</w:t>
      </w:r>
    </w:p>
    <w:p w:rsidR="009D5157" w:rsidRPr="000D28E6" w:rsidP="00BD3372" w14:paraId="0600E564" w14:textId="77777777">
      <w:pPr>
        <w:rPr>
          <w:rFonts w:eastAsia="SimSun"/>
          <w:noProof/>
          <w:lang w:val="en-GB"/>
        </w:rPr>
      </w:pPr>
    </w:p>
    <w:p w:rsidR="00863CEA" w:rsidRPr="000D28E6" w:rsidP="00BD3372" w14:paraId="6B6CD2B7" w14:textId="77777777">
      <w:pPr>
        <w:rPr>
          <w:rFonts w:eastAsia="SimSun"/>
          <w:noProof/>
          <w:lang w:val="en-GB"/>
        </w:rPr>
      </w:pPr>
      <w:r w:rsidRPr="000D28E6">
        <w:rPr>
          <w:rFonts w:eastAsia="SimSun"/>
          <w:noProof/>
          <w:lang w:val="en-GB"/>
        </w:rPr>
        <w:t>If you have any further questions on the use of this medicine, ask your doctor or nurse.</w:t>
      </w:r>
    </w:p>
    <w:p w:rsidR="00863CEA" w:rsidRPr="000D28E6" w:rsidP="00BD3372" w14:paraId="48DCA8D2" w14:textId="77777777">
      <w:pPr>
        <w:rPr>
          <w:rFonts w:eastAsia="SimSun"/>
          <w:lang w:val="en-GB"/>
        </w:rPr>
      </w:pPr>
    </w:p>
    <w:p w:rsidR="00010452" w:rsidRPr="000D28E6" w:rsidP="00BD3372" w14:paraId="5445612C" w14:textId="77777777">
      <w:pPr>
        <w:rPr>
          <w:rFonts w:eastAsia="SimSun"/>
          <w:lang w:val="en-GB"/>
        </w:rPr>
      </w:pPr>
    </w:p>
    <w:p w:rsidR="00863CEA" w:rsidRPr="000D28E6" w:rsidP="0096375F" w14:paraId="04ADA982" w14:textId="77777777">
      <w:pPr>
        <w:keepNext/>
        <w:keepLines/>
        <w:rPr>
          <w:rFonts w:eastAsia="SimSun"/>
          <w:b/>
          <w:noProof/>
          <w:lang w:val="en-GB"/>
        </w:rPr>
      </w:pPr>
      <w:r w:rsidRPr="000D28E6">
        <w:rPr>
          <w:rFonts w:eastAsia="SimSun"/>
          <w:b/>
          <w:noProof/>
          <w:lang w:val="en-GB"/>
        </w:rPr>
        <w:t>4.</w:t>
      </w:r>
      <w:r w:rsidRPr="000D28E6">
        <w:rPr>
          <w:rFonts w:eastAsia="SimSun"/>
          <w:b/>
          <w:noProof/>
          <w:lang w:val="en-GB"/>
        </w:rPr>
        <w:tab/>
        <w:t>Possible side effects</w:t>
      </w:r>
    </w:p>
    <w:p w:rsidR="00863CEA" w:rsidRPr="000D28E6" w:rsidP="0096375F" w14:paraId="154C8F82" w14:textId="77777777">
      <w:pPr>
        <w:keepNext/>
        <w:keepLines/>
        <w:rPr>
          <w:rFonts w:eastAsia="SimSun"/>
          <w:lang w:val="en-GB"/>
        </w:rPr>
      </w:pPr>
    </w:p>
    <w:p w:rsidR="00863CEA" w:rsidRPr="000D28E6" w:rsidP="0096375F" w14:paraId="352A394E" w14:textId="77777777">
      <w:pPr>
        <w:keepNext/>
        <w:keepLines/>
        <w:rPr>
          <w:rFonts w:eastAsia="SimSun"/>
          <w:lang w:val="en-GB"/>
        </w:rPr>
      </w:pPr>
      <w:r w:rsidRPr="000D28E6">
        <w:rPr>
          <w:rFonts w:eastAsia="SimSun"/>
          <w:lang w:val="en-GB"/>
        </w:rPr>
        <w:t>Like all medicines, this medicine can cause side effects, although not everybody gets them.</w:t>
      </w:r>
    </w:p>
    <w:p w:rsidR="00863CEA" w:rsidRPr="000D28E6" w:rsidP="0096375F" w14:paraId="2FE53F53" w14:textId="77777777">
      <w:pPr>
        <w:keepNext/>
        <w:keepLines/>
        <w:rPr>
          <w:rFonts w:eastAsia="SimSun"/>
          <w:lang w:val="en-GB"/>
        </w:rPr>
      </w:pPr>
    </w:p>
    <w:p w:rsidR="00863CEA" w:rsidRPr="001F5859" w:rsidP="0096375F" w14:paraId="08BB32C4" w14:textId="77777777">
      <w:pPr>
        <w:keepNext/>
        <w:keepLines/>
        <w:rPr>
          <w:rFonts w:eastAsia="SimSun"/>
          <w:b/>
          <w:lang w:val="en-GB"/>
        </w:rPr>
      </w:pPr>
      <w:r w:rsidRPr="000D28E6">
        <w:rPr>
          <w:rFonts w:eastAsia="SimSun"/>
          <w:b/>
          <w:lang w:val="en-GB"/>
        </w:rPr>
        <w:t>Serious si</w:t>
      </w:r>
      <w:r w:rsidRPr="001F5859">
        <w:rPr>
          <w:rFonts w:eastAsia="SimSun"/>
          <w:b/>
          <w:lang w:val="en-GB"/>
        </w:rPr>
        <w:t>de effects</w:t>
      </w:r>
    </w:p>
    <w:p w:rsidR="00863CEA" w:rsidRPr="001F5859" w:rsidP="0096375F" w14:paraId="109733FE" w14:textId="77777777">
      <w:pPr>
        <w:keepNext/>
        <w:keepLines/>
        <w:rPr>
          <w:rFonts w:eastAsia="SimSun"/>
          <w:b/>
          <w:lang w:val="en-GB"/>
        </w:rPr>
      </w:pPr>
      <w:r w:rsidRPr="001F5859">
        <w:rPr>
          <w:rFonts w:eastAsia="SimSun"/>
          <w:b/>
          <w:lang w:val="en-GB"/>
        </w:rPr>
        <w:t xml:space="preserve">Tell a doctor or nurse straight away, if you notice any of the following side effects: </w:t>
      </w:r>
    </w:p>
    <w:p w:rsidR="000E5912" w:rsidRPr="001F5859" w:rsidP="000E5912" w14:paraId="13B23FE3"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t>Very severe or persistent diarrhoea (7 or more stools per day).</w:t>
      </w:r>
    </w:p>
    <w:p w:rsidR="00240D34" w:rsidRPr="001F5859" w:rsidP="001F5859" w14:paraId="3849AC2D" w14:textId="77777777">
      <w:pPr>
        <w:ind w:left="720" w:hanging="720"/>
        <w:rPr>
          <w:rFonts w:eastAsia="SimSun"/>
          <w:lang w:val="en-GB"/>
        </w:rPr>
      </w:pPr>
      <w:r w:rsidRPr="000D28E6">
        <w:rPr>
          <w:rFonts w:ascii="Symbol" w:eastAsia="SimSun" w:hAnsi="Symbol"/>
          <w:lang w:val="en-GB"/>
        </w:rPr>
        <w:sym w:font="Symbol" w:char="F0B7"/>
      </w:r>
      <w:r>
        <w:rPr>
          <w:rFonts w:eastAsia="SimSun"/>
          <w:lang w:val="en-GB"/>
        </w:rPr>
        <w:tab/>
      </w:r>
      <w:r w:rsidRPr="001F5859" w:rsidR="000E5912">
        <w:rPr>
          <w:rFonts w:eastAsia="SimSun"/>
          <w:lang w:val="en-GB"/>
        </w:rPr>
        <w:t>A decrease in the number or low amount of white blood cells (shown in a blood test), with or without fever, which may increase the risk of an infection.</w:t>
      </w:r>
    </w:p>
    <w:p w:rsidR="000E5912" w:rsidRPr="001F5859" w:rsidP="0033026A" w14:paraId="7D5F0379" w14:textId="77777777">
      <w:pPr>
        <w:ind w:left="720" w:hanging="720"/>
        <w:rPr>
          <w:lang w:val="en-GB"/>
        </w:rPr>
      </w:pPr>
      <w:r w:rsidRPr="001F5859">
        <w:rPr>
          <w:rFonts w:ascii="Symbol" w:hAnsi="Symbol"/>
          <w:szCs w:val="22"/>
          <w:lang w:val="en-GB"/>
        </w:rPr>
        <w:sym w:font="Symbol" w:char="F0B7"/>
      </w:r>
      <w:r w:rsidRPr="001F5859" w:rsidR="00C50015">
        <w:rPr>
          <w:lang w:val="en-GB"/>
        </w:rPr>
        <w:tab/>
      </w:r>
      <w:r w:rsidRPr="001F5859">
        <w:rPr>
          <w:lang w:val="en-GB"/>
        </w:rPr>
        <w:t>I</w:t>
      </w:r>
      <w:r w:rsidRPr="001F5859" w:rsidR="0033026A">
        <w:rPr>
          <w:lang w:val="en-GB"/>
        </w:rPr>
        <w:t>nfusion reactions</w:t>
      </w:r>
      <w:r w:rsidRPr="001F5859">
        <w:rPr>
          <w:lang w:val="en-GB"/>
        </w:rPr>
        <w:t xml:space="preserve"> </w:t>
      </w:r>
      <w:r w:rsidRPr="001F5859" w:rsidR="0005198B">
        <w:rPr>
          <w:lang w:val="en-GB"/>
        </w:rPr>
        <w:t xml:space="preserve">with </w:t>
      </w:r>
      <w:r w:rsidRPr="001F5859">
        <w:rPr>
          <w:lang w:val="en-GB"/>
        </w:rPr>
        <w:t>symptoms</w:t>
      </w:r>
      <w:r w:rsidRPr="001F5859" w:rsidR="0033026A">
        <w:rPr>
          <w:lang w:val="en-GB"/>
        </w:rPr>
        <w:t xml:space="preserve"> </w:t>
      </w:r>
      <w:r w:rsidRPr="001F5859" w:rsidR="0005198B">
        <w:rPr>
          <w:lang w:val="en-GB"/>
        </w:rPr>
        <w:t xml:space="preserve">that </w:t>
      </w:r>
      <w:r w:rsidRPr="001F5859" w:rsidR="0033026A">
        <w:rPr>
          <w:lang w:val="en-GB"/>
        </w:rPr>
        <w:t xml:space="preserve">can </w:t>
      </w:r>
      <w:r w:rsidRPr="001F5859">
        <w:rPr>
          <w:lang w:val="en-GB"/>
        </w:rPr>
        <w:t xml:space="preserve">either be mild or more severe and </w:t>
      </w:r>
      <w:r w:rsidRPr="001F5859" w:rsidR="0033026A">
        <w:rPr>
          <w:lang w:val="en-GB"/>
        </w:rPr>
        <w:t>may include feeling sick (nausea), fever, chills, feeling tired, headache, loss of appetite</w:t>
      </w:r>
      <w:r w:rsidRPr="001F5859">
        <w:rPr>
          <w:lang w:val="en-GB"/>
        </w:rPr>
        <w:t>, joint and muscle pains, and hot flushes</w:t>
      </w:r>
      <w:r w:rsidRPr="001F5859" w:rsidR="0033026A">
        <w:rPr>
          <w:lang w:val="en-GB"/>
        </w:rPr>
        <w:t xml:space="preserve">. </w:t>
      </w:r>
    </w:p>
    <w:p w:rsidR="00240D34" w:rsidRPr="001F5859" w:rsidP="001F5859" w14:paraId="411543F3" w14:textId="77777777">
      <w:pPr>
        <w:ind w:left="720" w:hanging="720"/>
        <w:rPr>
          <w:lang w:val="en-GB"/>
        </w:rPr>
      </w:pPr>
      <w:r w:rsidRPr="000D28E6">
        <w:rPr>
          <w:rFonts w:ascii="Symbol" w:eastAsia="SimSun" w:hAnsi="Symbol"/>
          <w:lang w:val="en-GB"/>
        </w:rPr>
        <w:sym w:font="Symbol" w:char="F0B7"/>
      </w:r>
      <w:r>
        <w:rPr>
          <w:rFonts w:eastAsia="SimSun"/>
          <w:lang w:val="en-GB"/>
        </w:rPr>
        <w:tab/>
      </w:r>
      <w:r w:rsidRPr="001F5859" w:rsidR="0033026A">
        <w:rPr>
          <w:lang w:val="en-GB"/>
        </w:rPr>
        <w:t xml:space="preserve">Allergic and anaphylactic </w:t>
      </w:r>
      <w:r w:rsidRPr="001F5859" w:rsidR="00A049B9">
        <w:rPr>
          <w:lang w:val="en-GB"/>
        </w:rPr>
        <w:t xml:space="preserve">(more </w:t>
      </w:r>
      <w:r w:rsidRPr="001F5859" w:rsidR="00326F4F">
        <w:rPr>
          <w:lang w:val="en-GB"/>
        </w:rPr>
        <w:t xml:space="preserve">severe </w:t>
      </w:r>
      <w:r w:rsidRPr="001F5859" w:rsidR="00A049B9">
        <w:rPr>
          <w:lang w:val="en-GB"/>
        </w:rPr>
        <w:t xml:space="preserve">allergic) </w:t>
      </w:r>
      <w:r w:rsidRPr="001F5859" w:rsidR="0033026A">
        <w:rPr>
          <w:lang w:val="en-GB"/>
        </w:rPr>
        <w:t xml:space="preserve">reactions </w:t>
      </w:r>
      <w:r w:rsidRPr="001F5859" w:rsidR="0005198B">
        <w:rPr>
          <w:lang w:val="en-GB"/>
        </w:rPr>
        <w:t xml:space="preserve">with </w:t>
      </w:r>
      <w:r w:rsidRPr="001F5859" w:rsidR="000E5912">
        <w:rPr>
          <w:lang w:val="en-GB"/>
        </w:rPr>
        <w:t xml:space="preserve">symptoms </w:t>
      </w:r>
      <w:r w:rsidRPr="001F5859" w:rsidR="0005198B">
        <w:rPr>
          <w:lang w:val="en-GB"/>
        </w:rPr>
        <w:t xml:space="preserve">that </w:t>
      </w:r>
      <w:r w:rsidRPr="001F5859" w:rsidR="0033026A">
        <w:rPr>
          <w:lang w:val="en-GB"/>
        </w:rPr>
        <w:t>may include swelling of your face and thr</w:t>
      </w:r>
      <w:r w:rsidRPr="001F5859" w:rsidR="00136814">
        <w:rPr>
          <w:lang w:val="en-GB"/>
        </w:rPr>
        <w:t>oat</w:t>
      </w:r>
      <w:r w:rsidRPr="001F5859" w:rsidR="00A049B9">
        <w:rPr>
          <w:lang w:val="en-GB"/>
        </w:rPr>
        <w:t>,</w:t>
      </w:r>
      <w:r w:rsidRPr="001F5859" w:rsidR="00136814">
        <w:rPr>
          <w:lang w:val="en-GB"/>
        </w:rPr>
        <w:t xml:space="preserve"> with difficulty </w:t>
      </w:r>
      <w:r w:rsidRPr="001F5859" w:rsidR="006F3F1A">
        <w:rPr>
          <w:szCs w:val="22"/>
          <w:lang w:val="en-GB"/>
        </w:rPr>
        <w:t xml:space="preserve">in </w:t>
      </w:r>
      <w:r w:rsidRPr="001F5859" w:rsidR="00136814">
        <w:rPr>
          <w:lang w:val="en-GB"/>
        </w:rPr>
        <w:t>breathing</w:t>
      </w:r>
      <w:r w:rsidRPr="003C7BE9" w:rsidR="00136814">
        <w:rPr>
          <w:lang w:val="en-GB"/>
        </w:rPr>
        <w:t>.</w:t>
      </w:r>
      <w:r w:rsidRPr="003C7BE9" w:rsidR="00773DFF">
        <w:rPr>
          <w:lang w:val="en-GB"/>
        </w:rPr>
        <w:t xml:space="preserve"> Very rarely, patients have died due to anaphylactic reactions during Perjeta infusion.</w:t>
      </w:r>
      <w:r w:rsidR="00773DFF">
        <w:rPr>
          <w:lang w:val="en-GB"/>
        </w:rPr>
        <w:t xml:space="preserve">  </w:t>
      </w:r>
    </w:p>
    <w:p w:rsidR="0033026A" w:rsidRPr="001F5859" w:rsidP="0033026A" w14:paraId="67DC9904" w14:textId="77777777">
      <w:pPr>
        <w:ind w:left="720" w:hanging="720"/>
        <w:rPr>
          <w:noProof/>
          <w:lang w:val="en-GB"/>
        </w:rPr>
      </w:pPr>
      <w:r w:rsidRPr="001F5859">
        <w:rPr>
          <w:rFonts w:ascii="Symbol" w:hAnsi="Symbol"/>
          <w:szCs w:val="22"/>
          <w:lang w:val="en-GB"/>
        </w:rPr>
        <w:sym w:font="Symbol" w:char="F0B7"/>
      </w:r>
      <w:r w:rsidRPr="001F5859" w:rsidR="00C50015">
        <w:rPr>
          <w:lang w:val="en-GB"/>
        </w:rPr>
        <w:tab/>
      </w:r>
      <w:r w:rsidRPr="001F5859" w:rsidR="000E5912">
        <w:rPr>
          <w:lang w:val="en-GB"/>
        </w:rPr>
        <w:t>H</w:t>
      </w:r>
      <w:r w:rsidRPr="001F5859">
        <w:rPr>
          <w:lang w:val="en-GB"/>
        </w:rPr>
        <w:t>eart problems (he</w:t>
      </w:r>
      <w:r w:rsidRPr="001F5859" w:rsidR="00A54E64">
        <w:rPr>
          <w:lang w:val="en-GB"/>
        </w:rPr>
        <w:t>art failure)</w:t>
      </w:r>
      <w:r w:rsidRPr="001F5859" w:rsidR="000E5912">
        <w:rPr>
          <w:lang w:val="en-GB"/>
        </w:rPr>
        <w:t xml:space="preserve"> </w:t>
      </w:r>
      <w:r w:rsidRPr="001F5859" w:rsidR="0005198B">
        <w:rPr>
          <w:lang w:val="en-GB"/>
        </w:rPr>
        <w:t xml:space="preserve">with </w:t>
      </w:r>
      <w:r w:rsidRPr="001F5859" w:rsidR="000E5912">
        <w:rPr>
          <w:lang w:val="en-GB"/>
        </w:rPr>
        <w:t>symptoms</w:t>
      </w:r>
      <w:r w:rsidRPr="001F5859" w:rsidR="00A54E64">
        <w:rPr>
          <w:lang w:val="en-GB"/>
        </w:rPr>
        <w:t xml:space="preserve"> </w:t>
      </w:r>
      <w:r w:rsidRPr="001F5859" w:rsidR="0005198B">
        <w:rPr>
          <w:lang w:val="en-GB"/>
        </w:rPr>
        <w:t xml:space="preserve">that </w:t>
      </w:r>
      <w:r w:rsidRPr="001F5859">
        <w:rPr>
          <w:lang w:val="en-GB"/>
        </w:rPr>
        <w:t>can include cough, shortness of breath</w:t>
      </w:r>
      <w:r w:rsidRPr="001F5859" w:rsidR="000E5912">
        <w:rPr>
          <w:lang w:val="en-GB"/>
        </w:rPr>
        <w:t>,</w:t>
      </w:r>
      <w:r w:rsidRPr="001F5859">
        <w:rPr>
          <w:lang w:val="en-GB"/>
        </w:rPr>
        <w:t xml:space="preserve"> and swelling (fluid retention) in your legs or arms. </w:t>
      </w:r>
    </w:p>
    <w:p w:rsidR="00911A09" w:rsidRPr="004F2053" w:rsidP="00763EEE" w14:paraId="14E72332" w14:textId="77777777">
      <w:pPr>
        <w:ind w:left="720" w:hanging="720"/>
        <w:rPr>
          <w:rFonts w:eastAsia="SimSun"/>
          <w:lang w:val="en-GB"/>
        </w:rPr>
      </w:pPr>
      <w:r w:rsidRPr="001F5859">
        <w:rPr>
          <w:rFonts w:ascii="Symbol" w:hAnsi="Symbol"/>
          <w:szCs w:val="22"/>
          <w:lang w:val="en-GB"/>
        </w:rPr>
        <w:sym w:font="Symbol" w:char="F0B7"/>
      </w:r>
      <w:r>
        <w:rPr>
          <w:rFonts w:ascii="Symbol" w:hAnsi="Symbol"/>
          <w:szCs w:val="22"/>
          <w:lang w:val="en-GB"/>
        </w:rPr>
        <w:tab/>
      </w:r>
      <w:r w:rsidRPr="004F2053" w:rsidR="00114046">
        <w:rPr>
          <w:noProof/>
          <w:lang w:val="en-GB"/>
        </w:rPr>
        <w:t xml:space="preserve">Tumour lysis syndrome (a condition which may happen when cancer cells die quickly, causing changes in blood levels of </w:t>
      </w:r>
      <w:r w:rsidRPr="004F2053" w:rsidR="00114046">
        <w:rPr>
          <w:szCs w:val="22"/>
        </w:rPr>
        <w:t>minerals and metabolites shown in a blood test). S</w:t>
      </w:r>
      <w:r w:rsidRPr="004F2053" w:rsidR="00114046">
        <w:rPr>
          <w:noProof/>
          <w:lang w:val="en-GB"/>
        </w:rPr>
        <w:t>ymptoms may include kidney problems (weakness, shortness of breath, fatigue and confusion), heart problems (fluttering of the heart of a faster or slower heartbeat), seizures, vomiting or diarrhoea and tingling in the mouth, hands or feet</w:t>
      </w:r>
    </w:p>
    <w:p w:rsidR="004D2263" w:rsidP="00BD3372" w14:paraId="023DE87E" w14:textId="77777777">
      <w:pPr>
        <w:rPr>
          <w:rFonts w:eastAsia="SimSun" w:cs="Arial"/>
          <w:lang w:val="en-GB"/>
        </w:rPr>
      </w:pPr>
    </w:p>
    <w:p w:rsidR="00863CEA" w:rsidRPr="001F5859" w:rsidP="00BD3372" w14:paraId="1C0CED83" w14:textId="77777777">
      <w:pPr>
        <w:rPr>
          <w:rFonts w:eastAsia="SimSun"/>
          <w:noProof/>
          <w:lang w:val="en-GB"/>
        </w:rPr>
      </w:pPr>
      <w:r w:rsidRPr="001F5859">
        <w:rPr>
          <w:rFonts w:eastAsia="SimSun" w:cs="Arial"/>
          <w:lang w:val="en-GB"/>
        </w:rPr>
        <w:t xml:space="preserve">Tell a doctor or nurse straight away, if you notice any of the side effects above. </w:t>
      </w:r>
    </w:p>
    <w:p w:rsidR="00863CEA" w:rsidRPr="001F5859" w:rsidP="00BD3372" w14:paraId="370075DD" w14:textId="77777777">
      <w:pPr>
        <w:rPr>
          <w:rFonts w:eastAsia="SimSun"/>
          <w:lang w:val="en-GB"/>
        </w:rPr>
      </w:pPr>
    </w:p>
    <w:p w:rsidR="00863CEA" w:rsidRPr="001F5859" w:rsidP="00BD3372" w14:paraId="27B65D67" w14:textId="77777777">
      <w:pPr>
        <w:rPr>
          <w:rFonts w:eastAsia="SimSun"/>
          <w:b/>
          <w:lang w:val="en-GB"/>
        </w:rPr>
      </w:pPr>
      <w:r w:rsidRPr="001F5859">
        <w:rPr>
          <w:rFonts w:eastAsia="SimSun"/>
          <w:b/>
          <w:lang w:val="en-GB"/>
        </w:rPr>
        <w:t>Other side effects include:</w:t>
      </w:r>
    </w:p>
    <w:p w:rsidR="00BD3372" w:rsidRPr="001F5859" w:rsidP="00BD3372" w14:paraId="1A2A0226" w14:textId="77777777">
      <w:pPr>
        <w:rPr>
          <w:rFonts w:eastAsia="SimSun"/>
          <w:lang w:val="en-GB"/>
        </w:rPr>
      </w:pPr>
    </w:p>
    <w:p w:rsidR="00863CEA" w:rsidRPr="001F5859" w:rsidP="004804E7" w14:paraId="58A13B74" w14:textId="77777777">
      <w:pPr>
        <w:rPr>
          <w:rFonts w:eastAsia="SimSun"/>
          <w:b/>
          <w:noProof/>
          <w:lang w:val="en-GB"/>
        </w:rPr>
      </w:pPr>
      <w:r w:rsidRPr="001F5859">
        <w:rPr>
          <w:rFonts w:eastAsia="SimSun"/>
          <w:b/>
          <w:lang w:val="en-GB"/>
        </w:rPr>
        <w:t>Very common (may affect more than 1 in 10 people):</w:t>
      </w:r>
    </w:p>
    <w:p w:rsidR="00CC30E5" w:rsidRPr="001F5859" w:rsidP="00BD3372" w14:paraId="3C72AE34"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t>Diarrhoea</w:t>
      </w:r>
    </w:p>
    <w:p w:rsidR="00240D34" w:rsidRPr="001F5859" w:rsidP="001F5859" w14:paraId="1691CB4C"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Hair loss</w:t>
      </w:r>
    </w:p>
    <w:p w:rsidR="00240D34" w:rsidRPr="001F5859" w:rsidP="001F5859" w14:paraId="7230E43E"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Feeling sick or being tired</w:t>
      </w:r>
    </w:p>
    <w:p w:rsidR="00240D34" w:rsidRPr="001F5859" w:rsidP="001F5859" w14:paraId="58B12338"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Rash</w:t>
      </w:r>
    </w:p>
    <w:p w:rsidR="00240D34" w:rsidRPr="001F5859" w:rsidP="001F5859" w14:paraId="1EA10F8F"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Inflammation of your digestive tract (e.g. sore mouth)</w:t>
      </w:r>
    </w:p>
    <w:p w:rsidR="00240D34" w:rsidRPr="001F5859" w:rsidP="001F5859" w14:paraId="23DEB03A"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Decrease in the number of red blood cells – shown in a blood test</w:t>
      </w:r>
    </w:p>
    <w:p w:rsidR="00240D34" w:rsidRPr="001F5859" w:rsidP="001F5859" w14:paraId="311B5B4A"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Joint or muscle pain, muscle weakness</w:t>
      </w:r>
    </w:p>
    <w:p w:rsidR="00240D34" w:rsidRPr="001F5859" w:rsidP="001F5859" w14:paraId="018A04E5"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Constipation</w:t>
      </w:r>
    </w:p>
    <w:p w:rsidR="00240D34" w:rsidRPr="001F5859" w:rsidP="001F5859" w14:paraId="26EA84F5"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Reduced appetite</w:t>
      </w:r>
    </w:p>
    <w:p w:rsidR="00240D34" w:rsidRPr="001F5859" w:rsidP="001F5859" w14:paraId="0DFB7497"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Loss of or altered taste</w:t>
      </w:r>
    </w:p>
    <w:p w:rsidR="00240D34" w:rsidRPr="001F5859" w:rsidP="001F5859" w14:paraId="02B46BB6"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071F34">
        <w:rPr>
          <w:rFonts w:eastAsia="SimSun"/>
          <w:lang w:val="en-GB"/>
        </w:rPr>
        <w:t>F</w:t>
      </w:r>
      <w:r w:rsidRPr="001F5859" w:rsidR="00863CEA">
        <w:rPr>
          <w:rFonts w:eastAsia="SimSun"/>
          <w:lang w:val="en-GB"/>
        </w:rPr>
        <w:t xml:space="preserve">ever </w:t>
      </w:r>
    </w:p>
    <w:p w:rsidR="00240D34" w:rsidRPr="001F5859" w:rsidP="001F5859" w14:paraId="5E94CC57"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Swollen ankles or other body parts due to your body retaining too much water</w:t>
      </w:r>
    </w:p>
    <w:p w:rsidR="00CC30E5" w:rsidRPr="001F5859" w:rsidP="00BD3372" w14:paraId="0D70160B"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r>
      <w:r w:rsidRPr="001F5859" w:rsidR="00200008">
        <w:rPr>
          <w:rFonts w:eastAsia="SimSun"/>
          <w:lang w:val="en-GB"/>
        </w:rPr>
        <w:t>N</w:t>
      </w:r>
      <w:r w:rsidRPr="001F5859">
        <w:rPr>
          <w:rFonts w:eastAsia="SimSun"/>
          <w:lang w:val="en-GB"/>
        </w:rPr>
        <w:t>ot being able to</w:t>
      </w:r>
      <w:r w:rsidRPr="001F5859">
        <w:rPr>
          <w:rFonts w:eastAsia="SimSun"/>
          <w:noProof/>
          <w:lang w:val="en-GB"/>
        </w:rPr>
        <w:t xml:space="preserve"> </w:t>
      </w:r>
      <w:r w:rsidRPr="001F5859">
        <w:rPr>
          <w:rFonts w:eastAsia="SimSun"/>
          <w:lang w:val="en-GB"/>
        </w:rPr>
        <w:t>sleep</w:t>
      </w:r>
    </w:p>
    <w:p w:rsidR="00240D34" w:rsidRPr="001F5859" w:rsidP="001F5859" w14:paraId="200A4A10" w14:textId="77777777">
      <w:pPr>
        <w:rPr>
          <w:rFonts w:eastAsia="SimSun"/>
          <w:lang w:val="en-GB"/>
        </w:rPr>
      </w:pPr>
      <w:r w:rsidRPr="000D28E6">
        <w:rPr>
          <w:rFonts w:ascii="Symbol" w:eastAsia="SimSun" w:hAnsi="Symbol"/>
          <w:lang w:val="en-GB"/>
        </w:rPr>
        <w:sym w:font="Symbol" w:char="F0B7"/>
      </w:r>
      <w:r w:rsidR="009A7B81">
        <w:rPr>
          <w:rFonts w:eastAsia="SimSun"/>
          <w:lang w:val="en-GB"/>
        </w:rPr>
        <w:tab/>
      </w:r>
      <w:r w:rsidRPr="001F5859" w:rsidR="00CC30E5">
        <w:rPr>
          <w:rFonts w:eastAsia="SimSun"/>
          <w:lang w:val="en-GB"/>
        </w:rPr>
        <w:t>Hot flushes</w:t>
      </w:r>
      <w:r w:rsidRPr="001F5859" w:rsidR="00863CEA">
        <w:rPr>
          <w:rFonts w:eastAsia="SimSun"/>
          <w:noProof/>
          <w:lang w:val="en-GB"/>
        </w:rPr>
        <w:t xml:space="preserve"> </w:t>
      </w:r>
    </w:p>
    <w:p w:rsidR="00863CEA" w:rsidRPr="001F5859" w:rsidP="00BD3372" w14:paraId="45C805C7"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r>
      <w:r w:rsidRPr="001F5859" w:rsidR="00200008">
        <w:rPr>
          <w:rFonts w:eastAsia="SimSun"/>
          <w:lang w:val="en-GB"/>
        </w:rPr>
        <w:t>W</w:t>
      </w:r>
      <w:r w:rsidRPr="001F5859">
        <w:rPr>
          <w:rFonts w:eastAsia="SimSun"/>
          <w:lang w:val="en-GB"/>
        </w:rPr>
        <w:t xml:space="preserve">eak, numb, tingling or prickling sensations mainly affecting the feet and legs </w:t>
      </w:r>
    </w:p>
    <w:p w:rsidR="00240D34" w:rsidRPr="001F5859" w:rsidP="001F5859" w14:paraId="25928573"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Nose bleeds</w:t>
      </w:r>
    </w:p>
    <w:p w:rsidR="00240D34" w:rsidRPr="001F5859" w:rsidP="001F5859" w14:paraId="011664AC"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Cough</w:t>
      </w:r>
    </w:p>
    <w:p w:rsidR="00240D34" w:rsidRPr="001F5859" w:rsidP="001F5859" w14:paraId="5320D06F"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Heartburn</w:t>
      </w:r>
    </w:p>
    <w:p w:rsidR="00240D34" w:rsidRPr="001F5859" w:rsidP="001F5859" w14:paraId="2CE903C6"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Dry, itchy or acne like skin</w:t>
      </w:r>
    </w:p>
    <w:p w:rsidR="00863CEA" w:rsidRPr="001F5859" w:rsidP="00BD3372" w14:paraId="024292E2"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r>
      <w:r w:rsidRPr="001F5859" w:rsidR="00200008">
        <w:rPr>
          <w:rFonts w:eastAsia="SimSun"/>
          <w:lang w:val="en-GB"/>
        </w:rPr>
        <w:t>N</w:t>
      </w:r>
      <w:r w:rsidRPr="001F5859">
        <w:rPr>
          <w:rFonts w:eastAsia="SimSun"/>
          <w:lang w:val="en-GB"/>
        </w:rPr>
        <w:t xml:space="preserve">ail problems </w:t>
      </w:r>
    </w:p>
    <w:p w:rsidR="00240D34" w:rsidRPr="001F5859" w:rsidP="001F5859" w14:paraId="4F09944F"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Sore throat, red, sore or runny nose, flu-like symptoms and fever</w:t>
      </w:r>
    </w:p>
    <w:p w:rsidR="00240D34" w:rsidRPr="001F5859" w:rsidP="001F5859" w14:paraId="3D8B7AFC"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Producing more tears</w:t>
      </w:r>
    </w:p>
    <w:p w:rsidR="00240D34" w:rsidRPr="001F5859" w:rsidP="001F5859" w14:paraId="2AF9EFB0"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Fever associated with dangerously low levels of a type of white blood cell (neutrophils)</w:t>
      </w:r>
    </w:p>
    <w:p w:rsidR="00240D34" w:rsidRPr="001F5859" w:rsidP="001F5859" w14:paraId="516CFA1E"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Pain in the body, arms, legs, and belly</w:t>
      </w:r>
    </w:p>
    <w:p w:rsidR="00240D34" w:rsidRPr="001F5859" w:rsidP="001F5859" w14:paraId="5CC4402A"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Shortness of breath</w:t>
      </w:r>
    </w:p>
    <w:p w:rsidR="00240D34" w:rsidRPr="001F5859" w:rsidP="001F5859" w14:paraId="6FDE8158"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Feeling dizzy</w:t>
      </w:r>
    </w:p>
    <w:p w:rsidR="00F87F64" w:rsidRPr="001F5859" w:rsidP="00BD3372" w14:paraId="4614F0FF" w14:textId="77777777">
      <w:pPr>
        <w:rPr>
          <w:rFonts w:eastAsia="SimSun"/>
          <w:b/>
          <w:noProof/>
          <w:u w:val="single"/>
          <w:lang w:val="en-GB" w:eastAsia="zh-CN"/>
        </w:rPr>
      </w:pPr>
    </w:p>
    <w:p w:rsidR="00863CEA" w:rsidRPr="001F5859" w:rsidP="00BD3372" w14:paraId="2C6E535C" w14:textId="77777777">
      <w:pPr>
        <w:rPr>
          <w:rFonts w:eastAsia="SimSun"/>
          <w:b/>
          <w:lang w:val="en-GB"/>
        </w:rPr>
      </w:pPr>
      <w:r w:rsidRPr="001F5859">
        <w:rPr>
          <w:rFonts w:eastAsia="SimSun"/>
          <w:b/>
          <w:lang w:val="en-GB"/>
        </w:rPr>
        <w:t>Common (ma</w:t>
      </w:r>
      <w:r w:rsidRPr="001F5859" w:rsidR="004804E7">
        <w:rPr>
          <w:rFonts w:eastAsia="SimSun"/>
          <w:b/>
          <w:lang w:val="en-GB"/>
        </w:rPr>
        <w:t>y affect up to 1 in 10 people):</w:t>
      </w:r>
    </w:p>
    <w:p w:rsidR="00696FE4" w:rsidRPr="001F5859" w:rsidP="00BD3372" w14:paraId="1F80B968"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t>A feeling of numbness, prickling or tingling in feet or hands; sharp jabbing, throbbing, freezing or burning pain; feeling pain from something which should not be painful such as a light touch; less able to feel changes in heat or cold; loss of balance or coordination</w:t>
      </w:r>
    </w:p>
    <w:p w:rsidR="00863CEA" w:rsidP="00BD3372" w14:paraId="28557B1D" w14:textId="77777777">
      <w:pPr>
        <w:rPr>
          <w:rFonts w:eastAsia="SimSun"/>
          <w:lang w:val="en-GB"/>
        </w:rPr>
      </w:pPr>
      <w:r w:rsidRPr="001F5859">
        <w:rPr>
          <w:rFonts w:ascii="Symbol" w:eastAsia="SimSun" w:hAnsi="Symbol"/>
          <w:lang w:val="en-GB"/>
        </w:rPr>
        <w:sym w:font="Symbol" w:char="F0B7"/>
      </w:r>
      <w:r w:rsidRPr="001F5859">
        <w:rPr>
          <w:rFonts w:eastAsia="SimSun"/>
          <w:lang w:val="en-GB"/>
        </w:rPr>
        <w:tab/>
      </w:r>
      <w:r w:rsidRPr="001F5859" w:rsidR="00200008">
        <w:rPr>
          <w:rFonts w:eastAsia="SimSun"/>
          <w:lang w:val="en-GB"/>
        </w:rPr>
        <w:t>I</w:t>
      </w:r>
      <w:r w:rsidRPr="001F5859">
        <w:rPr>
          <w:rFonts w:eastAsia="SimSun"/>
          <w:lang w:val="en-GB"/>
        </w:rPr>
        <w:t xml:space="preserve">nflammation of the nail bed where the nail and skin meet </w:t>
      </w:r>
    </w:p>
    <w:p w:rsidR="0028477C" w:rsidRPr="001F5859" w:rsidP="0028477C" w14:paraId="69C7ABD7" w14:textId="74BD0A1B">
      <w:pPr>
        <w:rPr>
          <w:rFonts w:eastAsia="SimSun"/>
          <w:lang w:val="en-GB"/>
        </w:rPr>
      </w:pPr>
      <w:r w:rsidRPr="001F5859">
        <w:rPr>
          <w:rFonts w:ascii="Symbol" w:eastAsia="SimSun" w:hAnsi="Symbol"/>
          <w:lang w:val="en-GB"/>
        </w:rPr>
        <w:sym w:font="Symbol" w:char="F0B7"/>
      </w:r>
      <w:r>
        <w:rPr>
          <w:rFonts w:eastAsia="SimSun"/>
          <w:lang w:val="en-GB"/>
        </w:rPr>
        <w:tab/>
        <w:t>Infection of the ear, nose or throat</w:t>
      </w:r>
    </w:p>
    <w:p w:rsidR="00863CEA" w:rsidRPr="001F5859" w:rsidP="009F4E3E" w14:paraId="7260C114" w14:textId="77777777">
      <w:pPr>
        <w:ind w:left="742" w:hanging="742"/>
        <w:rPr>
          <w:rFonts w:eastAsia="SimSun"/>
          <w:lang w:val="en-GB"/>
        </w:rPr>
      </w:pPr>
      <w:r w:rsidRPr="001F5859">
        <w:rPr>
          <w:rFonts w:ascii="Symbol" w:eastAsia="SimSun" w:hAnsi="Symbol"/>
          <w:lang w:val="en-GB"/>
        </w:rPr>
        <w:sym w:font="Symbol" w:char="F0B7"/>
      </w:r>
      <w:r w:rsidRPr="001F5859">
        <w:rPr>
          <w:rFonts w:eastAsia="SimSun"/>
          <w:lang w:val="en-GB"/>
        </w:rPr>
        <w:tab/>
      </w:r>
      <w:r w:rsidRPr="001F5859" w:rsidR="00200008">
        <w:rPr>
          <w:rFonts w:eastAsia="SimSun"/>
          <w:lang w:val="en-GB"/>
        </w:rPr>
        <w:t>C</w:t>
      </w:r>
      <w:r w:rsidRPr="001F5859">
        <w:rPr>
          <w:rFonts w:eastAsia="SimSun"/>
          <w:lang w:val="en-GB"/>
        </w:rPr>
        <w:t xml:space="preserve">ondition in which the left ventricle of the heart is functionally impaired with or without symptoms </w:t>
      </w:r>
    </w:p>
    <w:p w:rsidR="00BD3372" w:rsidRPr="001F5859" w:rsidP="00BD3372" w14:paraId="04DC094A" w14:textId="77777777">
      <w:pPr>
        <w:rPr>
          <w:rFonts w:eastAsia="SimSun"/>
          <w:lang w:val="en-GB"/>
        </w:rPr>
      </w:pPr>
    </w:p>
    <w:p w:rsidR="0098793A" w:rsidRPr="001F5859" w:rsidP="0096375F" w14:paraId="085D1A74" w14:textId="77777777">
      <w:pPr>
        <w:rPr>
          <w:rFonts w:eastAsia="SimSun"/>
          <w:b/>
          <w:lang w:val="en-GB"/>
        </w:rPr>
      </w:pPr>
      <w:r w:rsidRPr="001F5859">
        <w:rPr>
          <w:rFonts w:eastAsia="SimSun"/>
          <w:b/>
          <w:lang w:val="en-GB"/>
        </w:rPr>
        <w:t>Uncommon (may affect up to 1 in 100 people):</w:t>
      </w:r>
    </w:p>
    <w:p w:rsidR="005677BA" w:rsidRPr="001F5859" w:rsidP="0096375F" w14:paraId="76CC7AF3" w14:textId="77777777">
      <w:pPr>
        <w:ind w:left="720" w:hanging="720"/>
        <w:rPr>
          <w:rFonts w:eastAsia="SimSun"/>
          <w:lang w:val="en-GB"/>
        </w:rPr>
      </w:pPr>
      <w:r w:rsidRPr="001F5859">
        <w:rPr>
          <w:rFonts w:ascii="Symbol" w:eastAsia="SimSun" w:hAnsi="Symbol"/>
          <w:lang w:val="en-GB"/>
        </w:rPr>
        <w:sym w:font="Symbol" w:char="F0B7"/>
      </w:r>
      <w:r w:rsidRPr="001F5859">
        <w:rPr>
          <w:rFonts w:eastAsia="SimSun"/>
          <w:lang w:val="en-GB"/>
        </w:rPr>
        <w:tab/>
      </w:r>
      <w:r w:rsidRPr="001F5859">
        <w:rPr>
          <w:lang w:val="en-GB"/>
        </w:rPr>
        <w:t xml:space="preserve">Chest symptoms such as a dry cough or breathlessness </w:t>
      </w:r>
      <w:r w:rsidRPr="001F5859" w:rsidR="0098793A">
        <w:rPr>
          <w:rFonts w:eastAsia="SimSun"/>
          <w:lang w:val="en-GB"/>
        </w:rPr>
        <w:t>(possible signs of interstitial lung disease</w:t>
      </w:r>
      <w:r w:rsidRPr="001F5859" w:rsidR="005E0DB6">
        <w:rPr>
          <w:rFonts w:eastAsia="SimSun"/>
          <w:lang w:val="en-GB"/>
        </w:rPr>
        <w:t>, a condition of damage to the tissues around the air sacs in the lungs</w:t>
      </w:r>
      <w:r w:rsidRPr="001F5859" w:rsidR="0098793A">
        <w:rPr>
          <w:rFonts w:eastAsia="SimSun"/>
          <w:lang w:val="en-GB"/>
        </w:rPr>
        <w:t>)</w:t>
      </w:r>
    </w:p>
    <w:p w:rsidR="00240D34" w:rsidRPr="001F5859" w:rsidP="001F5859" w14:paraId="1D95BFEE" w14:textId="77777777">
      <w:pPr>
        <w:rPr>
          <w:rFonts w:eastAsia="SimSun"/>
          <w:lang w:val="en-GB"/>
        </w:rPr>
      </w:pPr>
      <w:r w:rsidRPr="000D28E6">
        <w:rPr>
          <w:rFonts w:ascii="Symbol" w:eastAsia="SimSun" w:hAnsi="Symbol"/>
          <w:lang w:val="en-GB"/>
        </w:rPr>
        <w:sym w:font="Symbol" w:char="F0B7"/>
      </w:r>
      <w:r>
        <w:rPr>
          <w:rFonts w:eastAsia="SimSun"/>
          <w:lang w:val="en-GB"/>
        </w:rPr>
        <w:tab/>
      </w:r>
      <w:r w:rsidRPr="001F5859" w:rsidR="00CC30E5">
        <w:rPr>
          <w:rFonts w:eastAsia="SimSun"/>
          <w:lang w:val="en-GB"/>
        </w:rPr>
        <w:t>Fluid around the lungs causing difficulty in breathing</w:t>
      </w:r>
    </w:p>
    <w:p w:rsidR="002606DC" w:rsidRPr="001F5859" w:rsidP="00BD6789" w14:paraId="14F0C67C" w14:textId="77777777">
      <w:pPr>
        <w:rPr>
          <w:rFonts w:eastAsia="SimSun"/>
          <w:lang w:val="en-GB"/>
        </w:rPr>
      </w:pPr>
    </w:p>
    <w:p w:rsidR="00696FE4" w:rsidRPr="001F5859" w:rsidP="00696FE4" w14:paraId="73FB3F49" w14:textId="77777777">
      <w:pPr>
        <w:rPr>
          <w:rFonts w:eastAsia="SimSun"/>
          <w:lang w:val="en-GB"/>
        </w:rPr>
      </w:pPr>
      <w:r w:rsidRPr="001F5859">
        <w:rPr>
          <w:rFonts w:eastAsia="SimSun"/>
          <w:lang w:val="en-GB"/>
        </w:rPr>
        <w:t>If you experience any of the above symptoms after treatment with Perjeta has been stopped, you should consult your doctor immediately and inform him or her that you have previously been treated with Perjeta.</w:t>
      </w:r>
    </w:p>
    <w:p w:rsidR="00696FE4" w:rsidRPr="001F5859" w:rsidP="00696FE4" w14:paraId="08B7D539" w14:textId="77777777">
      <w:pPr>
        <w:rPr>
          <w:rFonts w:eastAsia="SimSun"/>
          <w:lang w:val="en-GB"/>
        </w:rPr>
      </w:pPr>
    </w:p>
    <w:p w:rsidR="00696FE4" w:rsidRPr="001F5859" w:rsidP="00BD6789" w14:paraId="0F7BAF5F" w14:textId="77777777">
      <w:pPr>
        <w:rPr>
          <w:rFonts w:eastAsia="SimSun"/>
          <w:lang w:val="en-GB"/>
        </w:rPr>
      </w:pPr>
      <w:r w:rsidRPr="001F5859">
        <w:rPr>
          <w:rFonts w:eastAsia="SimSun"/>
          <w:lang w:val="en-GB"/>
        </w:rPr>
        <w:t>Some of the side effects which you get may be due to your breast cancer. If you are given Perjeta with trastuzumab and chemotherapy at the same time, some side effects may also be due to these other medicines.</w:t>
      </w:r>
    </w:p>
    <w:p w:rsidR="00696FE4" w:rsidRPr="001F5859" w:rsidP="00BD6789" w14:paraId="170383D1" w14:textId="77777777">
      <w:pPr>
        <w:rPr>
          <w:rFonts w:eastAsia="SimSun"/>
          <w:lang w:val="en-GB"/>
        </w:rPr>
      </w:pPr>
    </w:p>
    <w:p w:rsidR="00367ACF" w:rsidRPr="001F5859" w:rsidP="0096375F" w14:paraId="7CE49428" w14:textId="77777777">
      <w:pPr>
        <w:keepNext/>
        <w:keepLines/>
        <w:numPr>
          <w:ilvl w:val="12"/>
          <w:numId w:val="0"/>
        </w:numPr>
        <w:outlineLvl w:val="0"/>
        <w:rPr>
          <w:b/>
          <w:noProof/>
          <w:szCs w:val="22"/>
          <w:lang w:val="en-GB"/>
        </w:rPr>
      </w:pPr>
      <w:r w:rsidRPr="001F5859">
        <w:rPr>
          <w:b/>
          <w:noProof/>
          <w:szCs w:val="22"/>
          <w:lang w:val="en-GB"/>
        </w:rPr>
        <w:t>Reporting of side effects</w:t>
      </w:r>
    </w:p>
    <w:p w:rsidR="00E901F1" w:rsidRPr="000D28E6" w:rsidP="0096375F" w14:paraId="6814BB50" w14:textId="77777777">
      <w:pPr>
        <w:keepNext/>
        <w:keepLines/>
        <w:rPr>
          <w:rFonts w:eastAsia="Verdana" w:cs="Verdana"/>
          <w:szCs w:val="18"/>
          <w:lang w:val="en-GB" w:eastAsia="en-GB"/>
        </w:rPr>
      </w:pPr>
      <w:r w:rsidRPr="001F5859">
        <w:rPr>
          <w:rFonts w:eastAsia="SimSun"/>
          <w:lang w:val="en-GB"/>
        </w:rPr>
        <w:t>If you get any side effects, talk to your doctor o</w:t>
      </w:r>
      <w:r w:rsidRPr="000D28E6">
        <w:rPr>
          <w:rFonts w:eastAsia="SimSun"/>
          <w:lang w:val="en-GB"/>
        </w:rPr>
        <w:t xml:space="preserve">r nurse. This includes any possible side effects not listed in this leaflet. </w:t>
      </w:r>
      <w:r w:rsidRPr="000D28E6">
        <w:rPr>
          <w:rFonts w:eastAsia="Verdana"/>
          <w:szCs w:val="22"/>
          <w:lang w:val="en-GB" w:eastAsia="en-GB"/>
        </w:rPr>
        <w:t xml:space="preserve">You can also report side effects directly via </w:t>
      </w:r>
      <w:r w:rsidRPr="00FD3EC2" w:rsidR="00CB5D11">
        <w:rPr>
          <w:highlight w:val="lightGray"/>
          <w:lang w:val="en-GB"/>
        </w:rPr>
        <w:t xml:space="preserve">the national reporting system listed in </w:t>
      </w:r>
      <w:r>
        <w:fldChar w:fldCharType="begin"/>
      </w:r>
      <w:r>
        <w:instrText xml:space="preserve"> HYPERLINK "https://www.ema.europa.eu/documents/template-form/appendix-v-adverse-drug-reaction-reporting-details_en.doc" </w:instrText>
      </w:r>
      <w:r>
        <w:fldChar w:fldCharType="separate"/>
      </w:r>
      <w:r w:rsidRPr="00B6268D" w:rsidR="00CB5D11">
        <w:rPr>
          <w:rStyle w:val="Hyperlink"/>
          <w:noProof/>
          <w:szCs w:val="22"/>
          <w:highlight w:val="lightGray"/>
          <w:lang w:val="en-GB" w:eastAsia="en-GB"/>
        </w:rPr>
        <w:t>Appendix V</w:t>
      </w:r>
      <w:r w:rsidRPr="00B6268D" w:rsidR="006F3F1A">
        <w:rPr>
          <w:rStyle w:val="Hyperlink"/>
          <w:rFonts w:cs="Verdana"/>
          <w:szCs w:val="18"/>
          <w:lang w:val="en-GB" w:eastAsia="en-GB"/>
        </w:rPr>
        <w:t>.</w:t>
      </w:r>
      <w:r>
        <w:fldChar w:fldCharType="end"/>
      </w:r>
      <w:r w:rsidRPr="000D28E6">
        <w:rPr>
          <w:rFonts w:eastAsia="Verdana" w:cs="Verdana"/>
          <w:szCs w:val="18"/>
          <w:lang w:val="en-GB" w:eastAsia="en-GB"/>
        </w:rPr>
        <w:t xml:space="preserve"> By reporting side effects you can help provide more information on the safety of this medicine.</w:t>
      </w:r>
    </w:p>
    <w:p w:rsidR="00E901F1" w:rsidRPr="000D28E6" w:rsidP="00E901F1" w14:paraId="7E62E4C5" w14:textId="77777777">
      <w:pPr>
        <w:rPr>
          <w:rFonts w:eastAsia="SimSun"/>
          <w:lang w:val="en-GB"/>
        </w:rPr>
      </w:pPr>
    </w:p>
    <w:p w:rsidR="00863CEA" w:rsidRPr="000D28E6" w:rsidP="00BD3372" w14:paraId="32EF4B4F" w14:textId="77777777">
      <w:pPr>
        <w:rPr>
          <w:rFonts w:eastAsia="SimSun"/>
          <w:lang w:val="en-GB"/>
        </w:rPr>
      </w:pPr>
    </w:p>
    <w:p w:rsidR="00863CEA" w:rsidRPr="000D28E6" w:rsidP="00F62767" w14:paraId="2128E533" w14:textId="77777777">
      <w:pPr>
        <w:keepNext/>
        <w:keepLines/>
        <w:rPr>
          <w:rFonts w:eastAsia="SimSun"/>
          <w:b/>
          <w:noProof/>
          <w:lang w:val="en-GB"/>
        </w:rPr>
      </w:pPr>
      <w:r w:rsidRPr="000D28E6">
        <w:rPr>
          <w:rFonts w:eastAsia="SimSun"/>
          <w:b/>
          <w:noProof/>
          <w:lang w:val="en-GB"/>
        </w:rPr>
        <w:t>5.</w:t>
      </w:r>
      <w:r w:rsidRPr="000D28E6">
        <w:rPr>
          <w:rFonts w:eastAsia="SimSun"/>
          <w:b/>
          <w:noProof/>
          <w:lang w:val="en-GB"/>
        </w:rPr>
        <w:tab/>
        <w:t xml:space="preserve">How to store </w:t>
      </w:r>
      <w:r w:rsidRPr="000D28E6" w:rsidR="0001604A">
        <w:rPr>
          <w:rFonts w:eastAsia="SimSun"/>
          <w:b/>
          <w:noProof/>
          <w:lang w:val="en-GB"/>
        </w:rPr>
        <w:t>Perjeta</w:t>
      </w:r>
    </w:p>
    <w:p w:rsidR="00BD3372" w:rsidRPr="000D28E6" w:rsidP="00F62767" w14:paraId="38EDA4A7" w14:textId="77777777">
      <w:pPr>
        <w:keepNext/>
        <w:keepLines/>
        <w:rPr>
          <w:rFonts w:eastAsia="SimSun"/>
          <w:b/>
          <w:noProof/>
          <w:lang w:val="en-GB"/>
        </w:rPr>
      </w:pPr>
    </w:p>
    <w:p w:rsidR="00863CEA" w:rsidRPr="000D28E6" w:rsidP="00F62767" w14:paraId="0FD26D51" w14:textId="77777777">
      <w:pPr>
        <w:keepNext/>
        <w:keepLines/>
        <w:rPr>
          <w:rFonts w:eastAsia="SimSun"/>
          <w:lang w:val="en-GB"/>
        </w:rPr>
      </w:pPr>
      <w:r w:rsidRPr="000D28E6">
        <w:rPr>
          <w:rFonts w:eastAsia="SimSun"/>
          <w:lang w:val="en-GB"/>
        </w:rPr>
        <w:t xml:space="preserve">Perjeta will be stored by the health professionals at the hospital or clinic. The storage details </w:t>
      </w:r>
    </w:p>
    <w:p w:rsidR="00863CEA" w:rsidRPr="000D28E6" w:rsidP="00F62767" w14:paraId="16B87D51" w14:textId="77777777">
      <w:pPr>
        <w:keepNext/>
        <w:keepLines/>
        <w:rPr>
          <w:rFonts w:eastAsia="SimSun"/>
          <w:lang w:val="en-GB"/>
        </w:rPr>
      </w:pPr>
      <w:r w:rsidRPr="000D28E6">
        <w:rPr>
          <w:rFonts w:eastAsia="SimSun"/>
          <w:lang w:val="en-GB"/>
        </w:rPr>
        <w:t>are as follows:</w:t>
      </w:r>
    </w:p>
    <w:p w:rsidR="00863CEA" w:rsidRPr="000D28E6" w:rsidP="00BD3372" w14:paraId="3EAC4B71"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Keep this medicine out of the sight and reach of children.</w:t>
      </w:r>
    </w:p>
    <w:p w:rsidR="00863CEA" w:rsidRPr="000D28E6" w:rsidP="00BD3372" w14:paraId="72D6FEAC"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Do not use this medicine after the expiry date which is stated on the outer carton after EXP. The expiry date refers to the last day of that month.</w:t>
      </w:r>
    </w:p>
    <w:p w:rsidR="00863CEA" w:rsidRPr="000D28E6" w:rsidP="00BD3372" w14:paraId="3CF4F768"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 xml:space="preserve">Store in a refrigerator </w:t>
      </w:r>
      <w:r w:rsidRPr="000D28E6" w:rsidR="00CE0439">
        <w:rPr>
          <w:rFonts w:eastAsia="SimSun"/>
          <w:lang w:val="en-GB"/>
        </w:rPr>
        <w:t>(</w:t>
      </w:r>
      <w:r w:rsidRPr="000D28E6">
        <w:rPr>
          <w:rFonts w:eastAsia="SimSun"/>
          <w:lang w:val="en-GB"/>
        </w:rPr>
        <w:t>2°C</w:t>
      </w:r>
      <w:r w:rsidRPr="000D28E6" w:rsidR="004D7C1B">
        <w:rPr>
          <w:rFonts w:eastAsia="SimSun"/>
          <w:lang w:val="en-GB"/>
        </w:rPr>
        <w:t>-</w:t>
      </w:r>
      <w:r w:rsidRPr="000D28E6">
        <w:rPr>
          <w:rFonts w:eastAsia="SimSun"/>
          <w:lang w:val="en-GB"/>
        </w:rPr>
        <w:t>8°C</w:t>
      </w:r>
      <w:r w:rsidRPr="000D28E6" w:rsidR="00CE0439">
        <w:rPr>
          <w:rFonts w:eastAsia="SimSun"/>
          <w:lang w:val="en-GB"/>
        </w:rPr>
        <w:t>)</w:t>
      </w:r>
      <w:r w:rsidRPr="000D28E6">
        <w:rPr>
          <w:rFonts w:eastAsia="SimSun"/>
          <w:lang w:val="en-GB"/>
        </w:rPr>
        <w:t xml:space="preserve">. </w:t>
      </w:r>
    </w:p>
    <w:p w:rsidR="00863CEA" w:rsidRPr="000D28E6" w:rsidP="00BD3372" w14:paraId="1CC4326A"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Do not freeze</w:t>
      </w:r>
      <w:r w:rsidRPr="000D28E6" w:rsidR="006831F5">
        <w:rPr>
          <w:rFonts w:eastAsia="SimSun"/>
          <w:lang w:val="en-GB"/>
        </w:rPr>
        <w:t>.</w:t>
      </w:r>
    </w:p>
    <w:p w:rsidR="00863CEA" w:rsidRPr="000D28E6" w:rsidP="006831F5" w14:paraId="2DCED9FC"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Keep the vial in the outer carton in order to protect from light.</w:t>
      </w:r>
    </w:p>
    <w:p w:rsidR="00863CEA" w:rsidRPr="000D28E6" w:rsidP="00BD3372" w14:paraId="738D6B57"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Do not use this medicine if you notice any particles in the liquid or it i</w:t>
      </w:r>
      <w:r w:rsidRPr="000D28E6" w:rsidR="008D6810">
        <w:rPr>
          <w:rFonts w:eastAsia="SimSun"/>
          <w:lang w:val="en-GB"/>
        </w:rPr>
        <w:t>s the wrong colour (please see s</w:t>
      </w:r>
      <w:r w:rsidRPr="000D28E6">
        <w:rPr>
          <w:rFonts w:eastAsia="SimSun"/>
          <w:lang w:val="en-GB"/>
        </w:rPr>
        <w:t xml:space="preserve">ection 6). </w:t>
      </w:r>
    </w:p>
    <w:p w:rsidR="00863CEA" w:rsidRPr="000D28E6" w:rsidP="00BD3372" w14:paraId="135BDDCC"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Do not throw away any medicines via wastewater or household waste. Ask your pharmacist how to throw away medicines you no longer use. These measures will help to protect the environment.</w:t>
      </w:r>
    </w:p>
    <w:p w:rsidR="00863CEA" w:rsidRPr="000D28E6" w:rsidP="00BD3372" w14:paraId="465891E2" w14:textId="77777777">
      <w:pPr>
        <w:rPr>
          <w:rFonts w:eastAsia="SimSun"/>
          <w:lang w:val="en-GB"/>
        </w:rPr>
      </w:pPr>
    </w:p>
    <w:p w:rsidR="00863CEA" w:rsidRPr="000D28E6" w:rsidP="00BD3372" w14:paraId="4EE15C79" w14:textId="77777777">
      <w:pPr>
        <w:rPr>
          <w:rFonts w:eastAsia="SimSun"/>
          <w:lang w:val="en-GB"/>
        </w:rPr>
      </w:pPr>
    </w:p>
    <w:p w:rsidR="00863CEA" w:rsidRPr="000D28E6" w:rsidP="00BD3372" w14:paraId="36A571D6" w14:textId="77777777">
      <w:pPr>
        <w:rPr>
          <w:rFonts w:eastAsia="SimSun"/>
          <w:b/>
          <w:noProof/>
          <w:lang w:val="en-GB"/>
        </w:rPr>
      </w:pPr>
      <w:r w:rsidRPr="000D28E6">
        <w:rPr>
          <w:rFonts w:eastAsia="SimSun"/>
          <w:b/>
          <w:noProof/>
          <w:lang w:val="en-GB"/>
        </w:rPr>
        <w:t>6.</w:t>
      </w:r>
      <w:r w:rsidRPr="000D28E6">
        <w:rPr>
          <w:rFonts w:eastAsia="SimSun"/>
          <w:b/>
          <w:noProof/>
          <w:lang w:val="en-GB"/>
        </w:rPr>
        <w:tab/>
        <w:t>Contents of the pack and other information</w:t>
      </w:r>
    </w:p>
    <w:p w:rsidR="00BD3372" w:rsidRPr="000D28E6" w:rsidP="00BD3372" w14:paraId="040CFD75" w14:textId="77777777">
      <w:pPr>
        <w:rPr>
          <w:rFonts w:eastAsia="SimSun"/>
          <w:b/>
          <w:noProof/>
          <w:lang w:val="en-GB"/>
        </w:rPr>
      </w:pPr>
    </w:p>
    <w:p w:rsidR="00863CEA" w:rsidRPr="000D28E6" w:rsidP="00BD3372" w14:paraId="01641566" w14:textId="77777777">
      <w:pPr>
        <w:rPr>
          <w:rFonts w:eastAsia="SimSun"/>
          <w:b/>
          <w:lang w:val="en-GB"/>
        </w:rPr>
      </w:pPr>
      <w:r w:rsidRPr="000D28E6">
        <w:rPr>
          <w:rFonts w:eastAsia="SimSun"/>
          <w:b/>
          <w:lang w:val="en-GB"/>
        </w:rPr>
        <w:t xml:space="preserve">What </w:t>
      </w:r>
      <w:r w:rsidRPr="000D28E6" w:rsidR="0001604A">
        <w:rPr>
          <w:rFonts w:eastAsia="SimSun"/>
          <w:b/>
          <w:lang w:val="en-GB"/>
        </w:rPr>
        <w:t>Perjeta</w:t>
      </w:r>
      <w:r w:rsidRPr="000D28E6">
        <w:rPr>
          <w:rFonts w:eastAsia="SimSun"/>
          <w:b/>
          <w:lang w:val="en-GB"/>
        </w:rPr>
        <w:t xml:space="preserve"> contains</w:t>
      </w:r>
    </w:p>
    <w:p w:rsidR="00863CEA" w:rsidRPr="000D28E6" w:rsidP="00BD3372" w14:paraId="77959DC1"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The active substance is pertuzumab. Each vial contains a total of 420 mg pertuzumab</w:t>
      </w:r>
      <w:r w:rsidRPr="000D28E6" w:rsidR="00A25CF7">
        <w:rPr>
          <w:rFonts w:eastAsia="SimSun"/>
          <w:lang w:val="en-GB"/>
        </w:rPr>
        <w:t xml:space="preserve"> at a concentration of 30</w:t>
      </w:r>
      <w:r w:rsidRPr="000D28E6" w:rsidR="00E71EBA">
        <w:rPr>
          <w:rFonts w:eastAsia="SimSun"/>
          <w:lang w:val="en-GB"/>
        </w:rPr>
        <w:t> </w:t>
      </w:r>
      <w:r w:rsidRPr="000D28E6" w:rsidR="00A25CF7">
        <w:rPr>
          <w:rFonts w:eastAsia="SimSun"/>
          <w:lang w:val="en-GB"/>
        </w:rPr>
        <w:t>mg/ml</w:t>
      </w:r>
    </w:p>
    <w:p w:rsidR="00863CEA" w:rsidRPr="000D28E6" w:rsidP="00BD3372" w14:paraId="41D1DBB1" w14:textId="77777777">
      <w:pPr>
        <w:ind w:left="720" w:hanging="720"/>
        <w:rPr>
          <w:rFonts w:eastAsia="SimSun"/>
          <w:lang w:val="en-GB"/>
        </w:rPr>
      </w:pPr>
      <w:r w:rsidRPr="000D28E6">
        <w:rPr>
          <w:rFonts w:ascii="Symbol" w:eastAsia="SimSun" w:hAnsi="Symbol"/>
          <w:lang w:val="en-GB"/>
        </w:rPr>
        <w:sym w:font="Symbol" w:char="F0B7"/>
      </w:r>
      <w:r w:rsidRPr="000D28E6">
        <w:rPr>
          <w:rFonts w:eastAsia="SimSun"/>
          <w:lang w:val="en-GB"/>
        </w:rPr>
        <w:tab/>
        <w:t>The other ingredients are glacial acetic acid, L-histidine, sucrose</w:t>
      </w:r>
      <w:r w:rsidRPr="000D28E6" w:rsidR="00326F4F">
        <w:rPr>
          <w:rFonts w:eastAsia="SimSun"/>
          <w:lang w:val="en-GB"/>
        </w:rPr>
        <w:t>,</w:t>
      </w:r>
      <w:r w:rsidRPr="000D28E6">
        <w:rPr>
          <w:rFonts w:eastAsia="SimSun"/>
          <w:lang w:val="en-GB"/>
        </w:rPr>
        <w:t xml:space="preserve"> polysorbate 20</w:t>
      </w:r>
      <w:r w:rsidRPr="000D28E6" w:rsidR="007E6F22">
        <w:rPr>
          <w:rFonts w:eastAsia="SimSun"/>
          <w:lang w:val="en-GB"/>
        </w:rPr>
        <w:t xml:space="preserve"> and water for injection</w:t>
      </w:r>
      <w:r w:rsidRPr="000D28E6" w:rsidR="00DD5B72">
        <w:rPr>
          <w:rFonts w:eastAsia="SimSun"/>
          <w:lang w:val="en-GB"/>
        </w:rPr>
        <w:t>s</w:t>
      </w:r>
    </w:p>
    <w:p w:rsidR="0068377E" w:rsidRPr="000D28E6" w:rsidP="00BD3372" w14:paraId="2AE5EDCB" w14:textId="77777777">
      <w:pPr>
        <w:ind w:left="720" w:hanging="720"/>
        <w:rPr>
          <w:rFonts w:eastAsia="SimSun"/>
          <w:lang w:val="en-GB"/>
        </w:rPr>
      </w:pPr>
    </w:p>
    <w:p w:rsidR="00863CEA" w:rsidRPr="000D28E6" w:rsidP="00BD3372" w14:paraId="51E04C14" w14:textId="77777777">
      <w:pPr>
        <w:keepNext/>
        <w:keepLines/>
        <w:rPr>
          <w:rFonts w:eastAsia="SimSun"/>
          <w:b/>
          <w:lang w:val="en-GB"/>
        </w:rPr>
      </w:pPr>
      <w:r w:rsidRPr="000D28E6">
        <w:rPr>
          <w:rFonts w:eastAsia="SimSun"/>
          <w:b/>
          <w:lang w:val="en-GB"/>
        </w:rPr>
        <w:t xml:space="preserve">What </w:t>
      </w:r>
      <w:r w:rsidRPr="000D28E6" w:rsidR="0001604A">
        <w:rPr>
          <w:rFonts w:eastAsia="SimSun"/>
          <w:b/>
          <w:lang w:val="en-GB"/>
        </w:rPr>
        <w:t>Perjeta</w:t>
      </w:r>
      <w:r w:rsidRPr="000D28E6">
        <w:rPr>
          <w:rFonts w:eastAsia="SimSun"/>
          <w:b/>
          <w:lang w:val="en-GB"/>
        </w:rPr>
        <w:t xml:space="preserve"> looks like and contents of the pack</w:t>
      </w:r>
    </w:p>
    <w:p w:rsidR="000E462C" w:rsidRPr="000D28E6" w:rsidP="00BD3372" w14:paraId="24D3721C" w14:textId="77777777">
      <w:pPr>
        <w:keepNext/>
        <w:keepLines/>
        <w:rPr>
          <w:rFonts w:eastAsia="SimSun"/>
          <w:lang w:val="en-GB"/>
        </w:rPr>
      </w:pPr>
      <w:r w:rsidRPr="000D28E6">
        <w:rPr>
          <w:rFonts w:eastAsia="SimSun"/>
          <w:lang w:val="en-GB"/>
        </w:rPr>
        <w:t>Perjeta</w:t>
      </w:r>
      <w:r w:rsidRPr="000D28E6" w:rsidR="00863CEA">
        <w:rPr>
          <w:rFonts w:eastAsia="SimSun"/>
          <w:lang w:val="en-GB"/>
        </w:rPr>
        <w:t xml:space="preserve"> is a </w:t>
      </w:r>
      <w:r w:rsidRPr="000D28E6" w:rsidR="00BE581E">
        <w:rPr>
          <w:rFonts w:eastAsia="SimSun"/>
          <w:lang w:val="en-GB"/>
        </w:rPr>
        <w:t>concentrate for solution for infusion. I</w:t>
      </w:r>
      <w:r w:rsidRPr="000D28E6" w:rsidR="009A02D4">
        <w:rPr>
          <w:rFonts w:eastAsia="SimSun"/>
          <w:lang w:val="en-GB"/>
        </w:rPr>
        <w:t>t i</w:t>
      </w:r>
      <w:r w:rsidRPr="000D28E6" w:rsidR="00BE581E">
        <w:rPr>
          <w:rFonts w:eastAsia="SimSun"/>
          <w:lang w:val="en-GB"/>
        </w:rPr>
        <w:t xml:space="preserve">s a </w:t>
      </w:r>
      <w:r w:rsidRPr="000D28E6" w:rsidR="00863CEA">
        <w:rPr>
          <w:rFonts w:eastAsia="SimSun"/>
          <w:lang w:val="en-GB"/>
        </w:rPr>
        <w:t xml:space="preserve">clear to slightly pearly (opalescent), colourless to pale yellow </w:t>
      </w:r>
      <w:r w:rsidRPr="000D28E6" w:rsidR="00BE581E">
        <w:rPr>
          <w:rFonts w:eastAsia="SimSun"/>
          <w:lang w:val="en-GB"/>
        </w:rPr>
        <w:t>liquid.</w:t>
      </w:r>
      <w:r w:rsidRPr="000D28E6" w:rsidR="00863CEA">
        <w:rPr>
          <w:rFonts w:eastAsia="SimSun"/>
          <w:lang w:val="en-GB"/>
        </w:rPr>
        <w:t xml:space="preserve"> It is supplied in a </w:t>
      </w:r>
      <w:r w:rsidRPr="000D28E6" w:rsidR="00376490">
        <w:rPr>
          <w:rFonts w:eastAsia="SimSun"/>
          <w:lang w:val="en-GB"/>
        </w:rPr>
        <w:t xml:space="preserve">glass </w:t>
      </w:r>
      <w:r w:rsidRPr="000D28E6" w:rsidR="00863CEA">
        <w:rPr>
          <w:rFonts w:eastAsia="SimSun"/>
          <w:lang w:val="en-GB"/>
        </w:rPr>
        <w:t>vial containing 14 m</w:t>
      </w:r>
      <w:r w:rsidRPr="000D28E6" w:rsidR="00982E4D">
        <w:rPr>
          <w:rFonts w:eastAsia="SimSun"/>
          <w:lang w:val="en-GB"/>
        </w:rPr>
        <w:t>l</w:t>
      </w:r>
      <w:r w:rsidRPr="000D28E6" w:rsidR="00863CEA">
        <w:rPr>
          <w:rFonts w:eastAsia="SimSun"/>
          <w:lang w:val="en-GB"/>
        </w:rPr>
        <w:t xml:space="preserve"> concentrate</w:t>
      </w:r>
      <w:r w:rsidRPr="000D28E6" w:rsidR="00BE581E">
        <w:rPr>
          <w:rFonts w:eastAsia="SimSun"/>
          <w:lang w:val="en-GB"/>
        </w:rPr>
        <w:t>.</w:t>
      </w:r>
    </w:p>
    <w:p w:rsidR="00863CEA" w:rsidRPr="000D28E6" w:rsidP="00BD3372" w14:paraId="5ECD63A7" w14:textId="77777777">
      <w:pPr>
        <w:keepNext/>
        <w:keepLines/>
        <w:rPr>
          <w:rFonts w:eastAsia="SimSun"/>
          <w:lang w:val="en-GB"/>
        </w:rPr>
      </w:pPr>
      <w:r w:rsidRPr="000D28E6">
        <w:rPr>
          <w:rFonts w:eastAsia="SimSun"/>
          <w:lang w:val="en-GB"/>
        </w:rPr>
        <w:t>Each pack contains one vial.</w:t>
      </w:r>
    </w:p>
    <w:p w:rsidR="00BD3372" w:rsidRPr="000D28E6" w:rsidP="00BD3372" w14:paraId="0874E273" w14:textId="77777777">
      <w:pPr>
        <w:rPr>
          <w:rFonts w:eastAsia="SimSun"/>
          <w:lang w:val="en-GB"/>
        </w:rPr>
      </w:pPr>
    </w:p>
    <w:p w:rsidR="00863CEA" w:rsidRPr="001F5859" w:rsidP="00010452" w14:paraId="07201505" w14:textId="77777777">
      <w:pPr>
        <w:keepNext/>
        <w:keepLines/>
        <w:rPr>
          <w:rFonts w:eastAsia="SimSun"/>
          <w:b/>
          <w:bCs/>
          <w:lang w:val="en-GB"/>
        </w:rPr>
      </w:pPr>
      <w:r w:rsidRPr="001F5859">
        <w:rPr>
          <w:rFonts w:eastAsia="SimSun"/>
          <w:b/>
          <w:bCs/>
          <w:lang w:val="en-GB"/>
        </w:rPr>
        <w:t>Marketing Authorisation Holder</w:t>
      </w:r>
    </w:p>
    <w:p w:rsidR="00A10617" w:rsidRPr="001F5859" w:rsidP="00A10617" w14:paraId="74D31FFA" w14:textId="77777777">
      <w:pPr>
        <w:rPr>
          <w:lang w:val="en-GB"/>
        </w:rPr>
      </w:pPr>
      <w:r w:rsidRPr="001F5859">
        <w:rPr>
          <w:lang w:val="en-GB"/>
        </w:rPr>
        <w:t xml:space="preserve">Roche Registration GmbH </w:t>
      </w:r>
    </w:p>
    <w:p w:rsidR="00A10617" w:rsidRPr="001F5859" w:rsidP="00A10617" w14:paraId="627EBEBE" w14:textId="77777777">
      <w:pPr>
        <w:rPr>
          <w:lang w:val="en-GB"/>
        </w:rPr>
      </w:pPr>
      <w:r w:rsidRPr="001F5859">
        <w:rPr>
          <w:lang w:val="en-GB"/>
        </w:rPr>
        <w:t>Emil-Barell-Strasse 1</w:t>
      </w:r>
    </w:p>
    <w:p w:rsidR="00A10617" w:rsidRPr="001F5859" w:rsidP="00A10617" w14:paraId="336861B5" w14:textId="77777777">
      <w:pPr>
        <w:rPr>
          <w:lang w:val="en-GB"/>
        </w:rPr>
      </w:pPr>
      <w:r w:rsidRPr="001F5859">
        <w:rPr>
          <w:lang w:val="en-GB"/>
        </w:rPr>
        <w:t>79639 Grenzach-Wyhlen</w:t>
      </w:r>
    </w:p>
    <w:p w:rsidR="00BD3372" w:rsidRPr="001F5859" w:rsidP="00A10617" w14:paraId="467918B2" w14:textId="77777777">
      <w:pPr>
        <w:rPr>
          <w:lang w:val="en-GB"/>
        </w:rPr>
      </w:pPr>
      <w:r w:rsidRPr="001F5859">
        <w:rPr>
          <w:lang w:val="en-GB"/>
        </w:rPr>
        <w:t>Germany</w:t>
      </w:r>
    </w:p>
    <w:p w:rsidR="00A10617" w:rsidRPr="001F5859" w:rsidP="00A10617" w14:paraId="2EB54A7E" w14:textId="77777777">
      <w:pPr>
        <w:rPr>
          <w:rFonts w:eastAsia="SimSun"/>
          <w:noProof/>
          <w:lang w:val="en-GB"/>
        </w:rPr>
      </w:pPr>
    </w:p>
    <w:p w:rsidR="00863CEA" w:rsidRPr="0096375F" w:rsidP="00BD6789" w14:paraId="7BF797D7" w14:textId="77777777">
      <w:pPr>
        <w:keepNext/>
        <w:keepLines/>
        <w:rPr>
          <w:b/>
          <w:lang w:val="en-GB"/>
        </w:rPr>
      </w:pPr>
      <w:r w:rsidRPr="001F5859">
        <w:rPr>
          <w:b/>
          <w:lang w:val="en-GB"/>
        </w:rPr>
        <w:t>Manufacturer</w:t>
      </w:r>
    </w:p>
    <w:p w:rsidR="00863CEA" w:rsidRPr="001F5859" w:rsidP="00BD6789" w14:paraId="64890BAA" w14:textId="77777777">
      <w:pPr>
        <w:keepNext/>
        <w:keepLines/>
        <w:rPr>
          <w:color w:val="000000"/>
          <w:lang w:val="de-DE"/>
        </w:rPr>
      </w:pPr>
      <w:r w:rsidRPr="001F5859">
        <w:rPr>
          <w:color w:val="000000"/>
          <w:lang w:val="de-DE"/>
        </w:rPr>
        <w:t xml:space="preserve">Roche Pharma AG </w:t>
      </w:r>
    </w:p>
    <w:p w:rsidR="00863CEA" w:rsidRPr="006A67D0" w:rsidP="00BD6789" w14:paraId="78915CA2" w14:textId="77777777">
      <w:pPr>
        <w:keepNext/>
        <w:keepLines/>
        <w:rPr>
          <w:rFonts w:eastAsia="SimSun"/>
          <w:color w:val="000000"/>
          <w:lang w:val="de-CH"/>
        </w:rPr>
      </w:pPr>
      <w:r w:rsidRPr="006A67D0">
        <w:rPr>
          <w:rFonts w:eastAsia="SimSun"/>
          <w:color w:val="000000"/>
          <w:lang w:val="de-CH"/>
        </w:rPr>
        <w:t>Emil-Barell-Strasse 1</w:t>
      </w:r>
    </w:p>
    <w:p w:rsidR="00863CEA" w:rsidRPr="001F5859" w:rsidP="00BD6789" w14:paraId="7B9BB7EC" w14:textId="77777777">
      <w:pPr>
        <w:keepNext/>
        <w:keepLines/>
        <w:rPr>
          <w:rFonts w:eastAsia="SimSun"/>
          <w:color w:val="000000"/>
          <w:lang w:val="en-GB"/>
        </w:rPr>
      </w:pPr>
      <w:r w:rsidRPr="001F5859">
        <w:rPr>
          <w:rFonts w:eastAsia="SimSun"/>
          <w:lang w:val="en-GB"/>
        </w:rPr>
        <w:t>D-79639 Grenzach-Wyhlen</w:t>
      </w:r>
    </w:p>
    <w:p w:rsidR="00863CEA" w:rsidRPr="0096375F" w:rsidP="00BD6789" w14:paraId="1FEBC95B" w14:textId="77777777">
      <w:pPr>
        <w:keepNext/>
        <w:keepLines/>
        <w:rPr>
          <w:lang w:val="en-GB"/>
        </w:rPr>
      </w:pPr>
      <w:r w:rsidRPr="0096375F">
        <w:rPr>
          <w:lang w:val="en-GB"/>
        </w:rPr>
        <w:t xml:space="preserve">Germany </w:t>
      </w:r>
    </w:p>
    <w:p w:rsidR="00863CEA" w:rsidRPr="0096375F" w:rsidP="00BD3372" w14:paraId="33985BD6" w14:textId="77777777">
      <w:pPr>
        <w:rPr>
          <w:lang w:val="en-GB"/>
        </w:rPr>
      </w:pPr>
    </w:p>
    <w:p w:rsidR="00863CEA" w:rsidRPr="0096375F" w:rsidP="00BD3372" w14:paraId="7707E7EC" w14:textId="77777777">
      <w:pPr>
        <w:rPr>
          <w:lang w:val="en-GB"/>
        </w:rPr>
      </w:pPr>
      <w:r w:rsidRPr="0096375F">
        <w:rPr>
          <w:lang w:val="en-GB"/>
        </w:rPr>
        <w:t>For any information about this medicine, please contact the local representative of the Marketing Authorisation Holder:</w:t>
      </w:r>
    </w:p>
    <w:p w:rsidR="000813DB" w:rsidRPr="0096375F" w:rsidP="00BD3372" w14:paraId="05593802" w14:textId="77777777">
      <w:pPr>
        <w:rPr>
          <w:lang w:val="en-GB"/>
        </w:rPr>
      </w:pPr>
    </w:p>
    <w:tbl>
      <w:tblPr>
        <w:tblW w:w="0" w:type="auto"/>
        <w:tblLayout w:type="fixed"/>
        <w:tblLook w:val="0000"/>
      </w:tblPr>
      <w:tblGrid>
        <w:gridCol w:w="4590"/>
        <w:gridCol w:w="4590"/>
      </w:tblGrid>
      <w:tr w14:paraId="081A130D" w14:textId="77777777" w:rsidTr="00024F7F">
        <w:tblPrEx>
          <w:tblW w:w="0" w:type="auto"/>
          <w:tblLayout w:type="fixed"/>
          <w:tblLook w:val="0000"/>
        </w:tblPrEx>
        <w:trPr>
          <w:cantSplit/>
        </w:trPr>
        <w:tc>
          <w:tcPr>
            <w:tcW w:w="4590" w:type="dxa"/>
          </w:tcPr>
          <w:p w:rsidR="000813DB" w:rsidRPr="0096375F" w:rsidP="00024F7F" w14:paraId="4AC64E29" w14:textId="77777777">
            <w:pPr>
              <w:rPr>
                <w:lang w:val="fr-CH"/>
              </w:rPr>
            </w:pPr>
            <w:r w:rsidRPr="0096375F">
              <w:rPr>
                <w:b/>
                <w:lang w:val="fr-CH"/>
              </w:rPr>
              <w:t>België/Belgique/Belgien</w:t>
            </w:r>
          </w:p>
          <w:p w:rsidR="000813DB" w:rsidRPr="0096375F" w:rsidP="00024F7F" w14:paraId="34B165E5" w14:textId="77777777">
            <w:pPr>
              <w:rPr>
                <w:lang w:val="fr-CH"/>
              </w:rPr>
            </w:pPr>
            <w:r w:rsidRPr="0096375F">
              <w:rPr>
                <w:lang w:val="fr-CH"/>
              </w:rPr>
              <w:t>N.V. Roche S.A.</w:t>
            </w:r>
          </w:p>
          <w:p w:rsidR="000813DB" w:rsidRPr="006D0246" w:rsidP="00024F7F" w14:paraId="149EC45B" w14:textId="77777777">
            <w:pPr>
              <w:rPr>
                <w:noProof/>
                <w:lang w:val="fr-FR"/>
              </w:rPr>
            </w:pPr>
            <w:r w:rsidRPr="006D0246">
              <w:rPr>
                <w:noProof/>
                <w:lang w:val="fr-FR"/>
              </w:rPr>
              <w:t>Tél/Tel: +32 (0) 2 525 82 11</w:t>
            </w:r>
          </w:p>
          <w:p w:rsidR="000813DB" w:rsidRPr="006D0246" w:rsidP="00024F7F" w14:paraId="29DF9972" w14:textId="77777777">
            <w:pPr>
              <w:rPr>
                <w:b/>
                <w:noProof/>
                <w:lang w:val="fr-FR"/>
              </w:rPr>
            </w:pPr>
          </w:p>
        </w:tc>
        <w:tc>
          <w:tcPr>
            <w:tcW w:w="4590" w:type="dxa"/>
          </w:tcPr>
          <w:p w:rsidR="000813DB" w:rsidRPr="006D0246" w:rsidP="00024F7F" w14:paraId="020E81B6" w14:textId="77777777">
            <w:pPr>
              <w:suppressAutoHyphens/>
              <w:rPr>
                <w:b/>
                <w:noProof/>
                <w:lang w:val="de-CH"/>
              </w:rPr>
            </w:pPr>
            <w:r w:rsidRPr="006D0246">
              <w:rPr>
                <w:b/>
                <w:noProof/>
                <w:lang w:val="de-CH"/>
              </w:rPr>
              <w:t>Lietuva</w:t>
            </w:r>
          </w:p>
          <w:p w:rsidR="000813DB" w:rsidRPr="0096375F" w:rsidP="00024F7F" w14:paraId="0192C7B0" w14:textId="77777777">
            <w:pPr>
              <w:suppressAutoHyphens/>
              <w:rPr>
                <w:lang w:val="de-CH"/>
              </w:rPr>
            </w:pPr>
            <w:r w:rsidRPr="0096375F">
              <w:rPr>
                <w:lang w:val="de-CH"/>
              </w:rPr>
              <w:t>UAB “Roche Lietuva”</w:t>
            </w:r>
          </w:p>
          <w:p w:rsidR="000813DB" w:rsidRPr="006D0246" w:rsidP="00024F7F" w14:paraId="770350A0" w14:textId="77777777">
            <w:pPr>
              <w:suppressAutoHyphens/>
              <w:rPr>
                <w:noProof/>
                <w:lang w:val="de-CH"/>
              </w:rPr>
            </w:pPr>
            <w:r w:rsidRPr="0096375F">
              <w:rPr>
                <w:lang w:val="de-CH"/>
              </w:rPr>
              <w:t>Tel: +370 5 2546799</w:t>
            </w:r>
          </w:p>
          <w:p w:rsidR="000813DB" w:rsidRPr="006D0246" w:rsidP="00024F7F" w14:paraId="553908F9" w14:textId="77777777">
            <w:pPr>
              <w:rPr>
                <w:b/>
                <w:noProof/>
                <w:lang w:val="de-CH"/>
              </w:rPr>
            </w:pPr>
          </w:p>
        </w:tc>
      </w:tr>
      <w:tr w14:paraId="5253AE9B" w14:textId="77777777" w:rsidTr="00024F7F">
        <w:tblPrEx>
          <w:tblW w:w="0" w:type="auto"/>
          <w:tblLayout w:type="fixed"/>
          <w:tblLook w:val="0000"/>
        </w:tblPrEx>
        <w:trPr>
          <w:cantSplit/>
        </w:trPr>
        <w:tc>
          <w:tcPr>
            <w:tcW w:w="4590" w:type="dxa"/>
          </w:tcPr>
          <w:p w:rsidR="000813DB" w:rsidRPr="004D2263" w:rsidP="00024F7F" w14:paraId="6B597DFC" w14:textId="77777777">
            <w:pPr>
              <w:autoSpaceDE w:val="0"/>
              <w:autoSpaceDN w:val="0"/>
              <w:adjustRightInd w:val="0"/>
              <w:rPr>
                <w:b/>
              </w:rPr>
            </w:pPr>
            <w:r w:rsidRPr="0096375F">
              <w:rPr>
                <w:b/>
                <w:lang w:val="en-GB"/>
              </w:rPr>
              <w:t>България</w:t>
            </w:r>
          </w:p>
          <w:p w:rsidR="000813DB" w:rsidRPr="004D2263" w:rsidP="00024F7F" w14:paraId="63432973" w14:textId="77777777">
            <w:pPr>
              <w:suppressAutoHyphens/>
            </w:pPr>
            <w:r w:rsidRPr="0096375F">
              <w:rPr>
                <w:lang w:val="en-GB"/>
              </w:rPr>
              <w:t>Рош</w:t>
            </w:r>
            <w:r w:rsidRPr="004D2263">
              <w:t xml:space="preserve"> </w:t>
            </w:r>
            <w:r w:rsidRPr="0096375F">
              <w:rPr>
                <w:lang w:val="en-GB"/>
              </w:rPr>
              <w:t>България</w:t>
            </w:r>
            <w:r w:rsidRPr="004D2263">
              <w:t xml:space="preserve"> </w:t>
            </w:r>
            <w:r w:rsidRPr="0096375F">
              <w:rPr>
                <w:lang w:val="en-GB"/>
              </w:rPr>
              <w:t>ЕООД</w:t>
            </w:r>
          </w:p>
          <w:p w:rsidR="000813DB" w:rsidRPr="004D2263" w:rsidP="00024F7F" w14:paraId="229A1930" w14:textId="77777777">
            <w:pPr>
              <w:suppressAutoHyphens/>
            </w:pPr>
            <w:r w:rsidRPr="0096375F">
              <w:rPr>
                <w:lang w:val="en-GB"/>
              </w:rPr>
              <w:t>Тел</w:t>
            </w:r>
            <w:r w:rsidRPr="004D2263">
              <w:t>: +359 2 818 44 44</w:t>
            </w:r>
          </w:p>
          <w:p w:rsidR="000813DB" w:rsidRPr="004D2263" w:rsidP="00024F7F" w14:paraId="0CC51C4F" w14:textId="77777777">
            <w:pPr>
              <w:suppressAutoHyphens/>
            </w:pPr>
          </w:p>
        </w:tc>
        <w:tc>
          <w:tcPr>
            <w:tcW w:w="4590" w:type="dxa"/>
          </w:tcPr>
          <w:p w:rsidR="000813DB" w:rsidRPr="006D0246" w:rsidP="00024F7F" w14:paraId="00DBBC53" w14:textId="77777777">
            <w:pPr>
              <w:suppressAutoHyphens/>
              <w:rPr>
                <w:noProof/>
                <w:lang w:val="de-CH"/>
              </w:rPr>
            </w:pPr>
            <w:r w:rsidRPr="006D0246">
              <w:rPr>
                <w:b/>
                <w:noProof/>
                <w:lang w:val="de-CH"/>
              </w:rPr>
              <w:t>Luxembourg/Luxemburg</w:t>
            </w:r>
          </w:p>
          <w:p w:rsidR="000813DB" w:rsidRPr="006D0246" w:rsidP="00024F7F" w14:paraId="08D4636B" w14:textId="77777777">
            <w:pPr>
              <w:rPr>
                <w:noProof/>
                <w:lang w:val="de-CH"/>
              </w:rPr>
            </w:pPr>
            <w:r w:rsidRPr="006D0246">
              <w:rPr>
                <w:noProof/>
                <w:lang w:val="de-CH"/>
              </w:rPr>
              <w:t>(Voir/siehe Belgique/Belgien)</w:t>
            </w:r>
          </w:p>
          <w:p w:rsidR="000813DB" w:rsidRPr="0096375F" w:rsidP="00024F7F" w14:paraId="56F6BA3E" w14:textId="77777777">
            <w:pPr>
              <w:rPr>
                <w:lang w:val="de-CH"/>
              </w:rPr>
            </w:pPr>
          </w:p>
        </w:tc>
      </w:tr>
      <w:tr w14:paraId="32D8BFA7" w14:textId="77777777" w:rsidTr="00024F7F">
        <w:tblPrEx>
          <w:tblW w:w="0" w:type="auto"/>
          <w:tblLayout w:type="fixed"/>
          <w:tblLook w:val="0000"/>
        </w:tblPrEx>
        <w:trPr>
          <w:cantSplit/>
        </w:trPr>
        <w:tc>
          <w:tcPr>
            <w:tcW w:w="4590" w:type="dxa"/>
          </w:tcPr>
          <w:p w:rsidR="000813DB" w:rsidRPr="0096375F" w:rsidP="00024F7F" w14:paraId="6F5E5CE1" w14:textId="77777777">
            <w:pPr>
              <w:rPr>
                <w:b/>
                <w:lang w:val="de-CH"/>
              </w:rPr>
            </w:pPr>
            <w:r w:rsidRPr="0096375F">
              <w:rPr>
                <w:b/>
                <w:lang w:val="de-CH"/>
              </w:rPr>
              <w:t>Česká republika</w:t>
            </w:r>
          </w:p>
          <w:p w:rsidR="000813DB" w:rsidRPr="0096375F" w:rsidP="00024F7F" w14:paraId="121E0526" w14:textId="77777777">
            <w:pPr>
              <w:rPr>
                <w:lang w:val="de-CH"/>
              </w:rPr>
            </w:pPr>
            <w:r w:rsidRPr="0096375F">
              <w:rPr>
                <w:lang w:val="de-CH"/>
              </w:rPr>
              <w:t>Roche s. r. o.</w:t>
            </w:r>
          </w:p>
          <w:p w:rsidR="000813DB" w:rsidRPr="001F5859" w:rsidP="00024F7F" w14:paraId="24B83B61" w14:textId="77777777">
            <w:pPr>
              <w:rPr>
                <w:lang w:val="de-DE"/>
              </w:rPr>
            </w:pPr>
            <w:r w:rsidRPr="001F5859">
              <w:rPr>
                <w:lang w:val="de-DE"/>
              </w:rPr>
              <w:t>Tel: +420 - 2 20382111</w:t>
            </w:r>
          </w:p>
          <w:p w:rsidR="000813DB" w:rsidRPr="001F5859" w:rsidP="00024F7F" w14:paraId="4ACAB109" w14:textId="77777777">
            <w:pPr>
              <w:rPr>
                <w:lang w:val="de-DE"/>
              </w:rPr>
            </w:pPr>
          </w:p>
        </w:tc>
        <w:tc>
          <w:tcPr>
            <w:tcW w:w="4590" w:type="dxa"/>
          </w:tcPr>
          <w:p w:rsidR="000813DB" w:rsidRPr="006962E6" w:rsidP="00024F7F" w14:paraId="5CF673F8" w14:textId="77777777">
            <w:pPr>
              <w:rPr>
                <w:b/>
                <w:lang w:val="de-DE"/>
              </w:rPr>
            </w:pPr>
            <w:r w:rsidRPr="006962E6">
              <w:rPr>
                <w:b/>
                <w:lang w:val="de-DE"/>
              </w:rPr>
              <w:t>Magyarország</w:t>
            </w:r>
          </w:p>
          <w:p w:rsidR="000813DB" w:rsidRPr="006962E6" w:rsidP="00024F7F" w14:paraId="75CBD8CB" w14:textId="77777777">
            <w:pPr>
              <w:rPr>
                <w:lang w:val="de-DE"/>
              </w:rPr>
            </w:pPr>
            <w:r w:rsidRPr="006962E6">
              <w:rPr>
                <w:lang w:val="de-DE"/>
              </w:rPr>
              <w:t>Roche (Magyarország) Kft.</w:t>
            </w:r>
          </w:p>
          <w:p w:rsidR="000813DB" w:rsidRPr="006962E6" w:rsidP="00024F7F" w14:paraId="2848CC93" w14:textId="77777777">
            <w:pPr>
              <w:rPr>
                <w:lang w:val="de-DE"/>
              </w:rPr>
            </w:pPr>
            <w:r w:rsidRPr="006962E6">
              <w:rPr>
                <w:lang w:val="de-DE"/>
              </w:rPr>
              <w:t>Tel: +36 - 23 446 800</w:t>
            </w:r>
          </w:p>
          <w:p w:rsidR="000813DB" w:rsidRPr="006962E6" w:rsidP="00024F7F" w14:paraId="0BDCDB61" w14:textId="77777777">
            <w:pPr>
              <w:autoSpaceDE w:val="0"/>
              <w:autoSpaceDN w:val="0"/>
              <w:adjustRightInd w:val="0"/>
              <w:rPr>
                <w:lang w:val="de-DE"/>
              </w:rPr>
            </w:pPr>
          </w:p>
        </w:tc>
      </w:tr>
      <w:tr w14:paraId="7D77C50F" w14:textId="77777777" w:rsidTr="00024F7F">
        <w:tblPrEx>
          <w:tblW w:w="0" w:type="auto"/>
          <w:tblLayout w:type="fixed"/>
          <w:tblLook w:val="0000"/>
        </w:tblPrEx>
        <w:trPr>
          <w:cantSplit/>
        </w:trPr>
        <w:tc>
          <w:tcPr>
            <w:tcW w:w="4590" w:type="dxa"/>
          </w:tcPr>
          <w:p w:rsidR="000813DB" w:rsidRPr="0096375F" w:rsidP="00024F7F" w14:paraId="403D31F9" w14:textId="77777777">
            <w:pPr>
              <w:rPr>
                <w:lang w:val="en-GB"/>
              </w:rPr>
            </w:pPr>
            <w:r w:rsidRPr="0096375F">
              <w:rPr>
                <w:b/>
                <w:lang w:val="en-GB"/>
              </w:rPr>
              <w:t>Danmark</w:t>
            </w:r>
          </w:p>
          <w:p w:rsidR="000813DB" w:rsidRPr="0096375F" w:rsidP="00024F7F" w14:paraId="06B3022A" w14:textId="77777777">
            <w:pPr>
              <w:rPr>
                <w:lang w:val="en-GB"/>
              </w:rPr>
            </w:pPr>
            <w:r w:rsidRPr="0096375F">
              <w:rPr>
                <w:lang w:val="en-GB"/>
              </w:rPr>
              <w:t>Roche a/s</w:t>
            </w:r>
          </w:p>
          <w:p w:rsidR="000813DB" w:rsidRPr="0096375F" w:rsidP="00024F7F" w14:paraId="1C66BD88" w14:textId="77777777">
            <w:pPr>
              <w:rPr>
                <w:lang w:val="en-GB"/>
              </w:rPr>
            </w:pPr>
            <w:r w:rsidRPr="0096375F">
              <w:rPr>
                <w:lang w:val="en-GB"/>
              </w:rPr>
              <w:t>Tlf: +45 - 36 39 99 99</w:t>
            </w:r>
          </w:p>
          <w:p w:rsidR="000813DB" w:rsidRPr="0096375F" w:rsidP="00024F7F" w14:paraId="2C81CDB2" w14:textId="77777777">
            <w:pPr>
              <w:rPr>
                <w:b/>
                <w:lang w:val="en-GB"/>
              </w:rPr>
            </w:pPr>
          </w:p>
        </w:tc>
        <w:tc>
          <w:tcPr>
            <w:tcW w:w="4590" w:type="dxa"/>
          </w:tcPr>
          <w:p w:rsidR="000813DB" w:rsidRPr="0096375F" w:rsidP="00024F7F" w14:paraId="0ABCDD7D" w14:textId="77777777">
            <w:pPr>
              <w:rPr>
                <w:b/>
                <w:lang w:val="en-GB"/>
              </w:rPr>
            </w:pPr>
            <w:r w:rsidRPr="0096375F">
              <w:rPr>
                <w:b/>
                <w:lang w:val="en-GB"/>
              </w:rPr>
              <w:t>Malta</w:t>
            </w:r>
          </w:p>
          <w:p w:rsidR="000813DB" w:rsidRPr="0096375F" w:rsidP="00024F7F" w14:paraId="0A89C441" w14:textId="77777777">
            <w:pPr>
              <w:rPr>
                <w:lang w:val="en-GB"/>
              </w:rPr>
            </w:pPr>
            <w:r w:rsidRPr="0096375F">
              <w:rPr>
                <w:lang w:val="en-GB"/>
              </w:rPr>
              <w:t xml:space="preserve">(See </w:t>
            </w:r>
            <w:r w:rsidR="00133839">
              <w:rPr>
                <w:lang w:val="en-GB"/>
              </w:rPr>
              <w:t>Ireland</w:t>
            </w:r>
            <w:r w:rsidRPr="0096375F">
              <w:rPr>
                <w:lang w:val="en-GB"/>
              </w:rPr>
              <w:t>)</w:t>
            </w:r>
          </w:p>
          <w:p w:rsidR="000813DB" w:rsidRPr="0096375F" w:rsidP="00024F7F" w14:paraId="623A9BCC" w14:textId="77777777">
            <w:pPr>
              <w:rPr>
                <w:lang w:val="en-GB"/>
              </w:rPr>
            </w:pPr>
          </w:p>
        </w:tc>
      </w:tr>
      <w:tr w14:paraId="11532697" w14:textId="77777777" w:rsidTr="00024F7F">
        <w:tblPrEx>
          <w:tblW w:w="0" w:type="auto"/>
          <w:tblLayout w:type="fixed"/>
          <w:tblLook w:val="0000"/>
        </w:tblPrEx>
        <w:trPr>
          <w:cantSplit/>
        </w:trPr>
        <w:tc>
          <w:tcPr>
            <w:tcW w:w="4590" w:type="dxa"/>
          </w:tcPr>
          <w:p w:rsidR="000813DB" w:rsidRPr="006D0246" w:rsidP="00024F7F" w14:paraId="76CFDC7D" w14:textId="77777777">
            <w:pPr>
              <w:rPr>
                <w:noProof/>
                <w:lang w:val="de-CH"/>
              </w:rPr>
            </w:pPr>
            <w:r w:rsidRPr="006D0246">
              <w:rPr>
                <w:b/>
                <w:noProof/>
                <w:lang w:val="de-CH"/>
              </w:rPr>
              <w:t>Deutschland</w:t>
            </w:r>
          </w:p>
          <w:p w:rsidR="000813DB" w:rsidRPr="006D0246" w:rsidP="00024F7F" w14:paraId="1F4A93FC" w14:textId="77777777">
            <w:pPr>
              <w:rPr>
                <w:noProof/>
                <w:lang w:val="de-CH"/>
              </w:rPr>
            </w:pPr>
            <w:r w:rsidRPr="006D0246">
              <w:rPr>
                <w:noProof/>
                <w:lang w:val="de-CH"/>
              </w:rPr>
              <w:t>Roche Pharma AG</w:t>
            </w:r>
          </w:p>
          <w:p w:rsidR="000813DB" w:rsidRPr="006D0246" w:rsidP="00024F7F" w14:paraId="0B1BE5AB" w14:textId="77777777">
            <w:pPr>
              <w:rPr>
                <w:noProof/>
                <w:lang w:val="de-CH"/>
              </w:rPr>
            </w:pPr>
            <w:r w:rsidRPr="006D0246">
              <w:rPr>
                <w:noProof/>
                <w:lang w:val="de-CH"/>
              </w:rPr>
              <w:t>Tel: +49 (0) 7624 140</w:t>
            </w:r>
          </w:p>
          <w:p w:rsidR="000813DB" w:rsidRPr="0096375F" w:rsidP="00024F7F" w14:paraId="484690A9" w14:textId="77777777">
            <w:pPr>
              <w:rPr>
                <w:b/>
                <w:lang w:val="de-CH"/>
              </w:rPr>
            </w:pPr>
          </w:p>
        </w:tc>
        <w:tc>
          <w:tcPr>
            <w:tcW w:w="4590" w:type="dxa"/>
          </w:tcPr>
          <w:p w:rsidR="000813DB" w:rsidRPr="0096375F" w:rsidP="00024F7F" w14:paraId="56287E6E" w14:textId="77777777">
            <w:pPr>
              <w:rPr>
                <w:lang w:val="de-CH"/>
              </w:rPr>
            </w:pPr>
            <w:r w:rsidRPr="0096375F">
              <w:rPr>
                <w:b/>
                <w:lang w:val="de-CH"/>
              </w:rPr>
              <w:t>Nederland</w:t>
            </w:r>
          </w:p>
          <w:p w:rsidR="000813DB" w:rsidRPr="0096375F" w:rsidP="00024F7F" w14:paraId="6A873666" w14:textId="77777777">
            <w:pPr>
              <w:rPr>
                <w:lang w:val="de-CH"/>
              </w:rPr>
            </w:pPr>
            <w:r w:rsidRPr="0096375F">
              <w:rPr>
                <w:lang w:val="de-CH"/>
              </w:rPr>
              <w:t>Roche Nederland B.V.</w:t>
            </w:r>
          </w:p>
          <w:p w:rsidR="000813DB" w:rsidRPr="0096375F" w:rsidP="00024F7F" w14:paraId="603ECB3B" w14:textId="77777777">
            <w:pPr>
              <w:rPr>
                <w:lang w:val="en-GB"/>
              </w:rPr>
            </w:pPr>
            <w:r w:rsidRPr="0096375F">
              <w:rPr>
                <w:lang w:val="en-GB"/>
              </w:rPr>
              <w:t>Tel: +31 (0) 348 438050</w:t>
            </w:r>
          </w:p>
          <w:p w:rsidR="000813DB" w:rsidRPr="0096375F" w:rsidP="00024F7F" w14:paraId="64079104" w14:textId="77777777">
            <w:pPr>
              <w:rPr>
                <w:lang w:val="en-GB"/>
              </w:rPr>
            </w:pPr>
          </w:p>
        </w:tc>
      </w:tr>
      <w:tr w14:paraId="1179B93C" w14:textId="77777777" w:rsidTr="00024F7F">
        <w:tblPrEx>
          <w:tblW w:w="0" w:type="auto"/>
          <w:tblLayout w:type="fixed"/>
          <w:tblLook w:val="0000"/>
        </w:tblPrEx>
        <w:trPr>
          <w:cantSplit/>
        </w:trPr>
        <w:tc>
          <w:tcPr>
            <w:tcW w:w="4590" w:type="dxa"/>
          </w:tcPr>
          <w:p w:rsidR="000813DB" w:rsidRPr="001F5859" w:rsidP="00024F7F" w14:paraId="3DFC240E" w14:textId="77777777">
            <w:pPr>
              <w:rPr>
                <w:b/>
                <w:lang w:val="it-IT"/>
              </w:rPr>
            </w:pPr>
            <w:r w:rsidRPr="001F5859">
              <w:rPr>
                <w:b/>
                <w:lang w:val="it-IT"/>
              </w:rPr>
              <w:t>Eesti</w:t>
            </w:r>
          </w:p>
          <w:p w:rsidR="000813DB" w:rsidRPr="001F5859" w:rsidP="00024F7F" w14:paraId="0D000594" w14:textId="77777777">
            <w:pPr>
              <w:rPr>
                <w:lang w:val="it-IT"/>
              </w:rPr>
            </w:pPr>
            <w:r w:rsidRPr="001F5859">
              <w:rPr>
                <w:lang w:val="it-IT"/>
              </w:rPr>
              <w:t>Roche Eesti OÜ</w:t>
            </w:r>
          </w:p>
          <w:p w:rsidR="000813DB" w:rsidRPr="001F5859" w:rsidP="00024F7F" w14:paraId="54E2C619" w14:textId="77777777">
            <w:pPr>
              <w:rPr>
                <w:lang w:val="it-IT"/>
              </w:rPr>
            </w:pPr>
            <w:r w:rsidRPr="001F5859">
              <w:rPr>
                <w:lang w:val="it-IT"/>
              </w:rPr>
              <w:t>Tel: + 372 - 6 177 380</w:t>
            </w:r>
          </w:p>
          <w:p w:rsidR="000813DB" w:rsidRPr="001F5859" w:rsidP="00024F7F" w14:paraId="1AD683ED" w14:textId="77777777">
            <w:pPr>
              <w:rPr>
                <w:lang w:val="it-IT"/>
              </w:rPr>
            </w:pPr>
          </w:p>
        </w:tc>
        <w:tc>
          <w:tcPr>
            <w:tcW w:w="4590" w:type="dxa"/>
          </w:tcPr>
          <w:p w:rsidR="000813DB" w:rsidRPr="0096375F" w:rsidP="00024F7F" w14:paraId="328FE295" w14:textId="77777777">
            <w:pPr>
              <w:rPr>
                <w:b/>
                <w:lang w:val="en-GB"/>
              </w:rPr>
            </w:pPr>
            <w:r w:rsidRPr="0096375F">
              <w:rPr>
                <w:b/>
                <w:lang w:val="en-GB"/>
              </w:rPr>
              <w:t>Norge</w:t>
            </w:r>
          </w:p>
          <w:p w:rsidR="000813DB" w:rsidRPr="0096375F" w:rsidP="00024F7F" w14:paraId="54F42C8B" w14:textId="77777777">
            <w:pPr>
              <w:rPr>
                <w:lang w:val="en-GB"/>
              </w:rPr>
            </w:pPr>
            <w:r w:rsidRPr="0096375F">
              <w:rPr>
                <w:lang w:val="en-GB"/>
              </w:rPr>
              <w:t>Roche Norge AS</w:t>
            </w:r>
          </w:p>
          <w:p w:rsidR="000813DB" w:rsidRPr="0096375F" w:rsidP="00024F7F" w14:paraId="365DB61A" w14:textId="77777777">
            <w:pPr>
              <w:rPr>
                <w:lang w:val="en-GB"/>
              </w:rPr>
            </w:pPr>
            <w:r w:rsidRPr="0096375F">
              <w:rPr>
                <w:lang w:val="en-GB"/>
              </w:rPr>
              <w:t>Tlf: +47 - 22 78 90 00</w:t>
            </w:r>
          </w:p>
          <w:p w:rsidR="000813DB" w:rsidRPr="0096375F" w:rsidP="00024F7F" w14:paraId="441FC29C" w14:textId="77777777">
            <w:pPr>
              <w:rPr>
                <w:lang w:val="en-GB"/>
              </w:rPr>
            </w:pPr>
          </w:p>
        </w:tc>
      </w:tr>
      <w:tr w14:paraId="1BB19298" w14:textId="77777777" w:rsidTr="00024F7F">
        <w:tblPrEx>
          <w:tblW w:w="0" w:type="auto"/>
          <w:tblLayout w:type="fixed"/>
          <w:tblLook w:val="0000"/>
        </w:tblPrEx>
        <w:trPr>
          <w:cantSplit/>
        </w:trPr>
        <w:tc>
          <w:tcPr>
            <w:tcW w:w="4590" w:type="dxa"/>
          </w:tcPr>
          <w:p w:rsidR="000813DB" w:rsidRPr="0096375F" w:rsidP="00024F7F" w14:paraId="05C3EF1E" w14:textId="77777777">
            <w:pPr>
              <w:rPr>
                <w:lang w:val="en-GB"/>
              </w:rPr>
            </w:pPr>
            <w:r w:rsidRPr="0096375F">
              <w:rPr>
                <w:b/>
                <w:lang w:val="en-GB"/>
              </w:rPr>
              <w:t>Ελλάδα</w:t>
            </w:r>
          </w:p>
          <w:p w:rsidR="000813DB" w:rsidRPr="0096375F" w:rsidP="00024F7F" w14:paraId="48B90DD7" w14:textId="77777777">
            <w:pPr>
              <w:rPr>
                <w:lang w:val="en-GB"/>
              </w:rPr>
            </w:pPr>
            <w:r w:rsidRPr="0096375F">
              <w:rPr>
                <w:lang w:val="en-GB"/>
              </w:rPr>
              <w:t xml:space="preserve">Roche (Hellas) A.E. </w:t>
            </w:r>
          </w:p>
          <w:p w:rsidR="000813DB" w:rsidRPr="0096375F" w:rsidP="00024F7F" w14:paraId="7E54D6EE" w14:textId="77777777">
            <w:pPr>
              <w:rPr>
                <w:lang w:val="en-GB"/>
              </w:rPr>
            </w:pPr>
            <w:r w:rsidRPr="0096375F">
              <w:rPr>
                <w:lang w:val="en-GB"/>
              </w:rPr>
              <w:t>Τηλ: +30 210 61 66 100</w:t>
            </w:r>
          </w:p>
          <w:p w:rsidR="000813DB" w:rsidRPr="0096375F" w:rsidP="00024F7F" w14:paraId="17C662E6" w14:textId="77777777">
            <w:pPr>
              <w:rPr>
                <w:lang w:val="en-GB"/>
              </w:rPr>
            </w:pPr>
          </w:p>
        </w:tc>
        <w:tc>
          <w:tcPr>
            <w:tcW w:w="4590" w:type="dxa"/>
          </w:tcPr>
          <w:p w:rsidR="000813DB" w:rsidRPr="006D0246" w:rsidP="00024F7F" w14:paraId="30CCBD64" w14:textId="77777777">
            <w:pPr>
              <w:rPr>
                <w:noProof/>
                <w:lang w:val="de-CH"/>
              </w:rPr>
            </w:pPr>
            <w:r w:rsidRPr="006D0246">
              <w:rPr>
                <w:b/>
                <w:noProof/>
                <w:lang w:val="de-CH"/>
              </w:rPr>
              <w:t>Österreich</w:t>
            </w:r>
          </w:p>
          <w:p w:rsidR="000813DB" w:rsidRPr="006D0246" w:rsidP="00024F7F" w14:paraId="398A62C5" w14:textId="77777777">
            <w:pPr>
              <w:rPr>
                <w:noProof/>
                <w:lang w:val="de-CH"/>
              </w:rPr>
            </w:pPr>
            <w:r w:rsidRPr="006D0246">
              <w:rPr>
                <w:noProof/>
                <w:lang w:val="de-CH"/>
              </w:rPr>
              <w:t>Roche Austria GmbH</w:t>
            </w:r>
          </w:p>
          <w:p w:rsidR="000813DB" w:rsidRPr="006D0246" w:rsidP="00024F7F" w14:paraId="0CFBF750" w14:textId="77777777">
            <w:pPr>
              <w:rPr>
                <w:noProof/>
                <w:lang w:val="de-CH"/>
              </w:rPr>
            </w:pPr>
            <w:r w:rsidRPr="006D0246">
              <w:rPr>
                <w:noProof/>
                <w:lang w:val="de-CH"/>
              </w:rPr>
              <w:t>Tel: +43 (0) 1 27739</w:t>
            </w:r>
          </w:p>
          <w:p w:rsidR="000813DB" w:rsidRPr="006D0246" w:rsidP="00024F7F" w14:paraId="394B6013" w14:textId="77777777">
            <w:pPr>
              <w:rPr>
                <w:noProof/>
                <w:lang w:val="de-CH"/>
              </w:rPr>
            </w:pPr>
          </w:p>
        </w:tc>
      </w:tr>
      <w:tr w14:paraId="78C878C7" w14:textId="77777777" w:rsidTr="00024F7F">
        <w:tblPrEx>
          <w:tblW w:w="0" w:type="auto"/>
          <w:tblLayout w:type="fixed"/>
          <w:tblLook w:val="0000"/>
        </w:tblPrEx>
        <w:trPr>
          <w:cantSplit/>
        </w:trPr>
        <w:tc>
          <w:tcPr>
            <w:tcW w:w="4590" w:type="dxa"/>
          </w:tcPr>
          <w:p w:rsidR="000813DB" w:rsidRPr="006D0246" w:rsidP="00024F7F" w14:paraId="065194F5" w14:textId="77777777">
            <w:pPr>
              <w:rPr>
                <w:b/>
                <w:noProof/>
                <w:lang w:val="es-ES"/>
              </w:rPr>
            </w:pPr>
            <w:r w:rsidRPr="006D0246">
              <w:rPr>
                <w:b/>
                <w:noProof/>
                <w:lang w:val="es-ES"/>
              </w:rPr>
              <w:t>España</w:t>
            </w:r>
          </w:p>
          <w:p w:rsidR="000813DB" w:rsidRPr="006D0246" w:rsidP="00024F7F" w14:paraId="02CC3647" w14:textId="77777777">
            <w:pPr>
              <w:rPr>
                <w:noProof/>
                <w:lang w:val="es-ES"/>
              </w:rPr>
            </w:pPr>
            <w:r w:rsidRPr="006D0246">
              <w:rPr>
                <w:noProof/>
                <w:lang w:val="es-ES"/>
              </w:rPr>
              <w:t>Roche Farma S.A.</w:t>
            </w:r>
          </w:p>
          <w:p w:rsidR="000813DB" w:rsidRPr="0096375F" w:rsidP="00024F7F" w14:paraId="6F4AE8E7" w14:textId="77777777">
            <w:pPr>
              <w:rPr>
                <w:lang w:val="en-GB"/>
              </w:rPr>
            </w:pPr>
            <w:r w:rsidRPr="0096375F">
              <w:rPr>
                <w:lang w:val="en-GB"/>
              </w:rPr>
              <w:t>Tel: +34 - 91 324 81 00</w:t>
            </w:r>
          </w:p>
          <w:p w:rsidR="000813DB" w:rsidRPr="0096375F" w:rsidP="00024F7F" w14:paraId="27D5DF15" w14:textId="77777777">
            <w:pPr>
              <w:rPr>
                <w:lang w:val="en-GB"/>
              </w:rPr>
            </w:pPr>
          </w:p>
        </w:tc>
        <w:tc>
          <w:tcPr>
            <w:tcW w:w="4590" w:type="dxa"/>
          </w:tcPr>
          <w:p w:rsidR="000813DB" w:rsidRPr="0096375F" w:rsidP="00024F7F" w14:paraId="52DBE818" w14:textId="77777777">
            <w:pPr>
              <w:rPr>
                <w:b/>
                <w:lang w:val="en-GB"/>
              </w:rPr>
            </w:pPr>
            <w:r w:rsidRPr="0096375F">
              <w:rPr>
                <w:b/>
                <w:lang w:val="en-GB"/>
              </w:rPr>
              <w:t>Polska</w:t>
            </w:r>
          </w:p>
          <w:p w:rsidR="000813DB" w:rsidRPr="001F5859" w:rsidP="00024F7F" w14:paraId="5963B4C9" w14:textId="77777777">
            <w:pPr>
              <w:rPr>
                <w:lang w:val="de-CH"/>
              </w:rPr>
            </w:pPr>
            <w:r w:rsidRPr="001F5859">
              <w:rPr>
                <w:lang w:val="de-CH"/>
              </w:rPr>
              <w:t>Roche Polska Sp.z o.o.</w:t>
            </w:r>
          </w:p>
          <w:p w:rsidR="000813DB" w:rsidRPr="0096375F" w:rsidP="00024F7F" w14:paraId="611B7B94" w14:textId="77777777">
            <w:pPr>
              <w:rPr>
                <w:lang w:val="en-GB"/>
              </w:rPr>
            </w:pPr>
            <w:r w:rsidRPr="0096375F">
              <w:rPr>
                <w:lang w:val="en-GB"/>
              </w:rPr>
              <w:t>Tel: +48 - 22 345 18 88</w:t>
            </w:r>
          </w:p>
          <w:p w:rsidR="000813DB" w:rsidRPr="0096375F" w:rsidP="00024F7F" w14:paraId="7660C091" w14:textId="77777777">
            <w:pPr>
              <w:rPr>
                <w:lang w:val="en-GB"/>
              </w:rPr>
            </w:pPr>
          </w:p>
        </w:tc>
      </w:tr>
      <w:tr w14:paraId="70361E61" w14:textId="77777777" w:rsidTr="00024F7F">
        <w:tblPrEx>
          <w:tblW w:w="0" w:type="auto"/>
          <w:tblLayout w:type="fixed"/>
          <w:tblLook w:val="0000"/>
        </w:tblPrEx>
        <w:trPr>
          <w:cantSplit/>
        </w:trPr>
        <w:tc>
          <w:tcPr>
            <w:tcW w:w="4590" w:type="dxa"/>
          </w:tcPr>
          <w:p w:rsidR="000813DB" w:rsidRPr="0096375F" w:rsidP="00024F7F" w14:paraId="3DCE5F1B" w14:textId="77777777">
            <w:pPr>
              <w:rPr>
                <w:lang w:val="en-GB"/>
              </w:rPr>
            </w:pPr>
            <w:r w:rsidRPr="0096375F">
              <w:rPr>
                <w:b/>
                <w:lang w:val="en-GB"/>
              </w:rPr>
              <w:t>France</w:t>
            </w:r>
          </w:p>
          <w:p w:rsidR="000813DB" w:rsidRPr="0096375F" w:rsidP="00024F7F" w14:paraId="31236F8B" w14:textId="77777777">
            <w:pPr>
              <w:rPr>
                <w:lang w:val="en-GB"/>
              </w:rPr>
            </w:pPr>
            <w:r w:rsidRPr="0096375F">
              <w:rPr>
                <w:lang w:val="en-GB"/>
              </w:rPr>
              <w:t>Roche</w:t>
            </w:r>
          </w:p>
          <w:p w:rsidR="000813DB" w:rsidRPr="0096375F" w:rsidP="00024F7F" w14:paraId="377AEE14" w14:textId="77777777">
            <w:pPr>
              <w:rPr>
                <w:lang w:val="en-GB"/>
              </w:rPr>
            </w:pPr>
            <w:r w:rsidRPr="0096375F">
              <w:rPr>
                <w:lang w:val="en-GB"/>
              </w:rPr>
              <w:t>Tél: +33  (0)1 47 61 40 00</w:t>
            </w:r>
          </w:p>
          <w:p w:rsidR="000813DB" w:rsidRPr="0096375F" w:rsidP="00024F7F" w14:paraId="020C5328" w14:textId="77777777">
            <w:pPr>
              <w:rPr>
                <w:b/>
                <w:lang w:val="en-GB"/>
              </w:rPr>
            </w:pPr>
          </w:p>
        </w:tc>
        <w:tc>
          <w:tcPr>
            <w:tcW w:w="4590" w:type="dxa"/>
          </w:tcPr>
          <w:p w:rsidR="000813DB" w:rsidRPr="001F5859" w:rsidP="00024F7F" w14:paraId="2DDEC980" w14:textId="77777777">
            <w:pPr>
              <w:rPr>
                <w:lang w:val="pt-BR"/>
              </w:rPr>
            </w:pPr>
            <w:r w:rsidRPr="001F5859">
              <w:rPr>
                <w:b/>
                <w:lang w:val="pt-BR"/>
              </w:rPr>
              <w:t>Portugal</w:t>
            </w:r>
          </w:p>
          <w:p w:rsidR="000813DB" w:rsidRPr="001F5859" w:rsidP="00024F7F" w14:paraId="56E4EE2C" w14:textId="77777777">
            <w:pPr>
              <w:rPr>
                <w:lang w:val="pt-BR"/>
              </w:rPr>
            </w:pPr>
            <w:r w:rsidRPr="001F5859">
              <w:rPr>
                <w:lang w:val="pt-BR"/>
              </w:rPr>
              <w:t>Roche Farmacêutica Química, Lda</w:t>
            </w:r>
          </w:p>
          <w:p w:rsidR="000813DB" w:rsidRPr="001F5859" w:rsidP="00024F7F" w14:paraId="2791E115" w14:textId="77777777">
            <w:pPr>
              <w:rPr>
                <w:lang w:val="pt-BR"/>
              </w:rPr>
            </w:pPr>
            <w:r w:rsidRPr="001F5859">
              <w:rPr>
                <w:lang w:val="pt-BR"/>
              </w:rPr>
              <w:t>Tel: +351 - 21 425 70 00</w:t>
            </w:r>
          </w:p>
          <w:p w:rsidR="000813DB" w:rsidRPr="001F5859" w:rsidP="00024F7F" w14:paraId="2274A6F7" w14:textId="77777777">
            <w:pPr>
              <w:tabs>
                <w:tab w:val="left" w:pos="-720"/>
                <w:tab w:val="left" w:pos="4536"/>
              </w:tabs>
              <w:suppressAutoHyphens/>
              <w:rPr>
                <w:lang w:val="pt-BR"/>
              </w:rPr>
            </w:pPr>
          </w:p>
        </w:tc>
      </w:tr>
      <w:tr w14:paraId="78602CA5" w14:textId="77777777" w:rsidTr="00024F7F">
        <w:tblPrEx>
          <w:tblW w:w="0" w:type="auto"/>
          <w:tblLayout w:type="fixed"/>
          <w:tblLook w:val="0000"/>
        </w:tblPrEx>
        <w:trPr>
          <w:cantSplit/>
        </w:trPr>
        <w:tc>
          <w:tcPr>
            <w:tcW w:w="4590" w:type="dxa"/>
          </w:tcPr>
          <w:p w:rsidR="000813DB" w:rsidRPr="0096375F" w:rsidP="00024F7F" w14:paraId="67386878" w14:textId="77777777">
            <w:pPr>
              <w:rPr>
                <w:lang w:val="de-CH"/>
              </w:rPr>
            </w:pPr>
            <w:r w:rsidRPr="0096375F">
              <w:rPr>
                <w:b/>
                <w:lang w:val="de-CH"/>
              </w:rPr>
              <w:t>Hrvatska</w:t>
            </w:r>
          </w:p>
          <w:p w:rsidR="000813DB" w:rsidRPr="0096375F" w:rsidP="00024F7F" w14:paraId="7A0CBFBF" w14:textId="77777777">
            <w:pPr>
              <w:rPr>
                <w:lang w:val="de-CH"/>
              </w:rPr>
            </w:pPr>
            <w:r w:rsidRPr="0096375F">
              <w:rPr>
                <w:lang w:val="de-CH"/>
              </w:rPr>
              <w:t>Roche d.o.o.</w:t>
            </w:r>
          </w:p>
          <w:p w:rsidR="000813DB" w:rsidRPr="0096375F" w:rsidP="00024F7F" w14:paraId="562501C4" w14:textId="77777777">
            <w:pPr>
              <w:rPr>
                <w:lang w:val="en-GB"/>
              </w:rPr>
            </w:pPr>
            <w:r w:rsidRPr="0096375F">
              <w:rPr>
                <w:lang w:val="en-GB"/>
              </w:rPr>
              <w:t>Tel: + 385 1 47 22 333</w:t>
            </w:r>
          </w:p>
          <w:p w:rsidR="000813DB" w:rsidRPr="0096375F" w:rsidP="00024F7F" w14:paraId="64C18DF3" w14:textId="77777777">
            <w:pPr>
              <w:rPr>
                <w:lang w:val="en-GB"/>
              </w:rPr>
            </w:pPr>
          </w:p>
        </w:tc>
        <w:tc>
          <w:tcPr>
            <w:tcW w:w="4590" w:type="dxa"/>
          </w:tcPr>
          <w:p w:rsidR="000813DB" w:rsidRPr="001F5859" w:rsidP="00024F7F" w14:paraId="706F83A2" w14:textId="77777777">
            <w:pPr>
              <w:tabs>
                <w:tab w:val="left" w:pos="-720"/>
                <w:tab w:val="left" w:pos="4536"/>
              </w:tabs>
              <w:suppressAutoHyphens/>
              <w:rPr>
                <w:b/>
                <w:lang w:val="it-IT"/>
              </w:rPr>
            </w:pPr>
            <w:r w:rsidRPr="001F5859">
              <w:rPr>
                <w:b/>
                <w:lang w:val="it-IT"/>
              </w:rPr>
              <w:t>România</w:t>
            </w:r>
          </w:p>
          <w:p w:rsidR="000813DB" w:rsidRPr="001F5859" w:rsidP="00024F7F" w14:paraId="0119CE53" w14:textId="77777777">
            <w:pPr>
              <w:tabs>
                <w:tab w:val="left" w:pos="-720"/>
                <w:tab w:val="left" w:pos="4536"/>
              </w:tabs>
              <w:suppressAutoHyphens/>
              <w:rPr>
                <w:lang w:val="it-IT"/>
              </w:rPr>
            </w:pPr>
            <w:r w:rsidRPr="001F5859">
              <w:rPr>
                <w:lang w:val="it-IT"/>
              </w:rPr>
              <w:t>Roche România S.R.L.</w:t>
            </w:r>
          </w:p>
          <w:p w:rsidR="000813DB" w:rsidRPr="0096375F" w:rsidP="00024F7F" w14:paraId="560CEBFD" w14:textId="77777777">
            <w:pPr>
              <w:tabs>
                <w:tab w:val="left" w:pos="-720"/>
                <w:tab w:val="left" w:pos="4536"/>
              </w:tabs>
              <w:suppressAutoHyphens/>
              <w:rPr>
                <w:lang w:val="en-GB"/>
              </w:rPr>
            </w:pPr>
            <w:r w:rsidRPr="0096375F">
              <w:rPr>
                <w:lang w:val="en-GB"/>
              </w:rPr>
              <w:t>Tel: +40 21 206 47 01</w:t>
            </w:r>
          </w:p>
          <w:p w:rsidR="000813DB" w:rsidRPr="0096375F" w:rsidP="00024F7F" w14:paraId="48C63EB3" w14:textId="77777777">
            <w:pPr>
              <w:rPr>
                <w:lang w:val="en-GB"/>
              </w:rPr>
            </w:pPr>
          </w:p>
        </w:tc>
      </w:tr>
      <w:tr w14:paraId="7067C66D" w14:textId="77777777" w:rsidTr="00024F7F">
        <w:tblPrEx>
          <w:tblW w:w="0" w:type="auto"/>
          <w:tblLayout w:type="fixed"/>
          <w:tblLook w:val="0000"/>
        </w:tblPrEx>
        <w:trPr>
          <w:cantSplit/>
        </w:trPr>
        <w:tc>
          <w:tcPr>
            <w:tcW w:w="4590" w:type="dxa"/>
          </w:tcPr>
          <w:p w:rsidR="000813DB" w:rsidRPr="0096375F" w:rsidP="00024F7F" w14:paraId="1C9DAB0F" w14:textId="77777777">
            <w:pPr>
              <w:rPr>
                <w:b/>
                <w:lang w:val="en-GB"/>
              </w:rPr>
            </w:pPr>
            <w:r w:rsidRPr="0096375F">
              <w:rPr>
                <w:b/>
                <w:lang w:val="en-GB"/>
              </w:rPr>
              <w:t>Ireland</w:t>
            </w:r>
          </w:p>
          <w:p w:rsidR="000813DB" w:rsidRPr="0096375F" w:rsidP="00024F7F" w14:paraId="67B80E54" w14:textId="77777777">
            <w:pPr>
              <w:rPr>
                <w:lang w:val="en-GB"/>
              </w:rPr>
            </w:pPr>
            <w:r w:rsidRPr="0096375F">
              <w:rPr>
                <w:lang w:val="en-GB"/>
              </w:rPr>
              <w:t>Roche Products (Ireland) Ltd.</w:t>
            </w:r>
          </w:p>
          <w:p w:rsidR="000813DB" w:rsidRPr="0096375F" w:rsidP="00024F7F" w14:paraId="1B0A88FB" w14:textId="77777777">
            <w:pPr>
              <w:rPr>
                <w:lang w:val="en-GB"/>
              </w:rPr>
            </w:pPr>
            <w:r w:rsidRPr="0096375F">
              <w:rPr>
                <w:lang w:val="en-GB"/>
              </w:rPr>
              <w:t>Tel: +353 (0) 1 469 0700</w:t>
            </w:r>
          </w:p>
          <w:p w:rsidR="000813DB" w:rsidRPr="0096375F" w:rsidP="00024F7F" w14:paraId="7E35BE33" w14:textId="77777777">
            <w:pPr>
              <w:rPr>
                <w:b/>
                <w:lang w:val="en-GB"/>
              </w:rPr>
            </w:pPr>
          </w:p>
        </w:tc>
        <w:tc>
          <w:tcPr>
            <w:tcW w:w="4590" w:type="dxa"/>
          </w:tcPr>
          <w:p w:rsidR="000813DB" w:rsidRPr="00817928" w:rsidP="00024F7F" w14:paraId="6ECEB37E" w14:textId="77777777">
            <w:pPr>
              <w:rPr>
                <w:b/>
                <w:lang w:val="en-GB"/>
              </w:rPr>
            </w:pPr>
            <w:r w:rsidRPr="00817928">
              <w:rPr>
                <w:b/>
                <w:lang w:val="en-GB"/>
              </w:rPr>
              <w:t>Slovenija</w:t>
            </w:r>
          </w:p>
          <w:p w:rsidR="000813DB" w:rsidRPr="002A2529" w:rsidP="00024F7F" w14:paraId="0AC8EA7A" w14:textId="77777777">
            <w:pPr>
              <w:rPr>
                <w:lang w:val="en-GB"/>
              </w:rPr>
            </w:pPr>
            <w:r w:rsidRPr="007C35F7">
              <w:rPr>
                <w:lang w:val="en-GB"/>
              </w:rPr>
              <w:t>Roche farmacevtska družba d.o.o.</w:t>
            </w:r>
          </w:p>
          <w:p w:rsidR="000813DB" w:rsidRPr="0096375F" w:rsidP="00024F7F" w14:paraId="58D80DFB" w14:textId="77777777">
            <w:pPr>
              <w:rPr>
                <w:lang w:val="en-GB"/>
              </w:rPr>
            </w:pPr>
            <w:r w:rsidRPr="0096375F">
              <w:rPr>
                <w:lang w:val="en-GB"/>
              </w:rPr>
              <w:t>Tel: +386 - 1 360 26 00</w:t>
            </w:r>
          </w:p>
          <w:p w:rsidR="000813DB" w:rsidRPr="0096375F" w:rsidP="00024F7F" w14:paraId="739D30D8" w14:textId="77777777">
            <w:pPr>
              <w:rPr>
                <w:b/>
                <w:lang w:val="en-GB"/>
              </w:rPr>
            </w:pPr>
          </w:p>
        </w:tc>
      </w:tr>
      <w:tr w14:paraId="0EAFA6DB" w14:textId="77777777" w:rsidTr="00024F7F">
        <w:tblPrEx>
          <w:tblW w:w="0" w:type="auto"/>
          <w:tblLayout w:type="fixed"/>
          <w:tblLook w:val="0000"/>
        </w:tblPrEx>
        <w:trPr>
          <w:cantSplit/>
        </w:trPr>
        <w:tc>
          <w:tcPr>
            <w:tcW w:w="4590" w:type="dxa"/>
          </w:tcPr>
          <w:p w:rsidR="000813DB" w:rsidRPr="001F5859" w:rsidP="00024F7F" w14:paraId="58343C75" w14:textId="77777777">
            <w:pPr>
              <w:tabs>
                <w:tab w:val="left" w:pos="720"/>
              </w:tabs>
              <w:rPr>
                <w:b/>
                <w:lang w:val="pt-BR"/>
              </w:rPr>
            </w:pPr>
            <w:r w:rsidRPr="001F5859">
              <w:rPr>
                <w:b/>
                <w:lang w:val="pt-BR"/>
              </w:rPr>
              <w:t xml:space="preserve">Ísland </w:t>
            </w:r>
          </w:p>
          <w:p w:rsidR="000813DB" w:rsidRPr="001F5859" w:rsidP="00024F7F" w14:paraId="67002DE4" w14:textId="77777777">
            <w:pPr>
              <w:tabs>
                <w:tab w:val="left" w:pos="720"/>
              </w:tabs>
              <w:rPr>
                <w:lang w:val="pt-BR"/>
              </w:rPr>
            </w:pPr>
            <w:r w:rsidRPr="001F5859">
              <w:rPr>
                <w:lang w:val="pt-BR"/>
              </w:rPr>
              <w:t>Roche a/s</w:t>
            </w:r>
          </w:p>
          <w:p w:rsidR="000813DB" w:rsidRPr="001F5859" w:rsidP="00024F7F" w14:paraId="0CED786C" w14:textId="77777777">
            <w:pPr>
              <w:tabs>
                <w:tab w:val="left" w:pos="720"/>
              </w:tabs>
              <w:rPr>
                <w:lang w:val="pt-BR"/>
              </w:rPr>
            </w:pPr>
            <w:r w:rsidRPr="001F5859">
              <w:rPr>
                <w:lang w:val="pt-BR"/>
              </w:rPr>
              <w:t>c/o Icepharma hf</w:t>
            </w:r>
          </w:p>
          <w:p w:rsidR="000813DB" w:rsidRPr="001F5859" w:rsidP="00024F7F" w14:paraId="0D316CA1" w14:textId="77777777">
            <w:pPr>
              <w:rPr>
                <w:lang w:val="pt-BR"/>
              </w:rPr>
            </w:pPr>
            <w:r w:rsidRPr="001F5859">
              <w:rPr>
                <w:lang w:val="pt-BR"/>
              </w:rPr>
              <w:t>Sími: +354 540 8000</w:t>
            </w:r>
          </w:p>
          <w:p w:rsidR="000813DB" w:rsidRPr="001F5859" w:rsidP="00024F7F" w14:paraId="3C21021A" w14:textId="77777777">
            <w:pPr>
              <w:rPr>
                <w:b/>
                <w:lang w:val="pt-BR"/>
              </w:rPr>
            </w:pPr>
          </w:p>
        </w:tc>
        <w:tc>
          <w:tcPr>
            <w:tcW w:w="4590" w:type="dxa"/>
          </w:tcPr>
          <w:p w:rsidR="000813DB" w:rsidRPr="001F5859" w:rsidP="00024F7F" w14:paraId="595A8054" w14:textId="77777777">
            <w:pPr>
              <w:rPr>
                <w:b/>
                <w:lang w:val="da-DK"/>
              </w:rPr>
            </w:pPr>
            <w:r w:rsidRPr="001F5859">
              <w:rPr>
                <w:b/>
                <w:lang w:val="da-DK"/>
              </w:rPr>
              <w:t xml:space="preserve">Slovenská republika </w:t>
            </w:r>
          </w:p>
          <w:p w:rsidR="000813DB" w:rsidRPr="001F5859" w:rsidP="00024F7F" w14:paraId="7FF9EB08" w14:textId="77777777">
            <w:pPr>
              <w:rPr>
                <w:lang w:val="da-DK"/>
              </w:rPr>
            </w:pPr>
            <w:r w:rsidRPr="001F5859">
              <w:rPr>
                <w:lang w:val="da-DK"/>
              </w:rPr>
              <w:t>Roche Slovensko, s.r.o.</w:t>
            </w:r>
          </w:p>
          <w:p w:rsidR="000813DB" w:rsidRPr="0096375F" w:rsidP="00024F7F" w14:paraId="31BA8DEA" w14:textId="77777777">
            <w:pPr>
              <w:rPr>
                <w:lang w:val="en-GB"/>
              </w:rPr>
            </w:pPr>
            <w:r w:rsidRPr="0096375F">
              <w:rPr>
                <w:lang w:val="en-GB"/>
              </w:rPr>
              <w:t>Tel: +421 - 2 52638201</w:t>
            </w:r>
          </w:p>
          <w:p w:rsidR="000813DB" w:rsidRPr="0096375F" w:rsidP="00024F7F" w14:paraId="5CE31529" w14:textId="77777777">
            <w:pPr>
              <w:rPr>
                <w:lang w:val="en-GB"/>
              </w:rPr>
            </w:pPr>
          </w:p>
        </w:tc>
      </w:tr>
      <w:tr w14:paraId="301A2074" w14:textId="77777777" w:rsidTr="00024F7F">
        <w:tblPrEx>
          <w:tblW w:w="0" w:type="auto"/>
          <w:tblLayout w:type="fixed"/>
          <w:tblLook w:val="0000"/>
        </w:tblPrEx>
        <w:trPr>
          <w:cantSplit/>
        </w:trPr>
        <w:tc>
          <w:tcPr>
            <w:tcW w:w="4590" w:type="dxa"/>
          </w:tcPr>
          <w:p w:rsidR="000813DB" w:rsidRPr="001F5859" w:rsidP="00024F7F" w14:paraId="03A0D4B0" w14:textId="77777777">
            <w:pPr>
              <w:rPr>
                <w:lang w:val="it-IT"/>
              </w:rPr>
            </w:pPr>
            <w:r w:rsidRPr="001F5859">
              <w:rPr>
                <w:b/>
                <w:lang w:val="it-IT"/>
              </w:rPr>
              <w:t>Italia</w:t>
            </w:r>
          </w:p>
          <w:p w:rsidR="000813DB" w:rsidRPr="001F5859" w:rsidP="00024F7F" w14:paraId="4C0C0F19" w14:textId="77777777">
            <w:pPr>
              <w:rPr>
                <w:lang w:val="it-IT"/>
              </w:rPr>
            </w:pPr>
            <w:r w:rsidRPr="001F5859">
              <w:rPr>
                <w:lang w:val="it-IT"/>
              </w:rPr>
              <w:t>Roche S.p.A.</w:t>
            </w:r>
          </w:p>
          <w:p w:rsidR="000813DB" w:rsidRPr="0096375F" w:rsidP="00024F7F" w14:paraId="05ABFD8A" w14:textId="77777777">
            <w:pPr>
              <w:rPr>
                <w:lang w:val="de-CH"/>
              </w:rPr>
            </w:pPr>
            <w:r w:rsidRPr="006D0246">
              <w:rPr>
                <w:noProof/>
                <w:lang w:val="de-CH"/>
              </w:rPr>
              <w:t>Tel: +39 - 039 2471</w:t>
            </w:r>
          </w:p>
        </w:tc>
        <w:tc>
          <w:tcPr>
            <w:tcW w:w="4590" w:type="dxa"/>
          </w:tcPr>
          <w:p w:rsidR="000813DB" w:rsidRPr="006D0246" w:rsidP="00024F7F" w14:paraId="322A473D" w14:textId="77777777">
            <w:pPr>
              <w:rPr>
                <w:b/>
                <w:noProof/>
                <w:lang w:val="de-CH"/>
              </w:rPr>
            </w:pPr>
            <w:r w:rsidRPr="006D0246">
              <w:rPr>
                <w:b/>
                <w:noProof/>
                <w:lang w:val="de-CH"/>
              </w:rPr>
              <w:t>Suomi/Finland</w:t>
            </w:r>
          </w:p>
          <w:p w:rsidR="000813DB" w:rsidRPr="006D0246" w:rsidP="00024F7F" w14:paraId="1AFBBA2A" w14:textId="77777777">
            <w:pPr>
              <w:rPr>
                <w:noProof/>
                <w:snapToGrid w:val="0"/>
                <w:lang w:val="de-CH"/>
              </w:rPr>
            </w:pPr>
            <w:r w:rsidRPr="006D0246">
              <w:rPr>
                <w:noProof/>
                <w:lang w:val="de-CH"/>
              </w:rPr>
              <w:t>Roche Oy</w:t>
            </w:r>
            <w:r w:rsidRPr="006D0246">
              <w:rPr>
                <w:noProof/>
                <w:snapToGrid w:val="0"/>
                <w:lang w:val="de-CH"/>
              </w:rPr>
              <w:t xml:space="preserve"> </w:t>
            </w:r>
          </w:p>
          <w:p w:rsidR="000813DB" w:rsidRPr="006D0246" w:rsidP="00024F7F" w14:paraId="4621B047" w14:textId="77777777">
            <w:pPr>
              <w:rPr>
                <w:noProof/>
                <w:lang w:val="de-CH"/>
              </w:rPr>
            </w:pPr>
            <w:r w:rsidRPr="006D0246">
              <w:rPr>
                <w:noProof/>
                <w:lang w:val="de-CH"/>
              </w:rPr>
              <w:t>Puh/Tel: +358 (0) 10 554 500</w:t>
            </w:r>
          </w:p>
          <w:p w:rsidR="000813DB" w:rsidRPr="0096375F" w:rsidP="00024F7F" w14:paraId="15747787" w14:textId="77777777">
            <w:pPr>
              <w:suppressAutoHyphens/>
              <w:rPr>
                <w:lang w:val="de-CH"/>
              </w:rPr>
            </w:pPr>
          </w:p>
        </w:tc>
      </w:tr>
      <w:tr w14:paraId="4A1EF8A2" w14:textId="77777777" w:rsidTr="00024F7F">
        <w:tblPrEx>
          <w:tblW w:w="0" w:type="auto"/>
          <w:tblLayout w:type="fixed"/>
          <w:tblLook w:val="0000"/>
        </w:tblPrEx>
        <w:trPr>
          <w:cantSplit/>
        </w:trPr>
        <w:tc>
          <w:tcPr>
            <w:tcW w:w="4590" w:type="dxa"/>
          </w:tcPr>
          <w:p w:rsidR="000813DB" w:rsidRPr="0096375F" w:rsidP="00024F7F" w14:paraId="755BD4A2" w14:textId="77777777">
            <w:pPr>
              <w:rPr>
                <w:lang w:val="de-CH"/>
              </w:rPr>
            </w:pPr>
            <w:r w:rsidRPr="006D0246">
              <w:rPr>
                <w:b/>
                <w:noProof/>
                <w:lang w:val="de-CH"/>
              </w:rPr>
              <w:t>K</w:t>
            </w:r>
            <w:r w:rsidRPr="0096375F">
              <w:rPr>
                <w:b/>
                <w:lang w:val="en-GB"/>
              </w:rPr>
              <w:t>ύπρος</w:t>
            </w:r>
            <w:r w:rsidRPr="0096375F">
              <w:rPr>
                <w:sz w:val="20"/>
                <w:lang w:val="de-CH"/>
              </w:rPr>
              <w:t xml:space="preserve"> </w:t>
            </w:r>
          </w:p>
          <w:p w:rsidR="000813DB" w:rsidRPr="0096375F" w:rsidP="00024F7F" w14:paraId="5EF94A87" w14:textId="77777777">
            <w:pPr>
              <w:rPr>
                <w:lang w:val="de-CH"/>
              </w:rPr>
            </w:pPr>
            <w:r w:rsidRPr="0096375F">
              <w:rPr>
                <w:lang w:val="en-GB"/>
              </w:rPr>
              <w:t>Γ</w:t>
            </w:r>
            <w:r w:rsidRPr="0096375F">
              <w:rPr>
                <w:lang w:val="de-CH"/>
              </w:rPr>
              <w:t>.</w:t>
            </w:r>
            <w:r w:rsidRPr="0096375F">
              <w:rPr>
                <w:lang w:val="en-GB"/>
              </w:rPr>
              <w:t>Α</w:t>
            </w:r>
            <w:r w:rsidRPr="0096375F">
              <w:rPr>
                <w:lang w:val="de-CH"/>
              </w:rPr>
              <w:t>.</w:t>
            </w:r>
            <w:r w:rsidRPr="0096375F">
              <w:rPr>
                <w:lang w:val="en-GB"/>
              </w:rPr>
              <w:t>Σταμάτης</w:t>
            </w:r>
            <w:r w:rsidRPr="0096375F">
              <w:rPr>
                <w:lang w:val="de-CH"/>
              </w:rPr>
              <w:t xml:space="preserve"> &amp; </w:t>
            </w:r>
            <w:r w:rsidRPr="0096375F">
              <w:rPr>
                <w:lang w:val="en-GB"/>
              </w:rPr>
              <w:t>Σια</w:t>
            </w:r>
            <w:r w:rsidRPr="0096375F">
              <w:rPr>
                <w:lang w:val="de-CH"/>
              </w:rPr>
              <w:t xml:space="preserve"> </w:t>
            </w:r>
            <w:r w:rsidRPr="0096375F">
              <w:rPr>
                <w:lang w:val="en-GB"/>
              </w:rPr>
              <w:t>Λτδ</w:t>
            </w:r>
            <w:r w:rsidRPr="0096375F">
              <w:rPr>
                <w:lang w:val="de-CH"/>
              </w:rPr>
              <w:t>.</w:t>
            </w:r>
          </w:p>
          <w:p w:rsidR="000813DB" w:rsidRPr="0096375F" w:rsidP="00024F7F" w14:paraId="1CAD0AAA" w14:textId="77777777">
            <w:pPr>
              <w:rPr>
                <w:lang w:val="en-GB"/>
              </w:rPr>
            </w:pPr>
            <w:r w:rsidRPr="0096375F">
              <w:rPr>
                <w:lang w:val="en-GB"/>
              </w:rPr>
              <w:t>Τηλ: +357 - 22 76 62 76</w:t>
            </w:r>
          </w:p>
          <w:p w:rsidR="000813DB" w:rsidRPr="0096375F" w:rsidP="00024F7F" w14:paraId="357EEBA2" w14:textId="77777777">
            <w:pPr>
              <w:rPr>
                <w:b/>
                <w:lang w:val="en-GB"/>
              </w:rPr>
            </w:pPr>
          </w:p>
        </w:tc>
        <w:tc>
          <w:tcPr>
            <w:tcW w:w="4590" w:type="dxa"/>
          </w:tcPr>
          <w:p w:rsidR="000813DB" w:rsidRPr="0096375F" w:rsidP="00024F7F" w14:paraId="61227174" w14:textId="77777777">
            <w:pPr>
              <w:rPr>
                <w:lang w:val="en-GB"/>
              </w:rPr>
            </w:pPr>
            <w:r w:rsidRPr="0096375F">
              <w:rPr>
                <w:b/>
                <w:lang w:val="en-GB"/>
              </w:rPr>
              <w:t>Sverige</w:t>
            </w:r>
          </w:p>
          <w:p w:rsidR="000813DB" w:rsidRPr="0096375F" w:rsidP="00024F7F" w14:paraId="0167538C" w14:textId="77777777">
            <w:pPr>
              <w:rPr>
                <w:lang w:val="en-GB"/>
              </w:rPr>
            </w:pPr>
            <w:r w:rsidRPr="0096375F">
              <w:rPr>
                <w:lang w:val="en-GB"/>
              </w:rPr>
              <w:t>Roche AB</w:t>
            </w:r>
          </w:p>
          <w:p w:rsidR="000813DB" w:rsidRPr="0096375F" w:rsidP="00024F7F" w14:paraId="73FCE49E" w14:textId="77777777">
            <w:pPr>
              <w:suppressAutoHyphens/>
              <w:rPr>
                <w:lang w:val="en-GB"/>
              </w:rPr>
            </w:pPr>
            <w:r w:rsidRPr="0096375F">
              <w:rPr>
                <w:lang w:val="en-GB"/>
              </w:rPr>
              <w:t>Tel: +46 (0) 8 726 1200</w:t>
            </w:r>
          </w:p>
          <w:p w:rsidR="000813DB" w:rsidRPr="0096375F" w:rsidP="00024F7F" w14:paraId="47DB7B88" w14:textId="77777777">
            <w:pPr>
              <w:rPr>
                <w:lang w:val="en-GB"/>
              </w:rPr>
            </w:pPr>
          </w:p>
        </w:tc>
      </w:tr>
      <w:tr w14:paraId="6CBB5015" w14:textId="77777777" w:rsidTr="00024F7F">
        <w:tblPrEx>
          <w:tblW w:w="0" w:type="auto"/>
          <w:tblLayout w:type="fixed"/>
          <w:tblLook w:val="0000"/>
        </w:tblPrEx>
        <w:trPr>
          <w:cantSplit/>
        </w:trPr>
        <w:tc>
          <w:tcPr>
            <w:tcW w:w="4590" w:type="dxa"/>
          </w:tcPr>
          <w:p w:rsidR="000813DB" w:rsidRPr="001F5859" w:rsidP="00024F7F" w14:paraId="21352BBB" w14:textId="77777777">
            <w:pPr>
              <w:rPr>
                <w:b/>
                <w:lang w:val="it-IT"/>
              </w:rPr>
            </w:pPr>
            <w:r w:rsidRPr="001F5859">
              <w:rPr>
                <w:b/>
                <w:lang w:val="it-IT"/>
              </w:rPr>
              <w:t>Latvija</w:t>
            </w:r>
          </w:p>
          <w:p w:rsidR="000813DB" w:rsidRPr="001F5859" w:rsidP="00024F7F" w14:paraId="0FDB6659" w14:textId="77777777">
            <w:pPr>
              <w:rPr>
                <w:lang w:val="it-IT"/>
              </w:rPr>
            </w:pPr>
            <w:r w:rsidRPr="001F5859">
              <w:rPr>
                <w:lang w:val="it-IT"/>
              </w:rPr>
              <w:t>Roche Latvija SIA</w:t>
            </w:r>
          </w:p>
          <w:p w:rsidR="000813DB" w:rsidRPr="001F5859" w:rsidP="00024F7F" w14:paraId="6EF22DC2" w14:textId="77777777">
            <w:pPr>
              <w:rPr>
                <w:lang w:val="it-IT"/>
              </w:rPr>
            </w:pPr>
            <w:r w:rsidRPr="001F5859">
              <w:rPr>
                <w:lang w:val="it-IT"/>
              </w:rPr>
              <w:t>Tel: +371 - 6 7039831</w:t>
            </w:r>
          </w:p>
          <w:p w:rsidR="000813DB" w:rsidRPr="001F5859" w:rsidP="00024F7F" w14:paraId="5BD26BFA" w14:textId="77777777">
            <w:pPr>
              <w:suppressAutoHyphens/>
              <w:rPr>
                <w:noProof/>
                <w:lang w:val="it-IT"/>
              </w:rPr>
            </w:pPr>
          </w:p>
        </w:tc>
        <w:tc>
          <w:tcPr>
            <w:tcW w:w="4590" w:type="dxa"/>
          </w:tcPr>
          <w:p w:rsidR="000813DB" w:rsidRPr="0096375F" w:rsidP="00024F7F" w14:paraId="32854371" w14:textId="77777777">
            <w:pPr>
              <w:rPr>
                <w:b/>
                <w:lang w:val="en-GB"/>
              </w:rPr>
            </w:pPr>
            <w:r w:rsidRPr="0096375F">
              <w:rPr>
                <w:b/>
                <w:lang w:val="en-GB"/>
              </w:rPr>
              <w:t>United Kingdom</w:t>
            </w:r>
          </w:p>
          <w:p w:rsidR="000813DB" w:rsidRPr="0096375F" w:rsidP="00024F7F" w14:paraId="3D7915ED" w14:textId="77777777">
            <w:pPr>
              <w:rPr>
                <w:lang w:val="en-GB"/>
              </w:rPr>
            </w:pPr>
            <w:r w:rsidRPr="0096375F">
              <w:rPr>
                <w:lang w:val="en-GB"/>
              </w:rPr>
              <w:t>Roche Products Ltd.</w:t>
            </w:r>
          </w:p>
          <w:p w:rsidR="000813DB" w:rsidRPr="0096375F" w:rsidP="00024F7F" w14:paraId="694AF0B3" w14:textId="77777777">
            <w:pPr>
              <w:rPr>
                <w:lang w:val="en-GB"/>
              </w:rPr>
            </w:pPr>
            <w:r w:rsidRPr="0096375F">
              <w:rPr>
                <w:lang w:val="en-GB"/>
              </w:rPr>
              <w:t>Tel: +44 (0) 1707 366000</w:t>
            </w:r>
          </w:p>
          <w:p w:rsidR="000813DB" w:rsidRPr="0096375F" w:rsidP="00024F7F" w14:paraId="7B00E76E" w14:textId="77777777">
            <w:pPr>
              <w:suppressAutoHyphens/>
              <w:rPr>
                <w:lang w:val="en-GB"/>
              </w:rPr>
            </w:pPr>
          </w:p>
        </w:tc>
      </w:tr>
    </w:tbl>
    <w:p w:rsidR="00863CEA" w:rsidRPr="0096375F" w:rsidP="00BD3372" w14:paraId="68FC2FD6" w14:textId="77777777">
      <w:pPr>
        <w:rPr>
          <w:lang w:val="en-GB"/>
        </w:rPr>
      </w:pPr>
    </w:p>
    <w:p w:rsidR="00863CEA" w:rsidRPr="0096375F" w:rsidP="00F62767" w14:paraId="2DC40879" w14:textId="77777777">
      <w:pPr>
        <w:keepNext/>
        <w:keepLines/>
        <w:rPr>
          <w:b/>
          <w:lang w:val="en-GB"/>
        </w:rPr>
      </w:pPr>
      <w:r w:rsidRPr="0096375F">
        <w:rPr>
          <w:b/>
          <w:lang w:val="en-GB"/>
        </w:rPr>
        <w:t xml:space="preserve">This leaflet was last revised in. </w:t>
      </w:r>
    </w:p>
    <w:p w:rsidR="00863CEA" w:rsidRPr="0096375F" w:rsidP="00F62767" w14:paraId="5485DABB" w14:textId="77777777">
      <w:pPr>
        <w:keepNext/>
        <w:keepLines/>
        <w:rPr>
          <w:b/>
          <w:lang w:val="en-GB"/>
        </w:rPr>
      </w:pPr>
    </w:p>
    <w:p w:rsidR="00863CEA" w:rsidRPr="0096375F" w:rsidP="00863CEA" w14:paraId="2E250A6E" w14:textId="77777777">
      <w:pPr>
        <w:numPr>
          <w:ilvl w:val="12"/>
          <w:numId w:val="0"/>
        </w:numPr>
        <w:tabs>
          <w:tab w:val="left" w:pos="2657"/>
        </w:tabs>
        <w:ind w:right="-28"/>
        <w:rPr>
          <w:lang w:val="en-GB"/>
        </w:rPr>
      </w:pPr>
      <w:r w:rsidRPr="0096375F">
        <w:rPr>
          <w:lang w:val="en-GB"/>
        </w:rPr>
        <w:t xml:space="preserve">Detailed information on this medicine is available on the European Medicines Agency web site: http://www.ema.europa.eu </w:t>
      </w:r>
    </w:p>
    <w:p w:rsidR="00775C04" w:rsidP="00775C04" w14:paraId="4FFF6F9E" w14:textId="77777777">
      <w:pPr>
        <w:widowControl w:val="0"/>
        <w:autoSpaceDE w:val="0"/>
        <w:autoSpaceDN w:val="0"/>
        <w:adjustRightInd w:val="0"/>
        <w:ind w:left="127" w:right="120"/>
        <w:rPr>
          <w:rFonts w:cs="Verdana"/>
          <w:color w:val="000000"/>
        </w:rPr>
      </w:pPr>
    </w:p>
    <w:sectPr w:rsidSect="00E932BF">
      <w:footerReference w:type="default" r:id="rId12"/>
      <w:footerReference w:type="first" r:id="rId13"/>
      <w:endnotePr>
        <w:numFmt w:val="decimal"/>
      </w:endnotePr>
      <w:pgSz w:w="11907" w:h="16840" w:code="9"/>
      <w:pgMar w:top="1134" w:right="1418" w:bottom="1134" w:left="1418" w:header="737" w:footer="737"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93F4F" w14:paraId="7B8AE584" w14:textId="77777777">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74A91">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93F4F" w14:paraId="39C76555" w14:textId="77777777">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74A91">
      <w:rPr>
        <w:rStyle w:val="PageNumber"/>
        <w:rFonts w:cs="Arial"/>
      </w:rPr>
      <w:t>1</w:t>
    </w:r>
    <w:r>
      <w:rPr>
        <w:rStyle w:val="PageNumber"/>
        <w:rFonts w:cs="Arial"/>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3.5pt" o:bullet="t">
        <v:imagedata r:id="rId1" o:title="BT_1000x858px"/>
      </v:shape>
    </w:pict>
  </w:numPicBullet>
  <w:abstractNum w:abstractNumId="0">
    <w:nsid w:val="FFFFFF1D"/>
    <w:multiLevelType w:val="multilevel"/>
    <w:tmpl w:val="90708F78"/>
    <w:lvl w:ilvl="0">
      <w:start w:val="1"/>
      <w:numFmt w:val="bullet"/>
      <w:pStyle w:val="Synopsis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30F5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F2415B0"/>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4D7A9DB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6A40BB6A"/>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EECD3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5E6A689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F510079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3C6B0A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86169FE2"/>
    <w:lvl w:ilvl="0">
      <w:start w:val="1"/>
      <w:numFmt w:val="decimal"/>
      <w:lvlText w:val="%1."/>
      <w:lvlJc w:val="left"/>
      <w:pPr>
        <w:tabs>
          <w:tab w:val="num" w:pos="432"/>
        </w:tabs>
        <w:ind w:left="432" w:hanging="432"/>
      </w:pPr>
      <w:rPr>
        <w:rFonts w:cs="Times New Roman" w:hint="default"/>
      </w:rPr>
    </w:lvl>
  </w:abstractNum>
  <w:abstractNum w:abstractNumId="10">
    <w:nsid w:val="FFFFFF89"/>
    <w:multiLevelType w:val="singleLevel"/>
    <w:tmpl w:val="B76C5344"/>
    <w:lvl w:ilvl="0">
      <w:start w:val="1"/>
      <w:numFmt w:val="bullet"/>
      <w:lvlText w:val=""/>
      <w:lvlJc w:val="left"/>
      <w:pPr>
        <w:tabs>
          <w:tab w:val="num" w:pos="432"/>
        </w:tabs>
        <w:ind w:left="432" w:hanging="331"/>
      </w:pPr>
      <w:rPr>
        <w:rFonts w:ascii="Symbol" w:hAnsi="Symbol" w:hint="default"/>
      </w:rPr>
    </w:lvl>
  </w:abstractNum>
  <w:abstractNum w:abstractNumId="11">
    <w:nsid w:val="00F27C73"/>
    <w:multiLevelType w:val="hybridMultilevel"/>
    <w:tmpl w:val="10980F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FF6126"/>
    <w:multiLevelType w:val="hybridMultilevel"/>
    <w:tmpl w:val="4EC2BE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7DB7DB2"/>
    <w:multiLevelType w:val="hybridMultilevel"/>
    <w:tmpl w:val="06402482"/>
    <w:lvl w:ilvl="0">
      <w:start w:val="1"/>
      <w:numFmt w:val="bullet"/>
      <w:lvlText w:val="-"/>
      <w:lvlJc w:val="left"/>
      <w:pPr>
        <w:ind w:left="720" w:hanging="360"/>
      </w:pPr>
      <w:rPr>
        <w:rFonts w:ascii="Times New Roman" w:eastAsia="SimSu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A701CCF"/>
    <w:multiLevelType w:val="hybridMultilevel"/>
    <w:tmpl w:val="3F6C68E8"/>
    <w:lvl w:ilvl="0">
      <w:start w:val="1"/>
      <w:numFmt w:val="bullet"/>
      <w:pStyle w:val="ListBullet"/>
      <w:lvlText w:val=""/>
      <w:lvlJc w:val="left"/>
      <w:pPr>
        <w:tabs>
          <w:tab w:val="num" w:pos="432"/>
        </w:tabs>
        <w:ind w:left="432"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0DBB70A8"/>
    <w:multiLevelType w:val="hybridMultilevel"/>
    <w:tmpl w:val="33FA4736"/>
    <w:lvl w:ilvl="0">
      <w:start w:val="0"/>
      <w:numFmt w:val="bullet"/>
      <w:lvlText w:val=""/>
      <w:lvlJc w:val="left"/>
      <w:pPr>
        <w:ind w:left="720" w:hanging="360"/>
      </w:pPr>
      <w:rPr>
        <w:rFonts w:ascii="Wingdings" w:eastAsia="SimSu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E1E55D3"/>
    <w:multiLevelType w:val="hybridMultilevel"/>
    <w:tmpl w:val="B2ECB3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EA452D6"/>
    <w:multiLevelType w:val="hybridMultilevel"/>
    <w:tmpl w:val="632607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FA857CF"/>
    <w:multiLevelType w:val="hybridMultilevel"/>
    <w:tmpl w:val="54A6C1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15B909BE"/>
    <w:multiLevelType w:val="hybridMultilevel"/>
    <w:tmpl w:val="110A18BE"/>
    <w:lvl w:ilvl="0">
      <w:start w:val="1"/>
      <w:numFmt w:val="bullet"/>
      <w:pStyle w:val="ListDash"/>
      <w:lvlText w:val="–"/>
      <w:lvlJc w:val="left"/>
      <w:pPr>
        <w:tabs>
          <w:tab w:val="num" w:pos="432"/>
        </w:tabs>
        <w:ind w:left="432" w:hanging="432"/>
      </w:pPr>
      <w:rPr>
        <w:rFonts w:ascii="Times New Roman" w:hAnsi="Times New Roman" w:hint="default"/>
        <w:b/>
        <w:i w:val="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15D71A21"/>
    <w:multiLevelType w:val="hybridMultilevel"/>
    <w:tmpl w:val="18D890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E3100EE"/>
    <w:multiLevelType w:val="hybridMultilevel"/>
    <w:tmpl w:val="4014A7DA"/>
    <w:lvl w:ilvl="0">
      <w:start w:val="0"/>
      <w:numFmt w:val="bullet"/>
      <w:lvlText w:val="-"/>
      <w:lvlJc w:val="left"/>
      <w:pPr>
        <w:ind w:left="1080" w:hanging="720"/>
      </w:pPr>
      <w:rPr>
        <w:rFonts w:ascii="Times New Roman" w:eastAsia="SimSu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1F3321FD"/>
    <w:multiLevelType w:val="hybridMultilevel"/>
    <w:tmpl w:val="593CD2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222D4B38"/>
    <w:multiLevelType w:val="hybridMultilevel"/>
    <w:tmpl w:val="2328F676"/>
    <w:lvl w:ilvl="0">
      <w:start w:val="0"/>
      <w:numFmt w:val="bullet"/>
      <w:lvlText w:val=""/>
      <w:lvlJc w:val="left"/>
      <w:pPr>
        <w:ind w:left="720" w:hanging="360"/>
      </w:pPr>
      <w:rPr>
        <w:rFonts w:ascii="Wingdings" w:eastAsia="SimSu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2EE24575"/>
    <w:multiLevelType w:val="singleLevel"/>
    <w:tmpl w:val="AA5ADB5A"/>
    <w:lvl w:ilvl="0">
      <w:start w:val="1"/>
      <w:numFmt w:val="decimal"/>
      <w:lvlText w:val="%1."/>
      <w:lvlJc w:val="left"/>
      <w:pPr>
        <w:tabs>
          <w:tab w:val="num" w:pos="570"/>
        </w:tabs>
        <w:ind w:left="570" w:hanging="570"/>
      </w:pPr>
      <w:rPr>
        <w:rFonts w:hint="default"/>
      </w:rPr>
    </w:lvl>
  </w:abstractNum>
  <w:abstractNum w:abstractNumId="25">
    <w:nsid w:val="2F6A3211"/>
    <w:multiLevelType w:val="hybridMultilevel"/>
    <w:tmpl w:val="E6B65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5C6190A"/>
    <w:multiLevelType w:val="hybridMultilevel"/>
    <w:tmpl w:val="FFF854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6063BE7"/>
    <w:multiLevelType w:val="multilevel"/>
    <w:tmpl w:val="AAB4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8B70F5A"/>
    <w:multiLevelType w:val="multilevel"/>
    <w:tmpl w:val="53C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A730749"/>
    <w:multiLevelType w:val="hybridMultilevel"/>
    <w:tmpl w:val="499A2648"/>
    <w:lvl w:ilvl="0">
      <w:start w:val="1"/>
      <w:numFmt w:val="bullet"/>
      <w:lvlText w:val=""/>
      <w:lvlJc w:val="left"/>
      <w:pPr>
        <w:ind w:left="1501" w:hanging="360"/>
      </w:pPr>
      <w:rPr>
        <w:rFonts w:ascii="Symbol" w:hAnsi="Symbol" w:hint="default"/>
      </w:rPr>
    </w:lvl>
    <w:lvl w:ilvl="1" w:tentative="1">
      <w:start w:val="1"/>
      <w:numFmt w:val="bullet"/>
      <w:lvlText w:val="o"/>
      <w:lvlJc w:val="left"/>
      <w:pPr>
        <w:ind w:left="2221" w:hanging="360"/>
      </w:pPr>
      <w:rPr>
        <w:rFonts w:ascii="Courier New" w:hAnsi="Courier New" w:cs="Courier New" w:hint="default"/>
      </w:rPr>
    </w:lvl>
    <w:lvl w:ilvl="2" w:tentative="1">
      <w:start w:val="1"/>
      <w:numFmt w:val="bullet"/>
      <w:lvlText w:val=""/>
      <w:lvlJc w:val="left"/>
      <w:pPr>
        <w:ind w:left="2941" w:hanging="360"/>
      </w:pPr>
      <w:rPr>
        <w:rFonts w:ascii="Wingdings" w:hAnsi="Wingdings" w:hint="default"/>
      </w:rPr>
    </w:lvl>
    <w:lvl w:ilvl="3" w:tentative="1">
      <w:start w:val="1"/>
      <w:numFmt w:val="bullet"/>
      <w:lvlText w:val=""/>
      <w:lvlJc w:val="left"/>
      <w:pPr>
        <w:ind w:left="3661" w:hanging="360"/>
      </w:pPr>
      <w:rPr>
        <w:rFonts w:ascii="Symbol" w:hAnsi="Symbol" w:hint="default"/>
      </w:rPr>
    </w:lvl>
    <w:lvl w:ilvl="4" w:tentative="1">
      <w:start w:val="1"/>
      <w:numFmt w:val="bullet"/>
      <w:lvlText w:val="o"/>
      <w:lvlJc w:val="left"/>
      <w:pPr>
        <w:ind w:left="4381" w:hanging="360"/>
      </w:pPr>
      <w:rPr>
        <w:rFonts w:ascii="Courier New" w:hAnsi="Courier New" w:cs="Courier New" w:hint="default"/>
      </w:rPr>
    </w:lvl>
    <w:lvl w:ilvl="5" w:tentative="1">
      <w:start w:val="1"/>
      <w:numFmt w:val="bullet"/>
      <w:lvlText w:val=""/>
      <w:lvlJc w:val="left"/>
      <w:pPr>
        <w:ind w:left="5101" w:hanging="360"/>
      </w:pPr>
      <w:rPr>
        <w:rFonts w:ascii="Wingdings" w:hAnsi="Wingdings" w:hint="default"/>
      </w:rPr>
    </w:lvl>
    <w:lvl w:ilvl="6" w:tentative="1">
      <w:start w:val="1"/>
      <w:numFmt w:val="bullet"/>
      <w:lvlText w:val=""/>
      <w:lvlJc w:val="left"/>
      <w:pPr>
        <w:ind w:left="5821" w:hanging="360"/>
      </w:pPr>
      <w:rPr>
        <w:rFonts w:ascii="Symbol" w:hAnsi="Symbol" w:hint="default"/>
      </w:rPr>
    </w:lvl>
    <w:lvl w:ilvl="7" w:tentative="1">
      <w:start w:val="1"/>
      <w:numFmt w:val="bullet"/>
      <w:lvlText w:val="o"/>
      <w:lvlJc w:val="left"/>
      <w:pPr>
        <w:ind w:left="6541" w:hanging="360"/>
      </w:pPr>
      <w:rPr>
        <w:rFonts w:ascii="Courier New" w:hAnsi="Courier New" w:cs="Courier New" w:hint="default"/>
      </w:rPr>
    </w:lvl>
    <w:lvl w:ilvl="8" w:tentative="1">
      <w:start w:val="1"/>
      <w:numFmt w:val="bullet"/>
      <w:lvlText w:val=""/>
      <w:lvlJc w:val="left"/>
      <w:pPr>
        <w:ind w:left="7261" w:hanging="360"/>
      </w:pPr>
      <w:rPr>
        <w:rFonts w:ascii="Wingdings" w:hAnsi="Wingdings" w:hint="default"/>
      </w:rPr>
    </w:lvl>
  </w:abstractNum>
  <w:abstractNum w:abstractNumId="30">
    <w:nsid w:val="429E60EA"/>
    <w:multiLevelType w:val="hybridMultilevel"/>
    <w:tmpl w:val="B5D2BB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4344900"/>
    <w:multiLevelType w:val="hybridMultilevel"/>
    <w:tmpl w:val="36BC2CBA"/>
    <w:lvl w:ilvl="0">
      <w:start w:val="1"/>
      <w:numFmt w:val="bullet"/>
      <w:pStyle w:val="ListNumber"/>
      <w:lvlText w:val="-"/>
      <w:lvlJc w:val="left"/>
      <w:pPr>
        <w:ind w:left="720" w:hanging="360"/>
      </w:pPr>
      <w:rPr>
        <w:rFonts w:ascii="Times New Roman" w:eastAsia="SimSu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A6676E7"/>
    <w:multiLevelType w:val="hybridMultilevel"/>
    <w:tmpl w:val="A1BE825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3">
    <w:nsid w:val="51086EEF"/>
    <w:multiLevelType w:val="hybridMultilevel"/>
    <w:tmpl w:val="A10237F6"/>
    <w:lvl w:ilvl="0">
      <w:start w:val="0"/>
      <w:numFmt w:val="bullet"/>
      <w:lvlText w:val=""/>
      <w:lvlJc w:val="left"/>
      <w:pPr>
        <w:ind w:left="720" w:hanging="360"/>
      </w:pPr>
      <w:rPr>
        <w:rFonts w:ascii="Wingdings" w:eastAsia="SimSun" w:hAnsi="Wingdings" w:cs="Times New Roman" w:hint="default"/>
        <w:color w:val="auto"/>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2EF6436"/>
    <w:multiLevelType w:val="hybridMultilevel"/>
    <w:tmpl w:val="0542FA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6D14CEE"/>
    <w:multiLevelType w:val="hybridMultilevel"/>
    <w:tmpl w:val="1438F3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D9C056E"/>
    <w:multiLevelType w:val="hybridMultilevel"/>
    <w:tmpl w:val="E3C0E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EE36FBE"/>
    <w:multiLevelType w:val="hybridMultilevel"/>
    <w:tmpl w:val="09741988"/>
    <w:lvl w:ilvl="0">
      <w:start w:val="1"/>
      <w:numFmt w:val="decimal"/>
      <w:pStyle w:val="Reference"/>
      <w:lvlText w:val="%1."/>
      <w:lvlJc w:val="left"/>
      <w:pPr>
        <w:tabs>
          <w:tab w:val="num" w:pos="432"/>
        </w:tabs>
        <w:ind w:left="432" w:hanging="432"/>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8">
    <w:nsid w:val="5FB57822"/>
    <w:multiLevelType w:val="hybridMultilevel"/>
    <w:tmpl w:val="ECE008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00F5C41"/>
    <w:multiLevelType w:val="hybridMultilevel"/>
    <w:tmpl w:val="C7802D50"/>
    <w:lvl w:ilvl="0">
      <w:start w:val="0"/>
      <w:numFmt w:val="bullet"/>
      <w:lvlText w:val="-"/>
      <w:lvlJc w:val="left"/>
      <w:pPr>
        <w:ind w:left="1080" w:hanging="720"/>
      </w:pPr>
      <w:rPr>
        <w:rFonts w:ascii="Times New Roman" w:eastAsia="SimSu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0E4629C"/>
    <w:multiLevelType w:val="hybridMultilevel"/>
    <w:tmpl w:val="C8E46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5110F3A"/>
    <w:multiLevelType w:val="hybridMultilevel"/>
    <w:tmpl w:val="92FA20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5721DDD"/>
    <w:multiLevelType w:val="hybridMultilevel"/>
    <w:tmpl w:val="BAC46EC0"/>
    <w:lvl w:ilvl="0">
      <w:start w:val="1"/>
      <w:numFmt w:val="lowerLetter"/>
      <w:pStyle w:val="ListAlpha"/>
      <w:lvlText w:val="%1)"/>
      <w:lvlJc w:val="left"/>
      <w:pPr>
        <w:tabs>
          <w:tab w:val="num" w:pos="432"/>
        </w:tabs>
        <w:ind w:left="432" w:hanging="432"/>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43">
    <w:nsid w:val="6A7E380B"/>
    <w:multiLevelType w:val="hybridMultilevel"/>
    <w:tmpl w:val="5B72B4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B851395"/>
    <w:multiLevelType w:val="hybridMultilevel"/>
    <w:tmpl w:val="F802F8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6EC25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36B3328"/>
    <w:multiLevelType w:val="hybridMultilevel"/>
    <w:tmpl w:val="A7561A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42D3F7D"/>
    <w:multiLevelType w:val="hybridMultilevel"/>
    <w:tmpl w:val="3FC830CA"/>
    <w:lvl w:ilvl="0">
      <w:start w:val="0"/>
      <w:numFmt w:val="bullet"/>
      <w:lvlText w:val="•"/>
      <w:lvlJc w:val="left"/>
      <w:pPr>
        <w:ind w:left="720" w:hanging="360"/>
      </w:pPr>
      <w:rPr>
        <w:rFonts w:ascii="Times New Roman" w:eastAsia="SimSu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8081B6B"/>
    <w:multiLevelType w:val="hybridMultilevel"/>
    <w:tmpl w:val="154693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78715913"/>
    <w:multiLevelType w:val="hybridMultilevel"/>
    <w:tmpl w:val="C82613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7D1B375A"/>
    <w:multiLevelType w:val="multilevel"/>
    <w:tmpl w:val="69B489CA"/>
    <w:lvl w:ilvl="0">
      <w:start w:val="1"/>
      <w:numFmt w:val="decimal"/>
      <w:lvlText w:val="%1."/>
      <w:lvlJc w:val="left"/>
      <w:pPr>
        <w:tabs>
          <w:tab w:val="num" w:pos="1411"/>
        </w:tabs>
        <w:ind w:left="1411" w:hanging="1411"/>
      </w:pPr>
      <w:rPr>
        <w:rFonts w:cs="Times New Roman" w:hint="default"/>
        <w:b/>
        <w:i w:val="0"/>
        <w:sz w:val="32"/>
        <w:szCs w:val="32"/>
      </w:rPr>
    </w:lvl>
    <w:lvl w:ilvl="1">
      <w:start w:val="1"/>
      <w:numFmt w:val="decimal"/>
      <w:lvlText w:val="%1.%2"/>
      <w:lvlJc w:val="left"/>
      <w:pPr>
        <w:tabs>
          <w:tab w:val="num" w:pos="1411"/>
        </w:tabs>
        <w:ind w:left="1411" w:hanging="1411"/>
      </w:pPr>
      <w:rPr>
        <w:rFonts w:cs="Times New Roman" w:hint="default"/>
        <w:b/>
        <w:i w:val="0"/>
        <w:color w:val="auto"/>
        <w:sz w:val="28"/>
        <w:szCs w:val="28"/>
      </w:rPr>
    </w:lvl>
    <w:lvl w:ilvl="2">
      <w:start w:val="1"/>
      <w:numFmt w:val="decimal"/>
      <w:lvlText w:val="%1.%2.%3"/>
      <w:lvlJc w:val="left"/>
      <w:pPr>
        <w:tabs>
          <w:tab w:val="num" w:pos="1411"/>
        </w:tabs>
        <w:ind w:left="1411" w:hanging="1411"/>
      </w:pPr>
      <w:rPr>
        <w:rFonts w:cs="Times New Roman" w:hint="default"/>
        <w:b/>
        <w:bCs w:val="0"/>
        <w:i w:val="0"/>
        <w:iCs w:val="0"/>
        <w:caps w:val="0"/>
        <w:smallCaps w:val="0"/>
        <w:strike w:val="0"/>
        <w:dstrike w:val="0"/>
        <w:vanish w:val="0"/>
        <w:color w:val="auto"/>
        <w:spacing w:val="0"/>
        <w:kern w:val="0"/>
        <w:position w:val="0"/>
        <w:sz w:val="26"/>
        <w:szCs w:val="26"/>
        <w:u w:val="none"/>
        <w:vertAlign w:val="baseline"/>
      </w:rPr>
    </w:lvl>
    <w:lvl w:ilvl="3">
      <w:start w:val="1"/>
      <w:numFmt w:val="decimal"/>
      <w:pStyle w:val="Heading4"/>
      <w:lvlText w:val="%1.%2.%3.%4"/>
      <w:lvlJc w:val="left"/>
      <w:pPr>
        <w:tabs>
          <w:tab w:val="num" w:pos="1411"/>
        </w:tabs>
        <w:ind w:left="1411" w:hanging="1411"/>
      </w:pPr>
      <w:rPr>
        <w:rFonts w:cs="Times New Roman" w:hint="default"/>
        <w:b/>
        <w:i w:val="0"/>
        <w:sz w:val="24"/>
        <w:szCs w:val="24"/>
      </w:rPr>
    </w:lvl>
    <w:lvl w:ilvl="4">
      <w:start w:val="1"/>
      <w:numFmt w:val="decimal"/>
      <w:pStyle w:val="Heading5"/>
      <w:lvlText w:val="%1.%2.%3.%4.%5"/>
      <w:lvlJc w:val="left"/>
      <w:pPr>
        <w:tabs>
          <w:tab w:val="num" w:pos="1411"/>
        </w:tabs>
        <w:ind w:left="1411" w:hanging="1411"/>
      </w:pPr>
      <w:rPr>
        <w:rFonts w:cs="Times New Roman" w:hint="default"/>
        <w:b/>
        <w:i w:val="0"/>
        <w:sz w:val="24"/>
      </w:rPr>
    </w:lvl>
    <w:lvl w:ilvl="5">
      <w:start w:val="1"/>
      <w:numFmt w:val="decimal"/>
      <w:pStyle w:val="Heading6"/>
      <w:lvlText w:val="%1.%2.%3.%4.%5.%6"/>
      <w:lvlJc w:val="left"/>
      <w:pPr>
        <w:tabs>
          <w:tab w:val="num" w:pos="1411"/>
        </w:tabs>
        <w:ind w:left="1411" w:hanging="1411"/>
      </w:pPr>
      <w:rPr>
        <w:rFonts w:cs="Times New Roman" w:hint="default"/>
        <w:b/>
        <w:i w:val="0"/>
        <w:sz w:val="24"/>
      </w:rPr>
    </w:lvl>
    <w:lvl w:ilvl="6">
      <w:start w:val="1"/>
      <w:numFmt w:val="decimal"/>
      <w:pStyle w:val="Heading7"/>
      <w:lvlText w:val="%1.%2.%3.%4.%5.%6.%7"/>
      <w:lvlJc w:val="left"/>
      <w:pPr>
        <w:tabs>
          <w:tab w:val="num" w:pos="1411"/>
        </w:tabs>
        <w:ind w:left="1411" w:hanging="1411"/>
      </w:pPr>
      <w:rPr>
        <w:rFonts w:cs="Times New Roman" w:hint="default"/>
        <w:b/>
        <w:i w:val="0"/>
        <w:sz w:val="24"/>
      </w:rPr>
    </w:lvl>
    <w:lvl w:ilvl="7">
      <w:start w:val="1"/>
      <w:numFmt w:val="decimal"/>
      <w:pStyle w:val="Heading8"/>
      <w:lvlText w:val="%1.%2.%3.%4.%5.%6.%7.%8"/>
      <w:lvlJc w:val="left"/>
      <w:pPr>
        <w:tabs>
          <w:tab w:val="num" w:pos="1411"/>
        </w:tabs>
        <w:ind w:left="1411" w:hanging="1411"/>
      </w:pPr>
      <w:rPr>
        <w:rFonts w:cs="Times New Roman" w:hint="default"/>
        <w:b/>
        <w:i w:val="0"/>
        <w:sz w:val="24"/>
      </w:rPr>
    </w:lvl>
    <w:lvl w:ilvl="8">
      <w:start w:val="1"/>
      <w:numFmt w:val="decimal"/>
      <w:pStyle w:val="Heading9"/>
      <w:lvlText w:val="%1.%2.%3.%4.%5.%6.%7.%8.%9"/>
      <w:lvlJc w:val="left"/>
      <w:pPr>
        <w:tabs>
          <w:tab w:val="num" w:pos="1411"/>
        </w:tabs>
        <w:ind w:left="1411" w:hanging="1411"/>
      </w:pPr>
      <w:rPr>
        <w:rFonts w:cs="Times New Roman" w:hint="default"/>
        <w:b/>
        <w:i w:val="0"/>
        <w:sz w:val="24"/>
      </w:rPr>
    </w:lvl>
  </w:abstractNum>
  <w:num w:numId="1">
    <w:abstractNumId w:val="26"/>
  </w:num>
  <w:num w:numId="2">
    <w:abstractNumId w:val="13"/>
  </w:num>
  <w:num w:numId="3">
    <w:abstractNumId w:val="0"/>
  </w:num>
  <w:num w:numId="4">
    <w:abstractNumId w:val="31"/>
  </w:num>
  <w:num w:numId="5">
    <w:abstractNumId w:val="33"/>
  </w:num>
  <w:num w:numId="6">
    <w:abstractNumId w:val="15"/>
  </w:num>
  <w:num w:numId="7">
    <w:abstractNumId w:val="23"/>
  </w:num>
  <w:num w:numId="8">
    <w:abstractNumId w:val="41"/>
  </w:num>
  <w:num w:numId="9">
    <w:abstractNumId w:val="10"/>
  </w:num>
  <w:num w:numId="10">
    <w:abstractNumId w:val="9"/>
  </w:num>
  <w:num w:numId="11">
    <w:abstractNumId w:val="32"/>
  </w:num>
  <w:num w:numId="12">
    <w:abstractNumId w:val="50"/>
  </w:num>
  <w:num w:numId="13">
    <w:abstractNumId w:val="42"/>
  </w:num>
  <w:num w:numId="14">
    <w:abstractNumId w:val="14"/>
  </w:num>
  <w:num w:numId="15">
    <w:abstractNumId w:val="19"/>
  </w:num>
  <w:num w:numId="16">
    <w:abstractNumId w:val="37"/>
  </w:num>
  <w:num w:numId="17">
    <w:abstractNumId w:val="2"/>
  </w:num>
  <w:num w:numId="18">
    <w:abstractNumId w:val="24"/>
  </w:num>
  <w:num w:numId="19">
    <w:abstractNumId w:val="45"/>
  </w:num>
  <w:num w:numId="20">
    <w:abstractNumId w:val="18"/>
  </w:num>
  <w:num w:numId="21">
    <w:abstractNumId w:val="28"/>
  </w:num>
  <w:num w:numId="22">
    <w:abstractNumId w:val="27"/>
  </w:num>
  <w:num w:numId="23">
    <w:abstractNumId w:val="29"/>
  </w:num>
  <w:num w:numId="24">
    <w:abstractNumId w:val="20"/>
  </w:num>
  <w:num w:numId="25">
    <w:abstractNumId w:val="38"/>
  </w:num>
  <w:num w:numId="26">
    <w:abstractNumId w:val="8"/>
  </w:num>
  <w:num w:numId="27">
    <w:abstractNumId w:val="7"/>
  </w:num>
  <w:num w:numId="28">
    <w:abstractNumId w:val="6"/>
  </w:num>
  <w:num w:numId="29">
    <w:abstractNumId w:val="5"/>
  </w:num>
  <w:num w:numId="30">
    <w:abstractNumId w:val="4"/>
  </w:num>
  <w:num w:numId="31">
    <w:abstractNumId w:val="3"/>
  </w:num>
  <w:num w:numId="32">
    <w:abstractNumId w:val="1"/>
  </w:num>
  <w:num w:numId="33">
    <w:abstractNumId w:val="17"/>
  </w:num>
  <w:num w:numId="34">
    <w:abstractNumId w:val="44"/>
  </w:num>
  <w:num w:numId="35">
    <w:abstractNumId w:val="12"/>
  </w:num>
  <w:num w:numId="36">
    <w:abstractNumId w:val="25"/>
  </w:num>
  <w:num w:numId="37">
    <w:abstractNumId w:val="21"/>
  </w:num>
  <w:num w:numId="38">
    <w:abstractNumId w:val="39"/>
  </w:num>
  <w:num w:numId="39">
    <w:abstractNumId w:val="46"/>
  </w:num>
  <w:num w:numId="40">
    <w:abstractNumId w:val="36"/>
  </w:num>
  <w:num w:numId="41">
    <w:abstractNumId w:val="34"/>
  </w:num>
  <w:num w:numId="42">
    <w:abstractNumId w:val="47"/>
  </w:num>
  <w:num w:numId="43">
    <w:abstractNumId w:val="30"/>
  </w:num>
  <w:num w:numId="44">
    <w:abstractNumId w:val="35"/>
  </w:num>
  <w:num w:numId="45">
    <w:abstractNumId w:val="49"/>
  </w:num>
  <w:num w:numId="46">
    <w:abstractNumId w:val="11"/>
  </w:num>
  <w:num w:numId="47">
    <w:abstractNumId w:val="16"/>
  </w:num>
  <w:num w:numId="48">
    <w:abstractNumId w:val="22"/>
  </w:num>
  <w:num w:numId="49">
    <w:abstractNumId w:val="40"/>
  </w:num>
  <w:num w:numId="50">
    <w:abstractNumId w:val="43"/>
  </w:num>
  <w:num w:numId="51">
    <w:abstractNumId w:val="4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Restuccia, Eleonora {MDZL~Basel}">
    <w15:presenceInfo w15:providerId="None" w15:userId="Restuccia, Eleonora {MDZL~Basel}"/>
  </w15:person>
  <w15:person w15:author="Clark, Emma {MDBA~Welwyn}">
    <w15:presenceInfo w15:providerId="None" w15:userId="Clark, Emma {MDBA~Welwyn}"/>
  </w15:person>
  <w15:person w15:author="Amanda Beale">
    <w15:presenceInfo w15:providerId="None" w15:userId="Amanda Bea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removeDateAndTime/>
  <w:attachedTemplate r:id="rId1"/>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defaultTabStop w:val="720"/>
  <w:hyphenationZone w:val="425"/>
  <w:doNotHyphenateCaps/>
  <w:characterSpacingControl w:val="doNotCompress"/>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EA"/>
    <w:rsid w:val="00000D62"/>
    <w:rsid w:val="0000116D"/>
    <w:rsid w:val="00001587"/>
    <w:rsid w:val="000015C9"/>
    <w:rsid w:val="000017D6"/>
    <w:rsid w:val="000022FD"/>
    <w:rsid w:val="00002647"/>
    <w:rsid w:val="000028F5"/>
    <w:rsid w:val="000029E4"/>
    <w:rsid w:val="00002EF1"/>
    <w:rsid w:val="0000362A"/>
    <w:rsid w:val="00003C41"/>
    <w:rsid w:val="00004103"/>
    <w:rsid w:val="000042F2"/>
    <w:rsid w:val="00004DBC"/>
    <w:rsid w:val="00005701"/>
    <w:rsid w:val="00005982"/>
    <w:rsid w:val="00005B12"/>
    <w:rsid w:val="00007385"/>
    <w:rsid w:val="00007528"/>
    <w:rsid w:val="00007E2E"/>
    <w:rsid w:val="00010118"/>
    <w:rsid w:val="00010452"/>
    <w:rsid w:val="000110ED"/>
    <w:rsid w:val="0001164F"/>
    <w:rsid w:val="00011C4B"/>
    <w:rsid w:val="00012948"/>
    <w:rsid w:val="00012BD2"/>
    <w:rsid w:val="00012EA2"/>
    <w:rsid w:val="00013183"/>
    <w:rsid w:val="00013EA7"/>
    <w:rsid w:val="00013F49"/>
    <w:rsid w:val="00014450"/>
    <w:rsid w:val="00014481"/>
    <w:rsid w:val="00014869"/>
    <w:rsid w:val="000150D3"/>
    <w:rsid w:val="0001545F"/>
    <w:rsid w:val="000154CD"/>
    <w:rsid w:val="0001604A"/>
    <w:rsid w:val="000166C1"/>
    <w:rsid w:val="00016CBB"/>
    <w:rsid w:val="000172C9"/>
    <w:rsid w:val="000174C1"/>
    <w:rsid w:val="000178C8"/>
    <w:rsid w:val="00017FE5"/>
    <w:rsid w:val="0002006B"/>
    <w:rsid w:val="0002017F"/>
    <w:rsid w:val="0002053D"/>
    <w:rsid w:val="00020870"/>
    <w:rsid w:val="00020AE5"/>
    <w:rsid w:val="00020AE8"/>
    <w:rsid w:val="000211CE"/>
    <w:rsid w:val="000225F1"/>
    <w:rsid w:val="00022A65"/>
    <w:rsid w:val="00023641"/>
    <w:rsid w:val="0002428D"/>
    <w:rsid w:val="00024E52"/>
    <w:rsid w:val="00024F7F"/>
    <w:rsid w:val="00024FFB"/>
    <w:rsid w:val="00025EBE"/>
    <w:rsid w:val="00026397"/>
    <w:rsid w:val="00026BF2"/>
    <w:rsid w:val="000271F6"/>
    <w:rsid w:val="00027218"/>
    <w:rsid w:val="000274D6"/>
    <w:rsid w:val="00030130"/>
    <w:rsid w:val="00030445"/>
    <w:rsid w:val="000313E0"/>
    <w:rsid w:val="00031444"/>
    <w:rsid w:val="0003179B"/>
    <w:rsid w:val="000318C7"/>
    <w:rsid w:val="00032204"/>
    <w:rsid w:val="000335B8"/>
    <w:rsid w:val="00033F4B"/>
    <w:rsid w:val="00033FDB"/>
    <w:rsid w:val="00034258"/>
    <w:rsid w:val="000344F6"/>
    <w:rsid w:val="00035297"/>
    <w:rsid w:val="00035D8B"/>
    <w:rsid w:val="00035F4F"/>
    <w:rsid w:val="00036174"/>
    <w:rsid w:val="000365AD"/>
    <w:rsid w:val="0003748A"/>
    <w:rsid w:val="00037671"/>
    <w:rsid w:val="00040214"/>
    <w:rsid w:val="000406E0"/>
    <w:rsid w:val="00041AFC"/>
    <w:rsid w:val="00041F2F"/>
    <w:rsid w:val="00042263"/>
    <w:rsid w:val="000424C5"/>
    <w:rsid w:val="00042C59"/>
    <w:rsid w:val="00042E1F"/>
    <w:rsid w:val="00043505"/>
    <w:rsid w:val="00044042"/>
    <w:rsid w:val="000440FD"/>
    <w:rsid w:val="0004494F"/>
    <w:rsid w:val="000455BA"/>
    <w:rsid w:val="0004578C"/>
    <w:rsid w:val="00045BC0"/>
    <w:rsid w:val="0004605A"/>
    <w:rsid w:val="00046179"/>
    <w:rsid w:val="00046B88"/>
    <w:rsid w:val="00046DCD"/>
    <w:rsid w:val="00046FD7"/>
    <w:rsid w:val="000474D2"/>
    <w:rsid w:val="000479C5"/>
    <w:rsid w:val="00050DFD"/>
    <w:rsid w:val="00050EE8"/>
    <w:rsid w:val="00050F61"/>
    <w:rsid w:val="0005198B"/>
    <w:rsid w:val="00052756"/>
    <w:rsid w:val="00052D60"/>
    <w:rsid w:val="000533E2"/>
    <w:rsid w:val="000534EC"/>
    <w:rsid w:val="00053809"/>
    <w:rsid w:val="00053914"/>
    <w:rsid w:val="00054565"/>
    <w:rsid w:val="000545DF"/>
    <w:rsid w:val="00054756"/>
    <w:rsid w:val="0005484F"/>
    <w:rsid w:val="000550F6"/>
    <w:rsid w:val="0005512D"/>
    <w:rsid w:val="00055474"/>
    <w:rsid w:val="00055698"/>
    <w:rsid w:val="00055800"/>
    <w:rsid w:val="000560C5"/>
    <w:rsid w:val="00056AF4"/>
    <w:rsid w:val="00056C49"/>
    <w:rsid w:val="00056FE0"/>
    <w:rsid w:val="000573F6"/>
    <w:rsid w:val="00057A55"/>
    <w:rsid w:val="00057BE9"/>
    <w:rsid w:val="000603C8"/>
    <w:rsid w:val="000608A4"/>
    <w:rsid w:val="00060AA1"/>
    <w:rsid w:val="00062794"/>
    <w:rsid w:val="00062DB8"/>
    <w:rsid w:val="000631FD"/>
    <w:rsid w:val="00063F5A"/>
    <w:rsid w:val="000641AD"/>
    <w:rsid w:val="00064FCB"/>
    <w:rsid w:val="0006551E"/>
    <w:rsid w:val="000657BA"/>
    <w:rsid w:val="00065D89"/>
    <w:rsid w:val="0006650E"/>
    <w:rsid w:val="00066A24"/>
    <w:rsid w:val="0007028C"/>
    <w:rsid w:val="000703B7"/>
    <w:rsid w:val="00070D10"/>
    <w:rsid w:val="00070E06"/>
    <w:rsid w:val="00071F34"/>
    <w:rsid w:val="00071F8A"/>
    <w:rsid w:val="00071FC5"/>
    <w:rsid w:val="0007305C"/>
    <w:rsid w:val="00073171"/>
    <w:rsid w:val="00073E04"/>
    <w:rsid w:val="00073EBC"/>
    <w:rsid w:val="00074576"/>
    <w:rsid w:val="000746F5"/>
    <w:rsid w:val="000747DF"/>
    <w:rsid w:val="0007484A"/>
    <w:rsid w:val="00074CF2"/>
    <w:rsid w:val="00074FE7"/>
    <w:rsid w:val="0007628D"/>
    <w:rsid w:val="000762DE"/>
    <w:rsid w:val="0007653F"/>
    <w:rsid w:val="000774AF"/>
    <w:rsid w:val="00080F9A"/>
    <w:rsid w:val="00081024"/>
    <w:rsid w:val="000810A6"/>
    <w:rsid w:val="000813DB"/>
    <w:rsid w:val="00081414"/>
    <w:rsid w:val="00081959"/>
    <w:rsid w:val="00081DAB"/>
    <w:rsid w:val="00081E4B"/>
    <w:rsid w:val="00082094"/>
    <w:rsid w:val="00082730"/>
    <w:rsid w:val="000827CA"/>
    <w:rsid w:val="00082C51"/>
    <w:rsid w:val="0008302D"/>
    <w:rsid w:val="00083150"/>
    <w:rsid w:val="0008543A"/>
    <w:rsid w:val="00085E5A"/>
    <w:rsid w:val="00086965"/>
    <w:rsid w:val="0008718D"/>
    <w:rsid w:val="000872D8"/>
    <w:rsid w:val="00087542"/>
    <w:rsid w:val="0008780A"/>
    <w:rsid w:val="00087BA4"/>
    <w:rsid w:val="00090250"/>
    <w:rsid w:val="00090276"/>
    <w:rsid w:val="000904F4"/>
    <w:rsid w:val="0009057C"/>
    <w:rsid w:val="0009091B"/>
    <w:rsid w:val="00090E56"/>
    <w:rsid w:val="000915AA"/>
    <w:rsid w:val="000919C3"/>
    <w:rsid w:val="000925CE"/>
    <w:rsid w:val="00092DE8"/>
    <w:rsid w:val="00092E20"/>
    <w:rsid w:val="0009351E"/>
    <w:rsid w:val="00093C5C"/>
    <w:rsid w:val="00093FEE"/>
    <w:rsid w:val="000945AC"/>
    <w:rsid w:val="0009479A"/>
    <w:rsid w:val="000947B7"/>
    <w:rsid w:val="00094B13"/>
    <w:rsid w:val="00095E44"/>
    <w:rsid w:val="00096073"/>
    <w:rsid w:val="00096B3F"/>
    <w:rsid w:val="00096D0B"/>
    <w:rsid w:val="00096D8D"/>
    <w:rsid w:val="0009755A"/>
    <w:rsid w:val="00097948"/>
    <w:rsid w:val="00097B36"/>
    <w:rsid w:val="00097DF8"/>
    <w:rsid w:val="000A0645"/>
    <w:rsid w:val="000A1232"/>
    <w:rsid w:val="000A1E61"/>
    <w:rsid w:val="000A221A"/>
    <w:rsid w:val="000A2E69"/>
    <w:rsid w:val="000A2F4E"/>
    <w:rsid w:val="000A3A83"/>
    <w:rsid w:val="000A41F9"/>
    <w:rsid w:val="000A4BB0"/>
    <w:rsid w:val="000A6480"/>
    <w:rsid w:val="000A6521"/>
    <w:rsid w:val="000A6DDC"/>
    <w:rsid w:val="000A6E8A"/>
    <w:rsid w:val="000A705B"/>
    <w:rsid w:val="000A7517"/>
    <w:rsid w:val="000A7D6B"/>
    <w:rsid w:val="000B0097"/>
    <w:rsid w:val="000B0867"/>
    <w:rsid w:val="000B0DF8"/>
    <w:rsid w:val="000B101F"/>
    <w:rsid w:val="000B1245"/>
    <w:rsid w:val="000B1A16"/>
    <w:rsid w:val="000B1F4B"/>
    <w:rsid w:val="000B2BC8"/>
    <w:rsid w:val="000B2F27"/>
    <w:rsid w:val="000B2F58"/>
    <w:rsid w:val="000B2FB5"/>
    <w:rsid w:val="000B32DA"/>
    <w:rsid w:val="000B37A8"/>
    <w:rsid w:val="000B3CDE"/>
    <w:rsid w:val="000B401D"/>
    <w:rsid w:val="000B4D95"/>
    <w:rsid w:val="000B51D9"/>
    <w:rsid w:val="000B5856"/>
    <w:rsid w:val="000B5E00"/>
    <w:rsid w:val="000B67AD"/>
    <w:rsid w:val="000B69F3"/>
    <w:rsid w:val="000B6C12"/>
    <w:rsid w:val="000B6DE5"/>
    <w:rsid w:val="000B7078"/>
    <w:rsid w:val="000B7337"/>
    <w:rsid w:val="000B77DC"/>
    <w:rsid w:val="000B7C6D"/>
    <w:rsid w:val="000C308F"/>
    <w:rsid w:val="000C3110"/>
    <w:rsid w:val="000C3277"/>
    <w:rsid w:val="000C3884"/>
    <w:rsid w:val="000C3D87"/>
    <w:rsid w:val="000C48D8"/>
    <w:rsid w:val="000C4B9E"/>
    <w:rsid w:val="000C55A2"/>
    <w:rsid w:val="000C5A4E"/>
    <w:rsid w:val="000C61DA"/>
    <w:rsid w:val="000C62AE"/>
    <w:rsid w:val="000C635D"/>
    <w:rsid w:val="000C66B1"/>
    <w:rsid w:val="000C673D"/>
    <w:rsid w:val="000C6C27"/>
    <w:rsid w:val="000C6FE9"/>
    <w:rsid w:val="000C7099"/>
    <w:rsid w:val="000C7A06"/>
    <w:rsid w:val="000C7D3A"/>
    <w:rsid w:val="000C7F49"/>
    <w:rsid w:val="000D0E4D"/>
    <w:rsid w:val="000D119C"/>
    <w:rsid w:val="000D19E2"/>
    <w:rsid w:val="000D1AEE"/>
    <w:rsid w:val="000D1BF7"/>
    <w:rsid w:val="000D1C2B"/>
    <w:rsid w:val="000D1F4F"/>
    <w:rsid w:val="000D2482"/>
    <w:rsid w:val="000D28E6"/>
    <w:rsid w:val="000D3059"/>
    <w:rsid w:val="000D3619"/>
    <w:rsid w:val="000D39F7"/>
    <w:rsid w:val="000D3A63"/>
    <w:rsid w:val="000D3AFB"/>
    <w:rsid w:val="000D4156"/>
    <w:rsid w:val="000D4361"/>
    <w:rsid w:val="000D4D07"/>
    <w:rsid w:val="000D5BEA"/>
    <w:rsid w:val="000D65AA"/>
    <w:rsid w:val="000D69FE"/>
    <w:rsid w:val="000D7535"/>
    <w:rsid w:val="000D7738"/>
    <w:rsid w:val="000D7D15"/>
    <w:rsid w:val="000D7D6E"/>
    <w:rsid w:val="000E04BC"/>
    <w:rsid w:val="000E053F"/>
    <w:rsid w:val="000E05A1"/>
    <w:rsid w:val="000E08BA"/>
    <w:rsid w:val="000E0A56"/>
    <w:rsid w:val="000E0D39"/>
    <w:rsid w:val="000E100B"/>
    <w:rsid w:val="000E1099"/>
    <w:rsid w:val="000E165D"/>
    <w:rsid w:val="000E1BAF"/>
    <w:rsid w:val="000E223E"/>
    <w:rsid w:val="000E2491"/>
    <w:rsid w:val="000E2EA9"/>
    <w:rsid w:val="000E2FF9"/>
    <w:rsid w:val="000E30B9"/>
    <w:rsid w:val="000E371B"/>
    <w:rsid w:val="000E3D10"/>
    <w:rsid w:val="000E3E16"/>
    <w:rsid w:val="000E406F"/>
    <w:rsid w:val="000E462C"/>
    <w:rsid w:val="000E46A3"/>
    <w:rsid w:val="000E47A4"/>
    <w:rsid w:val="000E4E88"/>
    <w:rsid w:val="000E5726"/>
    <w:rsid w:val="000E5912"/>
    <w:rsid w:val="000E5BD0"/>
    <w:rsid w:val="000E5EA5"/>
    <w:rsid w:val="000E617D"/>
    <w:rsid w:val="000E63BB"/>
    <w:rsid w:val="000E6460"/>
    <w:rsid w:val="000E6C94"/>
    <w:rsid w:val="000E7C3E"/>
    <w:rsid w:val="000E7EFD"/>
    <w:rsid w:val="000F1318"/>
    <w:rsid w:val="000F1BB2"/>
    <w:rsid w:val="000F23F0"/>
    <w:rsid w:val="000F32E0"/>
    <w:rsid w:val="000F33CB"/>
    <w:rsid w:val="000F3546"/>
    <w:rsid w:val="000F378F"/>
    <w:rsid w:val="000F3815"/>
    <w:rsid w:val="000F382C"/>
    <w:rsid w:val="000F3F94"/>
    <w:rsid w:val="000F449A"/>
    <w:rsid w:val="000F4750"/>
    <w:rsid w:val="000F5149"/>
    <w:rsid w:val="000F5234"/>
    <w:rsid w:val="000F534F"/>
    <w:rsid w:val="000F5452"/>
    <w:rsid w:val="000F5832"/>
    <w:rsid w:val="000F586A"/>
    <w:rsid w:val="000F5FF4"/>
    <w:rsid w:val="000F6DDD"/>
    <w:rsid w:val="000F6E0E"/>
    <w:rsid w:val="000F718D"/>
    <w:rsid w:val="000F7269"/>
    <w:rsid w:val="000F72A6"/>
    <w:rsid w:val="000F7FEC"/>
    <w:rsid w:val="00100B3E"/>
    <w:rsid w:val="001021F8"/>
    <w:rsid w:val="00102A9F"/>
    <w:rsid w:val="00103501"/>
    <w:rsid w:val="0010374B"/>
    <w:rsid w:val="00103A4A"/>
    <w:rsid w:val="00103AC8"/>
    <w:rsid w:val="00103B2D"/>
    <w:rsid w:val="00103CD2"/>
    <w:rsid w:val="00104061"/>
    <w:rsid w:val="001048EC"/>
    <w:rsid w:val="001058AF"/>
    <w:rsid w:val="00105B33"/>
    <w:rsid w:val="00105E13"/>
    <w:rsid w:val="0010687B"/>
    <w:rsid w:val="00106D3A"/>
    <w:rsid w:val="00107236"/>
    <w:rsid w:val="00107A5C"/>
    <w:rsid w:val="00107DBD"/>
    <w:rsid w:val="00107F68"/>
    <w:rsid w:val="001101A2"/>
    <w:rsid w:val="00110240"/>
    <w:rsid w:val="001106F7"/>
    <w:rsid w:val="00110797"/>
    <w:rsid w:val="001108A9"/>
    <w:rsid w:val="00110E72"/>
    <w:rsid w:val="00111AD3"/>
    <w:rsid w:val="00111C1A"/>
    <w:rsid w:val="00111CF7"/>
    <w:rsid w:val="001121EE"/>
    <w:rsid w:val="0011269A"/>
    <w:rsid w:val="00112906"/>
    <w:rsid w:val="00112CF4"/>
    <w:rsid w:val="00112DD5"/>
    <w:rsid w:val="00112EDA"/>
    <w:rsid w:val="001137D1"/>
    <w:rsid w:val="00113F42"/>
    <w:rsid w:val="00114046"/>
    <w:rsid w:val="001140D2"/>
    <w:rsid w:val="00114174"/>
    <w:rsid w:val="001158A0"/>
    <w:rsid w:val="00117A2A"/>
    <w:rsid w:val="00117C1D"/>
    <w:rsid w:val="0012036F"/>
    <w:rsid w:val="00120467"/>
    <w:rsid w:val="00121A64"/>
    <w:rsid w:val="00121B25"/>
    <w:rsid w:val="00122B85"/>
    <w:rsid w:val="00122E71"/>
    <w:rsid w:val="00123688"/>
    <w:rsid w:val="00123EC1"/>
    <w:rsid w:val="00123FFE"/>
    <w:rsid w:val="00124301"/>
    <w:rsid w:val="00124568"/>
    <w:rsid w:val="001250CC"/>
    <w:rsid w:val="0012512B"/>
    <w:rsid w:val="00127ED9"/>
    <w:rsid w:val="00127F47"/>
    <w:rsid w:val="00130233"/>
    <w:rsid w:val="0013027E"/>
    <w:rsid w:val="001306A4"/>
    <w:rsid w:val="00130ED7"/>
    <w:rsid w:val="0013161F"/>
    <w:rsid w:val="00131D76"/>
    <w:rsid w:val="00131E71"/>
    <w:rsid w:val="00132850"/>
    <w:rsid w:val="00132C62"/>
    <w:rsid w:val="0013340F"/>
    <w:rsid w:val="001334FB"/>
    <w:rsid w:val="00133572"/>
    <w:rsid w:val="001337BF"/>
    <w:rsid w:val="00133839"/>
    <w:rsid w:val="00133C3C"/>
    <w:rsid w:val="00134311"/>
    <w:rsid w:val="0013432C"/>
    <w:rsid w:val="00134636"/>
    <w:rsid w:val="001349AD"/>
    <w:rsid w:val="00134DE5"/>
    <w:rsid w:val="00136814"/>
    <w:rsid w:val="00136D7A"/>
    <w:rsid w:val="00136D96"/>
    <w:rsid w:val="0013705C"/>
    <w:rsid w:val="0013744B"/>
    <w:rsid w:val="00137D2E"/>
    <w:rsid w:val="00140F17"/>
    <w:rsid w:val="0014126A"/>
    <w:rsid w:val="00141302"/>
    <w:rsid w:val="00141470"/>
    <w:rsid w:val="00141540"/>
    <w:rsid w:val="001430AF"/>
    <w:rsid w:val="001449DF"/>
    <w:rsid w:val="00144CC5"/>
    <w:rsid w:val="0014551F"/>
    <w:rsid w:val="00145545"/>
    <w:rsid w:val="0014569B"/>
    <w:rsid w:val="00145B57"/>
    <w:rsid w:val="001470E0"/>
    <w:rsid w:val="0014789E"/>
    <w:rsid w:val="001478A2"/>
    <w:rsid w:val="00150060"/>
    <w:rsid w:val="00150228"/>
    <w:rsid w:val="0015085C"/>
    <w:rsid w:val="00151F5C"/>
    <w:rsid w:val="00152311"/>
    <w:rsid w:val="00152504"/>
    <w:rsid w:val="00152798"/>
    <w:rsid w:val="001528F0"/>
    <w:rsid w:val="00152958"/>
    <w:rsid w:val="00153801"/>
    <w:rsid w:val="001539C0"/>
    <w:rsid w:val="0015457A"/>
    <w:rsid w:val="00154C69"/>
    <w:rsid w:val="00154C87"/>
    <w:rsid w:val="00155081"/>
    <w:rsid w:val="001556F3"/>
    <w:rsid w:val="001557DC"/>
    <w:rsid w:val="00155DC0"/>
    <w:rsid w:val="00156180"/>
    <w:rsid w:val="001569DD"/>
    <w:rsid w:val="0015704C"/>
    <w:rsid w:val="0015767D"/>
    <w:rsid w:val="00160268"/>
    <w:rsid w:val="001609F0"/>
    <w:rsid w:val="00160EC9"/>
    <w:rsid w:val="001610C6"/>
    <w:rsid w:val="001615CE"/>
    <w:rsid w:val="00161701"/>
    <w:rsid w:val="0016174D"/>
    <w:rsid w:val="00161955"/>
    <w:rsid w:val="00161E87"/>
    <w:rsid w:val="00162AE2"/>
    <w:rsid w:val="00162BB7"/>
    <w:rsid w:val="00162C69"/>
    <w:rsid w:val="00162E30"/>
    <w:rsid w:val="00162EA3"/>
    <w:rsid w:val="00163872"/>
    <w:rsid w:val="001648F7"/>
    <w:rsid w:val="001654B4"/>
    <w:rsid w:val="0016566C"/>
    <w:rsid w:val="001657A1"/>
    <w:rsid w:val="001672A5"/>
    <w:rsid w:val="00167424"/>
    <w:rsid w:val="00170177"/>
    <w:rsid w:val="0017075F"/>
    <w:rsid w:val="001725B3"/>
    <w:rsid w:val="001726E4"/>
    <w:rsid w:val="001727F0"/>
    <w:rsid w:val="00172B06"/>
    <w:rsid w:val="0017347E"/>
    <w:rsid w:val="001734C0"/>
    <w:rsid w:val="0017379B"/>
    <w:rsid w:val="001748C1"/>
    <w:rsid w:val="001752D8"/>
    <w:rsid w:val="00175426"/>
    <w:rsid w:val="00175598"/>
    <w:rsid w:val="001758A9"/>
    <w:rsid w:val="00175931"/>
    <w:rsid w:val="00176B25"/>
    <w:rsid w:val="00177BFD"/>
    <w:rsid w:val="00180051"/>
    <w:rsid w:val="00180233"/>
    <w:rsid w:val="00180DAA"/>
    <w:rsid w:val="00181102"/>
    <w:rsid w:val="0018119D"/>
    <w:rsid w:val="001813AC"/>
    <w:rsid w:val="001814C3"/>
    <w:rsid w:val="001819C2"/>
    <w:rsid w:val="001820A2"/>
    <w:rsid w:val="0018238B"/>
    <w:rsid w:val="00183203"/>
    <w:rsid w:val="00183419"/>
    <w:rsid w:val="0018394A"/>
    <w:rsid w:val="00183984"/>
    <w:rsid w:val="00183DB7"/>
    <w:rsid w:val="001842BD"/>
    <w:rsid w:val="0018488B"/>
    <w:rsid w:val="00184DCC"/>
    <w:rsid w:val="0018599C"/>
    <w:rsid w:val="00185A75"/>
    <w:rsid w:val="00186271"/>
    <w:rsid w:val="0018644A"/>
    <w:rsid w:val="00186590"/>
    <w:rsid w:val="00186769"/>
    <w:rsid w:val="00186A9D"/>
    <w:rsid w:val="00186DB4"/>
    <w:rsid w:val="001874A6"/>
    <w:rsid w:val="0018765B"/>
    <w:rsid w:val="001877F9"/>
    <w:rsid w:val="00190913"/>
    <w:rsid w:val="00190F81"/>
    <w:rsid w:val="001911D9"/>
    <w:rsid w:val="00191B46"/>
    <w:rsid w:val="00192C14"/>
    <w:rsid w:val="00193598"/>
    <w:rsid w:val="00193B3C"/>
    <w:rsid w:val="00193DD3"/>
    <w:rsid w:val="001946F1"/>
    <w:rsid w:val="00194952"/>
    <w:rsid w:val="00195F65"/>
    <w:rsid w:val="001969E0"/>
    <w:rsid w:val="00197320"/>
    <w:rsid w:val="001A01AB"/>
    <w:rsid w:val="001A0422"/>
    <w:rsid w:val="001A07E2"/>
    <w:rsid w:val="001A0A7F"/>
    <w:rsid w:val="001A1313"/>
    <w:rsid w:val="001A161F"/>
    <w:rsid w:val="001A2018"/>
    <w:rsid w:val="001A23AA"/>
    <w:rsid w:val="001A2ABB"/>
    <w:rsid w:val="001A2FEE"/>
    <w:rsid w:val="001A30E0"/>
    <w:rsid w:val="001A33AC"/>
    <w:rsid w:val="001A3A27"/>
    <w:rsid w:val="001A3A6C"/>
    <w:rsid w:val="001A44D0"/>
    <w:rsid w:val="001A4A4D"/>
    <w:rsid w:val="001A4D11"/>
    <w:rsid w:val="001A50FE"/>
    <w:rsid w:val="001A5498"/>
    <w:rsid w:val="001A56F1"/>
    <w:rsid w:val="001A5E8E"/>
    <w:rsid w:val="001A5EA8"/>
    <w:rsid w:val="001A697E"/>
    <w:rsid w:val="001A7723"/>
    <w:rsid w:val="001B01C8"/>
    <w:rsid w:val="001B0216"/>
    <w:rsid w:val="001B0B52"/>
    <w:rsid w:val="001B0EB3"/>
    <w:rsid w:val="001B13F6"/>
    <w:rsid w:val="001B1747"/>
    <w:rsid w:val="001B175B"/>
    <w:rsid w:val="001B1897"/>
    <w:rsid w:val="001B2228"/>
    <w:rsid w:val="001B2D44"/>
    <w:rsid w:val="001B3C05"/>
    <w:rsid w:val="001B3F0F"/>
    <w:rsid w:val="001B42A2"/>
    <w:rsid w:val="001B46A2"/>
    <w:rsid w:val="001B5FD5"/>
    <w:rsid w:val="001B627B"/>
    <w:rsid w:val="001B69AF"/>
    <w:rsid w:val="001B742A"/>
    <w:rsid w:val="001B752A"/>
    <w:rsid w:val="001C0385"/>
    <w:rsid w:val="001C073B"/>
    <w:rsid w:val="001C0906"/>
    <w:rsid w:val="001C0B0F"/>
    <w:rsid w:val="001C0CBF"/>
    <w:rsid w:val="001C12DA"/>
    <w:rsid w:val="001C12FB"/>
    <w:rsid w:val="001C26C7"/>
    <w:rsid w:val="001C2A2A"/>
    <w:rsid w:val="001C2D5E"/>
    <w:rsid w:val="001C3553"/>
    <w:rsid w:val="001C35E9"/>
    <w:rsid w:val="001C36BD"/>
    <w:rsid w:val="001C3733"/>
    <w:rsid w:val="001C3E43"/>
    <w:rsid w:val="001C42E5"/>
    <w:rsid w:val="001C42E6"/>
    <w:rsid w:val="001C4714"/>
    <w:rsid w:val="001C49B3"/>
    <w:rsid w:val="001C4D79"/>
    <w:rsid w:val="001C51E7"/>
    <w:rsid w:val="001C53DB"/>
    <w:rsid w:val="001C59F1"/>
    <w:rsid w:val="001C5B30"/>
    <w:rsid w:val="001C5B6E"/>
    <w:rsid w:val="001C6649"/>
    <w:rsid w:val="001C6843"/>
    <w:rsid w:val="001C68E2"/>
    <w:rsid w:val="001C6938"/>
    <w:rsid w:val="001D09EF"/>
    <w:rsid w:val="001D16BF"/>
    <w:rsid w:val="001D2BEA"/>
    <w:rsid w:val="001D32DB"/>
    <w:rsid w:val="001D378B"/>
    <w:rsid w:val="001D3C05"/>
    <w:rsid w:val="001D41DF"/>
    <w:rsid w:val="001D472D"/>
    <w:rsid w:val="001D56E8"/>
    <w:rsid w:val="001D5827"/>
    <w:rsid w:val="001D5FBA"/>
    <w:rsid w:val="001D666C"/>
    <w:rsid w:val="001D6AF4"/>
    <w:rsid w:val="001D6EDD"/>
    <w:rsid w:val="001D70A5"/>
    <w:rsid w:val="001D72EA"/>
    <w:rsid w:val="001E08ED"/>
    <w:rsid w:val="001E0CC1"/>
    <w:rsid w:val="001E0D02"/>
    <w:rsid w:val="001E0EAD"/>
    <w:rsid w:val="001E1147"/>
    <w:rsid w:val="001E1260"/>
    <w:rsid w:val="001E1C10"/>
    <w:rsid w:val="001E1D43"/>
    <w:rsid w:val="001E1DB1"/>
    <w:rsid w:val="001E1FDA"/>
    <w:rsid w:val="001E2940"/>
    <w:rsid w:val="001E29AF"/>
    <w:rsid w:val="001E3061"/>
    <w:rsid w:val="001E3363"/>
    <w:rsid w:val="001E3CC0"/>
    <w:rsid w:val="001E42E6"/>
    <w:rsid w:val="001E46FB"/>
    <w:rsid w:val="001E47D8"/>
    <w:rsid w:val="001E4B76"/>
    <w:rsid w:val="001E6D40"/>
    <w:rsid w:val="001E77C3"/>
    <w:rsid w:val="001E7B95"/>
    <w:rsid w:val="001F0081"/>
    <w:rsid w:val="001F090B"/>
    <w:rsid w:val="001F0B20"/>
    <w:rsid w:val="001F0BB0"/>
    <w:rsid w:val="001F0E77"/>
    <w:rsid w:val="001F0E86"/>
    <w:rsid w:val="001F180A"/>
    <w:rsid w:val="001F1A28"/>
    <w:rsid w:val="001F1AD0"/>
    <w:rsid w:val="001F1BD6"/>
    <w:rsid w:val="001F234F"/>
    <w:rsid w:val="001F2584"/>
    <w:rsid w:val="001F35E8"/>
    <w:rsid w:val="001F4014"/>
    <w:rsid w:val="001F40C8"/>
    <w:rsid w:val="001F40D8"/>
    <w:rsid w:val="001F445E"/>
    <w:rsid w:val="001F4533"/>
    <w:rsid w:val="001F46DC"/>
    <w:rsid w:val="001F474F"/>
    <w:rsid w:val="001F4D22"/>
    <w:rsid w:val="001F503C"/>
    <w:rsid w:val="001F5662"/>
    <w:rsid w:val="001F5859"/>
    <w:rsid w:val="001F5C82"/>
    <w:rsid w:val="001F5D9D"/>
    <w:rsid w:val="001F69E6"/>
    <w:rsid w:val="001F7B2C"/>
    <w:rsid w:val="001F7BA0"/>
    <w:rsid w:val="00200008"/>
    <w:rsid w:val="002000B4"/>
    <w:rsid w:val="00200366"/>
    <w:rsid w:val="00200D2E"/>
    <w:rsid w:val="00201046"/>
    <w:rsid w:val="00201160"/>
    <w:rsid w:val="00201213"/>
    <w:rsid w:val="0020165E"/>
    <w:rsid w:val="00202345"/>
    <w:rsid w:val="00202E50"/>
    <w:rsid w:val="00203CE0"/>
    <w:rsid w:val="00203CE6"/>
    <w:rsid w:val="00203DE6"/>
    <w:rsid w:val="0020408F"/>
    <w:rsid w:val="00205113"/>
    <w:rsid w:val="00205180"/>
    <w:rsid w:val="0020552E"/>
    <w:rsid w:val="002061FA"/>
    <w:rsid w:val="00206A9A"/>
    <w:rsid w:val="00206AB7"/>
    <w:rsid w:val="002077DA"/>
    <w:rsid w:val="002078D8"/>
    <w:rsid w:val="00207F81"/>
    <w:rsid w:val="002109F4"/>
    <w:rsid w:val="00210B02"/>
    <w:rsid w:val="0021107D"/>
    <w:rsid w:val="0021179A"/>
    <w:rsid w:val="00211FDA"/>
    <w:rsid w:val="0021218C"/>
    <w:rsid w:val="002121B0"/>
    <w:rsid w:val="0021247B"/>
    <w:rsid w:val="002126C0"/>
    <w:rsid w:val="00212D67"/>
    <w:rsid w:val="00212D70"/>
    <w:rsid w:val="00213077"/>
    <w:rsid w:val="002135C5"/>
    <w:rsid w:val="00213B78"/>
    <w:rsid w:val="00213C6E"/>
    <w:rsid w:val="00214D7F"/>
    <w:rsid w:val="00215491"/>
    <w:rsid w:val="00215E1D"/>
    <w:rsid w:val="00215F2C"/>
    <w:rsid w:val="002160C2"/>
    <w:rsid w:val="002166C8"/>
    <w:rsid w:val="00216771"/>
    <w:rsid w:val="002169F5"/>
    <w:rsid w:val="0021758F"/>
    <w:rsid w:val="00217D83"/>
    <w:rsid w:val="00220054"/>
    <w:rsid w:val="002206A9"/>
    <w:rsid w:val="00220799"/>
    <w:rsid w:val="002214A5"/>
    <w:rsid w:val="002216FF"/>
    <w:rsid w:val="002218DB"/>
    <w:rsid w:val="00221CA5"/>
    <w:rsid w:val="0022267A"/>
    <w:rsid w:val="00222A2E"/>
    <w:rsid w:val="00222BB9"/>
    <w:rsid w:val="002242DB"/>
    <w:rsid w:val="002242F7"/>
    <w:rsid w:val="00224682"/>
    <w:rsid w:val="00224A6D"/>
    <w:rsid w:val="0022520A"/>
    <w:rsid w:val="002258D6"/>
    <w:rsid w:val="0022598D"/>
    <w:rsid w:val="0022628D"/>
    <w:rsid w:val="002270DF"/>
    <w:rsid w:val="002274FB"/>
    <w:rsid w:val="00230471"/>
    <w:rsid w:val="002305F0"/>
    <w:rsid w:val="0023073E"/>
    <w:rsid w:val="002309D2"/>
    <w:rsid w:val="002310B4"/>
    <w:rsid w:val="0023231E"/>
    <w:rsid w:val="00232A1E"/>
    <w:rsid w:val="00232A97"/>
    <w:rsid w:val="0023315B"/>
    <w:rsid w:val="00234346"/>
    <w:rsid w:val="0023441D"/>
    <w:rsid w:val="002347FE"/>
    <w:rsid w:val="00235E02"/>
    <w:rsid w:val="00237712"/>
    <w:rsid w:val="00237EE0"/>
    <w:rsid w:val="00240713"/>
    <w:rsid w:val="00240B66"/>
    <w:rsid w:val="00240D34"/>
    <w:rsid w:val="0024178D"/>
    <w:rsid w:val="00241C10"/>
    <w:rsid w:val="00242162"/>
    <w:rsid w:val="0024262D"/>
    <w:rsid w:val="00243251"/>
    <w:rsid w:val="0024392B"/>
    <w:rsid w:val="002447CD"/>
    <w:rsid w:val="002450C6"/>
    <w:rsid w:val="00245A98"/>
    <w:rsid w:val="00245DCF"/>
    <w:rsid w:val="00245F83"/>
    <w:rsid w:val="00246166"/>
    <w:rsid w:val="002461C7"/>
    <w:rsid w:val="0024692D"/>
    <w:rsid w:val="00246C65"/>
    <w:rsid w:val="00246DB0"/>
    <w:rsid w:val="00246E3C"/>
    <w:rsid w:val="00246F73"/>
    <w:rsid w:val="002503B8"/>
    <w:rsid w:val="0025060A"/>
    <w:rsid w:val="002506C6"/>
    <w:rsid w:val="00251028"/>
    <w:rsid w:val="002518F0"/>
    <w:rsid w:val="002522D0"/>
    <w:rsid w:val="00252525"/>
    <w:rsid w:val="00253000"/>
    <w:rsid w:val="002542A8"/>
    <w:rsid w:val="00254613"/>
    <w:rsid w:val="0025462C"/>
    <w:rsid w:val="00255053"/>
    <w:rsid w:val="00255194"/>
    <w:rsid w:val="00255A8C"/>
    <w:rsid w:val="00255AF5"/>
    <w:rsid w:val="00255DE1"/>
    <w:rsid w:val="00257003"/>
    <w:rsid w:val="0025728D"/>
    <w:rsid w:val="0025786B"/>
    <w:rsid w:val="002606DC"/>
    <w:rsid w:val="002609B4"/>
    <w:rsid w:val="00260A11"/>
    <w:rsid w:val="0026169A"/>
    <w:rsid w:val="00262124"/>
    <w:rsid w:val="0026250E"/>
    <w:rsid w:val="00262763"/>
    <w:rsid w:val="002628D1"/>
    <w:rsid w:val="00263098"/>
    <w:rsid w:val="002631F0"/>
    <w:rsid w:val="002634FD"/>
    <w:rsid w:val="00263A64"/>
    <w:rsid w:val="00263C4C"/>
    <w:rsid w:val="00263FC9"/>
    <w:rsid w:val="00264BEA"/>
    <w:rsid w:val="00264EAA"/>
    <w:rsid w:val="0026509E"/>
    <w:rsid w:val="00265A08"/>
    <w:rsid w:val="00265AE5"/>
    <w:rsid w:val="00265C2D"/>
    <w:rsid w:val="00266C5C"/>
    <w:rsid w:val="0026728F"/>
    <w:rsid w:val="00270672"/>
    <w:rsid w:val="00271032"/>
    <w:rsid w:val="002727B8"/>
    <w:rsid w:val="002733F6"/>
    <w:rsid w:val="00273888"/>
    <w:rsid w:val="00273E3E"/>
    <w:rsid w:val="00274147"/>
    <w:rsid w:val="0027415D"/>
    <w:rsid w:val="002746A3"/>
    <w:rsid w:val="002746FD"/>
    <w:rsid w:val="00274B09"/>
    <w:rsid w:val="00275189"/>
    <w:rsid w:val="00275294"/>
    <w:rsid w:val="002756DC"/>
    <w:rsid w:val="00275775"/>
    <w:rsid w:val="002759D1"/>
    <w:rsid w:val="00275EEA"/>
    <w:rsid w:val="00276437"/>
    <w:rsid w:val="00276ABE"/>
    <w:rsid w:val="0028063F"/>
    <w:rsid w:val="00280715"/>
    <w:rsid w:val="00280740"/>
    <w:rsid w:val="0028102F"/>
    <w:rsid w:val="002814E2"/>
    <w:rsid w:val="002829CA"/>
    <w:rsid w:val="00282D51"/>
    <w:rsid w:val="00282DAB"/>
    <w:rsid w:val="002835FA"/>
    <w:rsid w:val="00283773"/>
    <w:rsid w:val="00283B02"/>
    <w:rsid w:val="00283C5D"/>
    <w:rsid w:val="0028408F"/>
    <w:rsid w:val="002844B0"/>
    <w:rsid w:val="0028477C"/>
    <w:rsid w:val="00284BD1"/>
    <w:rsid w:val="0028504D"/>
    <w:rsid w:val="002860FE"/>
    <w:rsid w:val="00286322"/>
    <w:rsid w:val="00287082"/>
    <w:rsid w:val="0028745C"/>
    <w:rsid w:val="002874CE"/>
    <w:rsid w:val="00287813"/>
    <w:rsid w:val="00287C9D"/>
    <w:rsid w:val="002900AA"/>
    <w:rsid w:val="00290BBA"/>
    <w:rsid w:val="00290CBF"/>
    <w:rsid w:val="002912F4"/>
    <w:rsid w:val="002919CD"/>
    <w:rsid w:val="00292346"/>
    <w:rsid w:val="00293252"/>
    <w:rsid w:val="002932E2"/>
    <w:rsid w:val="0029333D"/>
    <w:rsid w:val="002950E3"/>
    <w:rsid w:val="00295C79"/>
    <w:rsid w:val="00296B3C"/>
    <w:rsid w:val="00296C1F"/>
    <w:rsid w:val="002973A0"/>
    <w:rsid w:val="002973EB"/>
    <w:rsid w:val="00297A3F"/>
    <w:rsid w:val="002A1045"/>
    <w:rsid w:val="002A1675"/>
    <w:rsid w:val="002A1C65"/>
    <w:rsid w:val="002A2529"/>
    <w:rsid w:val="002A30F2"/>
    <w:rsid w:val="002A33EA"/>
    <w:rsid w:val="002A41E6"/>
    <w:rsid w:val="002A44C8"/>
    <w:rsid w:val="002A4BCD"/>
    <w:rsid w:val="002A50F2"/>
    <w:rsid w:val="002A548B"/>
    <w:rsid w:val="002A5E48"/>
    <w:rsid w:val="002A6374"/>
    <w:rsid w:val="002A6428"/>
    <w:rsid w:val="002A6B2E"/>
    <w:rsid w:val="002A6F32"/>
    <w:rsid w:val="002B0455"/>
    <w:rsid w:val="002B04FE"/>
    <w:rsid w:val="002B0664"/>
    <w:rsid w:val="002B08A4"/>
    <w:rsid w:val="002B0B8D"/>
    <w:rsid w:val="002B143A"/>
    <w:rsid w:val="002B2745"/>
    <w:rsid w:val="002B2BEE"/>
    <w:rsid w:val="002B2C67"/>
    <w:rsid w:val="002B3030"/>
    <w:rsid w:val="002B35C5"/>
    <w:rsid w:val="002B3935"/>
    <w:rsid w:val="002B406A"/>
    <w:rsid w:val="002B41D4"/>
    <w:rsid w:val="002B53B7"/>
    <w:rsid w:val="002B5408"/>
    <w:rsid w:val="002B543F"/>
    <w:rsid w:val="002B614C"/>
    <w:rsid w:val="002B6AD4"/>
    <w:rsid w:val="002B7328"/>
    <w:rsid w:val="002B76F7"/>
    <w:rsid w:val="002B7D73"/>
    <w:rsid w:val="002B7DD9"/>
    <w:rsid w:val="002C0134"/>
    <w:rsid w:val="002C0236"/>
    <w:rsid w:val="002C06E3"/>
    <w:rsid w:val="002C0801"/>
    <w:rsid w:val="002C1C7E"/>
    <w:rsid w:val="002C21A0"/>
    <w:rsid w:val="002C33B3"/>
    <w:rsid w:val="002C3FA8"/>
    <w:rsid w:val="002C4474"/>
    <w:rsid w:val="002C44B0"/>
    <w:rsid w:val="002C4663"/>
    <w:rsid w:val="002C4E07"/>
    <w:rsid w:val="002C53D9"/>
    <w:rsid w:val="002C6011"/>
    <w:rsid w:val="002C65EA"/>
    <w:rsid w:val="002C7861"/>
    <w:rsid w:val="002C7876"/>
    <w:rsid w:val="002C7A85"/>
    <w:rsid w:val="002C7EA8"/>
    <w:rsid w:val="002D0586"/>
    <w:rsid w:val="002D0756"/>
    <w:rsid w:val="002D1023"/>
    <w:rsid w:val="002D1078"/>
    <w:rsid w:val="002D10C7"/>
    <w:rsid w:val="002D1459"/>
    <w:rsid w:val="002D1470"/>
    <w:rsid w:val="002D16D7"/>
    <w:rsid w:val="002D1F80"/>
    <w:rsid w:val="002D21CF"/>
    <w:rsid w:val="002D2663"/>
    <w:rsid w:val="002D29C5"/>
    <w:rsid w:val="002D3652"/>
    <w:rsid w:val="002D4705"/>
    <w:rsid w:val="002D4985"/>
    <w:rsid w:val="002D5B65"/>
    <w:rsid w:val="002D623F"/>
    <w:rsid w:val="002D6396"/>
    <w:rsid w:val="002D6526"/>
    <w:rsid w:val="002D751E"/>
    <w:rsid w:val="002D7800"/>
    <w:rsid w:val="002D7A99"/>
    <w:rsid w:val="002D7E5E"/>
    <w:rsid w:val="002D7FBE"/>
    <w:rsid w:val="002D7FD4"/>
    <w:rsid w:val="002E0067"/>
    <w:rsid w:val="002E07EF"/>
    <w:rsid w:val="002E0AD7"/>
    <w:rsid w:val="002E0D06"/>
    <w:rsid w:val="002E0EC5"/>
    <w:rsid w:val="002E15B1"/>
    <w:rsid w:val="002E1810"/>
    <w:rsid w:val="002E1FFD"/>
    <w:rsid w:val="002E2588"/>
    <w:rsid w:val="002E2EAD"/>
    <w:rsid w:val="002E49F1"/>
    <w:rsid w:val="002E4E94"/>
    <w:rsid w:val="002E52ED"/>
    <w:rsid w:val="002E5659"/>
    <w:rsid w:val="002E5989"/>
    <w:rsid w:val="002E6070"/>
    <w:rsid w:val="002E609E"/>
    <w:rsid w:val="002E6338"/>
    <w:rsid w:val="002E6F1F"/>
    <w:rsid w:val="002E74AB"/>
    <w:rsid w:val="002E7515"/>
    <w:rsid w:val="002E7577"/>
    <w:rsid w:val="002E7EEE"/>
    <w:rsid w:val="002F03D7"/>
    <w:rsid w:val="002F08B5"/>
    <w:rsid w:val="002F0B2B"/>
    <w:rsid w:val="002F0C08"/>
    <w:rsid w:val="002F1508"/>
    <w:rsid w:val="002F172C"/>
    <w:rsid w:val="002F1F28"/>
    <w:rsid w:val="002F2D30"/>
    <w:rsid w:val="002F392B"/>
    <w:rsid w:val="002F43CA"/>
    <w:rsid w:val="002F43DF"/>
    <w:rsid w:val="002F4C34"/>
    <w:rsid w:val="002F5006"/>
    <w:rsid w:val="002F5570"/>
    <w:rsid w:val="002F55C3"/>
    <w:rsid w:val="002F57AA"/>
    <w:rsid w:val="002F64D0"/>
    <w:rsid w:val="002F66C0"/>
    <w:rsid w:val="002F6953"/>
    <w:rsid w:val="002F714C"/>
    <w:rsid w:val="002F778D"/>
    <w:rsid w:val="002F77BF"/>
    <w:rsid w:val="003004A2"/>
    <w:rsid w:val="00301517"/>
    <w:rsid w:val="0030152B"/>
    <w:rsid w:val="003016CD"/>
    <w:rsid w:val="00302E32"/>
    <w:rsid w:val="00303900"/>
    <w:rsid w:val="00303B2D"/>
    <w:rsid w:val="00303D3D"/>
    <w:rsid w:val="00303DD5"/>
    <w:rsid w:val="00305380"/>
    <w:rsid w:val="00305B78"/>
    <w:rsid w:val="00306CEF"/>
    <w:rsid w:val="00306D8B"/>
    <w:rsid w:val="00307B74"/>
    <w:rsid w:val="00310165"/>
    <w:rsid w:val="00310764"/>
    <w:rsid w:val="00310F21"/>
    <w:rsid w:val="00311163"/>
    <w:rsid w:val="003122F3"/>
    <w:rsid w:val="003134B9"/>
    <w:rsid w:val="003135FE"/>
    <w:rsid w:val="00315273"/>
    <w:rsid w:val="0031593C"/>
    <w:rsid w:val="00316338"/>
    <w:rsid w:val="003169E3"/>
    <w:rsid w:val="00316AD7"/>
    <w:rsid w:val="00317AA2"/>
    <w:rsid w:val="00320110"/>
    <w:rsid w:val="00320203"/>
    <w:rsid w:val="003202BB"/>
    <w:rsid w:val="003205E7"/>
    <w:rsid w:val="00320E87"/>
    <w:rsid w:val="00321218"/>
    <w:rsid w:val="003215B7"/>
    <w:rsid w:val="0032176E"/>
    <w:rsid w:val="00321B67"/>
    <w:rsid w:val="00322002"/>
    <w:rsid w:val="00322068"/>
    <w:rsid w:val="003223E7"/>
    <w:rsid w:val="003225C4"/>
    <w:rsid w:val="00322713"/>
    <w:rsid w:val="00323DD9"/>
    <w:rsid w:val="003247B0"/>
    <w:rsid w:val="00325399"/>
    <w:rsid w:val="00325716"/>
    <w:rsid w:val="00325C40"/>
    <w:rsid w:val="00325E81"/>
    <w:rsid w:val="00326948"/>
    <w:rsid w:val="00326AC6"/>
    <w:rsid w:val="00326E36"/>
    <w:rsid w:val="00326F4F"/>
    <w:rsid w:val="003275B2"/>
    <w:rsid w:val="00330003"/>
    <w:rsid w:val="0033026A"/>
    <w:rsid w:val="00330AB7"/>
    <w:rsid w:val="00330E75"/>
    <w:rsid w:val="003310B8"/>
    <w:rsid w:val="00331A1A"/>
    <w:rsid w:val="00331D3C"/>
    <w:rsid w:val="00332131"/>
    <w:rsid w:val="00332768"/>
    <w:rsid w:val="00332F09"/>
    <w:rsid w:val="0033356D"/>
    <w:rsid w:val="00333960"/>
    <w:rsid w:val="0033486D"/>
    <w:rsid w:val="00334C93"/>
    <w:rsid w:val="00334D8D"/>
    <w:rsid w:val="003357B6"/>
    <w:rsid w:val="00335C8A"/>
    <w:rsid w:val="003367C4"/>
    <w:rsid w:val="003368D3"/>
    <w:rsid w:val="00336D8E"/>
    <w:rsid w:val="003376B3"/>
    <w:rsid w:val="00337932"/>
    <w:rsid w:val="00340748"/>
    <w:rsid w:val="003409D2"/>
    <w:rsid w:val="0034103F"/>
    <w:rsid w:val="0034131D"/>
    <w:rsid w:val="0034209B"/>
    <w:rsid w:val="00342329"/>
    <w:rsid w:val="00342741"/>
    <w:rsid w:val="003428EB"/>
    <w:rsid w:val="00342A5F"/>
    <w:rsid w:val="003430EE"/>
    <w:rsid w:val="0034318E"/>
    <w:rsid w:val="00343DC1"/>
    <w:rsid w:val="0034412E"/>
    <w:rsid w:val="003449DB"/>
    <w:rsid w:val="00344A29"/>
    <w:rsid w:val="00344E80"/>
    <w:rsid w:val="003458CD"/>
    <w:rsid w:val="00345F7A"/>
    <w:rsid w:val="00345F9C"/>
    <w:rsid w:val="00346035"/>
    <w:rsid w:val="00346065"/>
    <w:rsid w:val="003463D4"/>
    <w:rsid w:val="0034646C"/>
    <w:rsid w:val="0034685C"/>
    <w:rsid w:val="00346E68"/>
    <w:rsid w:val="00347776"/>
    <w:rsid w:val="00347FD6"/>
    <w:rsid w:val="00350073"/>
    <w:rsid w:val="00350263"/>
    <w:rsid w:val="00350DD6"/>
    <w:rsid w:val="00350E96"/>
    <w:rsid w:val="00351A91"/>
    <w:rsid w:val="003520C4"/>
    <w:rsid w:val="00352684"/>
    <w:rsid w:val="00353325"/>
    <w:rsid w:val="003533A1"/>
    <w:rsid w:val="003533AE"/>
    <w:rsid w:val="00353A17"/>
    <w:rsid w:val="00353D06"/>
    <w:rsid w:val="003544DB"/>
    <w:rsid w:val="0035475C"/>
    <w:rsid w:val="00354809"/>
    <w:rsid w:val="0035483B"/>
    <w:rsid w:val="00354F07"/>
    <w:rsid w:val="00355399"/>
    <w:rsid w:val="003555DF"/>
    <w:rsid w:val="00355A83"/>
    <w:rsid w:val="00355E14"/>
    <w:rsid w:val="00356063"/>
    <w:rsid w:val="003565B8"/>
    <w:rsid w:val="00356ACB"/>
    <w:rsid w:val="003573D2"/>
    <w:rsid w:val="00357C12"/>
    <w:rsid w:val="00361105"/>
    <w:rsid w:val="00361280"/>
    <w:rsid w:val="003615F1"/>
    <w:rsid w:val="00361A6E"/>
    <w:rsid w:val="003630C7"/>
    <w:rsid w:val="003630D6"/>
    <w:rsid w:val="00363796"/>
    <w:rsid w:val="00363AFF"/>
    <w:rsid w:val="00363C7D"/>
    <w:rsid w:val="00363D7F"/>
    <w:rsid w:val="00363E9E"/>
    <w:rsid w:val="00365A21"/>
    <w:rsid w:val="00365BC7"/>
    <w:rsid w:val="00367281"/>
    <w:rsid w:val="0036760C"/>
    <w:rsid w:val="00367ACF"/>
    <w:rsid w:val="00367C03"/>
    <w:rsid w:val="00367C66"/>
    <w:rsid w:val="00367C7A"/>
    <w:rsid w:val="003700B2"/>
    <w:rsid w:val="00370DB2"/>
    <w:rsid w:val="0037233D"/>
    <w:rsid w:val="0037271C"/>
    <w:rsid w:val="003736EF"/>
    <w:rsid w:val="003737E3"/>
    <w:rsid w:val="00373FC5"/>
    <w:rsid w:val="003745B4"/>
    <w:rsid w:val="00375279"/>
    <w:rsid w:val="003754AE"/>
    <w:rsid w:val="00375FFC"/>
    <w:rsid w:val="003763E9"/>
    <w:rsid w:val="00376490"/>
    <w:rsid w:val="00376700"/>
    <w:rsid w:val="00376B88"/>
    <w:rsid w:val="00376C7F"/>
    <w:rsid w:val="0037706C"/>
    <w:rsid w:val="0037758B"/>
    <w:rsid w:val="00377E79"/>
    <w:rsid w:val="00380655"/>
    <w:rsid w:val="00380A1A"/>
    <w:rsid w:val="00380D80"/>
    <w:rsid w:val="00381040"/>
    <w:rsid w:val="003811A1"/>
    <w:rsid w:val="0038189C"/>
    <w:rsid w:val="003818C7"/>
    <w:rsid w:val="0038203A"/>
    <w:rsid w:val="0038231C"/>
    <w:rsid w:val="003824D5"/>
    <w:rsid w:val="003824F1"/>
    <w:rsid w:val="003825DA"/>
    <w:rsid w:val="00382711"/>
    <w:rsid w:val="00382B03"/>
    <w:rsid w:val="003832E1"/>
    <w:rsid w:val="003833B8"/>
    <w:rsid w:val="00384901"/>
    <w:rsid w:val="00384AFA"/>
    <w:rsid w:val="00384DF4"/>
    <w:rsid w:val="00386116"/>
    <w:rsid w:val="003861B6"/>
    <w:rsid w:val="0038761D"/>
    <w:rsid w:val="003905FF"/>
    <w:rsid w:val="003906F8"/>
    <w:rsid w:val="00390B69"/>
    <w:rsid w:val="003915AA"/>
    <w:rsid w:val="00391A1C"/>
    <w:rsid w:val="00391B12"/>
    <w:rsid w:val="00392334"/>
    <w:rsid w:val="003926C4"/>
    <w:rsid w:val="00392CE1"/>
    <w:rsid w:val="003935EE"/>
    <w:rsid w:val="00393960"/>
    <w:rsid w:val="00393E3C"/>
    <w:rsid w:val="0039408A"/>
    <w:rsid w:val="00395CFB"/>
    <w:rsid w:val="0039673D"/>
    <w:rsid w:val="00397242"/>
    <w:rsid w:val="00397304"/>
    <w:rsid w:val="003975DA"/>
    <w:rsid w:val="003977AA"/>
    <w:rsid w:val="00397893"/>
    <w:rsid w:val="00397DB2"/>
    <w:rsid w:val="003A045C"/>
    <w:rsid w:val="003A0937"/>
    <w:rsid w:val="003A0B6F"/>
    <w:rsid w:val="003A0C77"/>
    <w:rsid w:val="003A0EAD"/>
    <w:rsid w:val="003A0F4A"/>
    <w:rsid w:val="003A18AF"/>
    <w:rsid w:val="003A1A28"/>
    <w:rsid w:val="003A1DEE"/>
    <w:rsid w:val="003A1DF4"/>
    <w:rsid w:val="003A2078"/>
    <w:rsid w:val="003A2171"/>
    <w:rsid w:val="003A218E"/>
    <w:rsid w:val="003A2407"/>
    <w:rsid w:val="003A2968"/>
    <w:rsid w:val="003A2CF0"/>
    <w:rsid w:val="003A33D3"/>
    <w:rsid w:val="003A3880"/>
    <w:rsid w:val="003A39CB"/>
    <w:rsid w:val="003A5739"/>
    <w:rsid w:val="003A5BC5"/>
    <w:rsid w:val="003A5C52"/>
    <w:rsid w:val="003A5D55"/>
    <w:rsid w:val="003A6071"/>
    <w:rsid w:val="003A64BB"/>
    <w:rsid w:val="003A6C5F"/>
    <w:rsid w:val="003A75E6"/>
    <w:rsid w:val="003B00C1"/>
    <w:rsid w:val="003B01B5"/>
    <w:rsid w:val="003B05D5"/>
    <w:rsid w:val="003B0AF3"/>
    <w:rsid w:val="003B0F98"/>
    <w:rsid w:val="003B145E"/>
    <w:rsid w:val="003B1688"/>
    <w:rsid w:val="003B16DC"/>
    <w:rsid w:val="003B1B1E"/>
    <w:rsid w:val="003B255B"/>
    <w:rsid w:val="003B2842"/>
    <w:rsid w:val="003B3317"/>
    <w:rsid w:val="003B344F"/>
    <w:rsid w:val="003B4D94"/>
    <w:rsid w:val="003B52D4"/>
    <w:rsid w:val="003B64A5"/>
    <w:rsid w:val="003B79B7"/>
    <w:rsid w:val="003B7F4F"/>
    <w:rsid w:val="003C0B95"/>
    <w:rsid w:val="003C1201"/>
    <w:rsid w:val="003C120F"/>
    <w:rsid w:val="003C161C"/>
    <w:rsid w:val="003C1958"/>
    <w:rsid w:val="003C1CA5"/>
    <w:rsid w:val="003C1EC7"/>
    <w:rsid w:val="003C2E1C"/>
    <w:rsid w:val="003C2F8E"/>
    <w:rsid w:val="003C3D8E"/>
    <w:rsid w:val="003C406F"/>
    <w:rsid w:val="003C496E"/>
    <w:rsid w:val="003C4DB4"/>
    <w:rsid w:val="003C4EBA"/>
    <w:rsid w:val="003C4EE2"/>
    <w:rsid w:val="003C57C4"/>
    <w:rsid w:val="003C5FFC"/>
    <w:rsid w:val="003C6159"/>
    <w:rsid w:val="003C64A0"/>
    <w:rsid w:val="003C6B39"/>
    <w:rsid w:val="003C6F0B"/>
    <w:rsid w:val="003C7BA1"/>
    <w:rsid w:val="003C7BA3"/>
    <w:rsid w:val="003C7BE9"/>
    <w:rsid w:val="003C7FB1"/>
    <w:rsid w:val="003D04D9"/>
    <w:rsid w:val="003D0713"/>
    <w:rsid w:val="003D11D3"/>
    <w:rsid w:val="003D2146"/>
    <w:rsid w:val="003D36B8"/>
    <w:rsid w:val="003D3A26"/>
    <w:rsid w:val="003D3A48"/>
    <w:rsid w:val="003D3B65"/>
    <w:rsid w:val="003D41F0"/>
    <w:rsid w:val="003D4C7A"/>
    <w:rsid w:val="003D4D6B"/>
    <w:rsid w:val="003D4E9C"/>
    <w:rsid w:val="003D5242"/>
    <w:rsid w:val="003D55C4"/>
    <w:rsid w:val="003D560A"/>
    <w:rsid w:val="003D5756"/>
    <w:rsid w:val="003D5C3C"/>
    <w:rsid w:val="003D5C91"/>
    <w:rsid w:val="003D5DAA"/>
    <w:rsid w:val="003D6ED9"/>
    <w:rsid w:val="003D7CBA"/>
    <w:rsid w:val="003D7DB0"/>
    <w:rsid w:val="003E0039"/>
    <w:rsid w:val="003E03D9"/>
    <w:rsid w:val="003E08E3"/>
    <w:rsid w:val="003E0D78"/>
    <w:rsid w:val="003E1793"/>
    <w:rsid w:val="003E192B"/>
    <w:rsid w:val="003E1CB1"/>
    <w:rsid w:val="003E20A1"/>
    <w:rsid w:val="003E2E2A"/>
    <w:rsid w:val="003E3480"/>
    <w:rsid w:val="003E38D5"/>
    <w:rsid w:val="003E3A1D"/>
    <w:rsid w:val="003E449E"/>
    <w:rsid w:val="003E693D"/>
    <w:rsid w:val="003E6CA0"/>
    <w:rsid w:val="003E6F35"/>
    <w:rsid w:val="003E781E"/>
    <w:rsid w:val="003E7D4B"/>
    <w:rsid w:val="003F0DAC"/>
    <w:rsid w:val="003F0E4D"/>
    <w:rsid w:val="003F1CE9"/>
    <w:rsid w:val="003F1E5E"/>
    <w:rsid w:val="003F2040"/>
    <w:rsid w:val="003F2746"/>
    <w:rsid w:val="003F2A15"/>
    <w:rsid w:val="003F2A78"/>
    <w:rsid w:val="003F2C1D"/>
    <w:rsid w:val="003F2FDE"/>
    <w:rsid w:val="003F330B"/>
    <w:rsid w:val="003F366B"/>
    <w:rsid w:val="003F36D2"/>
    <w:rsid w:val="003F5EA7"/>
    <w:rsid w:val="003F64C2"/>
    <w:rsid w:val="003F67E3"/>
    <w:rsid w:val="003F6954"/>
    <w:rsid w:val="003F6FDF"/>
    <w:rsid w:val="003F72CC"/>
    <w:rsid w:val="003F786F"/>
    <w:rsid w:val="00400700"/>
    <w:rsid w:val="00400B8A"/>
    <w:rsid w:val="004015BA"/>
    <w:rsid w:val="004016F5"/>
    <w:rsid w:val="004031D0"/>
    <w:rsid w:val="0040339E"/>
    <w:rsid w:val="00403906"/>
    <w:rsid w:val="0040395C"/>
    <w:rsid w:val="00403A77"/>
    <w:rsid w:val="00403DC7"/>
    <w:rsid w:val="00403F3A"/>
    <w:rsid w:val="004044AF"/>
    <w:rsid w:val="004045AA"/>
    <w:rsid w:val="00404B4A"/>
    <w:rsid w:val="004050D4"/>
    <w:rsid w:val="00405179"/>
    <w:rsid w:val="0040549A"/>
    <w:rsid w:val="004055A3"/>
    <w:rsid w:val="00405CC9"/>
    <w:rsid w:val="00405D8D"/>
    <w:rsid w:val="00405FC9"/>
    <w:rsid w:val="004060AD"/>
    <w:rsid w:val="004068DF"/>
    <w:rsid w:val="0040714F"/>
    <w:rsid w:val="00407A33"/>
    <w:rsid w:val="00407D67"/>
    <w:rsid w:val="00410204"/>
    <w:rsid w:val="00410255"/>
    <w:rsid w:val="00411831"/>
    <w:rsid w:val="00411CC2"/>
    <w:rsid w:val="00411D88"/>
    <w:rsid w:val="00411F3C"/>
    <w:rsid w:val="004121D6"/>
    <w:rsid w:val="004122A1"/>
    <w:rsid w:val="00412BEC"/>
    <w:rsid w:val="0041367E"/>
    <w:rsid w:val="004136AB"/>
    <w:rsid w:val="004138DE"/>
    <w:rsid w:val="004144BF"/>
    <w:rsid w:val="004148A2"/>
    <w:rsid w:val="00414B2F"/>
    <w:rsid w:val="00414C9E"/>
    <w:rsid w:val="00415E58"/>
    <w:rsid w:val="004161F0"/>
    <w:rsid w:val="00416231"/>
    <w:rsid w:val="0041623B"/>
    <w:rsid w:val="00416C6E"/>
    <w:rsid w:val="00416CFB"/>
    <w:rsid w:val="0041783A"/>
    <w:rsid w:val="004200B5"/>
    <w:rsid w:val="004208AB"/>
    <w:rsid w:val="00421370"/>
    <w:rsid w:val="00421725"/>
    <w:rsid w:val="0042180C"/>
    <w:rsid w:val="004219EF"/>
    <w:rsid w:val="004223B4"/>
    <w:rsid w:val="00422C81"/>
    <w:rsid w:val="004233FA"/>
    <w:rsid w:val="0042357C"/>
    <w:rsid w:val="00425B5B"/>
    <w:rsid w:val="00425E8F"/>
    <w:rsid w:val="00425F03"/>
    <w:rsid w:val="00425FC4"/>
    <w:rsid w:val="0042622C"/>
    <w:rsid w:val="0042652B"/>
    <w:rsid w:val="00426CD9"/>
    <w:rsid w:val="0042760A"/>
    <w:rsid w:val="00427694"/>
    <w:rsid w:val="00427AED"/>
    <w:rsid w:val="00427B30"/>
    <w:rsid w:val="00430E58"/>
    <w:rsid w:val="00430F13"/>
    <w:rsid w:val="00430F5C"/>
    <w:rsid w:val="00430FEB"/>
    <w:rsid w:val="00431060"/>
    <w:rsid w:val="004310EE"/>
    <w:rsid w:val="00431B76"/>
    <w:rsid w:val="00431C0F"/>
    <w:rsid w:val="00431ED6"/>
    <w:rsid w:val="00433677"/>
    <w:rsid w:val="00433F0B"/>
    <w:rsid w:val="004340D5"/>
    <w:rsid w:val="0043427F"/>
    <w:rsid w:val="00434880"/>
    <w:rsid w:val="00434923"/>
    <w:rsid w:val="00434FEA"/>
    <w:rsid w:val="0043526D"/>
    <w:rsid w:val="00435390"/>
    <w:rsid w:val="004363A5"/>
    <w:rsid w:val="0044161B"/>
    <w:rsid w:val="00441940"/>
    <w:rsid w:val="0044281D"/>
    <w:rsid w:val="0044368A"/>
    <w:rsid w:val="0044410A"/>
    <w:rsid w:val="00444440"/>
    <w:rsid w:val="004458F4"/>
    <w:rsid w:val="004460E9"/>
    <w:rsid w:val="0044660B"/>
    <w:rsid w:val="00447236"/>
    <w:rsid w:val="00447A67"/>
    <w:rsid w:val="00447ABA"/>
    <w:rsid w:val="00447B6F"/>
    <w:rsid w:val="00450559"/>
    <w:rsid w:val="00450A60"/>
    <w:rsid w:val="0045170C"/>
    <w:rsid w:val="00451BCD"/>
    <w:rsid w:val="0045277C"/>
    <w:rsid w:val="004529A4"/>
    <w:rsid w:val="00453C11"/>
    <w:rsid w:val="00454783"/>
    <w:rsid w:val="004548B7"/>
    <w:rsid w:val="00454CBD"/>
    <w:rsid w:val="00454DF5"/>
    <w:rsid w:val="00455158"/>
    <w:rsid w:val="00455737"/>
    <w:rsid w:val="00455748"/>
    <w:rsid w:val="004557B0"/>
    <w:rsid w:val="00455CBD"/>
    <w:rsid w:val="00455EA8"/>
    <w:rsid w:val="0045621F"/>
    <w:rsid w:val="00456665"/>
    <w:rsid w:val="00457420"/>
    <w:rsid w:val="0045771F"/>
    <w:rsid w:val="0045790E"/>
    <w:rsid w:val="00457946"/>
    <w:rsid w:val="00457A98"/>
    <w:rsid w:val="00457D8B"/>
    <w:rsid w:val="00457F73"/>
    <w:rsid w:val="004600C5"/>
    <w:rsid w:val="0046035F"/>
    <w:rsid w:val="00460A17"/>
    <w:rsid w:val="00460E4F"/>
    <w:rsid w:val="00460F2D"/>
    <w:rsid w:val="00461452"/>
    <w:rsid w:val="0046159A"/>
    <w:rsid w:val="004616F3"/>
    <w:rsid w:val="004620CD"/>
    <w:rsid w:val="00462BEC"/>
    <w:rsid w:val="00463497"/>
    <w:rsid w:val="00463ECE"/>
    <w:rsid w:val="00463EF0"/>
    <w:rsid w:val="00463F5C"/>
    <w:rsid w:val="004640C5"/>
    <w:rsid w:val="0046410C"/>
    <w:rsid w:val="004641DB"/>
    <w:rsid w:val="00464FBA"/>
    <w:rsid w:val="00465513"/>
    <w:rsid w:val="00465838"/>
    <w:rsid w:val="00465A99"/>
    <w:rsid w:val="00465C42"/>
    <w:rsid w:val="00465F1A"/>
    <w:rsid w:val="00466C62"/>
    <w:rsid w:val="00470CB5"/>
    <w:rsid w:val="0047173F"/>
    <w:rsid w:val="00471EAB"/>
    <w:rsid w:val="004723EE"/>
    <w:rsid w:val="004728C5"/>
    <w:rsid w:val="00473254"/>
    <w:rsid w:val="00474D19"/>
    <w:rsid w:val="00474EBC"/>
    <w:rsid w:val="004759B4"/>
    <w:rsid w:val="00475A92"/>
    <w:rsid w:val="004768D6"/>
    <w:rsid w:val="00476A5C"/>
    <w:rsid w:val="00477BB9"/>
    <w:rsid w:val="00480173"/>
    <w:rsid w:val="004804E7"/>
    <w:rsid w:val="00481266"/>
    <w:rsid w:val="004813D5"/>
    <w:rsid w:val="0048151F"/>
    <w:rsid w:val="00481CB3"/>
    <w:rsid w:val="00481CE7"/>
    <w:rsid w:val="004829CE"/>
    <w:rsid w:val="00482C09"/>
    <w:rsid w:val="004830A4"/>
    <w:rsid w:val="00483289"/>
    <w:rsid w:val="00483E07"/>
    <w:rsid w:val="0048446B"/>
    <w:rsid w:val="004844C6"/>
    <w:rsid w:val="0048455C"/>
    <w:rsid w:val="0048457F"/>
    <w:rsid w:val="004848E5"/>
    <w:rsid w:val="00484A87"/>
    <w:rsid w:val="00485379"/>
    <w:rsid w:val="004859C5"/>
    <w:rsid w:val="00485BB6"/>
    <w:rsid w:val="0048630A"/>
    <w:rsid w:val="004864DA"/>
    <w:rsid w:val="00486F4C"/>
    <w:rsid w:val="00487366"/>
    <w:rsid w:val="004873E4"/>
    <w:rsid w:val="00487B8E"/>
    <w:rsid w:val="00487C1F"/>
    <w:rsid w:val="00487EAF"/>
    <w:rsid w:val="00490360"/>
    <w:rsid w:val="0049072C"/>
    <w:rsid w:val="00490FD1"/>
    <w:rsid w:val="004915E9"/>
    <w:rsid w:val="004916E5"/>
    <w:rsid w:val="00491AD2"/>
    <w:rsid w:val="00493019"/>
    <w:rsid w:val="004935C0"/>
    <w:rsid w:val="00493B43"/>
    <w:rsid w:val="00493B45"/>
    <w:rsid w:val="00494EB1"/>
    <w:rsid w:val="00496071"/>
    <w:rsid w:val="004962A6"/>
    <w:rsid w:val="00496414"/>
    <w:rsid w:val="0049654C"/>
    <w:rsid w:val="004968E2"/>
    <w:rsid w:val="00496CA1"/>
    <w:rsid w:val="0049724C"/>
    <w:rsid w:val="00497A38"/>
    <w:rsid w:val="004A0592"/>
    <w:rsid w:val="004A07A2"/>
    <w:rsid w:val="004A1745"/>
    <w:rsid w:val="004A3879"/>
    <w:rsid w:val="004A3A8A"/>
    <w:rsid w:val="004A4109"/>
    <w:rsid w:val="004A45BD"/>
    <w:rsid w:val="004A4656"/>
    <w:rsid w:val="004A77B0"/>
    <w:rsid w:val="004A7FF2"/>
    <w:rsid w:val="004B0130"/>
    <w:rsid w:val="004B015B"/>
    <w:rsid w:val="004B1CED"/>
    <w:rsid w:val="004B1FB7"/>
    <w:rsid w:val="004B2802"/>
    <w:rsid w:val="004B327A"/>
    <w:rsid w:val="004B34A7"/>
    <w:rsid w:val="004B3B06"/>
    <w:rsid w:val="004B3BAC"/>
    <w:rsid w:val="004B3C23"/>
    <w:rsid w:val="004B3D81"/>
    <w:rsid w:val="004B4643"/>
    <w:rsid w:val="004B46FB"/>
    <w:rsid w:val="004B491E"/>
    <w:rsid w:val="004B4B97"/>
    <w:rsid w:val="004B4BD2"/>
    <w:rsid w:val="004B4D0C"/>
    <w:rsid w:val="004B505A"/>
    <w:rsid w:val="004B5283"/>
    <w:rsid w:val="004B56F6"/>
    <w:rsid w:val="004B60C2"/>
    <w:rsid w:val="004B6ADC"/>
    <w:rsid w:val="004B7716"/>
    <w:rsid w:val="004B7F67"/>
    <w:rsid w:val="004C05D8"/>
    <w:rsid w:val="004C063F"/>
    <w:rsid w:val="004C0C3F"/>
    <w:rsid w:val="004C1776"/>
    <w:rsid w:val="004C1994"/>
    <w:rsid w:val="004C1B0C"/>
    <w:rsid w:val="004C25E2"/>
    <w:rsid w:val="004C29E4"/>
    <w:rsid w:val="004C2B58"/>
    <w:rsid w:val="004C2E3A"/>
    <w:rsid w:val="004C2F87"/>
    <w:rsid w:val="004C2F88"/>
    <w:rsid w:val="004C3235"/>
    <w:rsid w:val="004C4546"/>
    <w:rsid w:val="004C46D3"/>
    <w:rsid w:val="004C4770"/>
    <w:rsid w:val="004C4BC6"/>
    <w:rsid w:val="004C4BDA"/>
    <w:rsid w:val="004C66CE"/>
    <w:rsid w:val="004C6AFF"/>
    <w:rsid w:val="004C72EB"/>
    <w:rsid w:val="004C7429"/>
    <w:rsid w:val="004D1EA3"/>
    <w:rsid w:val="004D2263"/>
    <w:rsid w:val="004D2270"/>
    <w:rsid w:val="004D3516"/>
    <w:rsid w:val="004D4080"/>
    <w:rsid w:val="004D45A7"/>
    <w:rsid w:val="004D4613"/>
    <w:rsid w:val="004D4DD2"/>
    <w:rsid w:val="004D569A"/>
    <w:rsid w:val="004D597D"/>
    <w:rsid w:val="004D72C3"/>
    <w:rsid w:val="004D74B5"/>
    <w:rsid w:val="004D79A6"/>
    <w:rsid w:val="004D7AC6"/>
    <w:rsid w:val="004D7B1F"/>
    <w:rsid w:val="004D7C1B"/>
    <w:rsid w:val="004E05FD"/>
    <w:rsid w:val="004E0750"/>
    <w:rsid w:val="004E0EE7"/>
    <w:rsid w:val="004E180C"/>
    <w:rsid w:val="004E1A0D"/>
    <w:rsid w:val="004E1C65"/>
    <w:rsid w:val="004E23F5"/>
    <w:rsid w:val="004E2E61"/>
    <w:rsid w:val="004E354E"/>
    <w:rsid w:val="004E44C3"/>
    <w:rsid w:val="004E4530"/>
    <w:rsid w:val="004E46CD"/>
    <w:rsid w:val="004E4D26"/>
    <w:rsid w:val="004E50C9"/>
    <w:rsid w:val="004E5240"/>
    <w:rsid w:val="004E63CB"/>
    <w:rsid w:val="004E63E5"/>
    <w:rsid w:val="004E6B76"/>
    <w:rsid w:val="004E6F5A"/>
    <w:rsid w:val="004E7886"/>
    <w:rsid w:val="004E7B04"/>
    <w:rsid w:val="004F0DF2"/>
    <w:rsid w:val="004F11DA"/>
    <w:rsid w:val="004F16BD"/>
    <w:rsid w:val="004F1FA1"/>
    <w:rsid w:val="004F2053"/>
    <w:rsid w:val="004F27DF"/>
    <w:rsid w:val="004F3092"/>
    <w:rsid w:val="004F3540"/>
    <w:rsid w:val="004F37F6"/>
    <w:rsid w:val="004F3B59"/>
    <w:rsid w:val="004F3C1B"/>
    <w:rsid w:val="004F52DB"/>
    <w:rsid w:val="004F5624"/>
    <w:rsid w:val="004F5A2F"/>
    <w:rsid w:val="004F5DA4"/>
    <w:rsid w:val="004F62B2"/>
    <w:rsid w:val="004F6424"/>
    <w:rsid w:val="004F6B8F"/>
    <w:rsid w:val="004F7724"/>
    <w:rsid w:val="004F7850"/>
    <w:rsid w:val="0050092B"/>
    <w:rsid w:val="00500F19"/>
    <w:rsid w:val="00501BC4"/>
    <w:rsid w:val="00502DF7"/>
    <w:rsid w:val="00502E2A"/>
    <w:rsid w:val="005040CD"/>
    <w:rsid w:val="0050430D"/>
    <w:rsid w:val="005047A8"/>
    <w:rsid w:val="00505229"/>
    <w:rsid w:val="005059B4"/>
    <w:rsid w:val="00505BFF"/>
    <w:rsid w:val="0050642E"/>
    <w:rsid w:val="00507198"/>
    <w:rsid w:val="005072B7"/>
    <w:rsid w:val="00507B5B"/>
    <w:rsid w:val="00507F98"/>
    <w:rsid w:val="005101BA"/>
    <w:rsid w:val="005102CD"/>
    <w:rsid w:val="005108A3"/>
    <w:rsid w:val="00510D78"/>
    <w:rsid w:val="00510F6E"/>
    <w:rsid w:val="00511839"/>
    <w:rsid w:val="00511860"/>
    <w:rsid w:val="005118AE"/>
    <w:rsid w:val="005119B6"/>
    <w:rsid w:val="00511DB7"/>
    <w:rsid w:val="00512311"/>
    <w:rsid w:val="00512DB4"/>
    <w:rsid w:val="00513C7C"/>
    <w:rsid w:val="00513F27"/>
    <w:rsid w:val="00514196"/>
    <w:rsid w:val="0051424E"/>
    <w:rsid w:val="00514260"/>
    <w:rsid w:val="00514B57"/>
    <w:rsid w:val="00515747"/>
    <w:rsid w:val="0051587A"/>
    <w:rsid w:val="005158FA"/>
    <w:rsid w:val="005161AA"/>
    <w:rsid w:val="00516998"/>
    <w:rsid w:val="005169AD"/>
    <w:rsid w:val="00516E2F"/>
    <w:rsid w:val="005178A7"/>
    <w:rsid w:val="005200C2"/>
    <w:rsid w:val="0052069F"/>
    <w:rsid w:val="005208B9"/>
    <w:rsid w:val="00521033"/>
    <w:rsid w:val="00521583"/>
    <w:rsid w:val="005221F0"/>
    <w:rsid w:val="005222A4"/>
    <w:rsid w:val="00522A16"/>
    <w:rsid w:val="00523872"/>
    <w:rsid w:val="00523E73"/>
    <w:rsid w:val="00523EB2"/>
    <w:rsid w:val="00523EB6"/>
    <w:rsid w:val="00524029"/>
    <w:rsid w:val="00524647"/>
    <w:rsid w:val="00524807"/>
    <w:rsid w:val="00525FC7"/>
    <w:rsid w:val="00525FF9"/>
    <w:rsid w:val="00526908"/>
    <w:rsid w:val="00527408"/>
    <w:rsid w:val="00527DF4"/>
    <w:rsid w:val="00527E72"/>
    <w:rsid w:val="00527FF0"/>
    <w:rsid w:val="005302BA"/>
    <w:rsid w:val="0053138F"/>
    <w:rsid w:val="005322AC"/>
    <w:rsid w:val="005324C3"/>
    <w:rsid w:val="00532C41"/>
    <w:rsid w:val="00532D3F"/>
    <w:rsid w:val="0053386D"/>
    <w:rsid w:val="00534557"/>
    <w:rsid w:val="005346AF"/>
    <w:rsid w:val="00534700"/>
    <w:rsid w:val="00534B08"/>
    <w:rsid w:val="00534C12"/>
    <w:rsid w:val="00534CA0"/>
    <w:rsid w:val="00535874"/>
    <w:rsid w:val="0053587C"/>
    <w:rsid w:val="00536016"/>
    <w:rsid w:val="0053791F"/>
    <w:rsid w:val="00537D83"/>
    <w:rsid w:val="00540938"/>
    <w:rsid w:val="00540CCF"/>
    <w:rsid w:val="00541295"/>
    <w:rsid w:val="005422D2"/>
    <w:rsid w:val="00542B2B"/>
    <w:rsid w:val="00544123"/>
    <w:rsid w:val="005443D8"/>
    <w:rsid w:val="005447D6"/>
    <w:rsid w:val="005458B5"/>
    <w:rsid w:val="00546D09"/>
    <w:rsid w:val="00547538"/>
    <w:rsid w:val="005479FC"/>
    <w:rsid w:val="00547D01"/>
    <w:rsid w:val="00551FD3"/>
    <w:rsid w:val="005526B7"/>
    <w:rsid w:val="00553BFA"/>
    <w:rsid w:val="00554D05"/>
    <w:rsid w:val="00554F6A"/>
    <w:rsid w:val="0055621A"/>
    <w:rsid w:val="0055631F"/>
    <w:rsid w:val="0055649B"/>
    <w:rsid w:val="00556951"/>
    <w:rsid w:val="0056006C"/>
    <w:rsid w:val="00560201"/>
    <w:rsid w:val="00560596"/>
    <w:rsid w:val="0056077E"/>
    <w:rsid w:val="00560EDA"/>
    <w:rsid w:val="00560F11"/>
    <w:rsid w:val="005619C7"/>
    <w:rsid w:val="00562671"/>
    <w:rsid w:val="005627E3"/>
    <w:rsid w:val="005628A3"/>
    <w:rsid w:val="005629EE"/>
    <w:rsid w:val="00562A04"/>
    <w:rsid w:val="00562C27"/>
    <w:rsid w:val="005643A7"/>
    <w:rsid w:val="005648FA"/>
    <w:rsid w:val="00564D50"/>
    <w:rsid w:val="00566019"/>
    <w:rsid w:val="005667E7"/>
    <w:rsid w:val="00566E86"/>
    <w:rsid w:val="00566F2F"/>
    <w:rsid w:val="00567346"/>
    <w:rsid w:val="005677BA"/>
    <w:rsid w:val="00567AAB"/>
    <w:rsid w:val="00567D04"/>
    <w:rsid w:val="00570450"/>
    <w:rsid w:val="005711FA"/>
    <w:rsid w:val="00572153"/>
    <w:rsid w:val="0057290D"/>
    <w:rsid w:val="00572CC8"/>
    <w:rsid w:val="00572E0A"/>
    <w:rsid w:val="00572F8B"/>
    <w:rsid w:val="00572FF9"/>
    <w:rsid w:val="005732C1"/>
    <w:rsid w:val="0057371B"/>
    <w:rsid w:val="005738D4"/>
    <w:rsid w:val="00573E7B"/>
    <w:rsid w:val="005742C9"/>
    <w:rsid w:val="00574323"/>
    <w:rsid w:val="00574762"/>
    <w:rsid w:val="00574AE1"/>
    <w:rsid w:val="0057566A"/>
    <w:rsid w:val="00575E9A"/>
    <w:rsid w:val="00575EB8"/>
    <w:rsid w:val="0057616F"/>
    <w:rsid w:val="00576423"/>
    <w:rsid w:val="005766CF"/>
    <w:rsid w:val="00576A53"/>
    <w:rsid w:val="0057709A"/>
    <w:rsid w:val="005772B5"/>
    <w:rsid w:val="0058124D"/>
    <w:rsid w:val="00581710"/>
    <w:rsid w:val="005825D7"/>
    <w:rsid w:val="00582921"/>
    <w:rsid w:val="00582A9B"/>
    <w:rsid w:val="00582B25"/>
    <w:rsid w:val="005832AB"/>
    <w:rsid w:val="00583925"/>
    <w:rsid w:val="0058437C"/>
    <w:rsid w:val="00584F1A"/>
    <w:rsid w:val="005851E5"/>
    <w:rsid w:val="005860B8"/>
    <w:rsid w:val="00586634"/>
    <w:rsid w:val="0058669C"/>
    <w:rsid w:val="005868EE"/>
    <w:rsid w:val="005878F0"/>
    <w:rsid w:val="00587929"/>
    <w:rsid w:val="00587EFE"/>
    <w:rsid w:val="005907FE"/>
    <w:rsid w:val="00590E2D"/>
    <w:rsid w:val="0059101C"/>
    <w:rsid w:val="00591042"/>
    <w:rsid w:val="0059123E"/>
    <w:rsid w:val="00591F2D"/>
    <w:rsid w:val="005923B4"/>
    <w:rsid w:val="005935F4"/>
    <w:rsid w:val="00593E0A"/>
    <w:rsid w:val="0059470B"/>
    <w:rsid w:val="0059486B"/>
    <w:rsid w:val="00594C92"/>
    <w:rsid w:val="0059531C"/>
    <w:rsid w:val="005953F9"/>
    <w:rsid w:val="005967AC"/>
    <w:rsid w:val="005978CA"/>
    <w:rsid w:val="00597A58"/>
    <w:rsid w:val="005A0AC1"/>
    <w:rsid w:val="005A0CF8"/>
    <w:rsid w:val="005A0F22"/>
    <w:rsid w:val="005A1084"/>
    <w:rsid w:val="005A1350"/>
    <w:rsid w:val="005A167F"/>
    <w:rsid w:val="005A2D27"/>
    <w:rsid w:val="005A3055"/>
    <w:rsid w:val="005A346E"/>
    <w:rsid w:val="005A3757"/>
    <w:rsid w:val="005A3D05"/>
    <w:rsid w:val="005A4080"/>
    <w:rsid w:val="005A541C"/>
    <w:rsid w:val="005A54FA"/>
    <w:rsid w:val="005A5A2E"/>
    <w:rsid w:val="005A61AA"/>
    <w:rsid w:val="005A6992"/>
    <w:rsid w:val="005A6FC8"/>
    <w:rsid w:val="005A70D0"/>
    <w:rsid w:val="005A7337"/>
    <w:rsid w:val="005A73CF"/>
    <w:rsid w:val="005A7435"/>
    <w:rsid w:val="005A7FF9"/>
    <w:rsid w:val="005B150A"/>
    <w:rsid w:val="005B155D"/>
    <w:rsid w:val="005B182B"/>
    <w:rsid w:val="005B344A"/>
    <w:rsid w:val="005B3DA0"/>
    <w:rsid w:val="005B3F6F"/>
    <w:rsid w:val="005B3FC9"/>
    <w:rsid w:val="005B4F69"/>
    <w:rsid w:val="005B4FED"/>
    <w:rsid w:val="005B682E"/>
    <w:rsid w:val="005B75C7"/>
    <w:rsid w:val="005B798B"/>
    <w:rsid w:val="005B7A82"/>
    <w:rsid w:val="005B7EEF"/>
    <w:rsid w:val="005B7F65"/>
    <w:rsid w:val="005C0BAD"/>
    <w:rsid w:val="005C0CF2"/>
    <w:rsid w:val="005C165A"/>
    <w:rsid w:val="005C1C45"/>
    <w:rsid w:val="005C1FAE"/>
    <w:rsid w:val="005C23E7"/>
    <w:rsid w:val="005C2654"/>
    <w:rsid w:val="005C32A3"/>
    <w:rsid w:val="005C39E8"/>
    <w:rsid w:val="005C4A9F"/>
    <w:rsid w:val="005C5601"/>
    <w:rsid w:val="005C5660"/>
    <w:rsid w:val="005C6851"/>
    <w:rsid w:val="005C6EE7"/>
    <w:rsid w:val="005C710B"/>
    <w:rsid w:val="005D1F28"/>
    <w:rsid w:val="005D2794"/>
    <w:rsid w:val="005D2898"/>
    <w:rsid w:val="005D29BF"/>
    <w:rsid w:val="005D2B9D"/>
    <w:rsid w:val="005D2D18"/>
    <w:rsid w:val="005D4021"/>
    <w:rsid w:val="005D411D"/>
    <w:rsid w:val="005D459F"/>
    <w:rsid w:val="005D4B68"/>
    <w:rsid w:val="005D5338"/>
    <w:rsid w:val="005D56CF"/>
    <w:rsid w:val="005D59B9"/>
    <w:rsid w:val="005D5B20"/>
    <w:rsid w:val="005D6659"/>
    <w:rsid w:val="005D7E60"/>
    <w:rsid w:val="005E03D6"/>
    <w:rsid w:val="005E0700"/>
    <w:rsid w:val="005E0978"/>
    <w:rsid w:val="005E0DB6"/>
    <w:rsid w:val="005E11C1"/>
    <w:rsid w:val="005E185D"/>
    <w:rsid w:val="005E1C3F"/>
    <w:rsid w:val="005E1ECC"/>
    <w:rsid w:val="005E235C"/>
    <w:rsid w:val="005E2563"/>
    <w:rsid w:val="005E2AFB"/>
    <w:rsid w:val="005E2E7A"/>
    <w:rsid w:val="005E2ECA"/>
    <w:rsid w:val="005E3778"/>
    <w:rsid w:val="005E394C"/>
    <w:rsid w:val="005E42BF"/>
    <w:rsid w:val="005E42ED"/>
    <w:rsid w:val="005E46F8"/>
    <w:rsid w:val="005E4E70"/>
    <w:rsid w:val="005E4E8A"/>
    <w:rsid w:val="005E5991"/>
    <w:rsid w:val="005E5C00"/>
    <w:rsid w:val="005E5FD4"/>
    <w:rsid w:val="005E6301"/>
    <w:rsid w:val="005E65BB"/>
    <w:rsid w:val="005E77C8"/>
    <w:rsid w:val="005F05F3"/>
    <w:rsid w:val="005F08A7"/>
    <w:rsid w:val="005F0DA0"/>
    <w:rsid w:val="005F2210"/>
    <w:rsid w:val="005F3524"/>
    <w:rsid w:val="005F392E"/>
    <w:rsid w:val="005F3F81"/>
    <w:rsid w:val="005F4590"/>
    <w:rsid w:val="005F4805"/>
    <w:rsid w:val="005F4914"/>
    <w:rsid w:val="005F4A15"/>
    <w:rsid w:val="005F4BB2"/>
    <w:rsid w:val="005F4DE3"/>
    <w:rsid w:val="005F62B7"/>
    <w:rsid w:val="005F666E"/>
    <w:rsid w:val="005F67C0"/>
    <w:rsid w:val="005F6869"/>
    <w:rsid w:val="005F6BB9"/>
    <w:rsid w:val="005F712B"/>
    <w:rsid w:val="005F74E6"/>
    <w:rsid w:val="005F7585"/>
    <w:rsid w:val="006004E2"/>
    <w:rsid w:val="00600690"/>
    <w:rsid w:val="006013E4"/>
    <w:rsid w:val="00602327"/>
    <w:rsid w:val="00603017"/>
    <w:rsid w:val="00603148"/>
    <w:rsid w:val="00603359"/>
    <w:rsid w:val="00603D28"/>
    <w:rsid w:val="00604C1C"/>
    <w:rsid w:val="0060595B"/>
    <w:rsid w:val="00605DA5"/>
    <w:rsid w:val="0060660E"/>
    <w:rsid w:val="006069ED"/>
    <w:rsid w:val="00606D06"/>
    <w:rsid w:val="00606F1B"/>
    <w:rsid w:val="00606FC7"/>
    <w:rsid w:val="006071B9"/>
    <w:rsid w:val="0060765A"/>
    <w:rsid w:val="00610456"/>
    <w:rsid w:val="006108A5"/>
    <w:rsid w:val="00610B18"/>
    <w:rsid w:val="00610BAA"/>
    <w:rsid w:val="00611473"/>
    <w:rsid w:val="00611547"/>
    <w:rsid w:val="00611B36"/>
    <w:rsid w:val="00611D5E"/>
    <w:rsid w:val="00611F29"/>
    <w:rsid w:val="006121C6"/>
    <w:rsid w:val="00612234"/>
    <w:rsid w:val="00612C97"/>
    <w:rsid w:val="00612D16"/>
    <w:rsid w:val="0061307E"/>
    <w:rsid w:val="006134C5"/>
    <w:rsid w:val="00613948"/>
    <w:rsid w:val="006139E5"/>
    <w:rsid w:val="00613A34"/>
    <w:rsid w:val="00615ADA"/>
    <w:rsid w:val="00615E77"/>
    <w:rsid w:val="00615F42"/>
    <w:rsid w:val="006168F6"/>
    <w:rsid w:val="00616E43"/>
    <w:rsid w:val="006170C7"/>
    <w:rsid w:val="006176BE"/>
    <w:rsid w:val="006177B5"/>
    <w:rsid w:val="00617CD9"/>
    <w:rsid w:val="00620693"/>
    <w:rsid w:val="00620FF0"/>
    <w:rsid w:val="0062120B"/>
    <w:rsid w:val="006215EE"/>
    <w:rsid w:val="00621E20"/>
    <w:rsid w:val="00621EB7"/>
    <w:rsid w:val="006221CD"/>
    <w:rsid w:val="0062313C"/>
    <w:rsid w:val="00623F3C"/>
    <w:rsid w:val="00624119"/>
    <w:rsid w:val="00624C24"/>
    <w:rsid w:val="00624DAD"/>
    <w:rsid w:val="0062522C"/>
    <w:rsid w:val="006254C2"/>
    <w:rsid w:val="00625925"/>
    <w:rsid w:val="006266A9"/>
    <w:rsid w:val="006274F9"/>
    <w:rsid w:val="00630426"/>
    <w:rsid w:val="00630BF6"/>
    <w:rsid w:val="006316C1"/>
    <w:rsid w:val="006319FB"/>
    <w:rsid w:val="00631A6B"/>
    <w:rsid w:val="00631DDC"/>
    <w:rsid w:val="00631ED4"/>
    <w:rsid w:val="00632399"/>
    <w:rsid w:val="00633493"/>
    <w:rsid w:val="00633BC7"/>
    <w:rsid w:val="00633CFB"/>
    <w:rsid w:val="00633EF0"/>
    <w:rsid w:val="00633F05"/>
    <w:rsid w:val="006349C8"/>
    <w:rsid w:val="00635E9C"/>
    <w:rsid w:val="00635F2A"/>
    <w:rsid w:val="006364E2"/>
    <w:rsid w:val="006371B8"/>
    <w:rsid w:val="00637B41"/>
    <w:rsid w:val="00637C25"/>
    <w:rsid w:val="00637D7B"/>
    <w:rsid w:val="00641074"/>
    <w:rsid w:val="0064145F"/>
    <w:rsid w:val="00641492"/>
    <w:rsid w:val="006414EE"/>
    <w:rsid w:val="00642038"/>
    <w:rsid w:val="00642524"/>
    <w:rsid w:val="00642855"/>
    <w:rsid w:val="00642B40"/>
    <w:rsid w:val="00642D0A"/>
    <w:rsid w:val="00642DF1"/>
    <w:rsid w:val="00643F71"/>
    <w:rsid w:val="006443E5"/>
    <w:rsid w:val="00644FD2"/>
    <w:rsid w:val="00645047"/>
    <w:rsid w:val="0064559E"/>
    <w:rsid w:val="0064624E"/>
    <w:rsid w:val="00646BFB"/>
    <w:rsid w:val="00646C11"/>
    <w:rsid w:val="00646F46"/>
    <w:rsid w:val="00646FE1"/>
    <w:rsid w:val="00647646"/>
    <w:rsid w:val="00650058"/>
    <w:rsid w:val="00650684"/>
    <w:rsid w:val="00650EFC"/>
    <w:rsid w:val="00651557"/>
    <w:rsid w:val="00652D0A"/>
    <w:rsid w:val="0065303E"/>
    <w:rsid w:val="00653359"/>
    <w:rsid w:val="0065459B"/>
    <w:rsid w:val="00654843"/>
    <w:rsid w:val="006549F3"/>
    <w:rsid w:val="0065575E"/>
    <w:rsid w:val="00655A35"/>
    <w:rsid w:val="00655C2F"/>
    <w:rsid w:val="006562BB"/>
    <w:rsid w:val="00656401"/>
    <w:rsid w:val="006564AC"/>
    <w:rsid w:val="006568A7"/>
    <w:rsid w:val="00657B6C"/>
    <w:rsid w:val="00657EEE"/>
    <w:rsid w:val="00660F8C"/>
    <w:rsid w:val="00661140"/>
    <w:rsid w:val="00662616"/>
    <w:rsid w:val="00662BEE"/>
    <w:rsid w:val="006630C4"/>
    <w:rsid w:val="006631BA"/>
    <w:rsid w:val="0066336E"/>
    <w:rsid w:val="006633C6"/>
    <w:rsid w:val="00663BB0"/>
    <w:rsid w:val="0066410A"/>
    <w:rsid w:val="0066445B"/>
    <w:rsid w:val="0066450C"/>
    <w:rsid w:val="006645C0"/>
    <w:rsid w:val="00664E4C"/>
    <w:rsid w:val="0066590D"/>
    <w:rsid w:val="00665CC1"/>
    <w:rsid w:val="00666F70"/>
    <w:rsid w:val="00667312"/>
    <w:rsid w:val="00667552"/>
    <w:rsid w:val="00667A73"/>
    <w:rsid w:val="006703C6"/>
    <w:rsid w:val="006710DD"/>
    <w:rsid w:val="0067125F"/>
    <w:rsid w:val="00671B6F"/>
    <w:rsid w:val="00671D1F"/>
    <w:rsid w:val="00672C47"/>
    <w:rsid w:val="00673200"/>
    <w:rsid w:val="006734FA"/>
    <w:rsid w:val="00673EAB"/>
    <w:rsid w:val="00674A2C"/>
    <w:rsid w:val="0067501E"/>
    <w:rsid w:val="00675345"/>
    <w:rsid w:val="006753EF"/>
    <w:rsid w:val="00676271"/>
    <w:rsid w:val="006773D2"/>
    <w:rsid w:val="0067754C"/>
    <w:rsid w:val="00680581"/>
    <w:rsid w:val="00680C57"/>
    <w:rsid w:val="00681A41"/>
    <w:rsid w:val="00681E52"/>
    <w:rsid w:val="006821B2"/>
    <w:rsid w:val="006831F5"/>
    <w:rsid w:val="00683593"/>
    <w:rsid w:val="006835A7"/>
    <w:rsid w:val="0068372E"/>
    <w:rsid w:val="0068377E"/>
    <w:rsid w:val="006838C0"/>
    <w:rsid w:val="00684D98"/>
    <w:rsid w:val="00685071"/>
    <w:rsid w:val="00685901"/>
    <w:rsid w:val="00685BB9"/>
    <w:rsid w:val="00686996"/>
    <w:rsid w:val="00686B18"/>
    <w:rsid w:val="00690127"/>
    <w:rsid w:val="006909B5"/>
    <w:rsid w:val="00690C6D"/>
    <w:rsid w:val="0069117A"/>
    <w:rsid w:val="00691752"/>
    <w:rsid w:val="00691BFF"/>
    <w:rsid w:val="00691C47"/>
    <w:rsid w:val="00691C6A"/>
    <w:rsid w:val="006929C1"/>
    <w:rsid w:val="00693F4F"/>
    <w:rsid w:val="00694530"/>
    <w:rsid w:val="006946C4"/>
    <w:rsid w:val="00694D8D"/>
    <w:rsid w:val="006953C1"/>
    <w:rsid w:val="00695F3B"/>
    <w:rsid w:val="006962E6"/>
    <w:rsid w:val="00696460"/>
    <w:rsid w:val="006965C0"/>
    <w:rsid w:val="006967E4"/>
    <w:rsid w:val="00696EB2"/>
    <w:rsid w:val="00696FE4"/>
    <w:rsid w:val="00697162"/>
    <w:rsid w:val="00697926"/>
    <w:rsid w:val="006A0971"/>
    <w:rsid w:val="006A0A19"/>
    <w:rsid w:val="006A16E9"/>
    <w:rsid w:val="006A1D46"/>
    <w:rsid w:val="006A1E83"/>
    <w:rsid w:val="006A24D9"/>
    <w:rsid w:val="006A2F45"/>
    <w:rsid w:val="006A3A6B"/>
    <w:rsid w:val="006A4575"/>
    <w:rsid w:val="006A4870"/>
    <w:rsid w:val="006A5251"/>
    <w:rsid w:val="006A5450"/>
    <w:rsid w:val="006A5D9A"/>
    <w:rsid w:val="006A5E34"/>
    <w:rsid w:val="006A6034"/>
    <w:rsid w:val="006A62FD"/>
    <w:rsid w:val="006A67D0"/>
    <w:rsid w:val="006A6932"/>
    <w:rsid w:val="006A7573"/>
    <w:rsid w:val="006A763B"/>
    <w:rsid w:val="006B0199"/>
    <w:rsid w:val="006B0A32"/>
    <w:rsid w:val="006B0BB5"/>
    <w:rsid w:val="006B0BD8"/>
    <w:rsid w:val="006B1274"/>
    <w:rsid w:val="006B16FD"/>
    <w:rsid w:val="006B1F74"/>
    <w:rsid w:val="006B2098"/>
    <w:rsid w:val="006B31A3"/>
    <w:rsid w:val="006B41AA"/>
    <w:rsid w:val="006B52AE"/>
    <w:rsid w:val="006B56A1"/>
    <w:rsid w:val="006B5C02"/>
    <w:rsid w:val="006B639A"/>
    <w:rsid w:val="006B698A"/>
    <w:rsid w:val="006B6A44"/>
    <w:rsid w:val="006B6B5C"/>
    <w:rsid w:val="006C0251"/>
    <w:rsid w:val="006C0BB3"/>
    <w:rsid w:val="006C1363"/>
    <w:rsid w:val="006C19C4"/>
    <w:rsid w:val="006C2B9A"/>
    <w:rsid w:val="006C39BB"/>
    <w:rsid w:val="006C3B29"/>
    <w:rsid w:val="006C41C8"/>
    <w:rsid w:val="006C422D"/>
    <w:rsid w:val="006C4502"/>
    <w:rsid w:val="006C45B4"/>
    <w:rsid w:val="006C4E55"/>
    <w:rsid w:val="006C55FF"/>
    <w:rsid w:val="006C6445"/>
    <w:rsid w:val="006C6932"/>
    <w:rsid w:val="006C777E"/>
    <w:rsid w:val="006C783B"/>
    <w:rsid w:val="006C7B5E"/>
    <w:rsid w:val="006C7FA0"/>
    <w:rsid w:val="006D0246"/>
    <w:rsid w:val="006D02EE"/>
    <w:rsid w:val="006D09EC"/>
    <w:rsid w:val="006D0F25"/>
    <w:rsid w:val="006D21E4"/>
    <w:rsid w:val="006D287F"/>
    <w:rsid w:val="006D2A1C"/>
    <w:rsid w:val="006D2A81"/>
    <w:rsid w:val="006D2B4E"/>
    <w:rsid w:val="006D31A3"/>
    <w:rsid w:val="006D3E13"/>
    <w:rsid w:val="006D4AD0"/>
    <w:rsid w:val="006D51D3"/>
    <w:rsid w:val="006D54DE"/>
    <w:rsid w:val="006D5802"/>
    <w:rsid w:val="006D586C"/>
    <w:rsid w:val="006D5E91"/>
    <w:rsid w:val="006D608A"/>
    <w:rsid w:val="006D65A0"/>
    <w:rsid w:val="006D6E21"/>
    <w:rsid w:val="006D7C89"/>
    <w:rsid w:val="006E0405"/>
    <w:rsid w:val="006E0F0F"/>
    <w:rsid w:val="006E10A9"/>
    <w:rsid w:val="006E14E6"/>
    <w:rsid w:val="006E1AEE"/>
    <w:rsid w:val="006E2700"/>
    <w:rsid w:val="006E33E8"/>
    <w:rsid w:val="006E3414"/>
    <w:rsid w:val="006E3AF3"/>
    <w:rsid w:val="006E3B9C"/>
    <w:rsid w:val="006E3FB1"/>
    <w:rsid w:val="006E4DF2"/>
    <w:rsid w:val="006E51A2"/>
    <w:rsid w:val="006E5393"/>
    <w:rsid w:val="006E5FA3"/>
    <w:rsid w:val="006E6AA3"/>
    <w:rsid w:val="006E75A1"/>
    <w:rsid w:val="006F01B4"/>
    <w:rsid w:val="006F023A"/>
    <w:rsid w:val="006F03C6"/>
    <w:rsid w:val="006F051D"/>
    <w:rsid w:val="006F0CDC"/>
    <w:rsid w:val="006F0DE2"/>
    <w:rsid w:val="006F1A13"/>
    <w:rsid w:val="006F20D0"/>
    <w:rsid w:val="006F2333"/>
    <w:rsid w:val="006F2421"/>
    <w:rsid w:val="006F28A1"/>
    <w:rsid w:val="006F2C38"/>
    <w:rsid w:val="006F2D04"/>
    <w:rsid w:val="006F316F"/>
    <w:rsid w:val="006F3495"/>
    <w:rsid w:val="006F356A"/>
    <w:rsid w:val="006F3F1A"/>
    <w:rsid w:val="006F417D"/>
    <w:rsid w:val="006F434A"/>
    <w:rsid w:val="006F4B21"/>
    <w:rsid w:val="006F56E2"/>
    <w:rsid w:val="006F5C83"/>
    <w:rsid w:val="006F67B7"/>
    <w:rsid w:val="006F67CC"/>
    <w:rsid w:val="006F700F"/>
    <w:rsid w:val="006F7E66"/>
    <w:rsid w:val="00700615"/>
    <w:rsid w:val="00701C2D"/>
    <w:rsid w:val="00702162"/>
    <w:rsid w:val="007022EA"/>
    <w:rsid w:val="0070285B"/>
    <w:rsid w:val="007034C0"/>
    <w:rsid w:val="00703924"/>
    <w:rsid w:val="00703930"/>
    <w:rsid w:val="00703DE3"/>
    <w:rsid w:val="00704BC7"/>
    <w:rsid w:val="00705C2D"/>
    <w:rsid w:val="0070610E"/>
    <w:rsid w:val="00706A10"/>
    <w:rsid w:val="00707292"/>
    <w:rsid w:val="00707759"/>
    <w:rsid w:val="00707A10"/>
    <w:rsid w:val="00710081"/>
    <w:rsid w:val="00710561"/>
    <w:rsid w:val="0071098D"/>
    <w:rsid w:val="00710ACA"/>
    <w:rsid w:val="00710B0D"/>
    <w:rsid w:val="00711D54"/>
    <w:rsid w:val="00711EDF"/>
    <w:rsid w:val="007129E7"/>
    <w:rsid w:val="00712DF1"/>
    <w:rsid w:val="007134E7"/>
    <w:rsid w:val="00713801"/>
    <w:rsid w:val="00713995"/>
    <w:rsid w:val="00713CB5"/>
    <w:rsid w:val="00714574"/>
    <w:rsid w:val="0071474C"/>
    <w:rsid w:val="0071558B"/>
    <w:rsid w:val="0071581E"/>
    <w:rsid w:val="007158C4"/>
    <w:rsid w:val="00715E0D"/>
    <w:rsid w:val="007162F9"/>
    <w:rsid w:val="00717B2C"/>
    <w:rsid w:val="00717DCA"/>
    <w:rsid w:val="00717EA0"/>
    <w:rsid w:val="00720925"/>
    <w:rsid w:val="00720A87"/>
    <w:rsid w:val="00721189"/>
    <w:rsid w:val="00721505"/>
    <w:rsid w:val="007215BD"/>
    <w:rsid w:val="00721C4A"/>
    <w:rsid w:val="007221C3"/>
    <w:rsid w:val="00722207"/>
    <w:rsid w:val="0072276A"/>
    <w:rsid w:val="00722F2C"/>
    <w:rsid w:val="00723B0F"/>
    <w:rsid w:val="00723F12"/>
    <w:rsid w:val="0072426D"/>
    <w:rsid w:val="007251C6"/>
    <w:rsid w:val="007254D1"/>
    <w:rsid w:val="007254FC"/>
    <w:rsid w:val="007257D0"/>
    <w:rsid w:val="00725B32"/>
    <w:rsid w:val="00725B3C"/>
    <w:rsid w:val="007262BA"/>
    <w:rsid w:val="007262D3"/>
    <w:rsid w:val="00726410"/>
    <w:rsid w:val="0073013B"/>
    <w:rsid w:val="0073069B"/>
    <w:rsid w:val="00730AC0"/>
    <w:rsid w:val="00731890"/>
    <w:rsid w:val="00731F10"/>
    <w:rsid w:val="007321ED"/>
    <w:rsid w:val="00732308"/>
    <w:rsid w:val="00732B33"/>
    <w:rsid w:val="00732DBD"/>
    <w:rsid w:val="00732E56"/>
    <w:rsid w:val="00733D54"/>
    <w:rsid w:val="00734C94"/>
    <w:rsid w:val="007358E0"/>
    <w:rsid w:val="00735D08"/>
    <w:rsid w:val="00735E22"/>
    <w:rsid w:val="00736A4F"/>
    <w:rsid w:val="007372B2"/>
    <w:rsid w:val="00737753"/>
    <w:rsid w:val="00737D91"/>
    <w:rsid w:val="00740CE9"/>
    <w:rsid w:val="007415DA"/>
    <w:rsid w:val="0074164D"/>
    <w:rsid w:val="0074173A"/>
    <w:rsid w:val="00741A8D"/>
    <w:rsid w:val="0074205E"/>
    <w:rsid w:val="00742316"/>
    <w:rsid w:val="00742878"/>
    <w:rsid w:val="007428E3"/>
    <w:rsid w:val="00742D28"/>
    <w:rsid w:val="00742DEA"/>
    <w:rsid w:val="00742F0D"/>
    <w:rsid w:val="00743716"/>
    <w:rsid w:val="007437D8"/>
    <w:rsid w:val="0074394E"/>
    <w:rsid w:val="00744193"/>
    <w:rsid w:val="00744372"/>
    <w:rsid w:val="00745268"/>
    <w:rsid w:val="00745DA4"/>
    <w:rsid w:val="00745F7F"/>
    <w:rsid w:val="007460D4"/>
    <w:rsid w:val="007461D8"/>
    <w:rsid w:val="007465D2"/>
    <w:rsid w:val="00746D11"/>
    <w:rsid w:val="007506A3"/>
    <w:rsid w:val="00750A1C"/>
    <w:rsid w:val="00750D0A"/>
    <w:rsid w:val="00750D13"/>
    <w:rsid w:val="00750DBA"/>
    <w:rsid w:val="007512D7"/>
    <w:rsid w:val="007513F5"/>
    <w:rsid w:val="00751B61"/>
    <w:rsid w:val="00751D93"/>
    <w:rsid w:val="00752300"/>
    <w:rsid w:val="007527D1"/>
    <w:rsid w:val="007546F8"/>
    <w:rsid w:val="00754855"/>
    <w:rsid w:val="00754CB1"/>
    <w:rsid w:val="0075530D"/>
    <w:rsid w:val="00755BAB"/>
    <w:rsid w:val="00755BE4"/>
    <w:rsid w:val="00755F57"/>
    <w:rsid w:val="00756461"/>
    <w:rsid w:val="00756F36"/>
    <w:rsid w:val="00760178"/>
    <w:rsid w:val="0076080E"/>
    <w:rsid w:val="007622EB"/>
    <w:rsid w:val="00762F6B"/>
    <w:rsid w:val="00763B1E"/>
    <w:rsid w:val="00763EEE"/>
    <w:rsid w:val="0076411D"/>
    <w:rsid w:val="0076486F"/>
    <w:rsid w:val="007648CE"/>
    <w:rsid w:val="00764913"/>
    <w:rsid w:val="007654DD"/>
    <w:rsid w:val="00766C03"/>
    <w:rsid w:val="007670F8"/>
    <w:rsid w:val="007671D4"/>
    <w:rsid w:val="007672C5"/>
    <w:rsid w:val="00767473"/>
    <w:rsid w:val="0076759E"/>
    <w:rsid w:val="00767ACA"/>
    <w:rsid w:val="00767DA5"/>
    <w:rsid w:val="00770A85"/>
    <w:rsid w:val="007716D4"/>
    <w:rsid w:val="00772396"/>
    <w:rsid w:val="007728A3"/>
    <w:rsid w:val="007737F6"/>
    <w:rsid w:val="00773952"/>
    <w:rsid w:val="007739CA"/>
    <w:rsid w:val="00773DC9"/>
    <w:rsid w:val="00773DFF"/>
    <w:rsid w:val="007746B4"/>
    <w:rsid w:val="00774828"/>
    <w:rsid w:val="007751F5"/>
    <w:rsid w:val="00775558"/>
    <w:rsid w:val="0077572E"/>
    <w:rsid w:val="00775C04"/>
    <w:rsid w:val="00775F32"/>
    <w:rsid w:val="00776477"/>
    <w:rsid w:val="007770CF"/>
    <w:rsid w:val="007772CF"/>
    <w:rsid w:val="00777359"/>
    <w:rsid w:val="00777459"/>
    <w:rsid w:val="007774BF"/>
    <w:rsid w:val="007779C7"/>
    <w:rsid w:val="0078031B"/>
    <w:rsid w:val="00780A8F"/>
    <w:rsid w:val="00784048"/>
    <w:rsid w:val="00784500"/>
    <w:rsid w:val="0078450A"/>
    <w:rsid w:val="00784F44"/>
    <w:rsid w:val="00785526"/>
    <w:rsid w:val="00786672"/>
    <w:rsid w:val="007867F2"/>
    <w:rsid w:val="00786DC6"/>
    <w:rsid w:val="007872CF"/>
    <w:rsid w:val="0079067E"/>
    <w:rsid w:val="007906E6"/>
    <w:rsid w:val="0079112C"/>
    <w:rsid w:val="0079201C"/>
    <w:rsid w:val="00792241"/>
    <w:rsid w:val="00792B63"/>
    <w:rsid w:val="0079307F"/>
    <w:rsid w:val="007931A0"/>
    <w:rsid w:val="007940C5"/>
    <w:rsid w:val="00794653"/>
    <w:rsid w:val="007947C4"/>
    <w:rsid w:val="00795CE1"/>
    <w:rsid w:val="00795E4E"/>
    <w:rsid w:val="00796F0B"/>
    <w:rsid w:val="00797A89"/>
    <w:rsid w:val="00797F4E"/>
    <w:rsid w:val="007A055D"/>
    <w:rsid w:val="007A06AC"/>
    <w:rsid w:val="007A14E7"/>
    <w:rsid w:val="007A1533"/>
    <w:rsid w:val="007A1A41"/>
    <w:rsid w:val="007A1ABF"/>
    <w:rsid w:val="007A1F04"/>
    <w:rsid w:val="007A21E9"/>
    <w:rsid w:val="007A221C"/>
    <w:rsid w:val="007A26A7"/>
    <w:rsid w:val="007A29F1"/>
    <w:rsid w:val="007A37C2"/>
    <w:rsid w:val="007A44AC"/>
    <w:rsid w:val="007A5BD5"/>
    <w:rsid w:val="007A680A"/>
    <w:rsid w:val="007A758B"/>
    <w:rsid w:val="007A7CCB"/>
    <w:rsid w:val="007A7F8E"/>
    <w:rsid w:val="007B0B5F"/>
    <w:rsid w:val="007B1014"/>
    <w:rsid w:val="007B103F"/>
    <w:rsid w:val="007B1484"/>
    <w:rsid w:val="007B15EE"/>
    <w:rsid w:val="007B1A10"/>
    <w:rsid w:val="007B2803"/>
    <w:rsid w:val="007B2EC0"/>
    <w:rsid w:val="007B2EE4"/>
    <w:rsid w:val="007B35D9"/>
    <w:rsid w:val="007B36A2"/>
    <w:rsid w:val="007B37E1"/>
    <w:rsid w:val="007B3B7A"/>
    <w:rsid w:val="007B491A"/>
    <w:rsid w:val="007B4FDE"/>
    <w:rsid w:val="007B625C"/>
    <w:rsid w:val="007B64C9"/>
    <w:rsid w:val="007B64D8"/>
    <w:rsid w:val="007B6659"/>
    <w:rsid w:val="007B69A9"/>
    <w:rsid w:val="007B7070"/>
    <w:rsid w:val="007B76AB"/>
    <w:rsid w:val="007B7BC7"/>
    <w:rsid w:val="007B7DBD"/>
    <w:rsid w:val="007B7E4E"/>
    <w:rsid w:val="007C11D4"/>
    <w:rsid w:val="007C13EE"/>
    <w:rsid w:val="007C1AA7"/>
    <w:rsid w:val="007C1B33"/>
    <w:rsid w:val="007C2B86"/>
    <w:rsid w:val="007C336A"/>
    <w:rsid w:val="007C35F7"/>
    <w:rsid w:val="007C3FDB"/>
    <w:rsid w:val="007C4406"/>
    <w:rsid w:val="007C454A"/>
    <w:rsid w:val="007C45D3"/>
    <w:rsid w:val="007C4DC4"/>
    <w:rsid w:val="007C597B"/>
    <w:rsid w:val="007C6250"/>
    <w:rsid w:val="007C760C"/>
    <w:rsid w:val="007D03F9"/>
    <w:rsid w:val="007D05F2"/>
    <w:rsid w:val="007D08FD"/>
    <w:rsid w:val="007D1584"/>
    <w:rsid w:val="007D1850"/>
    <w:rsid w:val="007D2000"/>
    <w:rsid w:val="007D2044"/>
    <w:rsid w:val="007D3248"/>
    <w:rsid w:val="007D40D8"/>
    <w:rsid w:val="007D4DC4"/>
    <w:rsid w:val="007D4F33"/>
    <w:rsid w:val="007D5197"/>
    <w:rsid w:val="007D5609"/>
    <w:rsid w:val="007D58DB"/>
    <w:rsid w:val="007D65C7"/>
    <w:rsid w:val="007D6B7C"/>
    <w:rsid w:val="007D7242"/>
    <w:rsid w:val="007D74D2"/>
    <w:rsid w:val="007D7641"/>
    <w:rsid w:val="007D79B5"/>
    <w:rsid w:val="007E0F18"/>
    <w:rsid w:val="007E1DB5"/>
    <w:rsid w:val="007E2237"/>
    <w:rsid w:val="007E2334"/>
    <w:rsid w:val="007E23CE"/>
    <w:rsid w:val="007E2CE7"/>
    <w:rsid w:val="007E398E"/>
    <w:rsid w:val="007E43D0"/>
    <w:rsid w:val="007E456C"/>
    <w:rsid w:val="007E4F00"/>
    <w:rsid w:val="007E54F8"/>
    <w:rsid w:val="007E5987"/>
    <w:rsid w:val="007E5AB1"/>
    <w:rsid w:val="007E5BD8"/>
    <w:rsid w:val="007E5E66"/>
    <w:rsid w:val="007E5F24"/>
    <w:rsid w:val="007E6880"/>
    <w:rsid w:val="007E6F09"/>
    <w:rsid w:val="007E6F22"/>
    <w:rsid w:val="007E7BF9"/>
    <w:rsid w:val="007F02BC"/>
    <w:rsid w:val="007F0F48"/>
    <w:rsid w:val="007F1D17"/>
    <w:rsid w:val="007F1D77"/>
    <w:rsid w:val="007F2D6E"/>
    <w:rsid w:val="007F2E65"/>
    <w:rsid w:val="007F37F9"/>
    <w:rsid w:val="007F43BA"/>
    <w:rsid w:val="007F45D1"/>
    <w:rsid w:val="007F46F4"/>
    <w:rsid w:val="007F4A3D"/>
    <w:rsid w:val="007F4F16"/>
    <w:rsid w:val="007F58B0"/>
    <w:rsid w:val="007F64BE"/>
    <w:rsid w:val="007F6649"/>
    <w:rsid w:val="007F6DC3"/>
    <w:rsid w:val="007F6DF6"/>
    <w:rsid w:val="007F7132"/>
    <w:rsid w:val="007F72D9"/>
    <w:rsid w:val="00800620"/>
    <w:rsid w:val="008006B4"/>
    <w:rsid w:val="008015B6"/>
    <w:rsid w:val="00801B46"/>
    <w:rsid w:val="00801CB3"/>
    <w:rsid w:val="008024AD"/>
    <w:rsid w:val="00802600"/>
    <w:rsid w:val="00802CB3"/>
    <w:rsid w:val="00802DE0"/>
    <w:rsid w:val="00803B66"/>
    <w:rsid w:val="00803FD4"/>
    <w:rsid w:val="0080481C"/>
    <w:rsid w:val="00804C54"/>
    <w:rsid w:val="00805116"/>
    <w:rsid w:val="008056DD"/>
    <w:rsid w:val="008056E0"/>
    <w:rsid w:val="00805841"/>
    <w:rsid w:val="008059F1"/>
    <w:rsid w:val="0080683F"/>
    <w:rsid w:val="00806D05"/>
    <w:rsid w:val="00807D6A"/>
    <w:rsid w:val="0081104C"/>
    <w:rsid w:val="00812D16"/>
    <w:rsid w:val="0081411B"/>
    <w:rsid w:val="008142B6"/>
    <w:rsid w:val="0081432B"/>
    <w:rsid w:val="008144AD"/>
    <w:rsid w:val="008148D4"/>
    <w:rsid w:val="00815E7D"/>
    <w:rsid w:val="00816463"/>
    <w:rsid w:val="00816529"/>
    <w:rsid w:val="008168B2"/>
    <w:rsid w:val="00817928"/>
    <w:rsid w:val="00817CD7"/>
    <w:rsid w:val="00817D18"/>
    <w:rsid w:val="00821864"/>
    <w:rsid w:val="00821865"/>
    <w:rsid w:val="00821A81"/>
    <w:rsid w:val="00821E3D"/>
    <w:rsid w:val="008221CF"/>
    <w:rsid w:val="00822590"/>
    <w:rsid w:val="0082327D"/>
    <w:rsid w:val="00823609"/>
    <w:rsid w:val="0082433D"/>
    <w:rsid w:val="00824CB2"/>
    <w:rsid w:val="008255FB"/>
    <w:rsid w:val="00826509"/>
    <w:rsid w:val="0082703C"/>
    <w:rsid w:val="0082730F"/>
    <w:rsid w:val="0082777C"/>
    <w:rsid w:val="008277D5"/>
    <w:rsid w:val="00827F7B"/>
    <w:rsid w:val="00827F95"/>
    <w:rsid w:val="00827FC8"/>
    <w:rsid w:val="00830ACC"/>
    <w:rsid w:val="00830CE2"/>
    <w:rsid w:val="00830EFA"/>
    <w:rsid w:val="00831544"/>
    <w:rsid w:val="008318C0"/>
    <w:rsid w:val="00832026"/>
    <w:rsid w:val="008331A0"/>
    <w:rsid w:val="0083354D"/>
    <w:rsid w:val="00833B6A"/>
    <w:rsid w:val="008348CC"/>
    <w:rsid w:val="00834EA4"/>
    <w:rsid w:val="0083505F"/>
    <w:rsid w:val="0083561B"/>
    <w:rsid w:val="00836818"/>
    <w:rsid w:val="00837281"/>
    <w:rsid w:val="00837585"/>
    <w:rsid w:val="00837D78"/>
    <w:rsid w:val="00840D79"/>
    <w:rsid w:val="00841490"/>
    <w:rsid w:val="0084185C"/>
    <w:rsid w:val="00842916"/>
    <w:rsid w:val="00842A21"/>
    <w:rsid w:val="008431C2"/>
    <w:rsid w:val="008433D9"/>
    <w:rsid w:val="00843753"/>
    <w:rsid w:val="00843780"/>
    <w:rsid w:val="00844115"/>
    <w:rsid w:val="0084475F"/>
    <w:rsid w:val="0084479D"/>
    <w:rsid w:val="00844D94"/>
    <w:rsid w:val="00844F22"/>
    <w:rsid w:val="0084517D"/>
    <w:rsid w:val="0084532A"/>
    <w:rsid w:val="00845C6B"/>
    <w:rsid w:val="00845DAD"/>
    <w:rsid w:val="00846205"/>
    <w:rsid w:val="00846E42"/>
    <w:rsid w:val="00847D08"/>
    <w:rsid w:val="00850317"/>
    <w:rsid w:val="00850595"/>
    <w:rsid w:val="00850DCE"/>
    <w:rsid w:val="0085163C"/>
    <w:rsid w:val="00851C96"/>
    <w:rsid w:val="00851CB4"/>
    <w:rsid w:val="00852FAF"/>
    <w:rsid w:val="008531F0"/>
    <w:rsid w:val="00853C19"/>
    <w:rsid w:val="00854220"/>
    <w:rsid w:val="00854B2F"/>
    <w:rsid w:val="00855481"/>
    <w:rsid w:val="00855A19"/>
    <w:rsid w:val="00856354"/>
    <w:rsid w:val="008568E1"/>
    <w:rsid w:val="00856BE9"/>
    <w:rsid w:val="008570F0"/>
    <w:rsid w:val="008578F8"/>
    <w:rsid w:val="00860566"/>
    <w:rsid w:val="00860BC5"/>
    <w:rsid w:val="0086165C"/>
    <w:rsid w:val="00861B26"/>
    <w:rsid w:val="0086212B"/>
    <w:rsid w:val="00862674"/>
    <w:rsid w:val="008626F5"/>
    <w:rsid w:val="00862818"/>
    <w:rsid w:val="00862B78"/>
    <w:rsid w:val="00862EED"/>
    <w:rsid w:val="00863134"/>
    <w:rsid w:val="00863540"/>
    <w:rsid w:val="00863758"/>
    <w:rsid w:val="00863CEA"/>
    <w:rsid w:val="00863ED5"/>
    <w:rsid w:val="008640C9"/>
    <w:rsid w:val="008640D8"/>
    <w:rsid w:val="008640ED"/>
    <w:rsid w:val="008643FC"/>
    <w:rsid w:val="00864471"/>
    <w:rsid w:val="00864908"/>
    <w:rsid w:val="008649B9"/>
    <w:rsid w:val="0086556A"/>
    <w:rsid w:val="00865F9C"/>
    <w:rsid w:val="00866693"/>
    <w:rsid w:val="00867118"/>
    <w:rsid w:val="0086784F"/>
    <w:rsid w:val="00870346"/>
    <w:rsid w:val="00870394"/>
    <w:rsid w:val="008704C5"/>
    <w:rsid w:val="0087073B"/>
    <w:rsid w:val="0087093A"/>
    <w:rsid w:val="00870990"/>
    <w:rsid w:val="00871005"/>
    <w:rsid w:val="00871E14"/>
    <w:rsid w:val="0087206C"/>
    <w:rsid w:val="008724DC"/>
    <w:rsid w:val="0087308F"/>
    <w:rsid w:val="008739A2"/>
    <w:rsid w:val="00873B3F"/>
    <w:rsid w:val="00873B4F"/>
    <w:rsid w:val="008744EA"/>
    <w:rsid w:val="00874DE9"/>
    <w:rsid w:val="00874EDD"/>
    <w:rsid w:val="008756A7"/>
    <w:rsid w:val="00875DED"/>
    <w:rsid w:val="008766E4"/>
    <w:rsid w:val="008766FD"/>
    <w:rsid w:val="00876F99"/>
    <w:rsid w:val="008770D4"/>
    <w:rsid w:val="008800EB"/>
    <w:rsid w:val="0088127F"/>
    <w:rsid w:val="008815EF"/>
    <w:rsid w:val="0088239D"/>
    <w:rsid w:val="008824C6"/>
    <w:rsid w:val="00883032"/>
    <w:rsid w:val="00883496"/>
    <w:rsid w:val="00883F6C"/>
    <w:rsid w:val="0088431E"/>
    <w:rsid w:val="00885273"/>
    <w:rsid w:val="00885446"/>
    <w:rsid w:val="00885F2C"/>
    <w:rsid w:val="00886386"/>
    <w:rsid w:val="0088701C"/>
    <w:rsid w:val="0088728F"/>
    <w:rsid w:val="00887C2B"/>
    <w:rsid w:val="008902A5"/>
    <w:rsid w:val="00890467"/>
    <w:rsid w:val="00890590"/>
    <w:rsid w:val="00890EF8"/>
    <w:rsid w:val="008917ED"/>
    <w:rsid w:val="00891EBF"/>
    <w:rsid w:val="0089214A"/>
    <w:rsid w:val="008924B6"/>
    <w:rsid w:val="00892AA5"/>
    <w:rsid w:val="00892CC1"/>
    <w:rsid w:val="00893233"/>
    <w:rsid w:val="008935AC"/>
    <w:rsid w:val="00893BEC"/>
    <w:rsid w:val="0089433C"/>
    <w:rsid w:val="0089499B"/>
    <w:rsid w:val="00894ACA"/>
    <w:rsid w:val="00894EC5"/>
    <w:rsid w:val="00894EDE"/>
    <w:rsid w:val="0089613A"/>
    <w:rsid w:val="00896658"/>
    <w:rsid w:val="008967B5"/>
    <w:rsid w:val="00896EC7"/>
    <w:rsid w:val="00897024"/>
    <w:rsid w:val="008974F6"/>
    <w:rsid w:val="0089752B"/>
    <w:rsid w:val="00897C79"/>
    <w:rsid w:val="008A0103"/>
    <w:rsid w:val="008A03AC"/>
    <w:rsid w:val="008A053F"/>
    <w:rsid w:val="008A058E"/>
    <w:rsid w:val="008A06AB"/>
    <w:rsid w:val="008A08E7"/>
    <w:rsid w:val="008A0B96"/>
    <w:rsid w:val="008A1290"/>
    <w:rsid w:val="008A1783"/>
    <w:rsid w:val="008A19A5"/>
    <w:rsid w:val="008A2355"/>
    <w:rsid w:val="008A2F0A"/>
    <w:rsid w:val="008A345A"/>
    <w:rsid w:val="008A35C7"/>
    <w:rsid w:val="008A3DB9"/>
    <w:rsid w:val="008A3E4B"/>
    <w:rsid w:val="008A4B92"/>
    <w:rsid w:val="008A6309"/>
    <w:rsid w:val="008A67AB"/>
    <w:rsid w:val="008A6A5C"/>
    <w:rsid w:val="008A7316"/>
    <w:rsid w:val="008A7959"/>
    <w:rsid w:val="008A79F3"/>
    <w:rsid w:val="008B041F"/>
    <w:rsid w:val="008B0C9B"/>
    <w:rsid w:val="008B0ECA"/>
    <w:rsid w:val="008B13A1"/>
    <w:rsid w:val="008B2396"/>
    <w:rsid w:val="008B24DF"/>
    <w:rsid w:val="008B2AFA"/>
    <w:rsid w:val="008B308C"/>
    <w:rsid w:val="008B322A"/>
    <w:rsid w:val="008B3B71"/>
    <w:rsid w:val="008B46B3"/>
    <w:rsid w:val="008B4D0B"/>
    <w:rsid w:val="008B500A"/>
    <w:rsid w:val="008B7A18"/>
    <w:rsid w:val="008B7E25"/>
    <w:rsid w:val="008C06C0"/>
    <w:rsid w:val="008C1610"/>
    <w:rsid w:val="008C24DE"/>
    <w:rsid w:val="008C2951"/>
    <w:rsid w:val="008C2F1E"/>
    <w:rsid w:val="008C30E5"/>
    <w:rsid w:val="008C3484"/>
    <w:rsid w:val="008C3649"/>
    <w:rsid w:val="008C3B5B"/>
    <w:rsid w:val="008C3F8A"/>
    <w:rsid w:val="008C409F"/>
    <w:rsid w:val="008C4F13"/>
    <w:rsid w:val="008C4FEC"/>
    <w:rsid w:val="008C602D"/>
    <w:rsid w:val="008C6BB3"/>
    <w:rsid w:val="008C6BCC"/>
    <w:rsid w:val="008C749C"/>
    <w:rsid w:val="008D0530"/>
    <w:rsid w:val="008D098D"/>
    <w:rsid w:val="008D0BC2"/>
    <w:rsid w:val="008D0C13"/>
    <w:rsid w:val="008D135A"/>
    <w:rsid w:val="008D1D85"/>
    <w:rsid w:val="008D1FCA"/>
    <w:rsid w:val="008D2205"/>
    <w:rsid w:val="008D2331"/>
    <w:rsid w:val="008D2651"/>
    <w:rsid w:val="008D3691"/>
    <w:rsid w:val="008D36CD"/>
    <w:rsid w:val="008D375A"/>
    <w:rsid w:val="008D399E"/>
    <w:rsid w:val="008D4380"/>
    <w:rsid w:val="008D48D1"/>
    <w:rsid w:val="008D491E"/>
    <w:rsid w:val="008D564B"/>
    <w:rsid w:val="008D57E5"/>
    <w:rsid w:val="008D5D5C"/>
    <w:rsid w:val="008D5FAB"/>
    <w:rsid w:val="008D6810"/>
    <w:rsid w:val="008D6BE8"/>
    <w:rsid w:val="008D71C5"/>
    <w:rsid w:val="008D73C3"/>
    <w:rsid w:val="008D7D33"/>
    <w:rsid w:val="008E0EF1"/>
    <w:rsid w:val="008E2C15"/>
    <w:rsid w:val="008E36C8"/>
    <w:rsid w:val="008E3C76"/>
    <w:rsid w:val="008E3C99"/>
    <w:rsid w:val="008E474D"/>
    <w:rsid w:val="008E58C2"/>
    <w:rsid w:val="008E77DE"/>
    <w:rsid w:val="008E7B11"/>
    <w:rsid w:val="008F0393"/>
    <w:rsid w:val="008F05CB"/>
    <w:rsid w:val="008F0E1A"/>
    <w:rsid w:val="008F2C49"/>
    <w:rsid w:val="008F2F57"/>
    <w:rsid w:val="008F3379"/>
    <w:rsid w:val="008F36F0"/>
    <w:rsid w:val="008F3733"/>
    <w:rsid w:val="008F3DFD"/>
    <w:rsid w:val="008F4162"/>
    <w:rsid w:val="008F5005"/>
    <w:rsid w:val="008F5D8F"/>
    <w:rsid w:val="008F639D"/>
    <w:rsid w:val="008F63FD"/>
    <w:rsid w:val="008F6D98"/>
    <w:rsid w:val="008F7CFF"/>
    <w:rsid w:val="008F7ED1"/>
    <w:rsid w:val="00900311"/>
    <w:rsid w:val="00900379"/>
    <w:rsid w:val="00900CEB"/>
    <w:rsid w:val="00901C8D"/>
    <w:rsid w:val="00901E5C"/>
    <w:rsid w:val="00902A01"/>
    <w:rsid w:val="0090361B"/>
    <w:rsid w:val="00904665"/>
    <w:rsid w:val="00904A4D"/>
    <w:rsid w:val="00904F4E"/>
    <w:rsid w:val="00905EE9"/>
    <w:rsid w:val="00906151"/>
    <w:rsid w:val="009063A4"/>
    <w:rsid w:val="009065F4"/>
    <w:rsid w:val="00906FE2"/>
    <w:rsid w:val="009075A7"/>
    <w:rsid w:val="00907667"/>
    <w:rsid w:val="009076D3"/>
    <w:rsid w:val="00907FFA"/>
    <w:rsid w:val="00910FBA"/>
    <w:rsid w:val="00911A09"/>
    <w:rsid w:val="00911D39"/>
    <w:rsid w:val="00912189"/>
    <w:rsid w:val="00912B5C"/>
    <w:rsid w:val="00912B9F"/>
    <w:rsid w:val="0091330F"/>
    <w:rsid w:val="00913AE5"/>
    <w:rsid w:val="00913B41"/>
    <w:rsid w:val="00913CD1"/>
    <w:rsid w:val="00914D7E"/>
    <w:rsid w:val="00914DA2"/>
    <w:rsid w:val="00914EF8"/>
    <w:rsid w:val="00916010"/>
    <w:rsid w:val="0091646E"/>
    <w:rsid w:val="00917C0F"/>
    <w:rsid w:val="00917EA0"/>
    <w:rsid w:val="0092040E"/>
    <w:rsid w:val="00920C60"/>
    <w:rsid w:val="00920C6C"/>
    <w:rsid w:val="0092177A"/>
    <w:rsid w:val="00921A3E"/>
    <w:rsid w:val="00921BC7"/>
    <w:rsid w:val="00921C6D"/>
    <w:rsid w:val="009227D9"/>
    <w:rsid w:val="00923C44"/>
    <w:rsid w:val="009243F1"/>
    <w:rsid w:val="00926108"/>
    <w:rsid w:val="00926D39"/>
    <w:rsid w:val="00927600"/>
    <w:rsid w:val="00927791"/>
    <w:rsid w:val="009279FA"/>
    <w:rsid w:val="00930130"/>
    <w:rsid w:val="009302C4"/>
    <w:rsid w:val="00930398"/>
    <w:rsid w:val="00930607"/>
    <w:rsid w:val="00930D0A"/>
    <w:rsid w:val="00931194"/>
    <w:rsid w:val="00931C5D"/>
    <w:rsid w:val="00931C76"/>
    <w:rsid w:val="00932772"/>
    <w:rsid w:val="009329BA"/>
    <w:rsid w:val="00932CF0"/>
    <w:rsid w:val="0093304D"/>
    <w:rsid w:val="009330A0"/>
    <w:rsid w:val="009331F1"/>
    <w:rsid w:val="009332FC"/>
    <w:rsid w:val="00933508"/>
    <w:rsid w:val="00933C5C"/>
    <w:rsid w:val="00934327"/>
    <w:rsid w:val="009346D7"/>
    <w:rsid w:val="00934835"/>
    <w:rsid w:val="00934F7D"/>
    <w:rsid w:val="00935896"/>
    <w:rsid w:val="00936939"/>
    <w:rsid w:val="0093716C"/>
    <w:rsid w:val="009374ED"/>
    <w:rsid w:val="00937CEB"/>
    <w:rsid w:val="009402C4"/>
    <w:rsid w:val="0094053B"/>
    <w:rsid w:val="009406DA"/>
    <w:rsid w:val="00941734"/>
    <w:rsid w:val="00941D9A"/>
    <w:rsid w:val="00942040"/>
    <w:rsid w:val="009421CA"/>
    <w:rsid w:val="00942C1A"/>
    <w:rsid w:val="00942C9F"/>
    <w:rsid w:val="00942FDF"/>
    <w:rsid w:val="0094349A"/>
    <w:rsid w:val="00943A56"/>
    <w:rsid w:val="00944587"/>
    <w:rsid w:val="00944CB8"/>
    <w:rsid w:val="00945214"/>
    <w:rsid w:val="00945631"/>
    <w:rsid w:val="00945859"/>
    <w:rsid w:val="0094591E"/>
    <w:rsid w:val="00947549"/>
    <w:rsid w:val="00947690"/>
    <w:rsid w:val="00947764"/>
    <w:rsid w:val="0095009C"/>
    <w:rsid w:val="009504D8"/>
    <w:rsid w:val="009516E5"/>
    <w:rsid w:val="009520C0"/>
    <w:rsid w:val="009528AE"/>
    <w:rsid w:val="00952A56"/>
    <w:rsid w:val="009537D8"/>
    <w:rsid w:val="00953F93"/>
    <w:rsid w:val="0095418B"/>
    <w:rsid w:val="009548CC"/>
    <w:rsid w:val="00955B79"/>
    <w:rsid w:val="00956C0D"/>
    <w:rsid w:val="0095793C"/>
    <w:rsid w:val="0095797A"/>
    <w:rsid w:val="009600DA"/>
    <w:rsid w:val="00960365"/>
    <w:rsid w:val="00960C14"/>
    <w:rsid w:val="0096111E"/>
    <w:rsid w:val="00961125"/>
    <w:rsid w:val="00962094"/>
    <w:rsid w:val="00962228"/>
    <w:rsid w:val="00962FBD"/>
    <w:rsid w:val="009631E6"/>
    <w:rsid w:val="00963362"/>
    <w:rsid w:val="00963571"/>
    <w:rsid w:val="0096375F"/>
    <w:rsid w:val="009639E0"/>
    <w:rsid w:val="00963BD1"/>
    <w:rsid w:val="00965572"/>
    <w:rsid w:val="00966B1F"/>
    <w:rsid w:val="00967075"/>
    <w:rsid w:val="00967529"/>
    <w:rsid w:val="00967582"/>
    <w:rsid w:val="00967F99"/>
    <w:rsid w:val="0097116E"/>
    <w:rsid w:val="00971B16"/>
    <w:rsid w:val="00972B9F"/>
    <w:rsid w:val="009733E4"/>
    <w:rsid w:val="0097385D"/>
    <w:rsid w:val="009739C4"/>
    <w:rsid w:val="00974518"/>
    <w:rsid w:val="00974899"/>
    <w:rsid w:val="0097557C"/>
    <w:rsid w:val="00975A8C"/>
    <w:rsid w:val="00975AFC"/>
    <w:rsid w:val="0097770D"/>
    <w:rsid w:val="00977D66"/>
    <w:rsid w:val="00977E6C"/>
    <w:rsid w:val="009809E3"/>
    <w:rsid w:val="00980FE0"/>
    <w:rsid w:val="00981734"/>
    <w:rsid w:val="00981826"/>
    <w:rsid w:val="0098205D"/>
    <w:rsid w:val="00982134"/>
    <w:rsid w:val="0098267C"/>
    <w:rsid w:val="00982E4D"/>
    <w:rsid w:val="0098368A"/>
    <w:rsid w:val="009836B7"/>
    <w:rsid w:val="00984658"/>
    <w:rsid w:val="009849D0"/>
    <w:rsid w:val="00986A26"/>
    <w:rsid w:val="0098714D"/>
    <w:rsid w:val="00987844"/>
    <w:rsid w:val="0098793A"/>
    <w:rsid w:val="00987F77"/>
    <w:rsid w:val="00990C3B"/>
    <w:rsid w:val="00990C6D"/>
    <w:rsid w:val="00990D8F"/>
    <w:rsid w:val="009918A3"/>
    <w:rsid w:val="00991B4B"/>
    <w:rsid w:val="00991EA0"/>
    <w:rsid w:val="009928B7"/>
    <w:rsid w:val="0099321A"/>
    <w:rsid w:val="009935DD"/>
    <w:rsid w:val="00993919"/>
    <w:rsid w:val="00993A6A"/>
    <w:rsid w:val="00993FC3"/>
    <w:rsid w:val="009953D7"/>
    <w:rsid w:val="0099571E"/>
    <w:rsid w:val="00995CE8"/>
    <w:rsid w:val="009960B7"/>
    <w:rsid w:val="00996CF2"/>
    <w:rsid w:val="009972FE"/>
    <w:rsid w:val="00997A87"/>
    <w:rsid w:val="009A02D4"/>
    <w:rsid w:val="009A04B2"/>
    <w:rsid w:val="009A06C9"/>
    <w:rsid w:val="009A0879"/>
    <w:rsid w:val="009A0E3C"/>
    <w:rsid w:val="009A0F20"/>
    <w:rsid w:val="009A1412"/>
    <w:rsid w:val="009A1649"/>
    <w:rsid w:val="009A1C3F"/>
    <w:rsid w:val="009A21FA"/>
    <w:rsid w:val="009A557F"/>
    <w:rsid w:val="009A7B81"/>
    <w:rsid w:val="009A7DA9"/>
    <w:rsid w:val="009B0E1F"/>
    <w:rsid w:val="009B1065"/>
    <w:rsid w:val="009B14C8"/>
    <w:rsid w:val="009B171C"/>
    <w:rsid w:val="009B1963"/>
    <w:rsid w:val="009B1CB7"/>
    <w:rsid w:val="009B22BB"/>
    <w:rsid w:val="009B3386"/>
    <w:rsid w:val="009B37E8"/>
    <w:rsid w:val="009B4054"/>
    <w:rsid w:val="009B4943"/>
    <w:rsid w:val="009B4A51"/>
    <w:rsid w:val="009B5335"/>
    <w:rsid w:val="009B536C"/>
    <w:rsid w:val="009B5783"/>
    <w:rsid w:val="009B5B9C"/>
    <w:rsid w:val="009B6496"/>
    <w:rsid w:val="009B6811"/>
    <w:rsid w:val="009B6CC9"/>
    <w:rsid w:val="009B6F12"/>
    <w:rsid w:val="009B7706"/>
    <w:rsid w:val="009B7AE0"/>
    <w:rsid w:val="009C01DA"/>
    <w:rsid w:val="009C086D"/>
    <w:rsid w:val="009C0EDB"/>
    <w:rsid w:val="009C1528"/>
    <w:rsid w:val="009C20CC"/>
    <w:rsid w:val="009C3558"/>
    <w:rsid w:val="009C4258"/>
    <w:rsid w:val="009C4758"/>
    <w:rsid w:val="009C4A5A"/>
    <w:rsid w:val="009C4A6B"/>
    <w:rsid w:val="009C5261"/>
    <w:rsid w:val="009C562E"/>
    <w:rsid w:val="009C6A38"/>
    <w:rsid w:val="009C730B"/>
    <w:rsid w:val="009C7496"/>
    <w:rsid w:val="009C7531"/>
    <w:rsid w:val="009C7744"/>
    <w:rsid w:val="009D02D5"/>
    <w:rsid w:val="009D0E5D"/>
    <w:rsid w:val="009D10AC"/>
    <w:rsid w:val="009D161F"/>
    <w:rsid w:val="009D1A2A"/>
    <w:rsid w:val="009D1C04"/>
    <w:rsid w:val="009D220C"/>
    <w:rsid w:val="009D221F"/>
    <w:rsid w:val="009D23F2"/>
    <w:rsid w:val="009D2D21"/>
    <w:rsid w:val="009D3033"/>
    <w:rsid w:val="009D3396"/>
    <w:rsid w:val="009D37E5"/>
    <w:rsid w:val="009D383E"/>
    <w:rsid w:val="009D5157"/>
    <w:rsid w:val="009D53C2"/>
    <w:rsid w:val="009D5448"/>
    <w:rsid w:val="009D642B"/>
    <w:rsid w:val="009D64E4"/>
    <w:rsid w:val="009D6BE3"/>
    <w:rsid w:val="009D6D4A"/>
    <w:rsid w:val="009D6E80"/>
    <w:rsid w:val="009D77F5"/>
    <w:rsid w:val="009E014F"/>
    <w:rsid w:val="009E09F0"/>
    <w:rsid w:val="009E0AEC"/>
    <w:rsid w:val="009E0CC1"/>
    <w:rsid w:val="009E104E"/>
    <w:rsid w:val="009E19E8"/>
    <w:rsid w:val="009E2A09"/>
    <w:rsid w:val="009E2C4A"/>
    <w:rsid w:val="009E2DF2"/>
    <w:rsid w:val="009E377C"/>
    <w:rsid w:val="009E411C"/>
    <w:rsid w:val="009E458A"/>
    <w:rsid w:val="009E4BBB"/>
    <w:rsid w:val="009E5316"/>
    <w:rsid w:val="009E5532"/>
    <w:rsid w:val="009E5615"/>
    <w:rsid w:val="009E5D7C"/>
    <w:rsid w:val="009E5DD3"/>
    <w:rsid w:val="009E5DFC"/>
    <w:rsid w:val="009E6638"/>
    <w:rsid w:val="009E6780"/>
    <w:rsid w:val="009E6D4B"/>
    <w:rsid w:val="009E709D"/>
    <w:rsid w:val="009E778A"/>
    <w:rsid w:val="009E7EB5"/>
    <w:rsid w:val="009F0269"/>
    <w:rsid w:val="009F0A47"/>
    <w:rsid w:val="009F0BCE"/>
    <w:rsid w:val="009F0FE4"/>
    <w:rsid w:val="009F1707"/>
    <w:rsid w:val="009F1789"/>
    <w:rsid w:val="009F1941"/>
    <w:rsid w:val="009F1B8C"/>
    <w:rsid w:val="009F2161"/>
    <w:rsid w:val="009F23C8"/>
    <w:rsid w:val="009F2858"/>
    <w:rsid w:val="009F2E3B"/>
    <w:rsid w:val="009F3169"/>
    <w:rsid w:val="009F33FA"/>
    <w:rsid w:val="009F36D2"/>
    <w:rsid w:val="009F3B6B"/>
    <w:rsid w:val="009F4504"/>
    <w:rsid w:val="009F47CB"/>
    <w:rsid w:val="009F4CDB"/>
    <w:rsid w:val="009F4E3E"/>
    <w:rsid w:val="009F502C"/>
    <w:rsid w:val="009F603B"/>
    <w:rsid w:val="009F6987"/>
    <w:rsid w:val="009F6CA3"/>
    <w:rsid w:val="009F720F"/>
    <w:rsid w:val="009F7498"/>
    <w:rsid w:val="009F74FC"/>
    <w:rsid w:val="00A00290"/>
    <w:rsid w:val="00A005B1"/>
    <w:rsid w:val="00A006B5"/>
    <w:rsid w:val="00A00ADE"/>
    <w:rsid w:val="00A010E7"/>
    <w:rsid w:val="00A012ED"/>
    <w:rsid w:val="00A0176B"/>
    <w:rsid w:val="00A019AC"/>
    <w:rsid w:val="00A01A17"/>
    <w:rsid w:val="00A01A60"/>
    <w:rsid w:val="00A01ECF"/>
    <w:rsid w:val="00A0348D"/>
    <w:rsid w:val="00A03554"/>
    <w:rsid w:val="00A03CB1"/>
    <w:rsid w:val="00A0468C"/>
    <w:rsid w:val="00A049B9"/>
    <w:rsid w:val="00A05602"/>
    <w:rsid w:val="00A0601A"/>
    <w:rsid w:val="00A0736E"/>
    <w:rsid w:val="00A076F9"/>
    <w:rsid w:val="00A07997"/>
    <w:rsid w:val="00A07F87"/>
    <w:rsid w:val="00A07FCF"/>
    <w:rsid w:val="00A103C3"/>
    <w:rsid w:val="00A10617"/>
    <w:rsid w:val="00A11A8D"/>
    <w:rsid w:val="00A12076"/>
    <w:rsid w:val="00A1279C"/>
    <w:rsid w:val="00A12AB4"/>
    <w:rsid w:val="00A1413A"/>
    <w:rsid w:val="00A141D3"/>
    <w:rsid w:val="00A14268"/>
    <w:rsid w:val="00A14B6F"/>
    <w:rsid w:val="00A14E2E"/>
    <w:rsid w:val="00A15B80"/>
    <w:rsid w:val="00A16178"/>
    <w:rsid w:val="00A16454"/>
    <w:rsid w:val="00A1707B"/>
    <w:rsid w:val="00A17391"/>
    <w:rsid w:val="00A17E02"/>
    <w:rsid w:val="00A20237"/>
    <w:rsid w:val="00A202A1"/>
    <w:rsid w:val="00A20682"/>
    <w:rsid w:val="00A206ED"/>
    <w:rsid w:val="00A20806"/>
    <w:rsid w:val="00A20C7F"/>
    <w:rsid w:val="00A212C3"/>
    <w:rsid w:val="00A214AE"/>
    <w:rsid w:val="00A21790"/>
    <w:rsid w:val="00A21EC4"/>
    <w:rsid w:val="00A22DBA"/>
    <w:rsid w:val="00A230DB"/>
    <w:rsid w:val="00A23D56"/>
    <w:rsid w:val="00A242B5"/>
    <w:rsid w:val="00A24384"/>
    <w:rsid w:val="00A2440E"/>
    <w:rsid w:val="00A251F0"/>
    <w:rsid w:val="00A25BFF"/>
    <w:rsid w:val="00A25CF7"/>
    <w:rsid w:val="00A26EED"/>
    <w:rsid w:val="00A27522"/>
    <w:rsid w:val="00A2774D"/>
    <w:rsid w:val="00A27C74"/>
    <w:rsid w:val="00A27CB7"/>
    <w:rsid w:val="00A311EA"/>
    <w:rsid w:val="00A3124B"/>
    <w:rsid w:val="00A3124D"/>
    <w:rsid w:val="00A316D4"/>
    <w:rsid w:val="00A318C2"/>
    <w:rsid w:val="00A32562"/>
    <w:rsid w:val="00A33543"/>
    <w:rsid w:val="00A34D0C"/>
    <w:rsid w:val="00A34D76"/>
    <w:rsid w:val="00A3528B"/>
    <w:rsid w:val="00A365D0"/>
    <w:rsid w:val="00A36BF8"/>
    <w:rsid w:val="00A376B6"/>
    <w:rsid w:val="00A37EDB"/>
    <w:rsid w:val="00A402B8"/>
    <w:rsid w:val="00A40E00"/>
    <w:rsid w:val="00A41AE3"/>
    <w:rsid w:val="00A41D10"/>
    <w:rsid w:val="00A42CE9"/>
    <w:rsid w:val="00A43D74"/>
    <w:rsid w:val="00A443A6"/>
    <w:rsid w:val="00A44515"/>
    <w:rsid w:val="00A45A1A"/>
    <w:rsid w:val="00A45C70"/>
    <w:rsid w:val="00A45DC8"/>
    <w:rsid w:val="00A45E61"/>
    <w:rsid w:val="00A45EC9"/>
    <w:rsid w:val="00A4622E"/>
    <w:rsid w:val="00A46E9F"/>
    <w:rsid w:val="00A4794A"/>
    <w:rsid w:val="00A47A92"/>
    <w:rsid w:val="00A47DE9"/>
    <w:rsid w:val="00A47E6F"/>
    <w:rsid w:val="00A47F32"/>
    <w:rsid w:val="00A50A19"/>
    <w:rsid w:val="00A50F77"/>
    <w:rsid w:val="00A51CDA"/>
    <w:rsid w:val="00A51F42"/>
    <w:rsid w:val="00A53220"/>
    <w:rsid w:val="00A533B3"/>
    <w:rsid w:val="00A538E6"/>
    <w:rsid w:val="00A53BD9"/>
    <w:rsid w:val="00A53CB2"/>
    <w:rsid w:val="00A53D70"/>
    <w:rsid w:val="00A53EAA"/>
    <w:rsid w:val="00A54333"/>
    <w:rsid w:val="00A54E64"/>
    <w:rsid w:val="00A56102"/>
    <w:rsid w:val="00A56800"/>
    <w:rsid w:val="00A56A26"/>
    <w:rsid w:val="00A56D19"/>
    <w:rsid w:val="00A56D7E"/>
    <w:rsid w:val="00A57404"/>
    <w:rsid w:val="00A575BD"/>
    <w:rsid w:val="00A57620"/>
    <w:rsid w:val="00A57D25"/>
    <w:rsid w:val="00A57E6B"/>
    <w:rsid w:val="00A600B1"/>
    <w:rsid w:val="00A6086D"/>
    <w:rsid w:val="00A608EE"/>
    <w:rsid w:val="00A60EEC"/>
    <w:rsid w:val="00A6270C"/>
    <w:rsid w:val="00A63401"/>
    <w:rsid w:val="00A63405"/>
    <w:rsid w:val="00A6372C"/>
    <w:rsid w:val="00A63732"/>
    <w:rsid w:val="00A63737"/>
    <w:rsid w:val="00A65237"/>
    <w:rsid w:val="00A652B8"/>
    <w:rsid w:val="00A65BD9"/>
    <w:rsid w:val="00A66290"/>
    <w:rsid w:val="00A66718"/>
    <w:rsid w:val="00A66B97"/>
    <w:rsid w:val="00A675E4"/>
    <w:rsid w:val="00A704E1"/>
    <w:rsid w:val="00A709B0"/>
    <w:rsid w:val="00A70B31"/>
    <w:rsid w:val="00A71247"/>
    <w:rsid w:val="00A71E3A"/>
    <w:rsid w:val="00A7271B"/>
    <w:rsid w:val="00A72F00"/>
    <w:rsid w:val="00A72F7E"/>
    <w:rsid w:val="00A73876"/>
    <w:rsid w:val="00A73A74"/>
    <w:rsid w:val="00A7419D"/>
    <w:rsid w:val="00A742C6"/>
    <w:rsid w:val="00A759FE"/>
    <w:rsid w:val="00A75E0E"/>
    <w:rsid w:val="00A7644C"/>
    <w:rsid w:val="00A76A69"/>
    <w:rsid w:val="00A76B32"/>
    <w:rsid w:val="00A76B71"/>
    <w:rsid w:val="00A76D67"/>
    <w:rsid w:val="00A77077"/>
    <w:rsid w:val="00A776B8"/>
    <w:rsid w:val="00A77B07"/>
    <w:rsid w:val="00A77C1F"/>
    <w:rsid w:val="00A80C1B"/>
    <w:rsid w:val="00A80DC3"/>
    <w:rsid w:val="00A81E09"/>
    <w:rsid w:val="00A81EB6"/>
    <w:rsid w:val="00A82AB2"/>
    <w:rsid w:val="00A83121"/>
    <w:rsid w:val="00A8329B"/>
    <w:rsid w:val="00A837FE"/>
    <w:rsid w:val="00A84218"/>
    <w:rsid w:val="00A846CB"/>
    <w:rsid w:val="00A846E7"/>
    <w:rsid w:val="00A84FCD"/>
    <w:rsid w:val="00A85357"/>
    <w:rsid w:val="00A85706"/>
    <w:rsid w:val="00A85810"/>
    <w:rsid w:val="00A85B8B"/>
    <w:rsid w:val="00A85FC9"/>
    <w:rsid w:val="00A86C1E"/>
    <w:rsid w:val="00A86F24"/>
    <w:rsid w:val="00A87665"/>
    <w:rsid w:val="00A87773"/>
    <w:rsid w:val="00A87DA6"/>
    <w:rsid w:val="00A87DCC"/>
    <w:rsid w:val="00A902DD"/>
    <w:rsid w:val="00A90A98"/>
    <w:rsid w:val="00A90D44"/>
    <w:rsid w:val="00A91617"/>
    <w:rsid w:val="00A9196D"/>
    <w:rsid w:val="00A94224"/>
    <w:rsid w:val="00A94858"/>
    <w:rsid w:val="00A9535D"/>
    <w:rsid w:val="00A957B3"/>
    <w:rsid w:val="00A95DCE"/>
    <w:rsid w:val="00A963C0"/>
    <w:rsid w:val="00A96550"/>
    <w:rsid w:val="00A968E1"/>
    <w:rsid w:val="00A96FA8"/>
    <w:rsid w:val="00A97178"/>
    <w:rsid w:val="00A97652"/>
    <w:rsid w:val="00A9770A"/>
    <w:rsid w:val="00A97A75"/>
    <w:rsid w:val="00AA0150"/>
    <w:rsid w:val="00AA0A43"/>
    <w:rsid w:val="00AA0DD3"/>
    <w:rsid w:val="00AA104F"/>
    <w:rsid w:val="00AA1BF9"/>
    <w:rsid w:val="00AA1C07"/>
    <w:rsid w:val="00AA200F"/>
    <w:rsid w:val="00AA202F"/>
    <w:rsid w:val="00AA2A7B"/>
    <w:rsid w:val="00AA3688"/>
    <w:rsid w:val="00AA4908"/>
    <w:rsid w:val="00AA4F06"/>
    <w:rsid w:val="00AA5664"/>
    <w:rsid w:val="00AA5887"/>
    <w:rsid w:val="00AB0004"/>
    <w:rsid w:val="00AB0544"/>
    <w:rsid w:val="00AB0AD1"/>
    <w:rsid w:val="00AB0DE9"/>
    <w:rsid w:val="00AB0EA3"/>
    <w:rsid w:val="00AB1160"/>
    <w:rsid w:val="00AB19F8"/>
    <w:rsid w:val="00AB2069"/>
    <w:rsid w:val="00AB29FF"/>
    <w:rsid w:val="00AB2A61"/>
    <w:rsid w:val="00AB31DB"/>
    <w:rsid w:val="00AB377E"/>
    <w:rsid w:val="00AB390A"/>
    <w:rsid w:val="00AB3A12"/>
    <w:rsid w:val="00AB4CB0"/>
    <w:rsid w:val="00AB4E11"/>
    <w:rsid w:val="00AB572C"/>
    <w:rsid w:val="00AB5A8D"/>
    <w:rsid w:val="00AB6642"/>
    <w:rsid w:val="00AB79D9"/>
    <w:rsid w:val="00AB7BB4"/>
    <w:rsid w:val="00AB7E43"/>
    <w:rsid w:val="00AC262B"/>
    <w:rsid w:val="00AC2EFE"/>
    <w:rsid w:val="00AC34E8"/>
    <w:rsid w:val="00AC3930"/>
    <w:rsid w:val="00AC3AB1"/>
    <w:rsid w:val="00AC3C2F"/>
    <w:rsid w:val="00AC3C93"/>
    <w:rsid w:val="00AC418E"/>
    <w:rsid w:val="00AC4CA7"/>
    <w:rsid w:val="00AC4FE8"/>
    <w:rsid w:val="00AC59D7"/>
    <w:rsid w:val="00AC5C3F"/>
    <w:rsid w:val="00AC65DB"/>
    <w:rsid w:val="00AC68C6"/>
    <w:rsid w:val="00AC6916"/>
    <w:rsid w:val="00AC6917"/>
    <w:rsid w:val="00AC6993"/>
    <w:rsid w:val="00AC69CE"/>
    <w:rsid w:val="00AC7373"/>
    <w:rsid w:val="00AC79C1"/>
    <w:rsid w:val="00AC7CA4"/>
    <w:rsid w:val="00AD0098"/>
    <w:rsid w:val="00AD02AF"/>
    <w:rsid w:val="00AD0D4A"/>
    <w:rsid w:val="00AD12F0"/>
    <w:rsid w:val="00AD13BF"/>
    <w:rsid w:val="00AD14C7"/>
    <w:rsid w:val="00AD15A4"/>
    <w:rsid w:val="00AD1D67"/>
    <w:rsid w:val="00AD2088"/>
    <w:rsid w:val="00AD25AB"/>
    <w:rsid w:val="00AD27E6"/>
    <w:rsid w:val="00AD2BAC"/>
    <w:rsid w:val="00AD3463"/>
    <w:rsid w:val="00AD4A64"/>
    <w:rsid w:val="00AD52F5"/>
    <w:rsid w:val="00AD598F"/>
    <w:rsid w:val="00AD5BB2"/>
    <w:rsid w:val="00AD6134"/>
    <w:rsid w:val="00AD620A"/>
    <w:rsid w:val="00AD6236"/>
    <w:rsid w:val="00AD63B1"/>
    <w:rsid w:val="00AD6D09"/>
    <w:rsid w:val="00AD71CC"/>
    <w:rsid w:val="00AD788C"/>
    <w:rsid w:val="00AE0260"/>
    <w:rsid w:val="00AE029B"/>
    <w:rsid w:val="00AE0390"/>
    <w:rsid w:val="00AE07DA"/>
    <w:rsid w:val="00AE098E"/>
    <w:rsid w:val="00AE0BBA"/>
    <w:rsid w:val="00AE0C0D"/>
    <w:rsid w:val="00AE0DAE"/>
    <w:rsid w:val="00AE1ABD"/>
    <w:rsid w:val="00AE1BEE"/>
    <w:rsid w:val="00AE1C1A"/>
    <w:rsid w:val="00AE2291"/>
    <w:rsid w:val="00AE25C8"/>
    <w:rsid w:val="00AE2F58"/>
    <w:rsid w:val="00AE3521"/>
    <w:rsid w:val="00AE3882"/>
    <w:rsid w:val="00AE4113"/>
    <w:rsid w:val="00AE4380"/>
    <w:rsid w:val="00AE5525"/>
    <w:rsid w:val="00AE56FE"/>
    <w:rsid w:val="00AE5F57"/>
    <w:rsid w:val="00AE6381"/>
    <w:rsid w:val="00AE656F"/>
    <w:rsid w:val="00AE6A28"/>
    <w:rsid w:val="00AE6B25"/>
    <w:rsid w:val="00AE7015"/>
    <w:rsid w:val="00AE73B9"/>
    <w:rsid w:val="00AE7D78"/>
    <w:rsid w:val="00AF0C69"/>
    <w:rsid w:val="00AF15BE"/>
    <w:rsid w:val="00AF1A85"/>
    <w:rsid w:val="00AF1BEF"/>
    <w:rsid w:val="00AF204A"/>
    <w:rsid w:val="00AF2D1F"/>
    <w:rsid w:val="00AF2DC8"/>
    <w:rsid w:val="00AF31BD"/>
    <w:rsid w:val="00AF403E"/>
    <w:rsid w:val="00AF41F6"/>
    <w:rsid w:val="00AF438E"/>
    <w:rsid w:val="00AF45CA"/>
    <w:rsid w:val="00AF4D3B"/>
    <w:rsid w:val="00AF5CEE"/>
    <w:rsid w:val="00AF5CF4"/>
    <w:rsid w:val="00AF5F71"/>
    <w:rsid w:val="00AF63E2"/>
    <w:rsid w:val="00AF65CB"/>
    <w:rsid w:val="00AF7506"/>
    <w:rsid w:val="00AF7EAB"/>
    <w:rsid w:val="00AF7F30"/>
    <w:rsid w:val="00B0028F"/>
    <w:rsid w:val="00B00367"/>
    <w:rsid w:val="00B007DD"/>
    <w:rsid w:val="00B0084B"/>
    <w:rsid w:val="00B0098A"/>
    <w:rsid w:val="00B00B2A"/>
    <w:rsid w:val="00B01016"/>
    <w:rsid w:val="00B0146E"/>
    <w:rsid w:val="00B02160"/>
    <w:rsid w:val="00B027CB"/>
    <w:rsid w:val="00B0352B"/>
    <w:rsid w:val="00B04F7B"/>
    <w:rsid w:val="00B05537"/>
    <w:rsid w:val="00B05D15"/>
    <w:rsid w:val="00B06609"/>
    <w:rsid w:val="00B067F3"/>
    <w:rsid w:val="00B073E6"/>
    <w:rsid w:val="00B07455"/>
    <w:rsid w:val="00B074F8"/>
    <w:rsid w:val="00B0779F"/>
    <w:rsid w:val="00B10086"/>
    <w:rsid w:val="00B121B0"/>
    <w:rsid w:val="00B1293F"/>
    <w:rsid w:val="00B13AB0"/>
    <w:rsid w:val="00B141E4"/>
    <w:rsid w:val="00B14360"/>
    <w:rsid w:val="00B156E0"/>
    <w:rsid w:val="00B159D6"/>
    <w:rsid w:val="00B167C0"/>
    <w:rsid w:val="00B1752B"/>
    <w:rsid w:val="00B17553"/>
    <w:rsid w:val="00B1798C"/>
    <w:rsid w:val="00B17B0A"/>
    <w:rsid w:val="00B17FAB"/>
    <w:rsid w:val="00B208DF"/>
    <w:rsid w:val="00B219BB"/>
    <w:rsid w:val="00B21F3E"/>
    <w:rsid w:val="00B220E3"/>
    <w:rsid w:val="00B2238F"/>
    <w:rsid w:val="00B22C5F"/>
    <w:rsid w:val="00B2303F"/>
    <w:rsid w:val="00B230E2"/>
    <w:rsid w:val="00B23687"/>
    <w:rsid w:val="00B23B9C"/>
    <w:rsid w:val="00B247A5"/>
    <w:rsid w:val="00B24903"/>
    <w:rsid w:val="00B24FA6"/>
    <w:rsid w:val="00B25710"/>
    <w:rsid w:val="00B257E6"/>
    <w:rsid w:val="00B25F43"/>
    <w:rsid w:val="00B26073"/>
    <w:rsid w:val="00B26295"/>
    <w:rsid w:val="00B27B03"/>
    <w:rsid w:val="00B302F5"/>
    <w:rsid w:val="00B305AF"/>
    <w:rsid w:val="00B315F9"/>
    <w:rsid w:val="00B31A40"/>
    <w:rsid w:val="00B31B62"/>
    <w:rsid w:val="00B31F61"/>
    <w:rsid w:val="00B32A2B"/>
    <w:rsid w:val="00B32AC7"/>
    <w:rsid w:val="00B33274"/>
    <w:rsid w:val="00B3332A"/>
    <w:rsid w:val="00B334EA"/>
    <w:rsid w:val="00B33711"/>
    <w:rsid w:val="00B33B6A"/>
    <w:rsid w:val="00B34889"/>
    <w:rsid w:val="00B36061"/>
    <w:rsid w:val="00B37550"/>
    <w:rsid w:val="00B37A51"/>
    <w:rsid w:val="00B402C6"/>
    <w:rsid w:val="00B402CA"/>
    <w:rsid w:val="00B4112B"/>
    <w:rsid w:val="00B41AB8"/>
    <w:rsid w:val="00B41B34"/>
    <w:rsid w:val="00B41CCB"/>
    <w:rsid w:val="00B41DC1"/>
    <w:rsid w:val="00B43006"/>
    <w:rsid w:val="00B432FE"/>
    <w:rsid w:val="00B4334E"/>
    <w:rsid w:val="00B43EB1"/>
    <w:rsid w:val="00B44A0F"/>
    <w:rsid w:val="00B44BE4"/>
    <w:rsid w:val="00B44EDE"/>
    <w:rsid w:val="00B45503"/>
    <w:rsid w:val="00B45941"/>
    <w:rsid w:val="00B45971"/>
    <w:rsid w:val="00B45C4E"/>
    <w:rsid w:val="00B4610A"/>
    <w:rsid w:val="00B46EC7"/>
    <w:rsid w:val="00B46FB3"/>
    <w:rsid w:val="00B47DBE"/>
    <w:rsid w:val="00B500DB"/>
    <w:rsid w:val="00B503E9"/>
    <w:rsid w:val="00B50A91"/>
    <w:rsid w:val="00B50B9F"/>
    <w:rsid w:val="00B51693"/>
    <w:rsid w:val="00B51761"/>
    <w:rsid w:val="00B51D43"/>
    <w:rsid w:val="00B52022"/>
    <w:rsid w:val="00B520E6"/>
    <w:rsid w:val="00B52187"/>
    <w:rsid w:val="00B53814"/>
    <w:rsid w:val="00B54540"/>
    <w:rsid w:val="00B545B3"/>
    <w:rsid w:val="00B54691"/>
    <w:rsid w:val="00B5529F"/>
    <w:rsid w:val="00B555EB"/>
    <w:rsid w:val="00B56223"/>
    <w:rsid w:val="00B56297"/>
    <w:rsid w:val="00B56E15"/>
    <w:rsid w:val="00B60CCD"/>
    <w:rsid w:val="00B60E03"/>
    <w:rsid w:val="00B6109C"/>
    <w:rsid w:val="00B62648"/>
    <w:rsid w:val="00B6268D"/>
    <w:rsid w:val="00B62854"/>
    <w:rsid w:val="00B6292F"/>
    <w:rsid w:val="00B62EF1"/>
    <w:rsid w:val="00B63497"/>
    <w:rsid w:val="00B63DDD"/>
    <w:rsid w:val="00B640CC"/>
    <w:rsid w:val="00B645B6"/>
    <w:rsid w:val="00B64B2F"/>
    <w:rsid w:val="00B65312"/>
    <w:rsid w:val="00B655D5"/>
    <w:rsid w:val="00B66219"/>
    <w:rsid w:val="00B662C6"/>
    <w:rsid w:val="00B667BF"/>
    <w:rsid w:val="00B67056"/>
    <w:rsid w:val="00B67679"/>
    <w:rsid w:val="00B6797D"/>
    <w:rsid w:val="00B67D94"/>
    <w:rsid w:val="00B71982"/>
    <w:rsid w:val="00B719F9"/>
    <w:rsid w:val="00B725DA"/>
    <w:rsid w:val="00B730B8"/>
    <w:rsid w:val="00B735B8"/>
    <w:rsid w:val="00B7395C"/>
    <w:rsid w:val="00B73C7E"/>
    <w:rsid w:val="00B74000"/>
    <w:rsid w:val="00B74858"/>
    <w:rsid w:val="00B748FA"/>
    <w:rsid w:val="00B74A66"/>
    <w:rsid w:val="00B7500E"/>
    <w:rsid w:val="00B752EB"/>
    <w:rsid w:val="00B75FC3"/>
    <w:rsid w:val="00B7729E"/>
    <w:rsid w:val="00B77B41"/>
    <w:rsid w:val="00B77BE4"/>
    <w:rsid w:val="00B77D6D"/>
    <w:rsid w:val="00B807AB"/>
    <w:rsid w:val="00B808EC"/>
    <w:rsid w:val="00B812BE"/>
    <w:rsid w:val="00B81564"/>
    <w:rsid w:val="00B817BC"/>
    <w:rsid w:val="00B823C9"/>
    <w:rsid w:val="00B8257A"/>
    <w:rsid w:val="00B82876"/>
    <w:rsid w:val="00B8306B"/>
    <w:rsid w:val="00B83A1A"/>
    <w:rsid w:val="00B84175"/>
    <w:rsid w:val="00B84F78"/>
    <w:rsid w:val="00B851F6"/>
    <w:rsid w:val="00B85D20"/>
    <w:rsid w:val="00B864B2"/>
    <w:rsid w:val="00B86608"/>
    <w:rsid w:val="00B86B88"/>
    <w:rsid w:val="00B87847"/>
    <w:rsid w:val="00B87D8A"/>
    <w:rsid w:val="00B90477"/>
    <w:rsid w:val="00B91CDD"/>
    <w:rsid w:val="00B92780"/>
    <w:rsid w:val="00B9287C"/>
    <w:rsid w:val="00B92AA5"/>
    <w:rsid w:val="00B92F99"/>
    <w:rsid w:val="00B934B6"/>
    <w:rsid w:val="00B935C1"/>
    <w:rsid w:val="00B95170"/>
    <w:rsid w:val="00B955FE"/>
    <w:rsid w:val="00B96173"/>
    <w:rsid w:val="00B96744"/>
    <w:rsid w:val="00B97AB8"/>
    <w:rsid w:val="00BA0AA7"/>
    <w:rsid w:val="00BA0B9F"/>
    <w:rsid w:val="00BA0EFF"/>
    <w:rsid w:val="00BA1A7E"/>
    <w:rsid w:val="00BA1A9B"/>
    <w:rsid w:val="00BA234E"/>
    <w:rsid w:val="00BA2E75"/>
    <w:rsid w:val="00BA37DD"/>
    <w:rsid w:val="00BA495C"/>
    <w:rsid w:val="00BA49CF"/>
    <w:rsid w:val="00BA6419"/>
    <w:rsid w:val="00BA6550"/>
    <w:rsid w:val="00BA6589"/>
    <w:rsid w:val="00BA6854"/>
    <w:rsid w:val="00BA6AAC"/>
    <w:rsid w:val="00BA77AC"/>
    <w:rsid w:val="00BA7AE7"/>
    <w:rsid w:val="00BB0935"/>
    <w:rsid w:val="00BB09BF"/>
    <w:rsid w:val="00BB14DE"/>
    <w:rsid w:val="00BB1832"/>
    <w:rsid w:val="00BB1871"/>
    <w:rsid w:val="00BB29CC"/>
    <w:rsid w:val="00BB34DC"/>
    <w:rsid w:val="00BB3642"/>
    <w:rsid w:val="00BB39CD"/>
    <w:rsid w:val="00BB452B"/>
    <w:rsid w:val="00BB5F81"/>
    <w:rsid w:val="00BB66AB"/>
    <w:rsid w:val="00BB66D1"/>
    <w:rsid w:val="00BB72C0"/>
    <w:rsid w:val="00BB7F23"/>
    <w:rsid w:val="00BC021F"/>
    <w:rsid w:val="00BC0AD6"/>
    <w:rsid w:val="00BC0D93"/>
    <w:rsid w:val="00BC122E"/>
    <w:rsid w:val="00BC183A"/>
    <w:rsid w:val="00BC1DC6"/>
    <w:rsid w:val="00BC20E8"/>
    <w:rsid w:val="00BC2DC8"/>
    <w:rsid w:val="00BC2E97"/>
    <w:rsid w:val="00BC3584"/>
    <w:rsid w:val="00BC3E31"/>
    <w:rsid w:val="00BC4754"/>
    <w:rsid w:val="00BC70F5"/>
    <w:rsid w:val="00BC79E9"/>
    <w:rsid w:val="00BC7DBB"/>
    <w:rsid w:val="00BD24A7"/>
    <w:rsid w:val="00BD28D0"/>
    <w:rsid w:val="00BD3339"/>
    <w:rsid w:val="00BD3372"/>
    <w:rsid w:val="00BD37F9"/>
    <w:rsid w:val="00BD3E28"/>
    <w:rsid w:val="00BD3E82"/>
    <w:rsid w:val="00BD40DD"/>
    <w:rsid w:val="00BD4146"/>
    <w:rsid w:val="00BD5552"/>
    <w:rsid w:val="00BD57A0"/>
    <w:rsid w:val="00BD6673"/>
    <w:rsid w:val="00BD6789"/>
    <w:rsid w:val="00BD6D48"/>
    <w:rsid w:val="00BD7B38"/>
    <w:rsid w:val="00BE051C"/>
    <w:rsid w:val="00BE07B5"/>
    <w:rsid w:val="00BE2526"/>
    <w:rsid w:val="00BE2BD0"/>
    <w:rsid w:val="00BE358A"/>
    <w:rsid w:val="00BE3815"/>
    <w:rsid w:val="00BE3D22"/>
    <w:rsid w:val="00BE3DD1"/>
    <w:rsid w:val="00BE4196"/>
    <w:rsid w:val="00BE4750"/>
    <w:rsid w:val="00BE4ED6"/>
    <w:rsid w:val="00BE54F3"/>
    <w:rsid w:val="00BE581E"/>
    <w:rsid w:val="00BE5F67"/>
    <w:rsid w:val="00BE6436"/>
    <w:rsid w:val="00BE78BC"/>
    <w:rsid w:val="00BE7920"/>
    <w:rsid w:val="00BE7BD4"/>
    <w:rsid w:val="00BF01CF"/>
    <w:rsid w:val="00BF0ABC"/>
    <w:rsid w:val="00BF0FDC"/>
    <w:rsid w:val="00BF1339"/>
    <w:rsid w:val="00BF1795"/>
    <w:rsid w:val="00BF1C28"/>
    <w:rsid w:val="00BF1E46"/>
    <w:rsid w:val="00BF217E"/>
    <w:rsid w:val="00BF2495"/>
    <w:rsid w:val="00BF2CD1"/>
    <w:rsid w:val="00BF2D68"/>
    <w:rsid w:val="00BF352E"/>
    <w:rsid w:val="00BF38E6"/>
    <w:rsid w:val="00BF3A24"/>
    <w:rsid w:val="00BF3C33"/>
    <w:rsid w:val="00BF3C65"/>
    <w:rsid w:val="00BF4782"/>
    <w:rsid w:val="00BF4B6A"/>
    <w:rsid w:val="00BF5135"/>
    <w:rsid w:val="00BF53B5"/>
    <w:rsid w:val="00BF59CD"/>
    <w:rsid w:val="00BF5B1E"/>
    <w:rsid w:val="00BF6343"/>
    <w:rsid w:val="00BF6642"/>
    <w:rsid w:val="00BF6EB5"/>
    <w:rsid w:val="00BF7D41"/>
    <w:rsid w:val="00C009F5"/>
    <w:rsid w:val="00C01129"/>
    <w:rsid w:val="00C01A4C"/>
    <w:rsid w:val="00C02239"/>
    <w:rsid w:val="00C022E1"/>
    <w:rsid w:val="00C02B23"/>
    <w:rsid w:val="00C02DAC"/>
    <w:rsid w:val="00C030CA"/>
    <w:rsid w:val="00C0398D"/>
    <w:rsid w:val="00C03B42"/>
    <w:rsid w:val="00C04100"/>
    <w:rsid w:val="00C04158"/>
    <w:rsid w:val="00C057F7"/>
    <w:rsid w:val="00C059CB"/>
    <w:rsid w:val="00C0670D"/>
    <w:rsid w:val="00C0755B"/>
    <w:rsid w:val="00C0779B"/>
    <w:rsid w:val="00C1079D"/>
    <w:rsid w:val="00C108EB"/>
    <w:rsid w:val="00C10A2B"/>
    <w:rsid w:val="00C118BE"/>
    <w:rsid w:val="00C11E4C"/>
    <w:rsid w:val="00C12224"/>
    <w:rsid w:val="00C123DD"/>
    <w:rsid w:val="00C12931"/>
    <w:rsid w:val="00C12B32"/>
    <w:rsid w:val="00C12E16"/>
    <w:rsid w:val="00C12FCB"/>
    <w:rsid w:val="00C13B85"/>
    <w:rsid w:val="00C1417E"/>
    <w:rsid w:val="00C14954"/>
    <w:rsid w:val="00C15A3D"/>
    <w:rsid w:val="00C16CA7"/>
    <w:rsid w:val="00C17838"/>
    <w:rsid w:val="00C179B0"/>
    <w:rsid w:val="00C20CA6"/>
    <w:rsid w:val="00C21A0D"/>
    <w:rsid w:val="00C21B66"/>
    <w:rsid w:val="00C21C83"/>
    <w:rsid w:val="00C2220A"/>
    <w:rsid w:val="00C226C1"/>
    <w:rsid w:val="00C226F9"/>
    <w:rsid w:val="00C23398"/>
    <w:rsid w:val="00C234CD"/>
    <w:rsid w:val="00C23645"/>
    <w:rsid w:val="00C23B23"/>
    <w:rsid w:val="00C23C11"/>
    <w:rsid w:val="00C24569"/>
    <w:rsid w:val="00C245B2"/>
    <w:rsid w:val="00C247C2"/>
    <w:rsid w:val="00C24D28"/>
    <w:rsid w:val="00C24E9F"/>
    <w:rsid w:val="00C25D6D"/>
    <w:rsid w:val="00C26027"/>
    <w:rsid w:val="00C2651F"/>
    <w:rsid w:val="00C26C22"/>
    <w:rsid w:val="00C27073"/>
    <w:rsid w:val="00C271C6"/>
    <w:rsid w:val="00C2750B"/>
    <w:rsid w:val="00C27915"/>
    <w:rsid w:val="00C27B03"/>
    <w:rsid w:val="00C30522"/>
    <w:rsid w:val="00C3089B"/>
    <w:rsid w:val="00C30C24"/>
    <w:rsid w:val="00C30D1A"/>
    <w:rsid w:val="00C31A71"/>
    <w:rsid w:val="00C3250A"/>
    <w:rsid w:val="00C32A8D"/>
    <w:rsid w:val="00C331AE"/>
    <w:rsid w:val="00C33424"/>
    <w:rsid w:val="00C337E3"/>
    <w:rsid w:val="00C33CD9"/>
    <w:rsid w:val="00C340A6"/>
    <w:rsid w:val="00C34AF2"/>
    <w:rsid w:val="00C34B40"/>
    <w:rsid w:val="00C34FF3"/>
    <w:rsid w:val="00C350DB"/>
    <w:rsid w:val="00C35836"/>
    <w:rsid w:val="00C362CF"/>
    <w:rsid w:val="00C3719D"/>
    <w:rsid w:val="00C37225"/>
    <w:rsid w:val="00C37422"/>
    <w:rsid w:val="00C37456"/>
    <w:rsid w:val="00C374F8"/>
    <w:rsid w:val="00C4152E"/>
    <w:rsid w:val="00C41AB4"/>
    <w:rsid w:val="00C41CD3"/>
    <w:rsid w:val="00C43438"/>
    <w:rsid w:val="00C44264"/>
    <w:rsid w:val="00C443FE"/>
    <w:rsid w:val="00C44615"/>
    <w:rsid w:val="00C45509"/>
    <w:rsid w:val="00C45ABC"/>
    <w:rsid w:val="00C45D8B"/>
    <w:rsid w:val="00C46251"/>
    <w:rsid w:val="00C463D7"/>
    <w:rsid w:val="00C4651A"/>
    <w:rsid w:val="00C46BB2"/>
    <w:rsid w:val="00C473CF"/>
    <w:rsid w:val="00C477D1"/>
    <w:rsid w:val="00C4790F"/>
    <w:rsid w:val="00C47F79"/>
    <w:rsid w:val="00C47FC0"/>
    <w:rsid w:val="00C50015"/>
    <w:rsid w:val="00C50B6E"/>
    <w:rsid w:val="00C50CEE"/>
    <w:rsid w:val="00C50D80"/>
    <w:rsid w:val="00C51C3A"/>
    <w:rsid w:val="00C51DEE"/>
    <w:rsid w:val="00C52239"/>
    <w:rsid w:val="00C528CC"/>
    <w:rsid w:val="00C52A78"/>
    <w:rsid w:val="00C52E26"/>
    <w:rsid w:val="00C53683"/>
    <w:rsid w:val="00C53ABD"/>
    <w:rsid w:val="00C53AD3"/>
    <w:rsid w:val="00C53BE5"/>
    <w:rsid w:val="00C53C94"/>
    <w:rsid w:val="00C53ECD"/>
    <w:rsid w:val="00C5502E"/>
    <w:rsid w:val="00C5610B"/>
    <w:rsid w:val="00C561AD"/>
    <w:rsid w:val="00C56A4F"/>
    <w:rsid w:val="00C57741"/>
    <w:rsid w:val="00C577F5"/>
    <w:rsid w:val="00C57E23"/>
    <w:rsid w:val="00C600AB"/>
    <w:rsid w:val="00C606E3"/>
    <w:rsid w:val="00C6074F"/>
    <w:rsid w:val="00C61875"/>
    <w:rsid w:val="00C61BB9"/>
    <w:rsid w:val="00C62568"/>
    <w:rsid w:val="00C63426"/>
    <w:rsid w:val="00C640F5"/>
    <w:rsid w:val="00C64143"/>
    <w:rsid w:val="00C64237"/>
    <w:rsid w:val="00C6434D"/>
    <w:rsid w:val="00C64B38"/>
    <w:rsid w:val="00C64C10"/>
    <w:rsid w:val="00C652E5"/>
    <w:rsid w:val="00C662D6"/>
    <w:rsid w:val="00C66435"/>
    <w:rsid w:val="00C66455"/>
    <w:rsid w:val="00C669CA"/>
    <w:rsid w:val="00C67020"/>
    <w:rsid w:val="00C67446"/>
    <w:rsid w:val="00C674B2"/>
    <w:rsid w:val="00C67565"/>
    <w:rsid w:val="00C7018E"/>
    <w:rsid w:val="00C702AA"/>
    <w:rsid w:val="00C70A6E"/>
    <w:rsid w:val="00C7148A"/>
    <w:rsid w:val="00C71597"/>
    <w:rsid w:val="00C71A1B"/>
    <w:rsid w:val="00C72C22"/>
    <w:rsid w:val="00C7365C"/>
    <w:rsid w:val="00C7370A"/>
    <w:rsid w:val="00C7394E"/>
    <w:rsid w:val="00C73C76"/>
    <w:rsid w:val="00C7404A"/>
    <w:rsid w:val="00C7478A"/>
    <w:rsid w:val="00C74A91"/>
    <w:rsid w:val="00C75307"/>
    <w:rsid w:val="00C75312"/>
    <w:rsid w:val="00C753EC"/>
    <w:rsid w:val="00C75F4A"/>
    <w:rsid w:val="00C7616D"/>
    <w:rsid w:val="00C7697F"/>
    <w:rsid w:val="00C77998"/>
    <w:rsid w:val="00C77A6E"/>
    <w:rsid w:val="00C810E5"/>
    <w:rsid w:val="00C8136C"/>
    <w:rsid w:val="00C814D9"/>
    <w:rsid w:val="00C81989"/>
    <w:rsid w:val="00C82374"/>
    <w:rsid w:val="00C82525"/>
    <w:rsid w:val="00C82814"/>
    <w:rsid w:val="00C82FFA"/>
    <w:rsid w:val="00C8367C"/>
    <w:rsid w:val="00C83A5C"/>
    <w:rsid w:val="00C84808"/>
    <w:rsid w:val="00C84DFE"/>
    <w:rsid w:val="00C85521"/>
    <w:rsid w:val="00C863EE"/>
    <w:rsid w:val="00C8647C"/>
    <w:rsid w:val="00C8675C"/>
    <w:rsid w:val="00C86901"/>
    <w:rsid w:val="00C86BD3"/>
    <w:rsid w:val="00C8749C"/>
    <w:rsid w:val="00C875C4"/>
    <w:rsid w:val="00C87E9B"/>
    <w:rsid w:val="00C90C0D"/>
    <w:rsid w:val="00C90DE4"/>
    <w:rsid w:val="00C9141B"/>
    <w:rsid w:val="00C91EB1"/>
    <w:rsid w:val="00C92597"/>
    <w:rsid w:val="00C92646"/>
    <w:rsid w:val="00C92CD1"/>
    <w:rsid w:val="00C9316A"/>
    <w:rsid w:val="00C937E7"/>
    <w:rsid w:val="00C9382B"/>
    <w:rsid w:val="00C93B5E"/>
    <w:rsid w:val="00C945C3"/>
    <w:rsid w:val="00C94993"/>
    <w:rsid w:val="00C959DD"/>
    <w:rsid w:val="00C95D8D"/>
    <w:rsid w:val="00C96F52"/>
    <w:rsid w:val="00C97C7F"/>
    <w:rsid w:val="00C97F3F"/>
    <w:rsid w:val="00C97FBC"/>
    <w:rsid w:val="00CA0948"/>
    <w:rsid w:val="00CA2283"/>
    <w:rsid w:val="00CA2649"/>
    <w:rsid w:val="00CA2AEF"/>
    <w:rsid w:val="00CA325F"/>
    <w:rsid w:val="00CA33B8"/>
    <w:rsid w:val="00CA38A4"/>
    <w:rsid w:val="00CA5273"/>
    <w:rsid w:val="00CA54A3"/>
    <w:rsid w:val="00CA5F1D"/>
    <w:rsid w:val="00CA6771"/>
    <w:rsid w:val="00CB1582"/>
    <w:rsid w:val="00CB22B7"/>
    <w:rsid w:val="00CB2872"/>
    <w:rsid w:val="00CB31A2"/>
    <w:rsid w:val="00CB3935"/>
    <w:rsid w:val="00CB42E4"/>
    <w:rsid w:val="00CB4720"/>
    <w:rsid w:val="00CB47A8"/>
    <w:rsid w:val="00CB5032"/>
    <w:rsid w:val="00CB5D11"/>
    <w:rsid w:val="00CB668F"/>
    <w:rsid w:val="00CB68D3"/>
    <w:rsid w:val="00CB6BEC"/>
    <w:rsid w:val="00CB76AF"/>
    <w:rsid w:val="00CB7DF6"/>
    <w:rsid w:val="00CC031E"/>
    <w:rsid w:val="00CC048C"/>
    <w:rsid w:val="00CC05F4"/>
    <w:rsid w:val="00CC0663"/>
    <w:rsid w:val="00CC11D8"/>
    <w:rsid w:val="00CC14F6"/>
    <w:rsid w:val="00CC2098"/>
    <w:rsid w:val="00CC2EA2"/>
    <w:rsid w:val="00CC303F"/>
    <w:rsid w:val="00CC30E5"/>
    <w:rsid w:val="00CC37C2"/>
    <w:rsid w:val="00CC3C96"/>
    <w:rsid w:val="00CC594F"/>
    <w:rsid w:val="00CC5D7A"/>
    <w:rsid w:val="00CC6636"/>
    <w:rsid w:val="00CC6DAD"/>
    <w:rsid w:val="00CC7362"/>
    <w:rsid w:val="00CC75EE"/>
    <w:rsid w:val="00CC7925"/>
    <w:rsid w:val="00CC79D4"/>
    <w:rsid w:val="00CD077C"/>
    <w:rsid w:val="00CD10F0"/>
    <w:rsid w:val="00CD27E7"/>
    <w:rsid w:val="00CD342A"/>
    <w:rsid w:val="00CD3940"/>
    <w:rsid w:val="00CD398C"/>
    <w:rsid w:val="00CD3A3D"/>
    <w:rsid w:val="00CD4093"/>
    <w:rsid w:val="00CD4155"/>
    <w:rsid w:val="00CD58DD"/>
    <w:rsid w:val="00CD591E"/>
    <w:rsid w:val="00CD63B8"/>
    <w:rsid w:val="00CD69F3"/>
    <w:rsid w:val="00CD6CDA"/>
    <w:rsid w:val="00CD790C"/>
    <w:rsid w:val="00CD7DF3"/>
    <w:rsid w:val="00CD7F0B"/>
    <w:rsid w:val="00CE0439"/>
    <w:rsid w:val="00CE05EF"/>
    <w:rsid w:val="00CE0616"/>
    <w:rsid w:val="00CE0B76"/>
    <w:rsid w:val="00CE1022"/>
    <w:rsid w:val="00CE1270"/>
    <w:rsid w:val="00CE1CDF"/>
    <w:rsid w:val="00CE23AB"/>
    <w:rsid w:val="00CE2B0E"/>
    <w:rsid w:val="00CE38CD"/>
    <w:rsid w:val="00CE390A"/>
    <w:rsid w:val="00CE396A"/>
    <w:rsid w:val="00CE39B0"/>
    <w:rsid w:val="00CE3B16"/>
    <w:rsid w:val="00CE4354"/>
    <w:rsid w:val="00CE4A28"/>
    <w:rsid w:val="00CE4BA5"/>
    <w:rsid w:val="00CE4E5C"/>
    <w:rsid w:val="00CE6A0B"/>
    <w:rsid w:val="00CE6A8C"/>
    <w:rsid w:val="00CE7799"/>
    <w:rsid w:val="00CF00D1"/>
    <w:rsid w:val="00CF0787"/>
    <w:rsid w:val="00CF0950"/>
    <w:rsid w:val="00CF0FB7"/>
    <w:rsid w:val="00CF196D"/>
    <w:rsid w:val="00CF1FF5"/>
    <w:rsid w:val="00CF20F4"/>
    <w:rsid w:val="00CF2898"/>
    <w:rsid w:val="00CF2B85"/>
    <w:rsid w:val="00CF3B07"/>
    <w:rsid w:val="00CF40EE"/>
    <w:rsid w:val="00CF4C13"/>
    <w:rsid w:val="00CF54B8"/>
    <w:rsid w:val="00CF57B5"/>
    <w:rsid w:val="00CF5980"/>
    <w:rsid w:val="00CF6384"/>
    <w:rsid w:val="00CF6902"/>
    <w:rsid w:val="00CF7890"/>
    <w:rsid w:val="00CF7B39"/>
    <w:rsid w:val="00CF7C39"/>
    <w:rsid w:val="00D014A3"/>
    <w:rsid w:val="00D020FB"/>
    <w:rsid w:val="00D05C9C"/>
    <w:rsid w:val="00D06A09"/>
    <w:rsid w:val="00D06E88"/>
    <w:rsid w:val="00D073C2"/>
    <w:rsid w:val="00D07EAA"/>
    <w:rsid w:val="00D10316"/>
    <w:rsid w:val="00D11709"/>
    <w:rsid w:val="00D11A67"/>
    <w:rsid w:val="00D11B3D"/>
    <w:rsid w:val="00D11F90"/>
    <w:rsid w:val="00D12115"/>
    <w:rsid w:val="00D122AD"/>
    <w:rsid w:val="00D13527"/>
    <w:rsid w:val="00D142DE"/>
    <w:rsid w:val="00D14FF3"/>
    <w:rsid w:val="00D15168"/>
    <w:rsid w:val="00D15298"/>
    <w:rsid w:val="00D15E4E"/>
    <w:rsid w:val="00D172B2"/>
    <w:rsid w:val="00D17601"/>
    <w:rsid w:val="00D179A4"/>
    <w:rsid w:val="00D20D6E"/>
    <w:rsid w:val="00D20D77"/>
    <w:rsid w:val="00D21300"/>
    <w:rsid w:val="00D216A9"/>
    <w:rsid w:val="00D22B53"/>
    <w:rsid w:val="00D22F7B"/>
    <w:rsid w:val="00D230DC"/>
    <w:rsid w:val="00D2316F"/>
    <w:rsid w:val="00D23831"/>
    <w:rsid w:val="00D23BD6"/>
    <w:rsid w:val="00D245E2"/>
    <w:rsid w:val="00D24855"/>
    <w:rsid w:val="00D26BCD"/>
    <w:rsid w:val="00D26C9A"/>
    <w:rsid w:val="00D27221"/>
    <w:rsid w:val="00D27422"/>
    <w:rsid w:val="00D27588"/>
    <w:rsid w:val="00D2760D"/>
    <w:rsid w:val="00D303E8"/>
    <w:rsid w:val="00D307B5"/>
    <w:rsid w:val="00D31B02"/>
    <w:rsid w:val="00D31BA6"/>
    <w:rsid w:val="00D326CD"/>
    <w:rsid w:val="00D32796"/>
    <w:rsid w:val="00D3284A"/>
    <w:rsid w:val="00D32BF8"/>
    <w:rsid w:val="00D33412"/>
    <w:rsid w:val="00D335E1"/>
    <w:rsid w:val="00D3545E"/>
    <w:rsid w:val="00D35FEA"/>
    <w:rsid w:val="00D36594"/>
    <w:rsid w:val="00D366E4"/>
    <w:rsid w:val="00D36D22"/>
    <w:rsid w:val="00D37339"/>
    <w:rsid w:val="00D3733B"/>
    <w:rsid w:val="00D37F2A"/>
    <w:rsid w:val="00D40350"/>
    <w:rsid w:val="00D40358"/>
    <w:rsid w:val="00D4096C"/>
    <w:rsid w:val="00D41952"/>
    <w:rsid w:val="00D423AC"/>
    <w:rsid w:val="00D42E52"/>
    <w:rsid w:val="00D42EA7"/>
    <w:rsid w:val="00D43D53"/>
    <w:rsid w:val="00D43DE1"/>
    <w:rsid w:val="00D44706"/>
    <w:rsid w:val="00D44DC6"/>
    <w:rsid w:val="00D452E8"/>
    <w:rsid w:val="00D45389"/>
    <w:rsid w:val="00D4545A"/>
    <w:rsid w:val="00D45FD6"/>
    <w:rsid w:val="00D46CF2"/>
    <w:rsid w:val="00D4763C"/>
    <w:rsid w:val="00D50486"/>
    <w:rsid w:val="00D51456"/>
    <w:rsid w:val="00D514E5"/>
    <w:rsid w:val="00D5168E"/>
    <w:rsid w:val="00D51A5D"/>
    <w:rsid w:val="00D51BCB"/>
    <w:rsid w:val="00D51C6B"/>
    <w:rsid w:val="00D522CC"/>
    <w:rsid w:val="00D53589"/>
    <w:rsid w:val="00D53650"/>
    <w:rsid w:val="00D536D4"/>
    <w:rsid w:val="00D539D5"/>
    <w:rsid w:val="00D544C2"/>
    <w:rsid w:val="00D544D5"/>
    <w:rsid w:val="00D54D8D"/>
    <w:rsid w:val="00D54FA9"/>
    <w:rsid w:val="00D54FD5"/>
    <w:rsid w:val="00D552C9"/>
    <w:rsid w:val="00D56265"/>
    <w:rsid w:val="00D562BF"/>
    <w:rsid w:val="00D5673B"/>
    <w:rsid w:val="00D568C6"/>
    <w:rsid w:val="00D56BAA"/>
    <w:rsid w:val="00D570EF"/>
    <w:rsid w:val="00D571DD"/>
    <w:rsid w:val="00D576A4"/>
    <w:rsid w:val="00D602DE"/>
    <w:rsid w:val="00D6096A"/>
    <w:rsid w:val="00D60ABE"/>
    <w:rsid w:val="00D60CE5"/>
    <w:rsid w:val="00D61151"/>
    <w:rsid w:val="00D612EA"/>
    <w:rsid w:val="00D61811"/>
    <w:rsid w:val="00D61CC9"/>
    <w:rsid w:val="00D61E90"/>
    <w:rsid w:val="00D6273F"/>
    <w:rsid w:val="00D627C7"/>
    <w:rsid w:val="00D62DF0"/>
    <w:rsid w:val="00D637FC"/>
    <w:rsid w:val="00D63F9F"/>
    <w:rsid w:val="00D63FD9"/>
    <w:rsid w:val="00D64305"/>
    <w:rsid w:val="00D644F7"/>
    <w:rsid w:val="00D6452D"/>
    <w:rsid w:val="00D646D3"/>
    <w:rsid w:val="00D6544F"/>
    <w:rsid w:val="00D658DD"/>
    <w:rsid w:val="00D65D30"/>
    <w:rsid w:val="00D662F2"/>
    <w:rsid w:val="00D665F1"/>
    <w:rsid w:val="00D667A4"/>
    <w:rsid w:val="00D6711E"/>
    <w:rsid w:val="00D672CB"/>
    <w:rsid w:val="00D674A3"/>
    <w:rsid w:val="00D67AE7"/>
    <w:rsid w:val="00D67D56"/>
    <w:rsid w:val="00D67D8F"/>
    <w:rsid w:val="00D70466"/>
    <w:rsid w:val="00D71F89"/>
    <w:rsid w:val="00D722E5"/>
    <w:rsid w:val="00D72412"/>
    <w:rsid w:val="00D7261B"/>
    <w:rsid w:val="00D72781"/>
    <w:rsid w:val="00D72C42"/>
    <w:rsid w:val="00D731DF"/>
    <w:rsid w:val="00D73460"/>
    <w:rsid w:val="00D73B08"/>
    <w:rsid w:val="00D7400C"/>
    <w:rsid w:val="00D74104"/>
    <w:rsid w:val="00D742FA"/>
    <w:rsid w:val="00D7458D"/>
    <w:rsid w:val="00D75FB7"/>
    <w:rsid w:val="00D76101"/>
    <w:rsid w:val="00D7636D"/>
    <w:rsid w:val="00D80127"/>
    <w:rsid w:val="00D805D1"/>
    <w:rsid w:val="00D808F1"/>
    <w:rsid w:val="00D81235"/>
    <w:rsid w:val="00D81D55"/>
    <w:rsid w:val="00D82271"/>
    <w:rsid w:val="00D82BCD"/>
    <w:rsid w:val="00D82E4E"/>
    <w:rsid w:val="00D82FD7"/>
    <w:rsid w:val="00D84AB8"/>
    <w:rsid w:val="00D84F36"/>
    <w:rsid w:val="00D84FA6"/>
    <w:rsid w:val="00D8581B"/>
    <w:rsid w:val="00D85C5F"/>
    <w:rsid w:val="00D85ECC"/>
    <w:rsid w:val="00D864C7"/>
    <w:rsid w:val="00D8666E"/>
    <w:rsid w:val="00D86795"/>
    <w:rsid w:val="00D86882"/>
    <w:rsid w:val="00D869F9"/>
    <w:rsid w:val="00D86CF6"/>
    <w:rsid w:val="00D86EB7"/>
    <w:rsid w:val="00D87730"/>
    <w:rsid w:val="00D90170"/>
    <w:rsid w:val="00D913E5"/>
    <w:rsid w:val="00D91442"/>
    <w:rsid w:val="00D92981"/>
    <w:rsid w:val="00D92B5E"/>
    <w:rsid w:val="00D93388"/>
    <w:rsid w:val="00D93A80"/>
    <w:rsid w:val="00D93C5E"/>
    <w:rsid w:val="00D93F57"/>
    <w:rsid w:val="00D94642"/>
    <w:rsid w:val="00D94D57"/>
    <w:rsid w:val="00D95457"/>
    <w:rsid w:val="00D959B5"/>
    <w:rsid w:val="00D95AA1"/>
    <w:rsid w:val="00D95B7B"/>
    <w:rsid w:val="00D95E7D"/>
    <w:rsid w:val="00D95F75"/>
    <w:rsid w:val="00D96A52"/>
    <w:rsid w:val="00D96BE8"/>
    <w:rsid w:val="00D973D0"/>
    <w:rsid w:val="00D97A30"/>
    <w:rsid w:val="00D97A7B"/>
    <w:rsid w:val="00DA0374"/>
    <w:rsid w:val="00DA0908"/>
    <w:rsid w:val="00DA0EA0"/>
    <w:rsid w:val="00DA1259"/>
    <w:rsid w:val="00DA1AAD"/>
    <w:rsid w:val="00DA1B1C"/>
    <w:rsid w:val="00DA1E08"/>
    <w:rsid w:val="00DA1F7F"/>
    <w:rsid w:val="00DA3353"/>
    <w:rsid w:val="00DA3601"/>
    <w:rsid w:val="00DA395F"/>
    <w:rsid w:val="00DA3B5E"/>
    <w:rsid w:val="00DA3D45"/>
    <w:rsid w:val="00DA48BB"/>
    <w:rsid w:val="00DA48E1"/>
    <w:rsid w:val="00DA4A52"/>
    <w:rsid w:val="00DA4B50"/>
    <w:rsid w:val="00DA4CA5"/>
    <w:rsid w:val="00DA4FBC"/>
    <w:rsid w:val="00DA5B19"/>
    <w:rsid w:val="00DA5E78"/>
    <w:rsid w:val="00DA5F67"/>
    <w:rsid w:val="00DA68D6"/>
    <w:rsid w:val="00DA6BD7"/>
    <w:rsid w:val="00DA6CA9"/>
    <w:rsid w:val="00DA7457"/>
    <w:rsid w:val="00DA7502"/>
    <w:rsid w:val="00DA7599"/>
    <w:rsid w:val="00DA77EB"/>
    <w:rsid w:val="00DA7B8E"/>
    <w:rsid w:val="00DA7F51"/>
    <w:rsid w:val="00DB0A54"/>
    <w:rsid w:val="00DB1083"/>
    <w:rsid w:val="00DB18E7"/>
    <w:rsid w:val="00DB1A6E"/>
    <w:rsid w:val="00DB25F1"/>
    <w:rsid w:val="00DB2910"/>
    <w:rsid w:val="00DB2995"/>
    <w:rsid w:val="00DB2DD0"/>
    <w:rsid w:val="00DB2EA4"/>
    <w:rsid w:val="00DB2ED0"/>
    <w:rsid w:val="00DB306D"/>
    <w:rsid w:val="00DB34D2"/>
    <w:rsid w:val="00DB38F0"/>
    <w:rsid w:val="00DB3EE8"/>
    <w:rsid w:val="00DB464E"/>
    <w:rsid w:val="00DB4701"/>
    <w:rsid w:val="00DB4B05"/>
    <w:rsid w:val="00DB4F6A"/>
    <w:rsid w:val="00DB546D"/>
    <w:rsid w:val="00DB557B"/>
    <w:rsid w:val="00DB59C0"/>
    <w:rsid w:val="00DB5BD8"/>
    <w:rsid w:val="00DB61C1"/>
    <w:rsid w:val="00DB63C7"/>
    <w:rsid w:val="00DB65B4"/>
    <w:rsid w:val="00DB660B"/>
    <w:rsid w:val="00DB6C62"/>
    <w:rsid w:val="00DB6DA6"/>
    <w:rsid w:val="00DC0146"/>
    <w:rsid w:val="00DC03EE"/>
    <w:rsid w:val="00DC0C1A"/>
    <w:rsid w:val="00DC18F9"/>
    <w:rsid w:val="00DC199A"/>
    <w:rsid w:val="00DC19E5"/>
    <w:rsid w:val="00DC1E37"/>
    <w:rsid w:val="00DC1FD5"/>
    <w:rsid w:val="00DC21D8"/>
    <w:rsid w:val="00DC2D2A"/>
    <w:rsid w:val="00DC36B8"/>
    <w:rsid w:val="00DC4286"/>
    <w:rsid w:val="00DC440F"/>
    <w:rsid w:val="00DC53F2"/>
    <w:rsid w:val="00DC6274"/>
    <w:rsid w:val="00DC6275"/>
    <w:rsid w:val="00DC6B01"/>
    <w:rsid w:val="00DC72AC"/>
    <w:rsid w:val="00DC76E3"/>
    <w:rsid w:val="00DC7797"/>
    <w:rsid w:val="00DD078A"/>
    <w:rsid w:val="00DD080A"/>
    <w:rsid w:val="00DD0AA8"/>
    <w:rsid w:val="00DD0DC1"/>
    <w:rsid w:val="00DD125F"/>
    <w:rsid w:val="00DD1737"/>
    <w:rsid w:val="00DD208D"/>
    <w:rsid w:val="00DD2152"/>
    <w:rsid w:val="00DD2473"/>
    <w:rsid w:val="00DD34E1"/>
    <w:rsid w:val="00DD35C4"/>
    <w:rsid w:val="00DD3A67"/>
    <w:rsid w:val="00DD5B60"/>
    <w:rsid w:val="00DD5B72"/>
    <w:rsid w:val="00DD622F"/>
    <w:rsid w:val="00DD684E"/>
    <w:rsid w:val="00DD6C85"/>
    <w:rsid w:val="00DD6CF2"/>
    <w:rsid w:val="00DD7004"/>
    <w:rsid w:val="00DD7667"/>
    <w:rsid w:val="00DD777C"/>
    <w:rsid w:val="00DD7B40"/>
    <w:rsid w:val="00DE052B"/>
    <w:rsid w:val="00DE06F8"/>
    <w:rsid w:val="00DE0D2F"/>
    <w:rsid w:val="00DE0D75"/>
    <w:rsid w:val="00DE0D84"/>
    <w:rsid w:val="00DE1830"/>
    <w:rsid w:val="00DE19EB"/>
    <w:rsid w:val="00DE1A25"/>
    <w:rsid w:val="00DE1E15"/>
    <w:rsid w:val="00DE1F91"/>
    <w:rsid w:val="00DE248A"/>
    <w:rsid w:val="00DE2FCF"/>
    <w:rsid w:val="00DE38BC"/>
    <w:rsid w:val="00DE3E8A"/>
    <w:rsid w:val="00DE4519"/>
    <w:rsid w:val="00DE4C2E"/>
    <w:rsid w:val="00DE5529"/>
    <w:rsid w:val="00DE5557"/>
    <w:rsid w:val="00DE568E"/>
    <w:rsid w:val="00DE5919"/>
    <w:rsid w:val="00DE5B0F"/>
    <w:rsid w:val="00DE6302"/>
    <w:rsid w:val="00DE660A"/>
    <w:rsid w:val="00DE7012"/>
    <w:rsid w:val="00DF05E9"/>
    <w:rsid w:val="00DF0794"/>
    <w:rsid w:val="00DF0FE3"/>
    <w:rsid w:val="00DF119F"/>
    <w:rsid w:val="00DF193D"/>
    <w:rsid w:val="00DF1998"/>
    <w:rsid w:val="00DF1DDA"/>
    <w:rsid w:val="00DF2229"/>
    <w:rsid w:val="00DF2496"/>
    <w:rsid w:val="00DF25A7"/>
    <w:rsid w:val="00DF284B"/>
    <w:rsid w:val="00DF2CB1"/>
    <w:rsid w:val="00DF2F46"/>
    <w:rsid w:val="00DF32B2"/>
    <w:rsid w:val="00DF331A"/>
    <w:rsid w:val="00DF3371"/>
    <w:rsid w:val="00DF3503"/>
    <w:rsid w:val="00DF357F"/>
    <w:rsid w:val="00DF385C"/>
    <w:rsid w:val="00DF51AA"/>
    <w:rsid w:val="00DF5396"/>
    <w:rsid w:val="00DF6417"/>
    <w:rsid w:val="00DF69F9"/>
    <w:rsid w:val="00DF769B"/>
    <w:rsid w:val="00DF77AC"/>
    <w:rsid w:val="00E00899"/>
    <w:rsid w:val="00E02049"/>
    <w:rsid w:val="00E02987"/>
    <w:rsid w:val="00E02B4D"/>
    <w:rsid w:val="00E02B50"/>
    <w:rsid w:val="00E02E08"/>
    <w:rsid w:val="00E035F1"/>
    <w:rsid w:val="00E03F9A"/>
    <w:rsid w:val="00E04012"/>
    <w:rsid w:val="00E04161"/>
    <w:rsid w:val="00E04B3F"/>
    <w:rsid w:val="00E04B6D"/>
    <w:rsid w:val="00E04BEF"/>
    <w:rsid w:val="00E060C1"/>
    <w:rsid w:val="00E066F8"/>
    <w:rsid w:val="00E06B1E"/>
    <w:rsid w:val="00E07442"/>
    <w:rsid w:val="00E07787"/>
    <w:rsid w:val="00E078BA"/>
    <w:rsid w:val="00E07B7C"/>
    <w:rsid w:val="00E101C4"/>
    <w:rsid w:val="00E10371"/>
    <w:rsid w:val="00E10AAF"/>
    <w:rsid w:val="00E11E73"/>
    <w:rsid w:val="00E12CCE"/>
    <w:rsid w:val="00E12F56"/>
    <w:rsid w:val="00E131EA"/>
    <w:rsid w:val="00E13B08"/>
    <w:rsid w:val="00E147D5"/>
    <w:rsid w:val="00E14C0E"/>
    <w:rsid w:val="00E1614B"/>
    <w:rsid w:val="00E16642"/>
    <w:rsid w:val="00E17368"/>
    <w:rsid w:val="00E17479"/>
    <w:rsid w:val="00E1787C"/>
    <w:rsid w:val="00E21049"/>
    <w:rsid w:val="00E214D3"/>
    <w:rsid w:val="00E21BCA"/>
    <w:rsid w:val="00E2249E"/>
    <w:rsid w:val="00E22B76"/>
    <w:rsid w:val="00E22DB1"/>
    <w:rsid w:val="00E234F1"/>
    <w:rsid w:val="00E23FCD"/>
    <w:rsid w:val="00E24779"/>
    <w:rsid w:val="00E25868"/>
    <w:rsid w:val="00E25923"/>
    <w:rsid w:val="00E25AF8"/>
    <w:rsid w:val="00E26A11"/>
    <w:rsid w:val="00E26C55"/>
    <w:rsid w:val="00E26D10"/>
    <w:rsid w:val="00E26F6C"/>
    <w:rsid w:val="00E3007B"/>
    <w:rsid w:val="00E30924"/>
    <w:rsid w:val="00E30F63"/>
    <w:rsid w:val="00E318F7"/>
    <w:rsid w:val="00E31A15"/>
    <w:rsid w:val="00E337F6"/>
    <w:rsid w:val="00E34538"/>
    <w:rsid w:val="00E34917"/>
    <w:rsid w:val="00E34CA3"/>
    <w:rsid w:val="00E34D2B"/>
    <w:rsid w:val="00E35046"/>
    <w:rsid w:val="00E35166"/>
    <w:rsid w:val="00E35346"/>
    <w:rsid w:val="00E353B3"/>
    <w:rsid w:val="00E35FFD"/>
    <w:rsid w:val="00E36737"/>
    <w:rsid w:val="00E37003"/>
    <w:rsid w:val="00E375CC"/>
    <w:rsid w:val="00E37865"/>
    <w:rsid w:val="00E37DA6"/>
    <w:rsid w:val="00E37FE3"/>
    <w:rsid w:val="00E402F3"/>
    <w:rsid w:val="00E4061F"/>
    <w:rsid w:val="00E412F0"/>
    <w:rsid w:val="00E4146C"/>
    <w:rsid w:val="00E41DCC"/>
    <w:rsid w:val="00E4287B"/>
    <w:rsid w:val="00E43A99"/>
    <w:rsid w:val="00E43AAA"/>
    <w:rsid w:val="00E440E9"/>
    <w:rsid w:val="00E44727"/>
    <w:rsid w:val="00E44C62"/>
    <w:rsid w:val="00E45295"/>
    <w:rsid w:val="00E4551D"/>
    <w:rsid w:val="00E456FD"/>
    <w:rsid w:val="00E45D71"/>
    <w:rsid w:val="00E477BE"/>
    <w:rsid w:val="00E50BAA"/>
    <w:rsid w:val="00E520A9"/>
    <w:rsid w:val="00E52AC1"/>
    <w:rsid w:val="00E533A5"/>
    <w:rsid w:val="00E539F5"/>
    <w:rsid w:val="00E54729"/>
    <w:rsid w:val="00E54A0E"/>
    <w:rsid w:val="00E54EF2"/>
    <w:rsid w:val="00E55042"/>
    <w:rsid w:val="00E553DE"/>
    <w:rsid w:val="00E55B27"/>
    <w:rsid w:val="00E56BC1"/>
    <w:rsid w:val="00E5763E"/>
    <w:rsid w:val="00E57B11"/>
    <w:rsid w:val="00E57FF7"/>
    <w:rsid w:val="00E60334"/>
    <w:rsid w:val="00E6049B"/>
    <w:rsid w:val="00E60DC5"/>
    <w:rsid w:val="00E61175"/>
    <w:rsid w:val="00E61EDC"/>
    <w:rsid w:val="00E625F5"/>
    <w:rsid w:val="00E627BE"/>
    <w:rsid w:val="00E62A4F"/>
    <w:rsid w:val="00E62BD7"/>
    <w:rsid w:val="00E62BED"/>
    <w:rsid w:val="00E634C8"/>
    <w:rsid w:val="00E63559"/>
    <w:rsid w:val="00E63872"/>
    <w:rsid w:val="00E63F68"/>
    <w:rsid w:val="00E6415F"/>
    <w:rsid w:val="00E645C4"/>
    <w:rsid w:val="00E64B25"/>
    <w:rsid w:val="00E64F98"/>
    <w:rsid w:val="00E6539E"/>
    <w:rsid w:val="00E6553E"/>
    <w:rsid w:val="00E659D8"/>
    <w:rsid w:val="00E66E37"/>
    <w:rsid w:val="00E67180"/>
    <w:rsid w:val="00E67387"/>
    <w:rsid w:val="00E674A9"/>
    <w:rsid w:val="00E676E2"/>
    <w:rsid w:val="00E714C6"/>
    <w:rsid w:val="00E71D12"/>
    <w:rsid w:val="00E71EBA"/>
    <w:rsid w:val="00E721FF"/>
    <w:rsid w:val="00E73531"/>
    <w:rsid w:val="00E73BD4"/>
    <w:rsid w:val="00E74141"/>
    <w:rsid w:val="00E745E9"/>
    <w:rsid w:val="00E74A56"/>
    <w:rsid w:val="00E74FA5"/>
    <w:rsid w:val="00E756A8"/>
    <w:rsid w:val="00E76032"/>
    <w:rsid w:val="00E7680F"/>
    <w:rsid w:val="00E768F2"/>
    <w:rsid w:val="00E76E38"/>
    <w:rsid w:val="00E76EB5"/>
    <w:rsid w:val="00E7702B"/>
    <w:rsid w:val="00E77424"/>
    <w:rsid w:val="00E77A6C"/>
    <w:rsid w:val="00E77E9E"/>
    <w:rsid w:val="00E8033E"/>
    <w:rsid w:val="00E81582"/>
    <w:rsid w:val="00E81B6B"/>
    <w:rsid w:val="00E81DED"/>
    <w:rsid w:val="00E82316"/>
    <w:rsid w:val="00E825B3"/>
    <w:rsid w:val="00E82BE3"/>
    <w:rsid w:val="00E834DA"/>
    <w:rsid w:val="00E83945"/>
    <w:rsid w:val="00E843AC"/>
    <w:rsid w:val="00E848EC"/>
    <w:rsid w:val="00E8491C"/>
    <w:rsid w:val="00E849DE"/>
    <w:rsid w:val="00E84CF5"/>
    <w:rsid w:val="00E84ED1"/>
    <w:rsid w:val="00E85948"/>
    <w:rsid w:val="00E85F65"/>
    <w:rsid w:val="00E86536"/>
    <w:rsid w:val="00E866C7"/>
    <w:rsid w:val="00E86822"/>
    <w:rsid w:val="00E86EB3"/>
    <w:rsid w:val="00E87075"/>
    <w:rsid w:val="00E8744B"/>
    <w:rsid w:val="00E901F1"/>
    <w:rsid w:val="00E903DA"/>
    <w:rsid w:val="00E9167E"/>
    <w:rsid w:val="00E918FC"/>
    <w:rsid w:val="00E920B0"/>
    <w:rsid w:val="00E922A4"/>
    <w:rsid w:val="00E925CE"/>
    <w:rsid w:val="00E926EF"/>
    <w:rsid w:val="00E92865"/>
    <w:rsid w:val="00E929DE"/>
    <w:rsid w:val="00E930C8"/>
    <w:rsid w:val="00E932BF"/>
    <w:rsid w:val="00E9356A"/>
    <w:rsid w:val="00E9356F"/>
    <w:rsid w:val="00E93DEC"/>
    <w:rsid w:val="00E93F3F"/>
    <w:rsid w:val="00E96441"/>
    <w:rsid w:val="00E967A0"/>
    <w:rsid w:val="00E96AD7"/>
    <w:rsid w:val="00E96CD1"/>
    <w:rsid w:val="00E97E04"/>
    <w:rsid w:val="00E97F3D"/>
    <w:rsid w:val="00EA00AF"/>
    <w:rsid w:val="00EA0305"/>
    <w:rsid w:val="00EA05D9"/>
    <w:rsid w:val="00EA0712"/>
    <w:rsid w:val="00EA0D63"/>
    <w:rsid w:val="00EA0EDC"/>
    <w:rsid w:val="00EA1104"/>
    <w:rsid w:val="00EA12FD"/>
    <w:rsid w:val="00EA166C"/>
    <w:rsid w:val="00EA1886"/>
    <w:rsid w:val="00EA1988"/>
    <w:rsid w:val="00EA23B8"/>
    <w:rsid w:val="00EA339F"/>
    <w:rsid w:val="00EA3AF0"/>
    <w:rsid w:val="00EA3DAC"/>
    <w:rsid w:val="00EA4134"/>
    <w:rsid w:val="00EA4278"/>
    <w:rsid w:val="00EA463B"/>
    <w:rsid w:val="00EA4CC5"/>
    <w:rsid w:val="00EA5257"/>
    <w:rsid w:val="00EA59B6"/>
    <w:rsid w:val="00EA59B9"/>
    <w:rsid w:val="00EA60F5"/>
    <w:rsid w:val="00EA63FD"/>
    <w:rsid w:val="00EA789C"/>
    <w:rsid w:val="00EA7FB2"/>
    <w:rsid w:val="00EB0433"/>
    <w:rsid w:val="00EB0520"/>
    <w:rsid w:val="00EB0DE4"/>
    <w:rsid w:val="00EB1B8B"/>
    <w:rsid w:val="00EB2F92"/>
    <w:rsid w:val="00EB3ACB"/>
    <w:rsid w:val="00EB3C54"/>
    <w:rsid w:val="00EB44E0"/>
    <w:rsid w:val="00EB4951"/>
    <w:rsid w:val="00EB4A42"/>
    <w:rsid w:val="00EB4AFF"/>
    <w:rsid w:val="00EB4C9A"/>
    <w:rsid w:val="00EB56BC"/>
    <w:rsid w:val="00EB58F8"/>
    <w:rsid w:val="00EB6329"/>
    <w:rsid w:val="00EB6B58"/>
    <w:rsid w:val="00EB72C2"/>
    <w:rsid w:val="00EB7913"/>
    <w:rsid w:val="00EB797B"/>
    <w:rsid w:val="00EC098E"/>
    <w:rsid w:val="00EC0BCB"/>
    <w:rsid w:val="00EC0E71"/>
    <w:rsid w:val="00EC0F76"/>
    <w:rsid w:val="00EC1A8C"/>
    <w:rsid w:val="00EC23A4"/>
    <w:rsid w:val="00EC2E7E"/>
    <w:rsid w:val="00EC31AC"/>
    <w:rsid w:val="00EC3D5D"/>
    <w:rsid w:val="00EC42BC"/>
    <w:rsid w:val="00EC4DB1"/>
    <w:rsid w:val="00EC4EB1"/>
    <w:rsid w:val="00EC5311"/>
    <w:rsid w:val="00EC62E2"/>
    <w:rsid w:val="00EC6375"/>
    <w:rsid w:val="00EC7B14"/>
    <w:rsid w:val="00EC7D1F"/>
    <w:rsid w:val="00ED0AB1"/>
    <w:rsid w:val="00ED0E77"/>
    <w:rsid w:val="00ED1585"/>
    <w:rsid w:val="00ED2A36"/>
    <w:rsid w:val="00ED3250"/>
    <w:rsid w:val="00ED3748"/>
    <w:rsid w:val="00ED4330"/>
    <w:rsid w:val="00ED4538"/>
    <w:rsid w:val="00ED485F"/>
    <w:rsid w:val="00ED4C7C"/>
    <w:rsid w:val="00ED5A79"/>
    <w:rsid w:val="00ED613A"/>
    <w:rsid w:val="00ED6607"/>
    <w:rsid w:val="00ED6703"/>
    <w:rsid w:val="00ED6CFA"/>
    <w:rsid w:val="00ED6D53"/>
    <w:rsid w:val="00ED6D77"/>
    <w:rsid w:val="00ED7A4F"/>
    <w:rsid w:val="00ED7C8E"/>
    <w:rsid w:val="00EE0FFE"/>
    <w:rsid w:val="00EE10F6"/>
    <w:rsid w:val="00EE175C"/>
    <w:rsid w:val="00EE1855"/>
    <w:rsid w:val="00EE1E75"/>
    <w:rsid w:val="00EE2B68"/>
    <w:rsid w:val="00EE30F8"/>
    <w:rsid w:val="00EE3311"/>
    <w:rsid w:val="00EE4A7B"/>
    <w:rsid w:val="00EE4F00"/>
    <w:rsid w:val="00EE57F9"/>
    <w:rsid w:val="00EE5A80"/>
    <w:rsid w:val="00EE65A0"/>
    <w:rsid w:val="00EE6D70"/>
    <w:rsid w:val="00EE6E54"/>
    <w:rsid w:val="00EE785E"/>
    <w:rsid w:val="00EE7C03"/>
    <w:rsid w:val="00EE7DF3"/>
    <w:rsid w:val="00EF032F"/>
    <w:rsid w:val="00EF1023"/>
    <w:rsid w:val="00EF1386"/>
    <w:rsid w:val="00EF1CE1"/>
    <w:rsid w:val="00EF1E6D"/>
    <w:rsid w:val="00EF2491"/>
    <w:rsid w:val="00EF256B"/>
    <w:rsid w:val="00EF469C"/>
    <w:rsid w:val="00EF4DF8"/>
    <w:rsid w:val="00EF523D"/>
    <w:rsid w:val="00EF524E"/>
    <w:rsid w:val="00EF5277"/>
    <w:rsid w:val="00EF5B4A"/>
    <w:rsid w:val="00EF5CAD"/>
    <w:rsid w:val="00EF611F"/>
    <w:rsid w:val="00EF76E1"/>
    <w:rsid w:val="00EF78D4"/>
    <w:rsid w:val="00F00216"/>
    <w:rsid w:val="00F013CA"/>
    <w:rsid w:val="00F0168D"/>
    <w:rsid w:val="00F02682"/>
    <w:rsid w:val="00F02979"/>
    <w:rsid w:val="00F02D97"/>
    <w:rsid w:val="00F03001"/>
    <w:rsid w:val="00F0445B"/>
    <w:rsid w:val="00F04873"/>
    <w:rsid w:val="00F04A49"/>
    <w:rsid w:val="00F04F06"/>
    <w:rsid w:val="00F05039"/>
    <w:rsid w:val="00F05A25"/>
    <w:rsid w:val="00F06260"/>
    <w:rsid w:val="00F062F3"/>
    <w:rsid w:val="00F0679C"/>
    <w:rsid w:val="00F06A85"/>
    <w:rsid w:val="00F06CEE"/>
    <w:rsid w:val="00F06D1D"/>
    <w:rsid w:val="00F07272"/>
    <w:rsid w:val="00F10143"/>
    <w:rsid w:val="00F1030E"/>
    <w:rsid w:val="00F10915"/>
    <w:rsid w:val="00F10925"/>
    <w:rsid w:val="00F110A1"/>
    <w:rsid w:val="00F11346"/>
    <w:rsid w:val="00F1230C"/>
    <w:rsid w:val="00F12E2A"/>
    <w:rsid w:val="00F12EA2"/>
    <w:rsid w:val="00F12F6C"/>
    <w:rsid w:val="00F13DAE"/>
    <w:rsid w:val="00F13F49"/>
    <w:rsid w:val="00F14336"/>
    <w:rsid w:val="00F151D0"/>
    <w:rsid w:val="00F15391"/>
    <w:rsid w:val="00F153B7"/>
    <w:rsid w:val="00F157D8"/>
    <w:rsid w:val="00F15954"/>
    <w:rsid w:val="00F15BE6"/>
    <w:rsid w:val="00F15E24"/>
    <w:rsid w:val="00F16BF9"/>
    <w:rsid w:val="00F16C58"/>
    <w:rsid w:val="00F16F11"/>
    <w:rsid w:val="00F17F8A"/>
    <w:rsid w:val="00F201AD"/>
    <w:rsid w:val="00F2132D"/>
    <w:rsid w:val="00F21481"/>
    <w:rsid w:val="00F21980"/>
    <w:rsid w:val="00F21B21"/>
    <w:rsid w:val="00F221ED"/>
    <w:rsid w:val="00F222BB"/>
    <w:rsid w:val="00F23004"/>
    <w:rsid w:val="00F230E5"/>
    <w:rsid w:val="00F231CC"/>
    <w:rsid w:val="00F23F71"/>
    <w:rsid w:val="00F23FBA"/>
    <w:rsid w:val="00F24053"/>
    <w:rsid w:val="00F2491A"/>
    <w:rsid w:val="00F24B40"/>
    <w:rsid w:val="00F24C2A"/>
    <w:rsid w:val="00F24E0C"/>
    <w:rsid w:val="00F24EF6"/>
    <w:rsid w:val="00F254E4"/>
    <w:rsid w:val="00F25DEA"/>
    <w:rsid w:val="00F2658A"/>
    <w:rsid w:val="00F26FBB"/>
    <w:rsid w:val="00F30166"/>
    <w:rsid w:val="00F31DA5"/>
    <w:rsid w:val="00F31E5A"/>
    <w:rsid w:val="00F32660"/>
    <w:rsid w:val="00F33D21"/>
    <w:rsid w:val="00F34048"/>
    <w:rsid w:val="00F34139"/>
    <w:rsid w:val="00F354DB"/>
    <w:rsid w:val="00F3551D"/>
    <w:rsid w:val="00F35D19"/>
    <w:rsid w:val="00F37E64"/>
    <w:rsid w:val="00F37F84"/>
    <w:rsid w:val="00F404F7"/>
    <w:rsid w:val="00F40E75"/>
    <w:rsid w:val="00F41269"/>
    <w:rsid w:val="00F41319"/>
    <w:rsid w:val="00F413FE"/>
    <w:rsid w:val="00F41C49"/>
    <w:rsid w:val="00F42068"/>
    <w:rsid w:val="00F4271F"/>
    <w:rsid w:val="00F4396F"/>
    <w:rsid w:val="00F43EA9"/>
    <w:rsid w:val="00F44B13"/>
    <w:rsid w:val="00F44E40"/>
    <w:rsid w:val="00F45BE7"/>
    <w:rsid w:val="00F46231"/>
    <w:rsid w:val="00F4624F"/>
    <w:rsid w:val="00F463D7"/>
    <w:rsid w:val="00F473ED"/>
    <w:rsid w:val="00F47C7A"/>
    <w:rsid w:val="00F47F53"/>
    <w:rsid w:val="00F50163"/>
    <w:rsid w:val="00F5044D"/>
    <w:rsid w:val="00F5066B"/>
    <w:rsid w:val="00F50D0A"/>
    <w:rsid w:val="00F510C7"/>
    <w:rsid w:val="00F510E2"/>
    <w:rsid w:val="00F51119"/>
    <w:rsid w:val="00F51420"/>
    <w:rsid w:val="00F515F1"/>
    <w:rsid w:val="00F51C27"/>
    <w:rsid w:val="00F51DC6"/>
    <w:rsid w:val="00F5273A"/>
    <w:rsid w:val="00F52D6B"/>
    <w:rsid w:val="00F52E18"/>
    <w:rsid w:val="00F53AE9"/>
    <w:rsid w:val="00F53B7A"/>
    <w:rsid w:val="00F546FB"/>
    <w:rsid w:val="00F549C4"/>
    <w:rsid w:val="00F55335"/>
    <w:rsid w:val="00F556CE"/>
    <w:rsid w:val="00F5579C"/>
    <w:rsid w:val="00F558B3"/>
    <w:rsid w:val="00F5602B"/>
    <w:rsid w:val="00F564C0"/>
    <w:rsid w:val="00F56AC9"/>
    <w:rsid w:val="00F56DA0"/>
    <w:rsid w:val="00F57090"/>
    <w:rsid w:val="00F57436"/>
    <w:rsid w:val="00F575FA"/>
    <w:rsid w:val="00F57804"/>
    <w:rsid w:val="00F57CC0"/>
    <w:rsid w:val="00F57D1C"/>
    <w:rsid w:val="00F602E8"/>
    <w:rsid w:val="00F603D6"/>
    <w:rsid w:val="00F6086A"/>
    <w:rsid w:val="00F6139A"/>
    <w:rsid w:val="00F61654"/>
    <w:rsid w:val="00F61F66"/>
    <w:rsid w:val="00F62057"/>
    <w:rsid w:val="00F624BC"/>
    <w:rsid w:val="00F62767"/>
    <w:rsid w:val="00F62772"/>
    <w:rsid w:val="00F62824"/>
    <w:rsid w:val="00F62D7C"/>
    <w:rsid w:val="00F632A1"/>
    <w:rsid w:val="00F634C8"/>
    <w:rsid w:val="00F636C6"/>
    <w:rsid w:val="00F638CC"/>
    <w:rsid w:val="00F63BAA"/>
    <w:rsid w:val="00F63E30"/>
    <w:rsid w:val="00F64025"/>
    <w:rsid w:val="00F64A6E"/>
    <w:rsid w:val="00F66112"/>
    <w:rsid w:val="00F663B1"/>
    <w:rsid w:val="00F66641"/>
    <w:rsid w:val="00F66BA4"/>
    <w:rsid w:val="00F66E20"/>
    <w:rsid w:val="00F67071"/>
    <w:rsid w:val="00F67155"/>
    <w:rsid w:val="00F7029D"/>
    <w:rsid w:val="00F7058F"/>
    <w:rsid w:val="00F70D21"/>
    <w:rsid w:val="00F70EA8"/>
    <w:rsid w:val="00F70FEF"/>
    <w:rsid w:val="00F71C43"/>
    <w:rsid w:val="00F72916"/>
    <w:rsid w:val="00F72FF6"/>
    <w:rsid w:val="00F733AE"/>
    <w:rsid w:val="00F73D5F"/>
    <w:rsid w:val="00F74F3A"/>
    <w:rsid w:val="00F7574A"/>
    <w:rsid w:val="00F75C02"/>
    <w:rsid w:val="00F76553"/>
    <w:rsid w:val="00F76F21"/>
    <w:rsid w:val="00F77361"/>
    <w:rsid w:val="00F778A7"/>
    <w:rsid w:val="00F7799A"/>
    <w:rsid w:val="00F77B69"/>
    <w:rsid w:val="00F77ECB"/>
    <w:rsid w:val="00F80856"/>
    <w:rsid w:val="00F81047"/>
    <w:rsid w:val="00F81E47"/>
    <w:rsid w:val="00F824EF"/>
    <w:rsid w:val="00F832C2"/>
    <w:rsid w:val="00F8368E"/>
    <w:rsid w:val="00F839AA"/>
    <w:rsid w:val="00F8406F"/>
    <w:rsid w:val="00F846FA"/>
    <w:rsid w:val="00F857EB"/>
    <w:rsid w:val="00F85C38"/>
    <w:rsid w:val="00F85DC6"/>
    <w:rsid w:val="00F85E14"/>
    <w:rsid w:val="00F85F2E"/>
    <w:rsid w:val="00F86474"/>
    <w:rsid w:val="00F866D7"/>
    <w:rsid w:val="00F868B4"/>
    <w:rsid w:val="00F8730A"/>
    <w:rsid w:val="00F87BBE"/>
    <w:rsid w:val="00F87F64"/>
    <w:rsid w:val="00F9011F"/>
    <w:rsid w:val="00F9016F"/>
    <w:rsid w:val="00F90601"/>
    <w:rsid w:val="00F90AA9"/>
    <w:rsid w:val="00F910FB"/>
    <w:rsid w:val="00F91137"/>
    <w:rsid w:val="00F9137C"/>
    <w:rsid w:val="00F91650"/>
    <w:rsid w:val="00F916BF"/>
    <w:rsid w:val="00F934DA"/>
    <w:rsid w:val="00F93747"/>
    <w:rsid w:val="00F94149"/>
    <w:rsid w:val="00F948A0"/>
    <w:rsid w:val="00F950D5"/>
    <w:rsid w:val="00F9694A"/>
    <w:rsid w:val="00F96A11"/>
    <w:rsid w:val="00F96A14"/>
    <w:rsid w:val="00F96E1A"/>
    <w:rsid w:val="00F97953"/>
    <w:rsid w:val="00FA0101"/>
    <w:rsid w:val="00FA1347"/>
    <w:rsid w:val="00FA14E9"/>
    <w:rsid w:val="00FA1FB9"/>
    <w:rsid w:val="00FA230B"/>
    <w:rsid w:val="00FA2FF5"/>
    <w:rsid w:val="00FA306F"/>
    <w:rsid w:val="00FA429B"/>
    <w:rsid w:val="00FA4CE6"/>
    <w:rsid w:val="00FA54BD"/>
    <w:rsid w:val="00FA632E"/>
    <w:rsid w:val="00FA744F"/>
    <w:rsid w:val="00FA78FD"/>
    <w:rsid w:val="00FB06BB"/>
    <w:rsid w:val="00FB0D47"/>
    <w:rsid w:val="00FB11BE"/>
    <w:rsid w:val="00FB1217"/>
    <w:rsid w:val="00FB1357"/>
    <w:rsid w:val="00FB1B56"/>
    <w:rsid w:val="00FB1C15"/>
    <w:rsid w:val="00FB1E01"/>
    <w:rsid w:val="00FB1EA1"/>
    <w:rsid w:val="00FB1F51"/>
    <w:rsid w:val="00FB2A3E"/>
    <w:rsid w:val="00FB3427"/>
    <w:rsid w:val="00FB3C01"/>
    <w:rsid w:val="00FB3C4C"/>
    <w:rsid w:val="00FB4A27"/>
    <w:rsid w:val="00FB4C6F"/>
    <w:rsid w:val="00FB5095"/>
    <w:rsid w:val="00FB60AA"/>
    <w:rsid w:val="00FB78B9"/>
    <w:rsid w:val="00FB7AAD"/>
    <w:rsid w:val="00FC2258"/>
    <w:rsid w:val="00FC2656"/>
    <w:rsid w:val="00FC281E"/>
    <w:rsid w:val="00FC39F9"/>
    <w:rsid w:val="00FC4186"/>
    <w:rsid w:val="00FC53A3"/>
    <w:rsid w:val="00FC563E"/>
    <w:rsid w:val="00FC5E76"/>
    <w:rsid w:val="00FC5ED2"/>
    <w:rsid w:val="00FC69CF"/>
    <w:rsid w:val="00FC6DA3"/>
    <w:rsid w:val="00FC70CB"/>
    <w:rsid w:val="00FC7214"/>
    <w:rsid w:val="00FC75B1"/>
    <w:rsid w:val="00FD0765"/>
    <w:rsid w:val="00FD08A1"/>
    <w:rsid w:val="00FD08E7"/>
    <w:rsid w:val="00FD0906"/>
    <w:rsid w:val="00FD0B70"/>
    <w:rsid w:val="00FD0D76"/>
    <w:rsid w:val="00FD0F5B"/>
    <w:rsid w:val="00FD11B8"/>
    <w:rsid w:val="00FD138C"/>
    <w:rsid w:val="00FD1440"/>
    <w:rsid w:val="00FD1489"/>
    <w:rsid w:val="00FD17D7"/>
    <w:rsid w:val="00FD24C4"/>
    <w:rsid w:val="00FD2709"/>
    <w:rsid w:val="00FD2B96"/>
    <w:rsid w:val="00FD2DA9"/>
    <w:rsid w:val="00FD30AE"/>
    <w:rsid w:val="00FD33A2"/>
    <w:rsid w:val="00FD34DC"/>
    <w:rsid w:val="00FD3A80"/>
    <w:rsid w:val="00FD3C93"/>
    <w:rsid w:val="00FD3DC9"/>
    <w:rsid w:val="00FD3EC2"/>
    <w:rsid w:val="00FD3F8F"/>
    <w:rsid w:val="00FD422C"/>
    <w:rsid w:val="00FD5005"/>
    <w:rsid w:val="00FD538B"/>
    <w:rsid w:val="00FD59F1"/>
    <w:rsid w:val="00FD5D6C"/>
    <w:rsid w:val="00FD6FE2"/>
    <w:rsid w:val="00FD74CB"/>
    <w:rsid w:val="00FD7543"/>
    <w:rsid w:val="00FD75B2"/>
    <w:rsid w:val="00FD778C"/>
    <w:rsid w:val="00FD7A11"/>
    <w:rsid w:val="00FD7A5B"/>
    <w:rsid w:val="00FD7BF5"/>
    <w:rsid w:val="00FE0380"/>
    <w:rsid w:val="00FE0B31"/>
    <w:rsid w:val="00FE1352"/>
    <w:rsid w:val="00FE185C"/>
    <w:rsid w:val="00FE1ADB"/>
    <w:rsid w:val="00FE2921"/>
    <w:rsid w:val="00FE2F6B"/>
    <w:rsid w:val="00FE2F8F"/>
    <w:rsid w:val="00FE3050"/>
    <w:rsid w:val="00FE37CD"/>
    <w:rsid w:val="00FE3BC4"/>
    <w:rsid w:val="00FE3C5F"/>
    <w:rsid w:val="00FE401B"/>
    <w:rsid w:val="00FE4705"/>
    <w:rsid w:val="00FE557C"/>
    <w:rsid w:val="00FE561C"/>
    <w:rsid w:val="00FE5AB6"/>
    <w:rsid w:val="00FE603B"/>
    <w:rsid w:val="00FE7855"/>
    <w:rsid w:val="00FF008E"/>
    <w:rsid w:val="00FF0B75"/>
    <w:rsid w:val="00FF13E3"/>
    <w:rsid w:val="00FF2A48"/>
    <w:rsid w:val="00FF2CE5"/>
    <w:rsid w:val="00FF3488"/>
    <w:rsid w:val="00FF3814"/>
    <w:rsid w:val="00FF3F2A"/>
    <w:rsid w:val="00FF41C1"/>
    <w:rsid w:val="00FF44C7"/>
    <w:rsid w:val="00FF4C3A"/>
    <w:rsid w:val="00FF4EA2"/>
    <w:rsid w:val="00FF4EA6"/>
    <w:rsid w:val="00FF4FF8"/>
    <w:rsid w:val="00FF59FF"/>
    <w:rsid w:val="00FF5F51"/>
    <w:rsid w:val="00FF62F4"/>
    <w:rsid w:val="00FF6519"/>
    <w:rsid w:val="00FF67E8"/>
    <w:rsid w:val="00FF6B7B"/>
    <w:rsid w:val="00FF761E"/>
    <w:rsid w:val="00FF77FF"/>
    <w:rsid w:val="00FF7809"/>
  </w:rsids>
  <m:mathPr>
    <m:mathFont m:val="Cambria Math"/>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annotation text" w:uiPriority="99"/>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7B6"/>
    <w:rPr>
      <w:rFonts w:ascii="Times New Roman" w:eastAsia="Times New Roman" w:hAnsi="Times New Roman"/>
      <w:sz w:val="22"/>
      <w:lang w:val="en-US" w:eastAsia="ja-JP"/>
    </w:rPr>
  </w:style>
  <w:style w:type="paragraph" w:styleId="Heading1">
    <w:name w:val="heading 1"/>
    <w:basedOn w:val="Normal"/>
    <w:next w:val="Normal"/>
    <w:link w:val="Heading1Char"/>
    <w:qFormat/>
    <w:rsid w:val="003357B6"/>
    <w:pPr>
      <w:ind w:left="567" w:hanging="567"/>
      <w:outlineLvl w:val="0"/>
    </w:pPr>
    <w:rPr>
      <w:b/>
      <w:caps/>
    </w:rPr>
  </w:style>
  <w:style w:type="paragraph" w:styleId="Heading2">
    <w:name w:val="heading 2"/>
    <w:basedOn w:val="Heading1"/>
    <w:next w:val="Normal"/>
    <w:link w:val="Heading2Char"/>
    <w:qFormat/>
    <w:rsid w:val="003357B6"/>
    <w:pPr>
      <w:outlineLvl w:val="1"/>
    </w:pPr>
    <w:rPr>
      <w:caps w:val="0"/>
    </w:rPr>
  </w:style>
  <w:style w:type="paragraph" w:styleId="Heading3">
    <w:name w:val="heading 3"/>
    <w:basedOn w:val="Normal"/>
    <w:next w:val="Normal"/>
    <w:link w:val="Heading3Char"/>
    <w:qFormat/>
    <w:rsid w:val="003357B6"/>
    <w:pPr>
      <w:keepNext/>
      <w:spacing w:before="240" w:after="60"/>
      <w:outlineLvl w:val="2"/>
    </w:pPr>
    <w:rPr>
      <w:rFonts w:ascii="Arial" w:hAnsi="Arial" w:cs="Arial"/>
      <w:b/>
      <w:bCs/>
      <w:sz w:val="26"/>
      <w:szCs w:val="26"/>
    </w:rPr>
  </w:style>
  <w:style w:type="paragraph" w:styleId="Heading4">
    <w:name w:val="heading 4"/>
    <w:basedOn w:val="Heading3"/>
    <w:next w:val="Paragraph"/>
    <w:link w:val="Heading4Char"/>
    <w:qFormat/>
    <w:rsid w:val="004136AB"/>
    <w:pPr>
      <w:numPr>
        <w:ilvl w:val="3"/>
        <w:numId w:val="12"/>
      </w:numPr>
      <w:spacing w:after="20" w:line="260" w:lineRule="exact"/>
      <w:outlineLvl w:val="3"/>
    </w:pPr>
    <w:rPr>
      <w:rFonts w:cs="Times New Roman"/>
      <w:bCs w:val="0"/>
      <w:szCs w:val="28"/>
    </w:rPr>
  </w:style>
  <w:style w:type="paragraph" w:styleId="Heading5">
    <w:name w:val="heading 5"/>
    <w:basedOn w:val="Heading4"/>
    <w:next w:val="Paragraph"/>
    <w:link w:val="Heading5Char"/>
    <w:qFormat/>
    <w:rsid w:val="004136AB"/>
    <w:pPr>
      <w:numPr>
        <w:ilvl w:val="4"/>
      </w:numPr>
      <w:tabs>
        <w:tab w:val="num" w:pos="432"/>
      </w:tabs>
      <w:ind w:left="432" w:hanging="432"/>
      <w:outlineLvl w:val="4"/>
    </w:pPr>
    <w:rPr>
      <w:bCs/>
      <w:iCs/>
      <w:szCs w:val="26"/>
    </w:rPr>
  </w:style>
  <w:style w:type="paragraph" w:styleId="Heading6">
    <w:name w:val="heading 6"/>
    <w:basedOn w:val="Heading5"/>
    <w:next w:val="Paragraph"/>
    <w:link w:val="Heading6Char"/>
    <w:qFormat/>
    <w:rsid w:val="004136AB"/>
    <w:pPr>
      <w:numPr>
        <w:ilvl w:val="5"/>
      </w:numPr>
      <w:tabs>
        <w:tab w:val="num" w:pos="432"/>
        <w:tab w:val="clear" w:pos="1411"/>
      </w:tabs>
      <w:ind w:left="432" w:hanging="432"/>
      <w:outlineLvl w:val="5"/>
    </w:pPr>
    <w:rPr>
      <w:bCs w:val="0"/>
      <w:szCs w:val="22"/>
    </w:rPr>
  </w:style>
  <w:style w:type="paragraph" w:styleId="Heading7">
    <w:name w:val="heading 7"/>
    <w:basedOn w:val="Heading6"/>
    <w:next w:val="Paragraph"/>
    <w:link w:val="Heading7Char"/>
    <w:qFormat/>
    <w:rsid w:val="004136AB"/>
    <w:pPr>
      <w:numPr>
        <w:ilvl w:val="6"/>
      </w:numPr>
      <w:tabs>
        <w:tab w:val="num" w:pos="432"/>
        <w:tab w:val="clear" w:pos="1411"/>
      </w:tabs>
      <w:ind w:left="432" w:hanging="432"/>
      <w:outlineLvl w:val="6"/>
    </w:pPr>
  </w:style>
  <w:style w:type="paragraph" w:styleId="Heading8">
    <w:name w:val="heading 8"/>
    <w:basedOn w:val="Heading7"/>
    <w:next w:val="Paragraph"/>
    <w:link w:val="Heading8Char"/>
    <w:qFormat/>
    <w:rsid w:val="004136AB"/>
    <w:pPr>
      <w:numPr>
        <w:ilvl w:val="7"/>
      </w:numPr>
      <w:tabs>
        <w:tab w:val="num" w:pos="432"/>
        <w:tab w:val="clear" w:pos="1411"/>
      </w:tabs>
      <w:ind w:left="432" w:hanging="432"/>
      <w:outlineLvl w:val="7"/>
    </w:pPr>
    <w:rPr>
      <w:iCs w:val="0"/>
    </w:rPr>
  </w:style>
  <w:style w:type="paragraph" w:styleId="Heading9">
    <w:name w:val="heading 9"/>
    <w:basedOn w:val="Heading8"/>
    <w:next w:val="Paragraph"/>
    <w:link w:val="Heading9Char"/>
    <w:qFormat/>
    <w:rsid w:val="004136AB"/>
    <w:pPr>
      <w:numPr>
        <w:ilvl w:val="8"/>
      </w:numPr>
      <w:tabs>
        <w:tab w:val="num" w:pos="432"/>
        <w:tab w:val="clear" w:pos="1411"/>
      </w:tabs>
      <w:ind w:left="432" w:hanging="43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21">
    <w:name w:val="Medium Shading 1 - Accent 21"/>
    <w:uiPriority w:val="1"/>
    <w:qFormat/>
    <w:rsid w:val="007D58DB"/>
    <w:rPr>
      <w:rFonts w:ascii="Minion" w:hAnsi="Minion"/>
      <w:sz w:val="22"/>
      <w:szCs w:val="22"/>
      <w:lang w:val="en-US" w:eastAsia="zh-TW"/>
    </w:rPr>
  </w:style>
  <w:style w:type="character" w:customStyle="1" w:styleId="Heading1Char">
    <w:name w:val="Heading 1 Char"/>
    <w:link w:val="Heading1"/>
    <w:rsid w:val="00FD7A5B"/>
    <w:rPr>
      <w:rFonts w:ascii="Times New Roman" w:eastAsia="Times New Roman" w:hAnsi="Times New Roman"/>
      <w:b/>
      <w:caps/>
      <w:sz w:val="22"/>
      <w:lang w:val="en-US" w:eastAsia="ja-JP"/>
    </w:rPr>
  </w:style>
  <w:style w:type="character" w:customStyle="1" w:styleId="Heading2Char">
    <w:name w:val="Heading 2 Char"/>
    <w:link w:val="Heading2"/>
    <w:rsid w:val="00DD684E"/>
    <w:rPr>
      <w:rFonts w:ascii="Times New Roman" w:eastAsia="Times New Roman" w:hAnsi="Times New Roman"/>
      <w:b/>
      <w:sz w:val="22"/>
      <w:lang w:val="en-US" w:eastAsia="ja-JP"/>
    </w:rPr>
  </w:style>
  <w:style w:type="character" w:customStyle="1" w:styleId="Heading3Char">
    <w:name w:val="Heading 3 Char"/>
    <w:link w:val="Heading3"/>
    <w:rsid w:val="00DD684E"/>
    <w:rPr>
      <w:rFonts w:ascii="Arial" w:eastAsia="Times New Roman" w:hAnsi="Arial" w:cs="Arial"/>
      <w:b/>
      <w:bCs/>
      <w:sz w:val="26"/>
      <w:szCs w:val="26"/>
      <w:lang w:val="en-US" w:eastAsia="ja-JP"/>
    </w:rPr>
  </w:style>
  <w:style w:type="character" w:customStyle="1" w:styleId="Heading4Char">
    <w:name w:val="Heading 4 Char"/>
    <w:link w:val="Heading4"/>
    <w:rsid w:val="00DD684E"/>
    <w:rPr>
      <w:rFonts w:ascii="Arial" w:hAnsi="Arial" w:cs="Arial"/>
      <w:b/>
      <w:sz w:val="26"/>
      <w:szCs w:val="28"/>
      <w:lang w:val="en-US" w:eastAsia="ja-JP"/>
    </w:rPr>
  </w:style>
  <w:style w:type="character" w:customStyle="1" w:styleId="Heading5Char">
    <w:name w:val="Heading 5 Char"/>
    <w:link w:val="Heading5"/>
    <w:rsid w:val="00DD684E"/>
    <w:rPr>
      <w:rFonts w:ascii="Arial" w:hAnsi="Arial" w:cs="Arial"/>
      <w:b/>
      <w:bCs/>
      <w:iCs/>
      <w:sz w:val="26"/>
      <w:szCs w:val="26"/>
      <w:lang w:val="en-US" w:eastAsia="ja-JP"/>
    </w:rPr>
  </w:style>
  <w:style w:type="character" w:customStyle="1" w:styleId="Heading6Char">
    <w:name w:val="Heading 6 Char"/>
    <w:link w:val="Heading6"/>
    <w:rsid w:val="00DD684E"/>
    <w:rPr>
      <w:rFonts w:ascii="Arial" w:hAnsi="Arial" w:cs="Arial"/>
      <w:b/>
      <w:iCs/>
      <w:sz w:val="26"/>
      <w:szCs w:val="22"/>
      <w:lang w:val="en-US" w:eastAsia="ja-JP"/>
    </w:rPr>
  </w:style>
  <w:style w:type="character" w:customStyle="1" w:styleId="Heading7Char">
    <w:name w:val="Heading 7 Char"/>
    <w:link w:val="Heading7"/>
    <w:rsid w:val="00DD684E"/>
    <w:rPr>
      <w:rFonts w:ascii="Arial" w:hAnsi="Arial" w:cs="Arial"/>
      <w:b/>
      <w:iCs/>
      <w:sz w:val="26"/>
      <w:szCs w:val="22"/>
      <w:lang w:val="en-US" w:eastAsia="ja-JP"/>
    </w:rPr>
  </w:style>
  <w:style w:type="character" w:customStyle="1" w:styleId="Heading8Char">
    <w:name w:val="Heading 8 Char"/>
    <w:link w:val="Heading8"/>
    <w:rsid w:val="00DD684E"/>
    <w:rPr>
      <w:rFonts w:ascii="Arial" w:hAnsi="Arial" w:cs="Arial"/>
      <w:b/>
      <w:sz w:val="26"/>
      <w:szCs w:val="22"/>
      <w:lang w:val="en-US" w:eastAsia="ja-JP"/>
    </w:rPr>
  </w:style>
  <w:style w:type="character" w:customStyle="1" w:styleId="Heading9Char">
    <w:name w:val="Heading 9 Char"/>
    <w:link w:val="Heading9"/>
    <w:rsid w:val="00DD684E"/>
    <w:rPr>
      <w:rFonts w:ascii="Arial" w:hAnsi="Arial" w:cs="Arial"/>
      <w:b/>
      <w:sz w:val="26"/>
      <w:szCs w:val="22"/>
      <w:lang w:val="en-US" w:eastAsia="ja-JP"/>
    </w:rPr>
  </w:style>
  <w:style w:type="paragraph" w:styleId="Title">
    <w:name w:val="Title"/>
    <w:basedOn w:val="Normal"/>
    <w:next w:val="Normal"/>
    <w:link w:val="TitleChar"/>
    <w:qFormat/>
    <w:rsid w:val="00460F2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rsid w:val="00DD684E"/>
    <w:rPr>
      <w:rFonts w:ascii="Cambria" w:hAnsi="Cambria"/>
      <w:color w:val="17365D"/>
      <w:spacing w:val="5"/>
      <w:kern w:val="28"/>
      <w:sz w:val="52"/>
      <w:szCs w:val="52"/>
    </w:rPr>
  </w:style>
  <w:style w:type="paragraph" w:customStyle="1" w:styleId="ColorfulShading-Accent31">
    <w:name w:val="Colorful Shading - Accent 31"/>
    <w:basedOn w:val="Normal"/>
    <w:uiPriority w:val="34"/>
    <w:qFormat/>
    <w:rsid w:val="00DD684E"/>
    <w:pPr>
      <w:ind w:left="720"/>
      <w:contextualSpacing/>
    </w:pPr>
  </w:style>
  <w:style w:type="character" w:customStyle="1" w:styleId="BookTitle1">
    <w:name w:val="Book Title1"/>
    <w:rsid w:val="00DD684E"/>
    <w:rPr>
      <w:b/>
      <w:bCs/>
      <w:smallCaps/>
      <w:spacing w:val="5"/>
    </w:rPr>
  </w:style>
  <w:style w:type="character" w:customStyle="1" w:styleId="IntenseReference1">
    <w:name w:val="Intense Reference1"/>
    <w:rsid w:val="00DD684E"/>
    <w:rPr>
      <w:b/>
      <w:bCs/>
      <w:smallCaps/>
      <w:color w:val="C0504D"/>
      <w:spacing w:val="5"/>
      <w:u w:val="single"/>
    </w:rPr>
  </w:style>
  <w:style w:type="character" w:customStyle="1" w:styleId="SubtleReference1">
    <w:name w:val="Subtle Reference1"/>
    <w:rsid w:val="00DD684E"/>
    <w:rPr>
      <w:smallCaps/>
      <w:color w:val="C0504D"/>
      <w:u w:val="single"/>
    </w:rPr>
  </w:style>
  <w:style w:type="paragraph" w:customStyle="1" w:styleId="ColorfulGrid-Accent31">
    <w:name w:val="Colorful Grid - Accent 31"/>
    <w:basedOn w:val="Normal"/>
    <w:next w:val="Normal"/>
    <w:link w:val="ColorfulGrid-Accent3Char"/>
    <w:qFormat/>
    <w:rsid w:val="00DD684E"/>
    <w:pPr>
      <w:pBdr>
        <w:bottom w:val="single" w:sz="4" w:space="4" w:color="4F81BD"/>
      </w:pBdr>
      <w:spacing w:before="200" w:after="280"/>
      <w:ind w:left="936" w:right="936"/>
    </w:pPr>
    <w:rPr>
      <w:rFonts w:ascii="Minion" w:hAnsi="Minion"/>
      <w:b/>
      <w:bCs/>
      <w:i/>
      <w:iCs/>
      <w:color w:val="4F81BD"/>
      <w:sz w:val="20"/>
    </w:rPr>
  </w:style>
  <w:style w:type="character" w:customStyle="1" w:styleId="ColorfulGrid-Accent3Char">
    <w:name w:val="Colorful Grid - Accent 3 Char"/>
    <w:link w:val="ColorfulGrid-Accent31"/>
    <w:rsid w:val="00DD684E"/>
    <w:rPr>
      <w:rFonts w:ascii="Minion" w:hAnsi="Minion"/>
      <w:b/>
      <w:bCs/>
      <w:i/>
      <w:iCs/>
      <w:color w:val="4F81BD"/>
    </w:rPr>
  </w:style>
  <w:style w:type="paragraph" w:customStyle="1" w:styleId="ColorfulList-Accent31">
    <w:name w:val="Colorful List - Accent 31"/>
    <w:basedOn w:val="Normal"/>
    <w:next w:val="Normal"/>
    <w:link w:val="ColorfulList-Accent3Char"/>
    <w:qFormat/>
    <w:rsid w:val="00DD684E"/>
    <w:rPr>
      <w:rFonts w:ascii="Minion" w:hAnsi="Minion"/>
      <w:i/>
      <w:iCs/>
      <w:color w:val="000000"/>
      <w:sz w:val="20"/>
    </w:rPr>
  </w:style>
  <w:style w:type="character" w:customStyle="1" w:styleId="ColorfulList-Accent3Char">
    <w:name w:val="Colorful List - Accent 3 Char"/>
    <w:link w:val="ColorfulList-Accent31"/>
    <w:rsid w:val="00DD684E"/>
    <w:rPr>
      <w:rFonts w:ascii="Minion" w:hAnsi="Minion"/>
      <w:i/>
      <w:iCs/>
      <w:color w:val="000000"/>
    </w:rPr>
  </w:style>
  <w:style w:type="numbering" w:customStyle="1" w:styleId="NoList1">
    <w:name w:val="No List1"/>
    <w:next w:val="NoList"/>
    <w:uiPriority w:val="99"/>
    <w:semiHidden/>
    <w:unhideWhenUsed/>
    <w:rsid w:val="00863CEA"/>
  </w:style>
  <w:style w:type="paragraph" w:styleId="Footer">
    <w:name w:val="footer"/>
    <w:basedOn w:val="Normal"/>
    <w:link w:val="FooterChar"/>
    <w:rsid w:val="003357B6"/>
    <w:rPr>
      <w:rFonts w:ascii="Arial" w:hAnsi="Arial"/>
      <w:sz w:val="16"/>
    </w:rPr>
  </w:style>
  <w:style w:type="character" w:customStyle="1" w:styleId="FooterChar">
    <w:name w:val="Footer Char"/>
    <w:link w:val="Footer"/>
    <w:rsid w:val="00863CEA"/>
    <w:rPr>
      <w:rFonts w:ascii="Arial" w:eastAsia="Times New Roman" w:hAnsi="Arial"/>
      <w:sz w:val="16"/>
      <w:lang w:val="en-US" w:eastAsia="ja-JP"/>
    </w:rPr>
  </w:style>
  <w:style w:type="paragraph" w:styleId="Header">
    <w:name w:val="header"/>
    <w:basedOn w:val="Normal"/>
    <w:link w:val="HeaderChar"/>
    <w:rsid w:val="003357B6"/>
    <w:pPr>
      <w:tabs>
        <w:tab w:val="center" w:pos="4536"/>
        <w:tab w:val="right" w:pos="9072"/>
      </w:tabs>
    </w:pPr>
  </w:style>
  <w:style w:type="character" w:customStyle="1" w:styleId="HeaderChar">
    <w:name w:val="Header Char"/>
    <w:link w:val="Header"/>
    <w:rsid w:val="00863CEA"/>
    <w:rPr>
      <w:rFonts w:ascii="Times New Roman" w:eastAsia="Times New Roman" w:hAnsi="Times New Roman"/>
      <w:sz w:val="22"/>
      <w:lang w:val="en-US" w:eastAsia="ja-JP"/>
    </w:rPr>
  </w:style>
  <w:style w:type="paragraph" w:customStyle="1" w:styleId="MemoHeaderStyle">
    <w:name w:val="MemoHeaderStyle"/>
    <w:basedOn w:val="Normal"/>
    <w:next w:val="Normal"/>
    <w:rsid w:val="00863CEA"/>
    <w:pPr>
      <w:spacing w:line="120" w:lineRule="atLeast"/>
      <w:ind w:left="1418"/>
      <w:jc w:val="both"/>
    </w:pPr>
    <w:rPr>
      <w:rFonts w:ascii="Arial" w:eastAsia="SimSun" w:hAnsi="Arial"/>
      <w:b/>
      <w:smallCaps/>
    </w:rPr>
  </w:style>
  <w:style w:type="character" w:styleId="PageNumber">
    <w:name w:val="page number"/>
    <w:rsid w:val="003357B6"/>
    <w:rPr>
      <w:rFonts w:ascii="Arial" w:hAnsi="Arial"/>
      <w:noProof/>
      <w:sz w:val="16"/>
    </w:rPr>
  </w:style>
  <w:style w:type="paragraph" w:styleId="BodyText">
    <w:name w:val="Body Text"/>
    <w:basedOn w:val="Normal"/>
    <w:link w:val="BodyTextChar"/>
    <w:rsid w:val="00863CEA"/>
    <w:rPr>
      <w:rFonts w:eastAsia="SimSun"/>
      <w:i/>
      <w:color w:val="008000"/>
    </w:rPr>
  </w:style>
  <w:style w:type="character" w:customStyle="1" w:styleId="BodyTextChar">
    <w:name w:val="Body Text Char"/>
    <w:link w:val="BodyText"/>
    <w:rsid w:val="00863CEA"/>
    <w:rPr>
      <w:rFonts w:ascii="Times New Roman" w:eastAsia="SimSun" w:hAnsi="Times New Roman"/>
      <w:i/>
      <w:color w:val="008000"/>
      <w:sz w:val="22"/>
      <w:lang w:eastAsia="ja-JP"/>
    </w:rPr>
  </w:style>
  <w:style w:type="paragraph" w:styleId="CommentText">
    <w:name w:val="annotation text"/>
    <w:basedOn w:val="Normal"/>
    <w:link w:val="CommentTextChar"/>
    <w:uiPriority w:val="99"/>
    <w:rsid w:val="00863CEA"/>
    <w:rPr>
      <w:rFonts w:eastAsia="SimSun"/>
      <w:sz w:val="20"/>
    </w:rPr>
  </w:style>
  <w:style w:type="character" w:customStyle="1" w:styleId="CommentTextChar">
    <w:name w:val="Comment Text Char"/>
    <w:link w:val="CommentText"/>
    <w:uiPriority w:val="99"/>
    <w:rsid w:val="00863CEA"/>
    <w:rPr>
      <w:rFonts w:ascii="Times New Roman" w:eastAsia="SimSun" w:hAnsi="Times New Roman"/>
      <w:lang w:eastAsia="ja-JP"/>
    </w:rPr>
  </w:style>
  <w:style w:type="character" w:styleId="Hyperlink">
    <w:name w:val="Hyperlink"/>
    <w:rsid w:val="00111CF7"/>
    <w:rPr>
      <w:rFonts w:cs="Times New Roman"/>
      <w:color w:val="0000FF"/>
      <w:u w:val="single"/>
    </w:rPr>
  </w:style>
  <w:style w:type="paragraph" w:customStyle="1" w:styleId="EMEAEnBodyText">
    <w:name w:val="EMEA En Body Text"/>
    <w:basedOn w:val="Normal"/>
    <w:rsid w:val="00863CEA"/>
    <w:pPr>
      <w:spacing w:before="120" w:after="120"/>
      <w:jc w:val="both"/>
    </w:pPr>
    <w:rPr>
      <w:rFonts w:eastAsia="SimSun"/>
    </w:rPr>
  </w:style>
  <w:style w:type="paragraph" w:styleId="BalloonText">
    <w:name w:val="Balloon Text"/>
    <w:basedOn w:val="Normal"/>
    <w:link w:val="BalloonTextChar"/>
    <w:semiHidden/>
    <w:rsid w:val="00863CEA"/>
    <w:rPr>
      <w:rFonts w:ascii="Tahoma" w:eastAsia="SimSun" w:hAnsi="Tahoma"/>
      <w:sz w:val="16"/>
      <w:szCs w:val="16"/>
    </w:rPr>
  </w:style>
  <w:style w:type="character" w:customStyle="1" w:styleId="BalloonTextChar">
    <w:name w:val="Balloon Text Char"/>
    <w:link w:val="BalloonText"/>
    <w:semiHidden/>
    <w:rsid w:val="00863CEA"/>
    <w:rPr>
      <w:rFonts w:ascii="Tahoma" w:eastAsia="SimSun" w:hAnsi="Tahoma" w:cs="Tahoma"/>
      <w:sz w:val="16"/>
      <w:szCs w:val="16"/>
      <w:lang w:eastAsia="ja-JP"/>
    </w:rPr>
  </w:style>
  <w:style w:type="paragraph" w:customStyle="1" w:styleId="BodytextAgency">
    <w:name w:val="Body text (Agency)"/>
    <w:basedOn w:val="Normal"/>
    <w:link w:val="BodytextAgencyChar"/>
    <w:rsid w:val="00863CEA"/>
    <w:pPr>
      <w:spacing w:after="140" w:line="280" w:lineRule="atLeast"/>
    </w:pPr>
    <w:rPr>
      <w:rFonts w:ascii="Verdana" w:eastAsia="SimSun" w:hAnsi="Verdana"/>
      <w:sz w:val="18"/>
      <w:lang w:val="en-GB" w:eastAsia="en-GB"/>
    </w:rPr>
  </w:style>
  <w:style w:type="character" w:customStyle="1" w:styleId="BodytextAgencyChar">
    <w:name w:val="Body text (Agency) Char"/>
    <w:link w:val="BodytextAgency"/>
    <w:locked/>
    <w:rsid w:val="00863CEA"/>
    <w:rPr>
      <w:rFonts w:ascii="Verdana" w:eastAsia="SimSun" w:hAnsi="Verdana"/>
      <w:sz w:val="18"/>
      <w:lang w:val="en-GB" w:eastAsia="en-GB"/>
    </w:rPr>
  </w:style>
  <w:style w:type="paragraph" w:customStyle="1" w:styleId="DraftingNotesAgency">
    <w:name w:val="Drafting Notes (Agency)"/>
    <w:basedOn w:val="Normal"/>
    <w:next w:val="BodytextAgency"/>
    <w:link w:val="DraftingNotesAgencyChar"/>
    <w:rsid w:val="00863CEA"/>
    <w:pPr>
      <w:spacing w:after="140" w:line="280" w:lineRule="atLeast"/>
    </w:pPr>
    <w:rPr>
      <w:rFonts w:ascii="Courier New" w:eastAsia="SimSun" w:hAnsi="Courier New"/>
      <w:i/>
      <w:color w:val="339966"/>
      <w:sz w:val="18"/>
      <w:lang w:val="en-GB" w:eastAsia="en-GB"/>
    </w:rPr>
  </w:style>
  <w:style w:type="character" w:customStyle="1" w:styleId="DraftingNotesAgencyChar">
    <w:name w:val="Drafting Notes (Agency) Char"/>
    <w:link w:val="DraftingNotesAgency"/>
    <w:locked/>
    <w:rsid w:val="00863CEA"/>
    <w:rPr>
      <w:rFonts w:ascii="Courier New" w:eastAsia="SimSun" w:hAnsi="Courier New"/>
      <w:i/>
      <w:color w:val="339966"/>
      <w:sz w:val="18"/>
      <w:lang w:val="en-GB" w:eastAsia="en-GB"/>
    </w:rPr>
  </w:style>
  <w:style w:type="paragraph" w:customStyle="1" w:styleId="NormalAgency">
    <w:name w:val="Normal (Agency)"/>
    <w:link w:val="NormalAgencyChar"/>
    <w:rsid w:val="00863CEA"/>
    <w:rPr>
      <w:rFonts w:ascii="Verdana" w:eastAsia="SimSun" w:hAnsi="Verdana"/>
      <w:sz w:val="22"/>
      <w:szCs w:val="22"/>
      <w:lang w:eastAsia="en-GB"/>
    </w:rPr>
  </w:style>
  <w:style w:type="table" w:customStyle="1" w:styleId="TablegridAgencyblack">
    <w:name w:val="Table grid (Agency) black"/>
    <w:semiHidden/>
    <w:rsid w:val="00863CEA"/>
    <w:rPr>
      <w:rFonts w:ascii="Verdana" w:eastAsia="SimSun" w:hAnsi="Verdana"/>
      <w:sz w:val="18"/>
      <w:lang w:val="en-US" w:eastAsia="en-US"/>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863CEA"/>
    <w:pPr>
      <w:keepNext/>
    </w:pPr>
    <w:rPr>
      <w:b/>
    </w:rPr>
  </w:style>
  <w:style w:type="paragraph" w:customStyle="1" w:styleId="TabletextrowsAgency">
    <w:name w:val="Table text rows (Agency)"/>
    <w:basedOn w:val="Normal"/>
    <w:rsid w:val="00863CEA"/>
    <w:pPr>
      <w:spacing w:line="280" w:lineRule="exact"/>
    </w:pPr>
    <w:rPr>
      <w:rFonts w:ascii="Verdana" w:eastAsia="SimSun" w:hAnsi="Verdana" w:cs="Verdana"/>
      <w:sz w:val="18"/>
      <w:szCs w:val="18"/>
      <w:lang w:eastAsia="zh-CN"/>
    </w:rPr>
  </w:style>
  <w:style w:type="character" w:customStyle="1" w:styleId="NormalAgencyChar">
    <w:name w:val="Normal (Agency) Char"/>
    <w:link w:val="NormalAgency"/>
    <w:locked/>
    <w:rsid w:val="00863CEA"/>
    <w:rPr>
      <w:rFonts w:ascii="Verdana" w:eastAsia="SimSun" w:hAnsi="Verdana"/>
      <w:sz w:val="22"/>
      <w:szCs w:val="22"/>
      <w:lang w:val="en-GB" w:eastAsia="en-GB" w:bidi="ar-SA"/>
    </w:rPr>
  </w:style>
  <w:style w:type="character" w:styleId="CommentReference">
    <w:name w:val="annotation reference"/>
    <w:uiPriority w:val="99"/>
    <w:semiHidden/>
    <w:rsid w:val="00863CEA"/>
    <w:rPr>
      <w:rFonts w:cs="Times New Roman"/>
      <w:noProof/>
      <w:sz w:val="16"/>
    </w:rPr>
  </w:style>
  <w:style w:type="table" w:styleId="TableGrid">
    <w:name w:val="Table Grid"/>
    <w:basedOn w:val="TableNormal"/>
    <w:rsid w:val="00863CE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863CEA"/>
    <w:rPr>
      <w:b/>
      <w:bCs/>
    </w:rPr>
  </w:style>
  <w:style w:type="character" w:customStyle="1" w:styleId="CommentSubjectChar">
    <w:name w:val="Comment Subject Char"/>
    <w:link w:val="CommentSubject"/>
    <w:semiHidden/>
    <w:rsid w:val="00863CEA"/>
    <w:rPr>
      <w:rFonts w:ascii="Times New Roman" w:eastAsia="SimSun" w:hAnsi="Times New Roman"/>
      <w:b/>
      <w:bCs/>
      <w:lang w:eastAsia="ja-JP"/>
    </w:rPr>
  </w:style>
  <w:style w:type="paragraph" w:customStyle="1" w:styleId="Paragraph">
    <w:name w:val="Paragraph"/>
    <w:basedOn w:val="Normal"/>
    <w:link w:val="ParagraphChar"/>
    <w:rsid w:val="00111CF7"/>
    <w:pPr>
      <w:spacing w:after="170" w:line="280" w:lineRule="exact"/>
    </w:pPr>
    <w:rPr>
      <w:rFonts w:ascii="Arial" w:eastAsia="SimSun" w:hAnsi="Arial"/>
      <w:sz w:val="24"/>
      <w:lang w:eastAsia="zh-CN"/>
    </w:rPr>
  </w:style>
  <w:style w:type="character" w:customStyle="1" w:styleId="ParagraphChar">
    <w:name w:val="Paragraph Char"/>
    <w:link w:val="Paragraph"/>
    <w:locked/>
    <w:rsid w:val="00863CEA"/>
    <w:rPr>
      <w:rFonts w:ascii="Arial" w:eastAsia="SimSun" w:hAnsi="Arial"/>
      <w:sz w:val="24"/>
      <w:lang w:eastAsia="zh-CN"/>
    </w:rPr>
  </w:style>
  <w:style w:type="paragraph" w:customStyle="1" w:styleId="TextTi12">
    <w:name w:val="Text:Ti12"/>
    <w:basedOn w:val="Normal"/>
    <w:link w:val="TextTi12Char"/>
    <w:rsid w:val="00863CEA"/>
    <w:pPr>
      <w:spacing w:after="170" w:line="280" w:lineRule="atLeast"/>
      <w:jc w:val="both"/>
    </w:pPr>
    <w:rPr>
      <w:rFonts w:eastAsia="SimSun"/>
      <w:sz w:val="24"/>
      <w:lang w:val="en-GB" w:eastAsia="de-DE"/>
    </w:rPr>
  </w:style>
  <w:style w:type="character" w:customStyle="1" w:styleId="TextTi12Char">
    <w:name w:val="Text:Ti12 Char"/>
    <w:link w:val="TextTi12"/>
    <w:uiPriority w:val="99"/>
    <w:locked/>
    <w:rsid w:val="00863CEA"/>
    <w:rPr>
      <w:rFonts w:ascii="Times New Roman" w:eastAsia="SimSun" w:hAnsi="Times New Roman"/>
      <w:sz w:val="24"/>
      <w:lang w:val="en-GB" w:eastAsia="de-DE"/>
    </w:rPr>
  </w:style>
  <w:style w:type="paragraph" w:customStyle="1" w:styleId="Default">
    <w:name w:val="Default"/>
    <w:rsid w:val="00863CEA"/>
    <w:pPr>
      <w:autoSpaceDE w:val="0"/>
      <w:autoSpaceDN w:val="0"/>
      <w:adjustRightInd w:val="0"/>
    </w:pPr>
    <w:rPr>
      <w:rFonts w:ascii="Times New Roman" w:eastAsia="SimSun" w:hAnsi="Times New Roman"/>
      <w:color w:val="000000"/>
      <w:sz w:val="24"/>
      <w:szCs w:val="24"/>
      <w:lang w:val="en-US"/>
    </w:rPr>
  </w:style>
  <w:style w:type="paragraph" w:customStyle="1" w:styleId="Korrektur2">
    <w:name w:val="Korrektur2"/>
    <w:hidden/>
    <w:uiPriority w:val="99"/>
    <w:semiHidden/>
    <w:rsid w:val="00863CEA"/>
    <w:rPr>
      <w:rFonts w:ascii="Times New Roman" w:eastAsia="SimSun" w:hAnsi="Times New Roman"/>
      <w:sz w:val="22"/>
      <w:lang w:eastAsia="en-US"/>
    </w:rPr>
  </w:style>
  <w:style w:type="paragraph" w:styleId="PlainText">
    <w:name w:val="Plain Text"/>
    <w:basedOn w:val="Normal"/>
    <w:link w:val="PlainTextChar"/>
    <w:rsid w:val="00863CEA"/>
    <w:rPr>
      <w:rFonts w:ascii="Arial" w:eastAsia="SimSun" w:hAnsi="Arial"/>
      <w:sz w:val="20"/>
      <w:szCs w:val="21"/>
    </w:rPr>
  </w:style>
  <w:style w:type="character" w:customStyle="1" w:styleId="PlainTextChar">
    <w:name w:val="Plain Text Char"/>
    <w:link w:val="PlainText"/>
    <w:rsid w:val="00863CEA"/>
    <w:rPr>
      <w:rFonts w:ascii="Arial" w:eastAsia="SimSun" w:hAnsi="Arial"/>
      <w:szCs w:val="21"/>
      <w:lang w:eastAsia="ja-JP"/>
    </w:rPr>
  </w:style>
  <w:style w:type="character" w:customStyle="1" w:styleId="apple-converted-space">
    <w:name w:val="apple-converted-space"/>
    <w:rsid w:val="00863CEA"/>
  </w:style>
  <w:style w:type="paragraph" w:styleId="NormalWeb">
    <w:name w:val="Normal (Web)"/>
    <w:basedOn w:val="Normal"/>
    <w:uiPriority w:val="99"/>
    <w:rsid w:val="00863CEA"/>
    <w:pPr>
      <w:spacing w:before="100" w:beforeAutospacing="1" w:after="100" w:afterAutospacing="1"/>
    </w:pPr>
    <w:rPr>
      <w:rFonts w:eastAsia="SimSun"/>
      <w:sz w:val="24"/>
      <w:szCs w:val="24"/>
    </w:rPr>
  </w:style>
  <w:style w:type="paragraph" w:customStyle="1" w:styleId="Annex">
    <w:name w:val="Annex"/>
    <w:basedOn w:val="Normal"/>
    <w:next w:val="Normal"/>
    <w:rsid w:val="003357B6"/>
    <w:pPr>
      <w:jc w:val="center"/>
    </w:pPr>
    <w:rPr>
      <w:b/>
    </w:rPr>
  </w:style>
  <w:style w:type="paragraph" w:customStyle="1" w:styleId="Description">
    <w:name w:val="Description"/>
    <w:basedOn w:val="Normal"/>
    <w:next w:val="Normal"/>
    <w:rsid w:val="003357B6"/>
  </w:style>
  <w:style w:type="paragraph" w:customStyle="1" w:styleId="HangingIndent">
    <w:name w:val="HangingIndent"/>
    <w:basedOn w:val="Normal"/>
    <w:rsid w:val="00863CEA"/>
    <w:pPr>
      <w:ind w:left="567" w:hanging="567"/>
    </w:pPr>
    <w:rPr>
      <w:rFonts w:eastAsia="SimSun"/>
    </w:rPr>
  </w:style>
  <w:style w:type="paragraph" w:customStyle="1" w:styleId="AnnexHeading">
    <w:name w:val="Annex Heading"/>
    <w:basedOn w:val="Normal"/>
    <w:next w:val="Normal"/>
    <w:rsid w:val="003357B6"/>
    <w:pPr>
      <w:ind w:left="567" w:hanging="567"/>
    </w:pPr>
    <w:rPr>
      <w:b/>
    </w:rPr>
  </w:style>
  <w:style w:type="paragraph" w:customStyle="1" w:styleId="Guideline">
    <w:name w:val="Guideline"/>
    <w:basedOn w:val="BodytextAgency"/>
    <w:link w:val="GuidelineTegn"/>
    <w:rsid w:val="00863CEA"/>
    <w:pPr>
      <w:jc w:val="both"/>
    </w:pPr>
    <w:rPr>
      <w:rFonts w:eastAsia="Verdana"/>
      <w:szCs w:val="18"/>
    </w:rPr>
  </w:style>
  <w:style w:type="character" w:customStyle="1" w:styleId="GuidelineTegn">
    <w:name w:val="Guideline Tegn"/>
    <w:link w:val="Guideline"/>
    <w:rsid w:val="00863CEA"/>
    <w:rPr>
      <w:rFonts w:ascii="Verdana" w:eastAsia="Verdana" w:hAnsi="Verdana"/>
      <w:sz w:val="18"/>
      <w:szCs w:val="18"/>
    </w:rPr>
  </w:style>
  <w:style w:type="paragraph" w:customStyle="1" w:styleId="No-numheading5Agency">
    <w:name w:val="No-num heading 5 (Agency)"/>
    <w:basedOn w:val="Normal"/>
    <w:next w:val="Normal"/>
    <w:rsid w:val="00863CEA"/>
    <w:pPr>
      <w:keepNext/>
      <w:spacing w:before="280" w:after="220"/>
      <w:outlineLvl w:val="4"/>
    </w:pPr>
    <w:rPr>
      <w:rFonts w:ascii="Verdana" w:eastAsia="Verdana" w:hAnsi="Verdana" w:cs="Arial"/>
      <w:b/>
      <w:bCs/>
      <w:kern w:val="32"/>
      <w:sz w:val="18"/>
      <w:szCs w:val="18"/>
      <w:lang w:val="en-GB" w:eastAsia="en-GB"/>
    </w:rPr>
  </w:style>
  <w:style w:type="paragraph" w:customStyle="1" w:styleId="paragraph0">
    <w:name w:val="paragraph"/>
    <w:basedOn w:val="Normal"/>
    <w:rsid w:val="00863CEA"/>
    <w:pPr>
      <w:spacing w:before="100" w:beforeAutospacing="1" w:after="100" w:afterAutospacing="1"/>
    </w:pPr>
    <w:rPr>
      <w:rFonts w:eastAsia="Calibri"/>
      <w:sz w:val="24"/>
      <w:szCs w:val="24"/>
      <w:lang w:eastAsia="en-US"/>
    </w:rPr>
  </w:style>
  <w:style w:type="paragraph" w:customStyle="1" w:styleId="DarkList-Accent31">
    <w:name w:val="Dark List - Accent 31"/>
    <w:hidden/>
    <w:uiPriority w:val="99"/>
    <w:semiHidden/>
    <w:rsid w:val="00460F2D"/>
    <w:rPr>
      <w:rFonts w:ascii="Minion" w:hAnsi="Minion"/>
      <w:sz w:val="22"/>
      <w:szCs w:val="22"/>
      <w:lang w:val="en-US" w:eastAsia="zh-TW"/>
    </w:rPr>
  </w:style>
  <w:style w:type="paragraph" w:customStyle="1" w:styleId="HangingIndent0">
    <w:name w:val="Hanging Indent"/>
    <w:basedOn w:val="Normal"/>
    <w:rsid w:val="003357B6"/>
    <w:pPr>
      <w:ind w:left="567" w:hanging="567"/>
    </w:pPr>
  </w:style>
  <w:style w:type="paragraph" w:customStyle="1" w:styleId="SAS8">
    <w:name w:val="SAS 8"/>
    <w:basedOn w:val="Normal"/>
    <w:link w:val="SAS8Char"/>
    <w:rsid w:val="00111CF7"/>
    <w:pPr>
      <w:spacing w:line="150" w:lineRule="exact"/>
    </w:pPr>
    <w:rPr>
      <w:rFonts w:ascii="Courier New" w:eastAsia="SimSun" w:hAnsi="Courier New"/>
      <w:spacing w:val="-10"/>
      <w:sz w:val="16"/>
      <w:szCs w:val="24"/>
      <w:lang w:eastAsia="zh-CN"/>
    </w:rPr>
  </w:style>
  <w:style w:type="character" w:customStyle="1" w:styleId="SAS8Char">
    <w:name w:val="SAS 8 Char"/>
    <w:link w:val="SAS8"/>
    <w:rsid w:val="00405FC9"/>
    <w:rPr>
      <w:rFonts w:ascii="Courier New" w:eastAsia="SimSun" w:hAnsi="Courier New"/>
      <w:spacing w:val="-10"/>
      <w:sz w:val="16"/>
      <w:szCs w:val="24"/>
      <w:lang w:val="en-US" w:eastAsia="zh-CN"/>
    </w:rPr>
  </w:style>
  <w:style w:type="character" w:customStyle="1" w:styleId="No-numheading3AgencyChar">
    <w:name w:val="No-num heading 3 (Agency) Char"/>
    <w:link w:val="No-numheading3Agency"/>
    <w:locked/>
    <w:rsid w:val="005A70D0"/>
    <w:rPr>
      <w:rFonts w:ascii="Verdana" w:eastAsia="Verdana" w:hAnsi="Verdana" w:cs="Arial"/>
      <w:b/>
      <w:bCs/>
      <w:kern w:val="32"/>
      <w:sz w:val="22"/>
      <w:szCs w:val="22"/>
      <w:lang w:val="en-GB" w:eastAsia="en-GB"/>
    </w:rPr>
  </w:style>
  <w:style w:type="paragraph" w:customStyle="1" w:styleId="No-numheading3Agency">
    <w:name w:val="No-num heading 3 (Agency)"/>
    <w:basedOn w:val="Normal"/>
    <w:next w:val="BodytextAgency"/>
    <w:link w:val="No-numheading3AgencyChar"/>
    <w:rsid w:val="005A70D0"/>
    <w:pPr>
      <w:keepNext/>
      <w:spacing w:before="280" w:after="220"/>
      <w:outlineLvl w:val="2"/>
    </w:pPr>
    <w:rPr>
      <w:rFonts w:ascii="Verdana" w:eastAsia="Verdana" w:hAnsi="Verdana"/>
      <w:b/>
      <w:bCs/>
      <w:kern w:val="32"/>
      <w:szCs w:val="22"/>
      <w:lang w:val="en-GB" w:eastAsia="en-GB"/>
    </w:rPr>
  </w:style>
  <w:style w:type="paragraph" w:styleId="DocumentMap">
    <w:name w:val="Document Map"/>
    <w:basedOn w:val="Normal"/>
    <w:link w:val="DocumentMapChar"/>
    <w:semiHidden/>
    <w:rsid w:val="000D1BF7"/>
    <w:pPr>
      <w:shd w:val="clear" w:color="auto" w:fill="000080"/>
    </w:pPr>
    <w:rPr>
      <w:rFonts w:ascii="Tahoma" w:hAnsi="Tahoma"/>
      <w:sz w:val="20"/>
    </w:rPr>
  </w:style>
  <w:style w:type="character" w:styleId="FollowedHyperlink">
    <w:name w:val="FollowedHyperlink"/>
    <w:rsid w:val="000C66B1"/>
    <w:rPr>
      <w:noProof/>
      <w:color w:val="800080"/>
      <w:u w:val="single"/>
    </w:rPr>
  </w:style>
  <w:style w:type="paragraph" w:customStyle="1" w:styleId="LightList-Accent31">
    <w:name w:val="Light List - Accent 31"/>
    <w:hidden/>
    <w:uiPriority w:val="99"/>
    <w:semiHidden/>
    <w:rsid w:val="007F58B0"/>
    <w:rPr>
      <w:rFonts w:ascii="Times New Roman" w:eastAsia="Times New Roman" w:hAnsi="Times New Roman"/>
      <w:sz w:val="22"/>
      <w:lang w:val="en-US" w:eastAsia="ja-JP"/>
    </w:rPr>
  </w:style>
  <w:style w:type="paragraph" w:customStyle="1" w:styleId="MediumList2-Accent23">
    <w:name w:val="Medium List 2 - Accent 23"/>
    <w:hidden/>
    <w:semiHidden/>
    <w:rsid w:val="00F47F53"/>
    <w:rPr>
      <w:rFonts w:ascii="Times New Roman" w:eastAsia="Times New Roman" w:hAnsi="Times New Roman"/>
      <w:sz w:val="22"/>
      <w:lang w:val="en-US" w:eastAsia="ja-JP"/>
    </w:rPr>
  </w:style>
  <w:style w:type="paragraph" w:customStyle="1" w:styleId="MediumShading1-Accent11">
    <w:name w:val="Medium Shading 1 - Accent 11"/>
    <w:rsid w:val="008B322A"/>
    <w:rPr>
      <w:rFonts w:ascii="Minion" w:hAnsi="Minion"/>
      <w:sz w:val="22"/>
      <w:szCs w:val="22"/>
      <w:lang w:val="en-US" w:eastAsia="zh-TW"/>
    </w:rPr>
  </w:style>
  <w:style w:type="paragraph" w:customStyle="1" w:styleId="MediumGrid1-Accent21">
    <w:name w:val="Medium Grid 1 - Accent 21"/>
    <w:basedOn w:val="Normal"/>
    <w:rsid w:val="008B322A"/>
    <w:pPr>
      <w:ind w:left="720"/>
      <w:contextualSpacing/>
    </w:pPr>
    <w:rPr>
      <w:rFonts w:eastAsia="PMingLiU"/>
    </w:rPr>
  </w:style>
  <w:style w:type="paragraph" w:customStyle="1" w:styleId="MediumGrid3-Accent21">
    <w:name w:val="Medium Grid 3 - Accent 21"/>
    <w:basedOn w:val="Normal"/>
    <w:next w:val="Normal"/>
    <w:rsid w:val="008B322A"/>
    <w:pPr>
      <w:pBdr>
        <w:bottom w:val="single" w:sz="4" w:space="4" w:color="4F81BD"/>
      </w:pBdr>
      <w:spacing w:before="200" w:after="280"/>
      <w:ind w:left="936" w:right="936"/>
    </w:pPr>
    <w:rPr>
      <w:rFonts w:ascii="Minion" w:eastAsia="PMingLiU" w:hAnsi="Minion"/>
      <w:b/>
      <w:i/>
      <w:color w:val="4F81BD"/>
      <w:sz w:val="20"/>
      <w:lang w:eastAsia="en-US"/>
    </w:rPr>
  </w:style>
  <w:style w:type="paragraph" w:customStyle="1" w:styleId="MediumGrid2-Accent21">
    <w:name w:val="Medium Grid 2 - Accent 21"/>
    <w:basedOn w:val="Normal"/>
    <w:next w:val="Normal"/>
    <w:rsid w:val="008B322A"/>
    <w:rPr>
      <w:rFonts w:ascii="Minion" w:eastAsia="PMingLiU" w:hAnsi="Minion"/>
      <w:i/>
      <w:color w:val="000000"/>
      <w:sz w:val="20"/>
      <w:lang w:eastAsia="en-US"/>
    </w:rPr>
  </w:style>
  <w:style w:type="paragraph" w:customStyle="1" w:styleId="Korrektur1">
    <w:name w:val="Korrektur1"/>
    <w:hidden/>
    <w:semiHidden/>
    <w:rsid w:val="008B322A"/>
    <w:rPr>
      <w:rFonts w:ascii="Times New Roman" w:eastAsia="SimSun" w:hAnsi="Times New Roman"/>
      <w:sz w:val="22"/>
      <w:lang w:eastAsia="en-US"/>
    </w:rPr>
  </w:style>
  <w:style w:type="paragraph" w:customStyle="1" w:styleId="MediumList2-Accent21">
    <w:name w:val="Medium List 2 - Accent 21"/>
    <w:hidden/>
    <w:semiHidden/>
    <w:rsid w:val="008B322A"/>
    <w:rPr>
      <w:rFonts w:ascii="Minion" w:hAnsi="Minion"/>
      <w:sz w:val="22"/>
      <w:szCs w:val="22"/>
      <w:lang w:val="en-US" w:eastAsia="zh-TW"/>
    </w:rPr>
  </w:style>
  <w:style w:type="character" w:customStyle="1" w:styleId="DocumentMapChar">
    <w:name w:val="Document Map Char"/>
    <w:link w:val="DocumentMap"/>
    <w:semiHidden/>
    <w:locked/>
    <w:rsid w:val="008B322A"/>
    <w:rPr>
      <w:rFonts w:ascii="Tahoma" w:eastAsia="Times New Roman" w:hAnsi="Tahoma" w:cs="Tahoma"/>
      <w:shd w:val="clear" w:color="auto" w:fill="000080"/>
      <w:lang w:val="en-US" w:eastAsia="ja-JP"/>
    </w:rPr>
  </w:style>
  <w:style w:type="paragraph" w:customStyle="1" w:styleId="MediumList2-Accent22">
    <w:name w:val="Medium List 2 - Accent 22"/>
    <w:hidden/>
    <w:semiHidden/>
    <w:rsid w:val="008B322A"/>
    <w:rPr>
      <w:rFonts w:ascii="Times New Roman" w:hAnsi="Times New Roman"/>
      <w:sz w:val="22"/>
      <w:lang w:val="en-US" w:eastAsia="ja-JP"/>
    </w:rPr>
  </w:style>
  <w:style w:type="character" w:customStyle="1" w:styleId="aqj">
    <w:name w:val="aqj"/>
    <w:rsid w:val="008B322A"/>
  </w:style>
  <w:style w:type="paragraph" w:customStyle="1" w:styleId="AppTitle">
    <w:name w:val="App Title"/>
    <w:basedOn w:val="Normal"/>
    <w:next w:val="Paragraph"/>
    <w:rsid w:val="008B322A"/>
    <w:pPr>
      <w:keepNext/>
      <w:keepLines/>
      <w:pageBreakBefore/>
      <w:spacing w:after="200" w:line="280" w:lineRule="exact"/>
      <w:jc w:val="center"/>
    </w:pPr>
    <w:rPr>
      <w:rFonts w:eastAsia="PMingLiU"/>
      <w:b/>
      <w:sz w:val="28"/>
    </w:rPr>
  </w:style>
  <w:style w:type="paragraph" w:customStyle="1" w:styleId="AppContd">
    <w:name w:val="App Contd"/>
    <w:basedOn w:val="AppTitle"/>
    <w:next w:val="Paragraph"/>
    <w:rsid w:val="008B322A"/>
  </w:style>
  <w:style w:type="paragraph" w:customStyle="1" w:styleId="FigureTitle">
    <w:name w:val="Figure Title"/>
    <w:basedOn w:val="Normal"/>
    <w:next w:val="FigureHolder"/>
    <w:rsid w:val="008B322A"/>
    <w:pPr>
      <w:keepNext/>
      <w:keepLines/>
      <w:tabs>
        <w:tab w:val="left" w:pos="1152"/>
      </w:tabs>
      <w:spacing w:before="40" w:after="160" w:line="280" w:lineRule="exact"/>
      <w:ind w:left="1152" w:hanging="1152"/>
    </w:pPr>
    <w:rPr>
      <w:rFonts w:eastAsia="PMingLiU"/>
      <w:b/>
    </w:rPr>
  </w:style>
  <w:style w:type="paragraph" w:customStyle="1" w:styleId="AppFigureTitle">
    <w:name w:val="App Figure Title"/>
    <w:basedOn w:val="FigureTitle"/>
    <w:next w:val="FigureHolder"/>
    <w:rsid w:val="008B322A"/>
  </w:style>
  <w:style w:type="paragraph" w:customStyle="1" w:styleId="AppHeading1">
    <w:name w:val="App Heading 1"/>
    <w:basedOn w:val="Normal"/>
    <w:next w:val="Paragraph"/>
    <w:rsid w:val="008B322A"/>
    <w:pPr>
      <w:keepNext/>
      <w:spacing w:after="160" w:line="300" w:lineRule="exact"/>
    </w:pPr>
    <w:rPr>
      <w:rFonts w:eastAsia="PMingLiU"/>
      <w:b/>
      <w:caps/>
      <w:u w:val="single"/>
    </w:rPr>
  </w:style>
  <w:style w:type="paragraph" w:customStyle="1" w:styleId="AppHeading2">
    <w:name w:val="App Heading 2"/>
    <w:basedOn w:val="AppHeading1"/>
    <w:next w:val="Paragraph"/>
    <w:rsid w:val="008B322A"/>
    <w:pPr>
      <w:spacing w:after="100" w:line="260" w:lineRule="exact"/>
    </w:pPr>
    <w:rPr>
      <w:u w:val="none"/>
    </w:rPr>
  </w:style>
  <w:style w:type="paragraph" w:customStyle="1" w:styleId="AppHeading3">
    <w:name w:val="App Heading 3"/>
    <w:basedOn w:val="AppHeading2"/>
    <w:next w:val="Paragraph"/>
    <w:rsid w:val="008B322A"/>
    <w:pPr>
      <w:spacing w:after="60" w:line="280" w:lineRule="exact"/>
    </w:pPr>
    <w:rPr>
      <w:caps w:val="0"/>
      <w:u w:val="single"/>
    </w:rPr>
  </w:style>
  <w:style w:type="paragraph" w:customStyle="1" w:styleId="AppHeading4">
    <w:name w:val="App Heading 4"/>
    <w:basedOn w:val="AppHeading3"/>
    <w:next w:val="Paragraph"/>
    <w:rsid w:val="008B322A"/>
    <w:pPr>
      <w:spacing w:after="20" w:line="260" w:lineRule="exact"/>
    </w:pPr>
    <w:rPr>
      <w:u w:val="none"/>
    </w:rPr>
  </w:style>
  <w:style w:type="paragraph" w:customStyle="1" w:styleId="TableTitle">
    <w:name w:val="Table Title"/>
    <w:basedOn w:val="FigureTitle"/>
    <w:next w:val="Paragraph"/>
    <w:rsid w:val="008B322A"/>
  </w:style>
  <w:style w:type="paragraph" w:customStyle="1" w:styleId="AppTableTitle">
    <w:name w:val="App Table Title"/>
    <w:basedOn w:val="TableTitle"/>
    <w:next w:val="Paragraph"/>
    <w:rsid w:val="008B322A"/>
  </w:style>
  <w:style w:type="paragraph" w:customStyle="1" w:styleId="BibliXRef">
    <w:name w:val="BibliXRef"/>
    <w:basedOn w:val="Normal"/>
    <w:rsid w:val="008B322A"/>
    <w:pPr>
      <w:spacing w:after="170" w:line="280" w:lineRule="exact"/>
    </w:pPr>
    <w:rPr>
      <w:rFonts w:eastAsia="PMingLiU"/>
      <w:b/>
      <w:sz w:val="18"/>
      <w:lang w:eastAsia="de-DE"/>
    </w:rPr>
  </w:style>
  <w:style w:type="paragraph" w:styleId="Caption">
    <w:name w:val="caption"/>
    <w:basedOn w:val="Normal"/>
    <w:next w:val="Normal"/>
    <w:qFormat/>
    <w:locked/>
    <w:rsid w:val="00111CF7"/>
    <w:rPr>
      <w:b/>
      <w:bCs/>
      <w:sz w:val="20"/>
    </w:rPr>
  </w:style>
  <w:style w:type="paragraph" w:customStyle="1" w:styleId="CNFigureTitle">
    <w:name w:val="CN Figure Title"/>
    <w:basedOn w:val="FigureTitle"/>
    <w:next w:val="Paragraph"/>
    <w:rsid w:val="008B322A"/>
    <w:pPr>
      <w:tabs>
        <w:tab w:val="clear" w:pos="1152"/>
        <w:tab w:val="left" w:pos="2520"/>
      </w:tabs>
      <w:ind w:left="2520" w:hanging="2520"/>
    </w:pPr>
  </w:style>
  <w:style w:type="paragraph" w:customStyle="1" w:styleId="TabFigContd">
    <w:name w:val="TabFig Contd"/>
    <w:basedOn w:val="Normal"/>
    <w:next w:val="Paragraph"/>
    <w:rsid w:val="008B322A"/>
    <w:pPr>
      <w:keepNext/>
      <w:keepLines/>
      <w:pageBreakBefore/>
      <w:tabs>
        <w:tab w:val="left" w:pos="1152"/>
      </w:tabs>
      <w:spacing w:before="40" w:after="160" w:line="280" w:lineRule="exact"/>
      <w:ind w:left="1152" w:hanging="1152"/>
    </w:pPr>
    <w:rPr>
      <w:rFonts w:eastAsia="PMingLiU"/>
      <w:b/>
    </w:rPr>
  </w:style>
  <w:style w:type="paragraph" w:customStyle="1" w:styleId="CNTabFigContd">
    <w:name w:val="CN TabFig Contd"/>
    <w:basedOn w:val="TabFigContd"/>
    <w:next w:val="Paragraph"/>
    <w:rsid w:val="008B322A"/>
    <w:pPr>
      <w:tabs>
        <w:tab w:val="clear" w:pos="1152"/>
        <w:tab w:val="left" w:pos="2520"/>
      </w:tabs>
      <w:ind w:left="2520" w:hanging="2520"/>
    </w:pPr>
  </w:style>
  <w:style w:type="paragraph" w:customStyle="1" w:styleId="CNTableTitle">
    <w:name w:val="CN Table Title"/>
    <w:basedOn w:val="CNFigureTitle"/>
    <w:next w:val="Paragraph"/>
    <w:rsid w:val="008B322A"/>
  </w:style>
  <w:style w:type="paragraph" w:customStyle="1" w:styleId="COSP">
    <w:name w:val="COSP"/>
    <w:basedOn w:val="Normal"/>
    <w:rsid w:val="008B322A"/>
    <w:pPr>
      <w:keepNext/>
      <w:keepLines/>
      <w:spacing w:after="120" w:line="240" w:lineRule="exact"/>
    </w:pPr>
    <w:rPr>
      <w:rFonts w:eastAsia="PMingLiU"/>
      <w:i/>
      <w:sz w:val="20"/>
    </w:rPr>
  </w:style>
  <w:style w:type="paragraph" w:customStyle="1" w:styleId="FigureHolder">
    <w:name w:val="Figure Holder"/>
    <w:basedOn w:val="Normal"/>
    <w:next w:val="TabFigNote"/>
    <w:rsid w:val="008B322A"/>
    <w:pPr>
      <w:keepNext/>
      <w:keepLines/>
      <w:spacing w:after="120" w:line="240" w:lineRule="atLeast"/>
      <w:jc w:val="center"/>
    </w:pPr>
    <w:rPr>
      <w:rFonts w:eastAsia="PMingLiU"/>
    </w:rPr>
  </w:style>
  <w:style w:type="paragraph" w:customStyle="1" w:styleId="FormText">
    <w:name w:val="Form Text"/>
    <w:basedOn w:val="Normal"/>
    <w:rsid w:val="008B322A"/>
    <w:pPr>
      <w:spacing w:before="20" w:after="20"/>
    </w:pPr>
    <w:rPr>
      <w:rFonts w:eastAsia="PMingLiU"/>
      <w:sz w:val="16"/>
    </w:rPr>
  </w:style>
  <w:style w:type="paragraph" w:customStyle="1" w:styleId="Heading1NoNum">
    <w:name w:val="Heading 1 NoNum"/>
    <w:basedOn w:val="Normal"/>
    <w:next w:val="Paragraph"/>
    <w:rsid w:val="008B322A"/>
    <w:pPr>
      <w:keepNext/>
      <w:spacing w:after="160" w:line="300" w:lineRule="exact"/>
      <w:outlineLvl w:val="0"/>
    </w:pPr>
    <w:rPr>
      <w:rFonts w:eastAsia="PMingLiU"/>
      <w:b/>
      <w:caps/>
      <w:u w:val="single"/>
    </w:rPr>
  </w:style>
  <w:style w:type="paragraph" w:customStyle="1" w:styleId="Heading2NoNum">
    <w:name w:val="Heading 2 NoNum"/>
    <w:basedOn w:val="Heading1NoNum"/>
    <w:next w:val="Paragraph"/>
    <w:rsid w:val="008B322A"/>
    <w:pPr>
      <w:spacing w:after="0" w:line="260" w:lineRule="exact"/>
      <w:outlineLvl w:val="1"/>
    </w:pPr>
    <w:rPr>
      <w:u w:val="none"/>
    </w:rPr>
  </w:style>
  <w:style w:type="paragraph" w:customStyle="1" w:styleId="Heading3NoNum">
    <w:name w:val="Heading 3 NoNum"/>
    <w:basedOn w:val="Heading2NoNum"/>
    <w:next w:val="Paragraph"/>
    <w:rsid w:val="008B322A"/>
    <w:pPr>
      <w:spacing w:after="60" w:line="280" w:lineRule="exact"/>
      <w:outlineLvl w:val="2"/>
    </w:pPr>
    <w:rPr>
      <w:caps w:val="0"/>
      <w:u w:val="single"/>
    </w:rPr>
  </w:style>
  <w:style w:type="paragraph" w:customStyle="1" w:styleId="Heading4NoNum">
    <w:name w:val="Heading 4 NoNum"/>
    <w:basedOn w:val="Heading3NoNum"/>
    <w:next w:val="Paragraph"/>
    <w:rsid w:val="008B322A"/>
    <w:pPr>
      <w:spacing w:after="20" w:line="260" w:lineRule="exact"/>
      <w:outlineLvl w:val="3"/>
    </w:pPr>
    <w:rPr>
      <w:u w:val="none"/>
    </w:rPr>
  </w:style>
  <w:style w:type="paragraph" w:customStyle="1" w:styleId="Heading5NoNum">
    <w:name w:val="Heading 5 NoNum"/>
    <w:basedOn w:val="Heading4NoNum"/>
    <w:next w:val="Paragraph"/>
    <w:rsid w:val="008B322A"/>
    <w:pPr>
      <w:outlineLvl w:val="4"/>
    </w:pPr>
  </w:style>
  <w:style w:type="paragraph" w:customStyle="1" w:styleId="HeadingCentNoNum">
    <w:name w:val="Heading CentNoNum"/>
    <w:basedOn w:val="Normal"/>
    <w:next w:val="Paragraph"/>
    <w:rsid w:val="008B322A"/>
    <w:pPr>
      <w:keepNext/>
      <w:spacing w:after="300" w:line="280" w:lineRule="exact"/>
      <w:jc w:val="center"/>
    </w:pPr>
    <w:rPr>
      <w:rFonts w:eastAsia="PMingLiU"/>
      <w:b/>
      <w:caps/>
      <w:sz w:val="28"/>
    </w:rPr>
  </w:style>
  <w:style w:type="paragraph" w:customStyle="1" w:styleId="HeadingDoc">
    <w:name w:val="Heading Doc"/>
    <w:basedOn w:val="Normal"/>
    <w:next w:val="Paragraph"/>
    <w:rsid w:val="008B322A"/>
    <w:pPr>
      <w:keepNext/>
      <w:spacing w:before="113" w:after="57" w:line="280" w:lineRule="exact"/>
    </w:pPr>
    <w:rPr>
      <w:rFonts w:eastAsia="PMingLiU"/>
      <w:b/>
      <w:smallCaps/>
      <w:sz w:val="28"/>
    </w:rPr>
  </w:style>
  <w:style w:type="character" w:customStyle="1" w:styleId="HiddenChar">
    <w:name w:val="Hidden:Char"/>
    <w:rsid w:val="008B322A"/>
    <w:rPr>
      <w:rFonts w:ascii="Arial" w:hAnsi="Arial"/>
      <w:i/>
      <w:vanish/>
      <w:color w:val="008000"/>
      <w:sz w:val="20"/>
      <w:u w:val="dotted"/>
      <w:vertAlign w:val="baseline"/>
      <w:lang w:val="en-US"/>
    </w:rPr>
  </w:style>
  <w:style w:type="paragraph" w:customStyle="1" w:styleId="HiddenPara">
    <w:name w:val="Hidden:Para"/>
    <w:link w:val="HiddenParaChar"/>
    <w:rsid w:val="008B322A"/>
    <w:pPr>
      <w:spacing w:after="120"/>
    </w:pPr>
    <w:rPr>
      <w:rFonts w:ascii="Arial" w:eastAsia="SimSun" w:hAnsi="Arial"/>
      <w:b/>
      <w:vanish/>
      <w:color w:val="008000"/>
      <w:sz w:val="22"/>
      <w:szCs w:val="22"/>
      <w:u w:val="dotted"/>
      <w:lang w:val="en-US"/>
    </w:rPr>
  </w:style>
  <w:style w:type="paragraph" w:customStyle="1" w:styleId="ListAlpha">
    <w:name w:val="List Alpha"/>
    <w:basedOn w:val="Normal"/>
    <w:rsid w:val="008B322A"/>
    <w:pPr>
      <w:numPr>
        <w:numId w:val="13"/>
      </w:numPr>
      <w:spacing w:after="100" w:line="280" w:lineRule="atLeast"/>
    </w:pPr>
    <w:rPr>
      <w:rFonts w:eastAsia="PMingLiU"/>
    </w:rPr>
  </w:style>
  <w:style w:type="paragraph" w:styleId="ListBullet">
    <w:name w:val="List Bullet"/>
    <w:basedOn w:val="Normal"/>
    <w:rsid w:val="008B322A"/>
    <w:pPr>
      <w:numPr>
        <w:numId w:val="14"/>
      </w:numPr>
      <w:spacing w:after="100" w:line="280" w:lineRule="atLeast"/>
    </w:pPr>
    <w:rPr>
      <w:rFonts w:eastAsia="PMingLiU"/>
    </w:rPr>
  </w:style>
  <w:style w:type="paragraph" w:customStyle="1" w:styleId="ListDash">
    <w:name w:val="List Dash"/>
    <w:basedOn w:val="Normal"/>
    <w:rsid w:val="008B322A"/>
    <w:pPr>
      <w:numPr>
        <w:numId w:val="15"/>
      </w:numPr>
      <w:spacing w:after="100" w:line="280" w:lineRule="atLeast"/>
    </w:pPr>
    <w:rPr>
      <w:rFonts w:eastAsia="PMingLiU"/>
    </w:rPr>
  </w:style>
  <w:style w:type="paragraph" w:styleId="ListNumber">
    <w:name w:val="List Number"/>
    <w:basedOn w:val="Normal"/>
    <w:rsid w:val="00111CF7"/>
    <w:pPr>
      <w:numPr>
        <w:numId w:val="4"/>
      </w:numPr>
      <w:spacing w:after="100" w:line="280" w:lineRule="atLeast"/>
    </w:pPr>
  </w:style>
  <w:style w:type="paragraph" w:customStyle="1" w:styleId="ListofTFA">
    <w:name w:val="List of TFA"/>
    <w:basedOn w:val="Normal"/>
    <w:rsid w:val="008B322A"/>
    <w:pPr>
      <w:keepLines/>
      <w:tabs>
        <w:tab w:val="left" w:pos="1872"/>
        <w:tab w:val="right" w:leader="dot" w:pos="8914"/>
      </w:tabs>
      <w:spacing w:after="80" w:line="320" w:lineRule="exact"/>
      <w:ind w:left="1872" w:hanging="1872"/>
    </w:pPr>
    <w:rPr>
      <w:rFonts w:eastAsia="PMingLiU"/>
    </w:rPr>
  </w:style>
  <w:style w:type="paragraph" w:customStyle="1" w:styleId="ListText">
    <w:name w:val="List Text"/>
    <w:basedOn w:val="Normal"/>
    <w:rsid w:val="008B322A"/>
    <w:pPr>
      <w:spacing w:after="100" w:line="280" w:lineRule="atLeast"/>
      <w:ind w:left="432"/>
    </w:pPr>
    <w:rPr>
      <w:rFonts w:eastAsia="PMingLiU"/>
    </w:rPr>
  </w:style>
  <w:style w:type="paragraph" w:customStyle="1" w:styleId="ParagraphList">
    <w:name w:val="Paragraph List"/>
    <w:basedOn w:val="Paragraph"/>
    <w:next w:val="Paragraph"/>
    <w:rsid w:val="008B322A"/>
    <w:pPr>
      <w:keepNext/>
      <w:spacing w:after="100" w:line="300" w:lineRule="atLeast"/>
    </w:pPr>
  </w:style>
  <w:style w:type="paragraph" w:customStyle="1" w:styleId="ParagraphSpace">
    <w:name w:val="Paragraph Space"/>
    <w:basedOn w:val="Paragraph"/>
    <w:next w:val="Paragraph"/>
    <w:rsid w:val="008B322A"/>
    <w:pPr>
      <w:spacing w:after="0" w:line="120" w:lineRule="exact"/>
    </w:pPr>
  </w:style>
  <w:style w:type="paragraph" w:customStyle="1" w:styleId="Reference">
    <w:name w:val="Reference"/>
    <w:basedOn w:val="Normal"/>
    <w:rsid w:val="008B322A"/>
    <w:pPr>
      <w:numPr>
        <w:numId w:val="16"/>
      </w:numPr>
      <w:spacing w:after="170" w:line="280" w:lineRule="exact"/>
    </w:pPr>
    <w:rPr>
      <w:rFonts w:eastAsia="PMingLiU"/>
    </w:rPr>
  </w:style>
  <w:style w:type="paragraph" w:customStyle="1" w:styleId="SAS10">
    <w:name w:val="SAS 10"/>
    <w:basedOn w:val="Normal"/>
    <w:rsid w:val="008B322A"/>
    <w:pPr>
      <w:spacing w:line="190" w:lineRule="exact"/>
    </w:pPr>
    <w:rPr>
      <w:rFonts w:ascii="Courier New" w:eastAsia="PMingLiU" w:hAnsi="Courier New"/>
      <w:spacing w:val="-14"/>
      <w:sz w:val="20"/>
    </w:rPr>
  </w:style>
  <w:style w:type="paragraph" w:customStyle="1" w:styleId="SynopsisBullet">
    <w:name w:val="Synopsis Bullet"/>
    <w:basedOn w:val="ListBullet"/>
    <w:rsid w:val="00111CF7"/>
    <w:pPr>
      <w:keepLines/>
      <w:numPr>
        <w:numId w:val="3"/>
      </w:numPr>
      <w:spacing w:after="80" w:line="220" w:lineRule="exact"/>
      <w:ind w:right="72"/>
    </w:pPr>
    <w:rPr>
      <w:sz w:val="20"/>
    </w:rPr>
  </w:style>
  <w:style w:type="paragraph" w:customStyle="1" w:styleId="SynopsisHead1">
    <w:name w:val="Synopsis Head 1"/>
    <w:basedOn w:val="Normal"/>
    <w:next w:val="SynopsisText"/>
    <w:rsid w:val="008B322A"/>
    <w:pPr>
      <w:keepNext/>
      <w:keepLines/>
      <w:spacing w:before="120" w:after="40" w:line="220" w:lineRule="exact"/>
      <w:ind w:left="72" w:right="72"/>
    </w:pPr>
    <w:rPr>
      <w:rFonts w:eastAsia="PMingLiU"/>
      <w:b/>
      <w:sz w:val="20"/>
      <w:u w:val="single"/>
    </w:rPr>
  </w:style>
  <w:style w:type="paragraph" w:customStyle="1" w:styleId="SynopsisHead2">
    <w:name w:val="Synopsis Head 2"/>
    <w:basedOn w:val="SynopsisHead1"/>
    <w:next w:val="SynopsisText"/>
    <w:rsid w:val="008B322A"/>
    <w:pPr>
      <w:spacing w:before="80"/>
    </w:pPr>
    <w:rPr>
      <w:u w:val="none"/>
    </w:rPr>
  </w:style>
  <w:style w:type="paragraph" w:customStyle="1" w:styleId="SynopsisText">
    <w:name w:val="Synopsis Text"/>
    <w:basedOn w:val="Normal"/>
    <w:rsid w:val="008B322A"/>
    <w:pPr>
      <w:spacing w:after="60" w:line="220" w:lineRule="exact"/>
      <w:ind w:left="72" w:right="72"/>
    </w:pPr>
    <w:rPr>
      <w:rFonts w:eastAsia="PMingLiU"/>
      <w:sz w:val="20"/>
    </w:rPr>
  </w:style>
  <w:style w:type="paragraph" w:customStyle="1" w:styleId="SynopsisSpace">
    <w:name w:val="Synopsis Space"/>
    <w:basedOn w:val="SynopsisText"/>
    <w:next w:val="SynopsisText"/>
    <w:rsid w:val="008B322A"/>
    <w:pPr>
      <w:spacing w:line="120" w:lineRule="exact"/>
    </w:pPr>
    <w:rPr>
      <w:sz w:val="12"/>
    </w:rPr>
  </w:style>
  <w:style w:type="paragraph" w:customStyle="1" w:styleId="TabFigNote">
    <w:name w:val="TabFig Note"/>
    <w:basedOn w:val="Normal"/>
    <w:rsid w:val="008B322A"/>
    <w:pPr>
      <w:keepNext/>
      <w:keepLines/>
      <w:spacing w:before="40" w:line="240" w:lineRule="exact"/>
      <w:ind w:left="29"/>
    </w:pPr>
    <w:rPr>
      <w:rFonts w:eastAsia="PMingLiU"/>
      <w:sz w:val="20"/>
    </w:rPr>
  </w:style>
  <w:style w:type="paragraph" w:customStyle="1" w:styleId="TabFigFooter">
    <w:name w:val="TabFig Footer"/>
    <w:basedOn w:val="TabFigNote"/>
    <w:rsid w:val="008B322A"/>
    <w:pPr>
      <w:ind w:left="245" w:hanging="216"/>
    </w:pPr>
  </w:style>
  <w:style w:type="paragraph" w:customStyle="1" w:styleId="TableCell10Left">
    <w:name w:val="Table Cell 10 Left"/>
    <w:basedOn w:val="Normal"/>
    <w:rsid w:val="008B322A"/>
    <w:pPr>
      <w:keepNext/>
      <w:keepLines/>
      <w:spacing w:before="50" w:after="50" w:line="240" w:lineRule="exact"/>
    </w:pPr>
    <w:rPr>
      <w:rFonts w:eastAsia="PMingLiU"/>
      <w:sz w:val="20"/>
    </w:rPr>
  </w:style>
  <w:style w:type="paragraph" w:customStyle="1" w:styleId="TableCell10Center">
    <w:name w:val="Table Cell 10 Center"/>
    <w:basedOn w:val="TableCell10Left"/>
    <w:rsid w:val="008B322A"/>
    <w:pPr>
      <w:jc w:val="center"/>
    </w:pPr>
  </w:style>
  <w:style w:type="paragraph" w:customStyle="1" w:styleId="TableCell12Left">
    <w:name w:val="Table Cell 12 Left"/>
    <w:basedOn w:val="Normal"/>
    <w:rsid w:val="008B322A"/>
    <w:pPr>
      <w:keepNext/>
      <w:keepLines/>
      <w:spacing w:before="50" w:after="50" w:line="240" w:lineRule="exact"/>
    </w:pPr>
    <w:rPr>
      <w:rFonts w:eastAsia="PMingLiU"/>
    </w:rPr>
  </w:style>
  <w:style w:type="paragraph" w:customStyle="1" w:styleId="TableCell12Center">
    <w:name w:val="Table Cell 12 Center"/>
    <w:basedOn w:val="TableCell12Left"/>
    <w:rsid w:val="008B322A"/>
    <w:pPr>
      <w:jc w:val="center"/>
    </w:pPr>
  </w:style>
  <w:style w:type="paragraph" w:styleId="TableofFigures">
    <w:name w:val="table of figures"/>
    <w:basedOn w:val="Normal"/>
    <w:semiHidden/>
    <w:rsid w:val="008B322A"/>
    <w:pPr>
      <w:tabs>
        <w:tab w:val="right" w:leader="dot" w:pos="8640"/>
      </w:tabs>
      <w:ind w:left="1584" w:right="562" w:hanging="1584"/>
    </w:pPr>
    <w:rPr>
      <w:rFonts w:eastAsia="PMingLiU"/>
    </w:rPr>
  </w:style>
  <w:style w:type="paragraph" w:customStyle="1" w:styleId="TableofCNFigures">
    <w:name w:val="Table of CN Figures"/>
    <w:basedOn w:val="TableofFigures"/>
    <w:next w:val="Paragraph"/>
    <w:rsid w:val="008B322A"/>
    <w:pPr>
      <w:ind w:left="2716" w:right="1695" w:hanging="2716"/>
    </w:pPr>
  </w:style>
  <w:style w:type="paragraph" w:customStyle="1" w:styleId="TOC">
    <w:name w:val="TOC"/>
    <w:basedOn w:val="Normal"/>
    <w:next w:val="Normal"/>
    <w:rsid w:val="008B322A"/>
    <w:pPr>
      <w:keepNext/>
      <w:keepLines/>
      <w:tabs>
        <w:tab w:val="center" w:pos="4320"/>
        <w:tab w:val="right" w:pos="8640"/>
      </w:tabs>
      <w:spacing w:before="397" w:after="227" w:line="280" w:lineRule="exact"/>
    </w:pPr>
    <w:rPr>
      <w:rFonts w:eastAsia="PMingLiU"/>
      <w:b/>
    </w:rPr>
  </w:style>
  <w:style w:type="paragraph" w:styleId="TOC1">
    <w:name w:val="toc 1"/>
    <w:basedOn w:val="Normal"/>
    <w:next w:val="Normal"/>
    <w:locked/>
    <w:rsid w:val="00111CF7"/>
    <w:pPr>
      <w:tabs>
        <w:tab w:val="right" w:leader="dot" w:pos="8640"/>
      </w:tabs>
      <w:spacing w:before="227" w:after="113" w:line="280" w:lineRule="exact"/>
      <w:ind w:left="504" w:right="1440" w:hanging="504"/>
    </w:pPr>
    <w:rPr>
      <w:caps/>
    </w:rPr>
  </w:style>
  <w:style w:type="paragraph" w:customStyle="1" w:styleId="TOC1XHeadSub">
    <w:name w:val="TOC 1 XHeadSub"/>
    <w:basedOn w:val="TOC1"/>
    <w:rsid w:val="008B322A"/>
    <w:pPr>
      <w:ind w:left="1440" w:hanging="1440"/>
    </w:pPr>
    <w:rPr>
      <w:caps w:val="0"/>
    </w:rPr>
  </w:style>
  <w:style w:type="paragraph" w:styleId="TOC2">
    <w:name w:val="toc 2"/>
    <w:basedOn w:val="TOC1"/>
    <w:next w:val="Normal"/>
    <w:locked/>
    <w:rsid w:val="00111CF7"/>
    <w:pPr>
      <w:spacing w:before="0"/>
      <w:ind w:left="1944" w:hanging="1440"/>
    </w:pPr>
    <w:rPr>
      <w:caps w:val="0"/>
    </w:rPr>
  </w:style>
  <w:style w:type="paragraph" w:customStyle="1" w:styleId="TOC2XHeadSub">
    <w:name w:val="TOC 2 XHeadSub"/>
    <w:basedOn w:val="TOC2"/>
    <w:rsid w:val="008B322A"/>
    <w:pPr>
      <w:ind w:left="360" w:firstLine="0"/>
    </w:pPr>
  </w:style>
  <w:style w:type="paragraph" w:styleId="TOC3">
    <w:name w:val="toc 3"/>
    <w:basedOn w:val="TOC2"/>
    <w:next w:val="Normal"/>
    <w:locked/>
    <w:rsid w:val="00111CF7"/>
    <w:pPr>
      <w:ind w:left="720" w:firstLine="0"/>
    </w:pPr>
  </w:style>
  <w:style w:type="paragraph" w:styleId="TOC4">
    <w:name w:val="toc 4"/>
    <w:basedOn w:val="TOC3"/>
    <w:next w:val="Normal"/>
    <w:locked/>
    <w:rsid w:val="00111CF7"/>
    <w:pPr>
      <w:ind w:left="1080"/>
    </w:pPr>
  </w:style>
  <w:style w:type="paragraph" w:styleId="TOC5">
    <w:name w:val="toc 5"/>
    <w:basedOn w:val="TOC4"/>
    <w:next w:val="Normal"/>
    <w:semiHidden/>
    <w:locked/>
    <w:rsid w:val="00111CF7"/>
    <w:pPr>
      <w:ind w:left="1440"/>
    </w:pPr>
  </w:style>
  <w:style w:type="paragraph" w:styleId="TOC9">
    <w:name w:val="toc 9"/>
    <w:basedOn w:val="Normal"/>
    <w:next w:val="Normal"/>
    <w:autoRedefine/>
    <w:semiHidden/>
    <w:locked/>
    <w:rsid w:val="00111CF7"/>
    <w:pPr>
      <w:ind w:left="1920"/>
    </w:pPr>
  </w:style>
  <w:style w:type="paragraph" w:customStyle="1" w:styleId="TOCHead">
    <w:name w:val="TOC Head"/>
    <w:basedOn w:val="TOC"/>
    <w:next w:val="Normal"/>
    <w:rsid w:val="008B322A"/>
    <w:pPr>
      <w:pageBreakBefore/>
    </w:pPr>
  </w:style>
  <w:style w:type="paragraph" w:customStyle="1" w:styleId="XHead">
    <w:name w:val="X Head"/>
    <w:basedOn w:val="Normal"/>
    <w:next w:val="Paragraph"/>
    <w:rsid w:val="008B322A"/>
    <w:pPr>
      <w:keepNext/>
      <w:tabs>
        <w:tab w:val="left" w:pos="1411"/>
      </w:tabs>
      <w:spacing w:after="160" w:line="320" w:lineRule="exact"/>
      <w:ind w:left="1411" w:hanging="1411"/>
      <w:outlineLvl w:val="0"/>
    </w:pPr>
    <w:rPr>
      <w:rFonts w:eastAsia="PMingLiU"/>
      <w:b/>
      <w:u w:val="single"/>
    </w:rPr>
  </w:style>
  <w:style w:type="paragraph" w:customStyle="1" w:styleId="XHead125">
    <w:name w:val="X Head 1.25"/>
    <w:basedOn w:val="Normal"/>
    <w:next w:val="Paragraph"/>
    <w:rsid w:val="008B322A"/>
    <w:pPr>
      <w:keepNext/>
      <w:tabs>
        <w:tab w:val="left" w:pos="1800"/>
      </w:tabs>
      <w:spacing w:after="160" w:line="320" w:lineRule="exact"/>
      <w:ind w:left="1800" w:hanging="1800"/>
      <w:outlineLvl w:val="0"/>
    </w:pPr>
    <w:rPr>
      <w:rFonts w:eastAsia="PMingLiU"/>
      <w:b/>
      <w:u w:val="single"/>
    </w:rPr>
  </w:style>
  <w:style w:type="paragraph" w:customStyle="1" w:styleId="XHead150">
    <w:name w:val="X Head 1.50"/>
    <w:basedOn w:val="Normal"/>
    <w:next w:val="Paragraph"/>
    <w:rsid w:val="008B322A"/>
    <w:pPr>
      <w:keepNext/>
      <w:tabs>
        <w:tab w:val="left" w:pos="2160"/>
      </w:tabs>
      <w:spacing w:after="160" w:line="320" w:lineRule="exact"/>
      <w:ind w:left="2160" w:hanging="2160"/>
      <w:outlineLvl w:val="0"/>
    </w:pPr>
    <w:rPr>
      <w:rFonts w:eastAsia="PMingLiU"/>
      <w:b/>
      <w:u w:val="single"/>
    </w:rPr>
  </w:style>
  <w:style w:type="paragraph" w:customStyle="1" w:styleId="XHead175">
    <w:name w:val="X Head 1.75"/>
    <w:basedOn w:val="Normal"/>
    <w:next w:val="Paragraph"/>
    <w:rsid w:val="008B322A"/>
    <w:pPr>
      <w:keepNext/>
      <w:tabs>
        <w:tab w:val="left" w:pos="2520"/>
      </w:tabs>
      <w:spacing w:after="160" w:line="320" w:lineRule="exact"/>
      <w:ind w:left="2520" w:hanging="2520"/>
      <w:outlineLvl w:val="0"/>
    </w:pPr>
    <w:rPr>
      <w:rFonts w:eastAsia="PMingLiU"/>
      <w:b/>
      <w:u w:val="single"/>
    </w:rPr>
  </w:style>
  <w:style w:type="paragraph" w:customStyle="1" w:styleId="XHeadSub">
    <w:name w:val="XHeadSub"/>
    <w:basedOn w:val="Heading1NoNum"/>
    <w:next w:val="Paragraph"/>
    <w:rsid w:val="008B322A"/>
    <w:pPr>
      <w:spacing w:after="120" w:line="320" w:lineRule="exact"/>
      <w:ind w:left="1411" w:hanging="1411"/>
    </w:pPr>
    <w:rPr>
      <w:u w:val="none"/>
    </w:rPr>
  </w:style>
  <w:style w:type="paragraph" w:customStyle="1" w:styleId="xInstrux">
    <w:name w:val="xInstrux"/>
    <w:basedOn w:val="Normal"/>
    <w:rsid w:val="008B322A"/>
    <w:pPr>
      <w:spacing w:after="120" w:line="280" w:lineRule="exact"/>
    </w:pPr>
    <w:rPr>
      <w:rFonts w:eastAsia="PMingLiU"/>
      <w:b/>
      <w:color w:val="FF0000"/>
      <w:sz w:val="20"/>
      <w:szCs w:val="28"/>
    </w:rPr>
  </w:style>
  <w:style w:type="character" w:customStyle="1" w:styleId="HiddenParaChar">
    <w:name w:val="Hidden:Para Char"/>
    <w:link w:val="HiddenPara"/>
    <w:locked/>
    <w:rsid w:val="008B322A"/>
    <w:rPr>
      <w:rFonts w:ascii="Arial" w:eastAsia="SimSun" w:hAnsi="Arial"/>
      <w:b/>
      <w:vanish/>
      <w:color w:val="008000"/>
      <w:sz w:val="22"/>
      <w:szCs w:val="22"/>
      <w:u w:val="dotted"/>
      <w:lang w:val="en-US" w:eastAsia="zh-CN" w:bidi="ar-SA"/>
    </w:rPr>
  </w:style>
  <w:style w:type="paragraph" w:customStyle="1" w:styleId="HeadingAppFiTitle">
    <w:name w:val="Heading App FiTitle"/>
    <w:basedOn w:val="Normal"/>
    <w:next w:val="Paragraph"/>
    <w:rsid w:val="008B322A"/>
    <w:pPr>
      <w:keepNext/>
      <w:tabs>
        <w:tab w:val="left" w:pos="1584"/>
      </w:tabs>
      <w:spacing w:after="57" w:line="280" w:lineRule="exact"/>
      <w:ind w:left="1584" w:hanging="1584"/>
      <w:outlineLvl w:val="4"/>
    </w:pPr>
    <w:rPr>
      <w:rFonts w:eastAsia="PMingLiU"/>
      <w:b/>
      <w:color w:val="080808"/>
    </w:rPr>
  </w:style>
  <w:style w:type="paragraph" w:customStyle="1" w:styleId="HeadingAppPhTitle">
    <w:name w:val="Heading App PhTitle"/>
    <w:basedOn w:val="HeadingAppFiTitle"/>
    <w:next w:val="Paragraph"/>
    <w:rsid w:val="008B322A"/>
    <w:rPr>
      <w:color w:val="1C1C1C"/>
    </w:rPr>
  </w:style>
  <w:style w:type="paragraph" w:customStyle="1" w:styleId="HeadingFigureFiTitle">
    <w:name w:val="Heading Figure FiTitle"/>
    <w:basedOn w:val="Normal"/>
    <w:next w:val="Paragraph"/>
    <w:rsid w:val="008B322A"/>
    <w:pPr>
      <w:keepNext/>
      <w:tabs>
        <w:tab w:val="left" w:pos="1152"/>
      </w:tabs>
      <w:spacing w:before="113" w:after="57" w:line="280" w:lineRule="exact"/>
      <w:ind w:left="1152" w:hanging="1152"/>
      <w:outlineLvl w:val="6"/>
    </w:pPr>
    <w:rPr>
      <w:rFonts w:eastAsia="PMingLiU"/>
      <w:b/>
    </w:rPr>
  </w:style>
  <w:style w:type="paragraph" w:customStyle="1" w:styleId="HeadingFigurePhTitle">
    <w:name w:val="Heading Figure PhTitle"/>
    <w:basedOn w:val="Normal"/>
    <w:next w:val="Paragraph"/>
    <w:rsid w:val="008B322A"/>
    <w:pPr>
      <w:keepNext/>
      <w:tabs>
        <w:tab w:val="left" w:pos="1152"/>
      </w:tabs>
      <w:spacing w:before="113" w:after="57" w:line="280" w:lineRule="exact"/>
      <w:ind w:left="1152" w:hanging="1152"/>
      <w:outlineLvl w:val="6"/>
    </w:pPr>
    <w:rPr>
      <w:rFonts w:eastAsia="PMingLiU"/>
      <w:b/>
    </w:rPr>
  </w:style>
  <w:style w:type="paragraph" w:customStyle="1" w:styleId="HeadingTableFiTitle">
    <w:name w:val="Heading Table FiTitle"/>
    <w:basedOn w:val="Normal"/>
    <w:next w:val="Paragraph"/>
    <w:rsid w:val="008B322A"/>
    <w:pPr>
      <w:keepNext/>
      <w:tabs>
        <w:tab w:val="left" w:pos="1152"/>
      </w:tabs>
      <w:spacing w:before="113" w:after="57" w:line="280" w:lineRule="exact"/>
      <w:ind w:left="1152" w:hanging="1152"/>
      <w:outlineLvl w:val="6"/>
    </w:pPr>
    <w:rPr>
      <w:rFonts w:eastAsia="PMingLiU"/>
      <w:b/>
      <w:color w:val="111111"/>
    </w:rPr>
  </w:style>
  <w:style w:type="paragraph" w:customStyle="1" w:styleId="HeadingTablePhTitle">
    <w:name w:val="Heading Table PhTitle"/>
    <w:basedOn w:val="HeadingTableFiTitle"/>
    <w:next w:val="Paragraph"/>
    <w:rsid w:val="008B322A"/>
    <w:rPr>
      <w:color w:val="292929"/>
    </w:rPr>
  </w:style>
  <w:style w:type="paragraph" w:styleId="BlockText">
    <w:name w:val="Block Text"/>
    <w:basedOn w:val="Normal"/>
    <w:rsid w:val="002E74AB"/>
    <w:pPr>
      <w:spacing w:after="120"/>
      <w:ind w:left="1440" w:right="1440"/>
    </w:pPr>
  </w:style>
  <w:style w:type="paragraph" w:styleId="BodyText2">
    <w:name w:val="Body Text 2"/>
    <w:basedOn w:val="Normal"/>
    <w:rsid w:val="002E74AB"/>
    <w:pPr>
      <w:spacing w:after="120" w:line="480" w:lineRule="auto"/>
    </w:pPr>
  </w:style>
  <w:style w:type="paragraph" w:styleId="BodyText3">
    <w:name w:val="Body Text 3"/>
    <w:basedOn w:val="Normal"/>
    <w:rsid w:val="002E74AB"/>
    <w:pPr>
      <w:spacing w:after="120"/>
    </w:pPr>
    <w:rPr>
      <w:sz w:val="16"/>
      <w:szCs w:val="16"/>
    </w:rPr>
  </w:style>
  <w:style w:type="paragraph" w:styleId="BodyTextFirstIndent">
    <w:name w:val="Body Text First Indent"/>
    <w:basedOn w:val="BodyText"/>
    <w:rsid w:val="002E74AB"/>
    <w:pPr>
      <w:spacing w:after="120"/>
      <w:ind w:firstLine="210"/>
    </w:pPr>
    <w:rPr>
      <w:rFonts w:eastAsia="Times New Roman"/>
      <w:i w:val="0"/>
      <w:color w:val="auto"/>
    </w:rPr>
  </w:style>
  <w:style w:type="paragraph" w:styleId="BodyTextIndent">
    <w:name w:val="Body Text Indent"/>
    <w:basedOn w:val="Normal"/>
    <w:rsid w:val="002E74AB"/>
    <w:pPr>
      <w:spacing w:after="120"/>
      <w:ind w:left="360"/>
    </w:pPr>
  </w:style>
  <w:style w:type="paragraph" w:styleId="BodyTextFirstIndent2">
    <w:name w:val="Body Text First Indent 2"/>
    <w:basedOn w:val="BodyTextIndent"/>
    <w:rsid w:val="002E74AB"/>
    <w:pPr>
      <w:ind w:firstLine="210"/>
    </w:pPr>
  </w:style>
  <w:style w:type="paragraph" w:styleId="BodyTextIndent2">
    <w:name w:val="Body Text Indent 2"/>
    <w:basedOn w:val="Normal"/>
    <w:rsid w:val="002E74AB"/>
    <w:pPr>
      <w:spacing w:after="120" w:line="480" w:lineRule="auto"/>
      <w:ind w:left="360"/>
    </w:pPr>
  </w:style>
  <w:style w:type="paragraph" w:styleId="BodyTextIndent3">
    <w:name w:val="Body Text Indent 3"/>
    <w:basedOn w:val="Normal"/>
    <w:rsid w:val="002E74AB"/>
    <w:pPr>
      <w:spacing w:after="120"/>
      <w:ind w:left="360"/>
    </w:pPr>
    <w:rPr>
      <w:sz w:val="16"/>
      <w:szCs w:val="16"/>
    </w:rPr>
  </w:style>
  <w:style w:type="paragraph" w:styleId="Closing">
    <w:name w:val="Closing"/>
    <w:basedOn w:val="Normal"/>
    <w:rsid w:val="002E74AB"/>
    <w:pPr>
      <w:ind w:left="4320"/>
    </w:pPr>
  </w:style>
  <w:style w:type="paragraph" w:styleId="Date">
    <w:name w:val="Date"/>
    <w:basedOn w:val="Normal"/>
    <w:next w:val="Normal"/>
    <w:rsid w:val="002E74AB"/>
  </w:style>
  <w:style w:type="paragraph" w:styleId="E-mailSignature">
    <w:name w:val="E-mail Signature"/>
    <w:basedOn w:val="Normal"/>
    <w:rsid w:val="002E74AB"/>
  </w:style>
  <w:style w:type="paragraph" w:styleId="EndnoteText">
    <w:name w:val="endnote text"/>
    <w:basedOn w:val="Normal"/>
    <w:semiHidden/>
    <w:rsid w:val="002E74AB"/>
    <w:rPr>
      <w:sz w:val="20"/>
    </w:rPr>
  </w:style>
  <w:style w:type="paragraph" w:styleId="EnvelopeAddress">
    <w:name w:val="envelope address"/>
    <w:basedOn w:val="Normal"/>
    <w:rsid w:val="002E74A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E74AB"/>
    <w:rPr>
      <w:rFonts w:ascii="Arial" w:hAnsi="Arial" w:cs="Arial"/>
      <w:sz w:val="20"/>
    </w:rPr>
  </w:style>
  <w:style w:type="paragraph" w:styleId="FootnoteText">
    <w:name w:val="footnote text"/>
    <w:basedOn w:val="Normal"/>
    <w:semiHidden/>
    <w:rsid w:val="002E74AB"/>
    <w:rPr>
      <w:sz w:val="20"/>
    </w:rPr>
  </w:style>
  <w:style w:type="paragraph" w:styleId="HTMLAddress">
    <w:name w:val="HTML Address"/>
    <w:basedOn w:val="Normal"/>
    <w:rsid w:val="002E74AB"/>
    <w:rPr>
      <w:i/>
      <w:iCs/>
    </w:rPr>
  </w:style>
  <w:style w:type="paragraph" w:styleId="HTMLPreformatted">
    <w:name w:val="HTML Preformatted"/>
    <w:basedOn w:val="Normal"/>
    <w:rsid w:val="002E74AB"/>
    <w:rPr>
      <w:rFonts w:ascii="Courier New" w:hAnsi="Courier New" w:cs="Courier New"/>
      <w:sz w:val="20"/>
    </w:rPr>
  </w:style>
  <w:style w:type="paragraph" w:styleId="Index1">
    <w:name w:val="index 1"/>
    <w:basedOn w:val="Normal"/>
    <w:next w:val="Normal"/>
    <w:autoRedefine/>
    <w:semiHidden/>
    <w:rsid w:val="002E74AB"/>
    <w:pPr>
      <w:ind w:left="220" w:hanging="220"/>
    </w:pPr>
  </w:style>
  <w:style w:type="paragraph" w:styleId="Index2">
    <w:name w:val="index 2"/>
    <w:basedOn w:val="Normal"/>
    <w:next w:val="Normal"/>
    <w:autoRedefine/>
    <w:semiHidden/>
    <w:rsid w:val="002E74AB"/>
    <w:pPr>
      <w:ind w:left="440" w:hanging="220"/>
    </w:pPr>
  </w:style>
  <w:style w:type="paragraph" w:styleId="Index3">
    <w:name w:val="index 3"/>
    <w:basedOn w:val="Normal"/>
    <w:next w:val="Normal"/>
    <w:autoRedefine/>
    <w:semiHidden/>
    <w:rsid w:val="002E74AB"/>
    <w:pPr>
      <w:ind w:left="660" w:hanging="220"/>
    </w:pPr>
  </w:style>
  <w:style w:type="paragraph" w:styleId="Index4">
    <w:name w:val="index 4"/>
    <w:basedOn w:val="Normal"/>
    <w:next w:val="Normal"/>
    <w:autoRedefine/>
    <w:semiHidden/>
    <w:rsid w:val="002E74AB"/>
    <w:pPr>
      <w:ind w:left="880" w:hanging="220"/>
    </w:pPr>
  </w:style>
  <w:style w:type="paragraph" w:styleId="Index5">
    <w:name w:val="index 5"/>
    <w:basedOn w:val="Normal"/>
    <w:next w:val="Normal"/>
    <w:autoRedefine/>
    <w:semiHidden/>
    <w:rsid w:val="002E74AB"/>
    <w:pPr>
      <w:ind w:left="1100" w:hanging="220"/>
    </w:pPr>
  </w:style>
  <w:style w:type="paragraph" w:styleId="Index6">
    <w:name w:val="index 6"/>
    <w:basedOn w:val="Normal"/>
    <w:next w:val="Normal"/>
    <w:autoRedefine/>
    <w:semiHidden/>
    <w:rsid w:val="002E74AB"/>
    <w:pPr>
      <w:ind w:left="1320" w:hanging="220"/>
    </w:pPr>
  </w:style>
  <w:style w:type="paragraph" w:styleId="Index7">
    <w:name w:val="index 7"/>
    <w:basedOn w:val="Normal"/>
    <w:next w:val="Normal"/>
    <w:autoRedefine/>
    <w:semiHidden/>
    <w:rsid w:val="002E74AB"/>
    <w:pPr>
      <w:ind w:left="1540" w:hanging="220"/>
    </w:pPr>
  </w:style>
  <w:style w:type="paragraph" w:styleId="Index8">
    <w:name w:val="index 8"/>
    <w:basedOn w:val="Normal"/>
    <w:next w:val="Normal"/>
    <w:autoRedefine/>
    <w:semiHidden/>
    <w:rsid w:val="002E74AB"/>
    <w:pPr>
      <w:ind w:left="1760" w:hanging="220"/>
    </w:pPr>
  </w:style>
  <w:style w:type="paragraph" w:styleId="Index9">
    <w:name w:val="index 9"/>
    <w:basedOn w:val="Normal"/>
    <w:next w:val="Normal"/>
    <w:autoRedefine/>
    <w:semiHidden/>
    <w:rsid w:val="002E74AB"/>
    <w:pPr>
      <w:ind w:left="1980" w:hanging="220"/>
    </w:pPr>
  </w:style>
  <w:style w:type="paragraph" w:styleId="IndexHeading">
    <w:name w:val="index heading"/>
    <w:basedOn w:val="Normal"/>
    <w:next w:val="Index1"/>
    <w:semiHidden/>
    <w:rsid w:val="002E74AB"/>
    <w:rPr>
      <w:rFonts w:ascii="Arial" w:hAnsi="Arial" w:cs="Arial"/>
      <w:b/>
      <w:bCs/>
    </w:rPr>
  </w:style>
  <w:style w:type="paragraph" w:styleId="List">
    <w:name w:val="List"/>
    <w:basedOn w:val="Normal"/>
    <w:rsid w:val="002E74AB"/>
    <w:pPr>
      <w:ind w:left="360" w:hanging="360"/>
    </w:pPr>
  </w:style>
  <w:style w:type="paragraph" w:styleId="List2">
    <w:name w:val="List 2"/>
    <w:basedOn w:val="Normal"/>
    <w:rsid w:val="002E74AB"/>
    <w:pPr>
      <w:ind w:left="720" w:hanging="360"/>
    </w:pPr>
  </w:style>
  <w:style w:type="paragraph" w:styleId="List3">
    <w:name w:val="List 3"/>
    <w:basedOn w:val="Normal"/>
    <w:rsid w:val="002E74AB"/>
    <w:pPr>
      <w:ind w:left="1080" w:hanging="360"/>
    </w:pPr>
  </w:style>
  <w:style w:type="paragraph" w:styleId="List4">
    <w:name w:val="List 4"/>
    <w:basedOn w:val="Normal"/>
    <w:rsid w:val="002E74AB"/>
    <w:pPr>
      <w:ind w:left="1440" w:hanging="360"/>
    </w:pPr>
  </w:style>
  <w:style w:type="paragraph" w:styleId="List5">
    <w:name w:val="List 5"/>
    <w:basedOn w:val="Normal"/>
    <w:rsid w:val="002E74AB"/>
    <w:pPr>
      <w:ind w:left="1800" w:hanging="360"/>
    </w:pPr>
  </w:style>
  <w:style w:type="paragraph" w:styleId="ListBullet2">
    <w:name w:val="List Bullet 2"/>
    <w:basedOn w:val="Normal"/>
    <w:rsid w:val="002E74AB"/>
    <w:pPr>
      <w:numPr>
        <w:numId w:val="26"/>
      </w:numPr>
    </w:pPr>
  </w:style>
  <w:style w:type="paragraph" w:styleId="ListBullet3">
    <w:name w:val="List Bullet 3"/>
    <w:basedOn w:val="Normal"/>
    <w:rsid w:val="002E74AB"/>
    <w:pPr>
      <w:numPr>
        <w:numId w:val="27"/>
      </w:numPr>
    </w:pPr>
  </w:style>
  <w:style w:type="paragraph" w:styleId="ListBullet4">
    <w:name w:val="List Bullet 4"/>
    <w:basedOn w:val="Normal"/>
    <w:rsid w:val="002E74AB"/>
    <w:pPr>
      <w:numPr>
        <w:numId w:val="28"/>
      </w:numPr>
    </w:pPr>
  </w:style>
  <w:style w:type="paragraph" w:styleId="ListBullet5">
    <w:name w:val="List Bullet 5"/>
    <w:basedOn w:val="Normal"/>
    <w:rsid w:val="002E74AB"/>
    <w:pPr>
      <w:numPr>
        <w:numId w:val="29"/>
      </w:numPr>
    </w:pPr>
  </w:style>
  <w:style w:type="paragraph" w:styleId="ListContinue">
    <w:name w:val="List Continue"/>
    <w:basedOn w:val="Normal"/>
    <w:rsid w:val="002E74AB"/>
    <w:pPr>
      <w:spacing w:after="120"/>
      <w:ind w:left="360"/>
    </w:pPr>
  </w:style>
  <w:style w:type="paragraph" w:styleId="ListContinue2">
    <w:name w:val="List Continue 2"/>
    <w:basedOn w:val="Normal"/>
    <w:rsid w:val="002E74AB"/>
    <w:pPr>
      <w:spacing w:after="120"/>
      <w:ind w:left="720"/>
    </w:pPr>
  </w:style>
  <w:style w:type="paragraph" w:styleId="ListContinue3">
    <w:name w:val="List Continue 3"/>
    <w:basedOn w:val="Normal"/>
    <w:rsid w:val="002E74AB"/>
    <w:pPr>
      <w:spacing w:after="120"/>
      <w:ind w:left="1080"/>
    </w:pPr>
  </w:style>
  <w:style w:type="paragraph" w:styleId="ListContinue4">
    <w:name w:val="List Continue 4"/>
    <w:basedOn w:val="Normal"/>
    <w:rsid w:val="002E74AB"/>
    <w:pPr>
      <w:spacing w:after="120"/>
      <w:ind w:left="1440"/>
    </w:pPr>
  </w:style>
  <w:style w:type="paragraph" w:styleId="ListContinue5">
    <w:name w:val="List Continue 5"/>
    <w:basedOn w:val="Normal"/>
    <w:rsid w:val="002E74AB"/>
    <w:pPr>
      <w:spacing w:after="120"/>
      <w:ind w:left="1800"/>
    </w:pPr>
  </w:style>
  <w:style w:type="paragraph" w:styleId="ListNumber2">
    <w:name w:val="List Number 2"/>
    <w:basedOn w:val="Normal"/>
    <w:rsid w:val="002E74AB"/>
    <w:pPr>
      <w:numPr>
        <w:numId w:val="30"/>
      </w:numPr>
    </w:pPr>
  </w:style>
  <w:style w:type="paragraph" w:styleId="ListNumber3">
    <w:name w:val="List Number 3"/>
    <w:basedOn w:val="Normal"/>
    <w:rsid w:val="002E74AB"/>
    <w:pPr>
      <w:numPr>
        <w:numId w:val="31"/>
      </w:numPr>
    </w:pPr>
  </w:style>
  <w:style w:type="paragraph" w:styleId="ListNumber4">
    <w:name w:val="List Number 4"/>
    <w:basedOn w:val="Normal"/>
    <w:rsid w:val="002E74AB"/>
    <w:pPr>
      <w:numPr>
        <w:numId w:val="17"/>
      </w:numPr>
    </w:pPr>
  </w:style>
  <w:style w:type="paragraph" w:styleId="ListNumber5">
    <w:name w:val="List Number 5"/>
    <w:basedOn w:val="Normal"/>
    <w:rsid w:val="002E74AB"/>
    <w:pPr>
      <w:numPr>
        <w:numId w:val="32"/>
      </w:numPr>
    </w:pPr>
  </w:style>
  <w:style w:type="paragraph" w:styleId="Macro">
    <w:name w:val="macro"/>
    <w:semiHidden/>
    <w:rsid w:val="002E74A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eastAsia="ja-JP"/>
    </w:rPr>
  </w:style>
  <w:style w:type="paragraph" w:styleId="MessageHeader">
    <w:name w:val="Message Header"/>
    <w:basedOn w:val="Normal"/>
    <w:rsid w:val="002E74A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rsid w:val="002E74AB"/>
    <w:pPr>
      <w:ind w:left="720"/>
    </w:pPr>
  </w:style>
  <w:style w:type="paragraph" w:styleId="NoteHeading">
    <w:name w:val="Note Heading"/>
    <w:basedOn w:val="Normal"/>
    <w:next w:val="Normal"/>
    <w:rsid w:val="002E74AB"/>
  </w:style>
  <w:style w:type="paragraph" w:styleId="Salutation">
    <w:name w:val="Salutation"/>
    <w:basedOn w:val="Normal"/>
    <w:next w:val="Normal"/>
    <w:rsid w:val="002E74AB"/>
  </w:style>
  <w:style w:type="paragraph" w:styleId="Signature">
    <w:name w:val="Signature"/>
    <w:basedOn w:val="Normal"/>
    <w:rsid w:val="002E74AB"/>
    <w:pPr>
      <w:ind w:left="4320"/>
    </w:pPr>
  </w:style>
  <w:style w:type="paragraph" w:styleId="Subtitle">
    <w:name w:val="Subtitle"/>
    <w:basedOn w:val="Normal"/>
    <w:qFormat/>
    <w:rsid w:val="002E74A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2E74AB"/>
    <w:pPr>
      <w:ind w:left="220" w:hanging="220"/>
    </w:pPr>
  </w:style>
  <w:style w:type="paragraph" w:styleId="TOAHeading">
    <w:name w:val="toa heading"/>
    <w:basedOn w:val="Normal"/>
    <w:next w:val="Normal"/>
    <w:semiHidden/>
    <w:rsid w:val="002E74AB"/>
    <w:pPr>
      <w:spacing w:before="120"/>
    </w:pPr>
    <w:rPr>
      <w:rFonts w:ascii="Arial" w:hAnsi="Arial" w:cs="Arial"/>
      <w:b/>
      <w:bCs/>
      <w:sz w:val="24"/>
      <w:szCs w:val="24"/>
    </w:rPr>
  </w:style>
  <w:style w:type="paragraph" w:styleId="TOC6">
    <w:name w:val="toc 6"/>
    <w:basedOn w:val="Normal"/>
    <w:next w:val="Normal"/>
    <w:autoRedefine/>
    <w:semiHidden/>
    <w:rsid w:val="002E74AB"/>
    <w:pPr>
      <w:ind w:left="1100"/>
    </w:pPr>
  </w:style>
  <w:style w:type="paragraph" w:styleId="TOC7">
    <w:name w:val="toc 7"/>
    <w:basedOn w:val="Normal"/>
    <w:next w:val="Normal"/>
    <w:autoRedefine/>
    <w:semiHidden/>
    <w:rsid w:val="002E74AB"/>
    <w:pPr>
      <w:ind w:left="1320"/>
    </w:pPr>
  </w:style>
  <w:style w:type="paragraph" w:styleId="TOC8">
    <w:name w:val="toc 8"/>
    <w:basedOn w:val="Normal"/>
    <w:next w:val="Normal"/>
    <w:autoRedefine/>
    <w:semiHidden/>
    <w:rsid w:val="002E74AB"/>
    <w:pPr>
      <w:ind w:left="1540"/>
    </w:pPr>
  </w:style>
  <w:style w:type="character" w:customStyle="1" w:styleId="CommentTextChar2">
    <w:name w:val="Comment Text Char2"/>
    <w:uiPriority w:val="99"/>
    <w:locked/>
    <w:rsid w:val="001B42A2"/>
    <w:rPr>
      <w:lang w:val="en-US" w:eastAsia="en-US"/>
    </w:rPr>
  </w:style>
  <w:style w:type="paragraph" w:styleId="Revision">
    <w:name w:val="Revision"/>
    <w:hidden/>
    <w:uiPriority w:val="99"/>
    <w:semiHidden/>
    <w:rsid w:val="000F5832"/>
    <w:rPr>
      <w:rFonts w:ascii="Times New Roman" w:eastAsia="Times New Roman" w:hAnsi="Times New Roman"/>
      <w:sz w:val="22"/>
      <w:lang w:val="en-US" w:eastAsia="ja-JP"/>
    </w:rPr>
  </w:style>
  <w:style w:type="paragraph" w:styleId="ListParagraph">
    <w:name w:val="List Paragraph"/>
    <w:basedOn w:val="Normal"/>
    <w:uiPriority w:val="34"/>
    <w:qFormat/>
    <w:rsid w:val="00844D94"/>
    <w:pPr>
      <w:ind w:left="720"/>
      <w:contextualSpacing/>
    </w:pPr>
  </w:style>
  <w:style w:type="character" w:customStyle="1" w:styleId="m9220114500512215066m-6500666881044775903gmail-msodel">
    <w:name w:val="m_9220114500512215066m_-6500666881044775903gmail-msodel"/>
    <w:basedOn w:val="DefaultParagraphFont"/>
    <w:rsid w:val="00FF2CE5"/>
    <w:rPr>
      <w:noProof/>
    </w:rPr>
  </w:style>
  <w:style w:type="character" w:customStyle="1" w:styleId="m9220114500512215066m-6500666881044775903gmail-msoins">
    <w:name w:val="m_9220114500512215066m_-6500666881044775903gmail-msoins"/>
    <w:basedOn w:val="DefaultParagraphFont"/>
    <w:rsid w:val="00FF2CE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17"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media/image1.jpeg" /></Relationships>
</file>

<file path=word/_rels/numbering.xml.rels>&#65279;<?xml version="1.0" encoding="utf-8" standalone="yes"?><Relationships xmlns="http://schemas.openxmlformats.org/package/2006/relationships"><Relationship Id="rId1" Type="http://schemas.openxmlformats.org/officeDocument/2006/relationships/image" Target="media/image4.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G:\AppData\Roaming\Microsoft\Templates\SPC_10H.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2C68B-D76F-44C7-B0BE-B23A7C8380DF}">
  <ds:schemaRefs/>
</ds:datastoreItem>
</file>

<file path=customXml/itemProps2.xml><?xml version="1.0" encoding="utf-8"?>
<ds:datastoreItem xmlns:ds="http://schemas.openxmlformats.org/officeDocument/2006/customXml" ds:itemID="{574E700F-A9D0-4191-92FC-12216C61F9AC}">
  <ds:schemaRefs/>
</ds:datastoreItem>
</file>

<file path=customXml/itemProps3.xml><?xml version="1.0" encoding="utf-8"?>
<ds:datastoreItem xmlns:ds="http://schemas.openxmlformats.org/officeDocument/2006/customXml" ds:itemID="{91AE5126-DC99-4BD2-89C6-48E7E3E376FF}">
  <ds:schemaRefs/>
</ds:datastoreItem>
</file>

<file path=customXml/itemProps4.xml><?xml version="1.0" encoding="utf-8"?>
<ds:datastoreItem xmlns:ds="http://schemas.openxmlformats.org/officeDocument/2006/customXml" ds:itemID="{C676782A-F04E-4B8E-8C83-E744D4E3C000}"/>
</file>

<file path=customXml/itemProps5.xml><?xml version="1.0" encoding="utf-8"?>
<ds:datastoreItem xmlns:ds="http://schemas.openxmlformats.org/officeDocument/2006/customXml" ds:itemID="{137D061C-2CBF-46AA-B830-3C03A8A5E11D}">
  <ds:schemaRefs/>
</ds:datastoreItem>
</file>

<file path=docProps/app.xml><?xml version="1.0" encoding="utf-8"?>
<Properties xmlns="http://schemas.openxmlformats.org/officeDocument/2006/extended-properties" xmlns:vt="http://schemas.openxmlformats.org/officeDocument/2006/docPropsVTypes">
  <Template>SPC_10H</Template>
  <TotalTime>0</TotalTime>
  <Pages>43</Pages>
  <Words>13915</Words>
  <Characters>79319</Characters>
  <Application>Microsoft Office Word</Application>
  <DocSecurity>0</DocSecurity>
  <Lines>660</Lines>
  <Paragraphs>186</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Perjeta, INN-pertuzumab</vt:lpstr>
      <vt:lpstr/>
      <vt:lpstr/>
    </vt:vector>
  </TitlesOfParts>
  <Company>EMEA</Company>
  <LinksUpToDate>false</LinksUpToDate>
  <CharactersWithSpaces>93048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Perjeta-II-48 EN PI clean</dc:title>
  <dc:subject>EPAR</dc:subject>
  <dc:creator>CHMP</dc:creator>
  <cp:keywords>Perjeta, INN-pertuzumab</cp:keywords>
  <dc:description>Version 10.0 02/2016_x000d_
Downloaded 110516 (en)</dc:description>
  <cp:lastModifiedBy>Burman, Laura {MDRS~Basel}</cp:lastModifiedBy>
  <cp:revision>3</cp:revision>
  <dcterms:created xsi:type="dcterms:W3CDTF">2020-04-16T08:10:00Z</dcterms:created>
  <dcterms:modified xsi:type="dcterms:W3CDTF">2020-04-16T08:10:00Z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11/12/2020 11:10:10</vt:lpwstr>
  </property>
  <property fmtid="{D5CDD505-2E9C-101B-9397-08002B2CF9AE}" pid="6" name="DM_Creator_Name">
    <vt:lpwstr>Foldvary Bernadett</vt:lpwstr>
  </property>
  <property fmtid="{D5CDD505-2E9C-101B-9397-08002B2CF9AE}" pid="7" name="DM_DocRefId">
    <vt:lpwstr>EMA/173473/2020</vt:lpwstr>
  </property>
  <property fmtid="{D5CDD505-2E9C-101B-9397-08002B2CF9AE}" pid="8" name="DM_emea_doc_ref_id">
    <vt:lpwstr>EMA/173473/2020</vt:lpwstr>
  </property>
  <property fmtid="{D5CDD505-2E9C-101B-9397-08002B2CF9AE}" pid="9" name="DM_Keywords">
    <vt:lpwstr/>
  </property>
  <property fmtid="{D5CDD505-2E9C-101B-9397-08002B2CF9AE}" pid="10" name="DM_Language">
    <vt:lpwstr/>
  </property>
  <property fmtid="{D5CDD505-2E9C-101B-9397-08002B2CF9AE}" pid="11" name="DM_Modifer_Name">
    <vt:lpwstr>Foldvary Bernadett</vt:lpwstr>
  </property>
  <property fmtid="{D5CDD505-2E9C-101B-9397-08002B2CF9AE}" pid="12" name="DM_Modified_Date">
    <vt:lpwstr>11/12/2020 11:10:10</vt:lpwstr>
  </property>
  <property fmtid="{D5CDD505-2E9C-101B-9397-08002B2CF9AE}" pid="13" name="DM_Modifier_Name">
    <vt:lpwstr>Foldvary Bernadett</vt:lpwstr>
  </property>
  <property fmtid="{D5CDD505-2E9C-101B-9397-08002B2CF9AE}" pid="14" name="DM_Modify_Date">
    <vt:lpwstr>11/12/2020 11:10:10</vt:lpwstr>
  </property>
  <property fmtid="{D5CDD505-2E9C-101B-9397-08002B2CF9AE}" pid="15" name="DM_Name">
    <vt:lpwstr>Perjeta-II-48 EN PI clean</vt:lpwstr>
  </property>
  <property fmtid="{D5CDD505-2E9C-101B-9397-08002B2CF9AE}" pid="16" name="DM_Path">
    <vt:lpwstr>/01. Evaluation of Medicines/H-C/P-R/Perjeta (Pertuzumab) - 002547/05 Post Authorisation/Post Activities/2020-xx-xx-2547-II-0048/03. Opinion</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1.3,CURRENT</vt:lpwstr>
  </property>
  <property fmtid="{D5CDD505-2E9C-101B-9397-08002B2CF9AE}" pid="22" name="ItemRetentionFormula">
    <vt:lpwstr>&lt;formula id="Roche.Common.Coremap.ExpirationFormula" /&gt;</vt:lpwstr>
  </property>
  <property fmtid="{D5CDD505-2E9C-101B-9397-08002B2CF9AE}" pid="23" name="TaxKeyword">
    <vt:lpwstr>38;#Perjeta|11111111-1111-1111-1111-111111111111;#79;#INN-pertuzumab|f17fd14c-4165-4929-8bd1-b5ff867190e8</vt:lpwstr>
  </property>
  <property fmtid="{D5CDD505-2E9C-101B-9397-08002B2CF9AE}" pid="24" name="Template Version">
    <vt:lpwstr>1.4</vt:lpwstr>
  </property>
  <property fmtid="{D5CDD505-2E9C-101B-9397-08002B2CF9AE}" pid="25" name="_dlc_ExpireDateSaved">
    <vt:lpwstr/>
  </property>
  <property fmtid="{D5CDD505-2E9C-101B-9397-08002B2CF9AE}" pid="26" name="_dlc_policyId">
    <vt:lpwstr>/team/201220e3/EU</vt:lpwstr>
  </property>
</Properties>
</file>